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32"/>
          <w:szCs w:val="32"/>
          <w:highlight w:val="none"/>
          <w:lang w:eastAsia="zh-CN"/>
        </w:rPr>
      </w:pPr>
      <w:r>
        <w:rPr>
          <w:rFonts w:hint="eastAsia" w:ascii="宋体" w:hAnsi="宋体"/>
          <w:b/>
          <w:sz w:val="32"/>
          <w:szCs w:val="32"/>
          <w:highlight w:val="none"/>
        </w:rPr>
        <w:t>东莞农村商业银行</w:t>
      </w:r>
      <w:r>
        <w:rPr>
          <w:rFonts w:hint="eastAsia" w:ascii="宋体" w:hAnsi="宋体"/>
          <w:b/>
          <w:sz w:val="32"/>
          <w:szCs w:val="32"/>
          <w:highlight w:val="none"/>
          <w:lang w:eastAsia="zh-CN"/>
        </w:rPr>
        <w:t>2026年网络资源池升级扩容项目（链路负载</w:t>
      </w:r>
      <w:r>
        <w:rPr>
          <w:rFonts w:hint="eastAsia" w:ascii="宋体" w:hAnsi="宋体"/>
          <w:b/>
          <w:sz w:val="32"/>
          <w:szCs w:val="32"/>
          <w:highlight w:val="none"/>
          <w:lang w:val="en-US" w:eastAsia="zh-CN"/>
        </w:rPr>
        <w:t>均衡</w:t>
      </w:r>
      <w:r>
        <w:rPr>
          <w:rFonts w:hint="eastAsia" w:ascii="宋体" w:hAnsi="宋体"/>
          <w:b/>
          <w:sz w:val="32"/>
          <w:szCs w:val="32"/>
          <w:highlight w:val="none"/>
          <w:lang w:eastAsia="zh-CN"/>
        </w:rPr>
        <w:t>）</w:t>
      </w:r>
    </w:p>
    <w:p>
      <w:pPr>
        <w:spacing w:line="360" w:lineRule="auto"/>
        <w:jc w:val="center"/>
        <w:rPr>
          <w:rFonts w:ascii="宋体" w:hAnsi="宋体"/>
          <w:b/>
          <w:sz w:val="32"/>
          <w:szCs w:val="32"/>
          <w:highlight w:val="none"/>
        </w:rPr>
      </w:pPr>
      <w:r>
        <w:rPr>
          <w:rFonts w:hint="eastAsia" w:ascii="宋体" w:hAnsi="宋体"/>
          <w:b/>
          <w:sz w:val="32"/>
          <w:szCs w:val="32"/>
          <w:highlight w:val="none"/>
        </w:rPr>
        <w:t>市场调研项目需求</w:t>
      </w:r>
    </w:p>
    <w:p>
      <w:pPr>
        <w:spacing w:line="360" w:lineRule="auto"/>
        <w:rPr>
          <w:rFonts w:ascii="宋体" w:hAnsi="宋体"/>
          <w:b/>
          <w:szCs w:val="21"/>
          <w:highlight w:val="none"/>
        </w:rPr>
      </w:pPr>
    </w:p>
    <w:p>
      <w:pPr>
        <w:spacing w:line="360" w:lineRule="auto"/>
        <w:outlineLvl w:val="0"/>
        <w:rPr>
          <w:rFonts w:ascii="宋体" w:hAnsi="宋体"/>
          <w:b/>
          <w:szCs w:val="21"/>
          <w:highlight w:val="none"/>
        </w:rPr>
      </w:pPr>
      <w:r>
        <w:rPr>
          <w:rFonts w:hint="eastAsia" w:ascii="宋体" w:hAnsi="宋体"/>
          <w:b/>
          <w:szCs w:val="21"/>
          <w:highlight w:val="none"/>
        </w:rPr>
        <w:t>一、项目信息</w:t>
      </w:r>
    </w:p>
    <w:p>
      <w:pPr>
        <w:widowControl/>
        <w:spacing w:line="360" w:lineRule="auto"/>
        <w:ind w:firstLine="420" w:firstLineChars="200"/>
        <w:rPr>
          <w:rFonts w:hint="eastAsia" w:cs="仿宋_GB2312" w:asciiTheme="minorEastAsia" w:hAnsiTheme="minorEastAsia" w:eastAsiaTheme="minorEastAsia"/>
          <w:bCs/>
          <w:szCs w:val="21"/>
          <w:highlight w:val="none"/>
          <w:lang w:eastAsia="zh-CN"/>
        </w:rPr>
      </w:pPr>
      <w:r>
        <w:rPr>
          <w:rFonts w:cs="仿宋_GB2312" w:asciiTheme="minorEastAsia" w:hAnsiTheme="minorEastAsia" w:eastAsiaTheme="minorEastAsia"/>
          <w:bCs/>
          <w:szCs w:val="21"/>
          <w:highlight w:val="none"/>
        </w:rPr>
        <w:t>项目名称：</w:t>
      </w:r>
      <w:r>
        <w:rPr>
          <w:rFonts w:hint="eastAsia" w:cs="仿宋_GB2312" w:asciiTheme="minorEastAsia" w:hAnsiTheme="minorEastAsia" w:eastAsiaTheme="minorEastAsia"/>
          <w:bCs/>
          <w:szCs w:val="21"/>
          <w:highlight w:val="none"/>
        </w:rPr>
        <w:t>东莞农村商业银行</w:t>
      </w:r>
      <w:r>
        <w:rPr>
          <w:rFonts w:hint="eastAsia" w:cs="仿宋_GB2312" w:asciiTheme="minorEastAsia" w:hAnsiTheme="minorEastAsia" w:eastAsiaTheme="minorEastAsia"/>
          <w:bCs/>
          <w:szCs w:val="21"/>
          <w:highlight w:val="none"/>
          <w:lang w:eastAsia="zh-CN"/>
        </w:rPr>
        <w:t>2026年网络资源池升级扩容项目（链路负载</w:t>
      </w:r>
      <w:r>
        <w:rPr>
          <w:rFonts w:hint="eastAsia" w:cs="仿宋_GB2312" w:asciiTheme="minorEastAsia" w:hAnsiTheme="minorEastAsia" w:eastAsiaTheme="minorEastAsia"/>
          <w:bCs/>
          <w:szCs w:val="21"/>
          <w:highlight w:val="none"/>
          <w:lang w:val="en-US" w:eastAsia="zh-CN"/>
        </w:rPr>
        <w:t>均衡</w:t>
      </w:r>
      <w:r>
        <w:rPr>
          <w:rFonts w:hint="eastAsia" w:cs="仿宋_GB2312" w:asciiTheme="minorEastAsia" w:hAnsiTheme="minorEastAsia" w:eastAsiaTheme="minorEastAsia"/>
          <w:bCs/>
          <w:szCs w:val="21"/>
          <w:highlight w:val="none"/>
          <w:lang w:eastAsia="zh-CN"/>
        </w:rPr>
        <w:t>）</w:t>
      </w:r>
    </w:p>
    <w:p>
      <w:pPr>
        <w:widowControl/>
        <w:spacing w:line="360" w:lineRule="auto"/>
        <w:ind w:firstLine="420" w:firstLineChars="200"/>
        <w:rPr>
          <w:rFonts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采购人</w:t>
      </w:r>
      <w:r>
        <w:rPr>
          <w:rFonts w:hint="eastAsia" w:cs="仿宋_GB2312" w:asciiTheme="minorEastAsia" w:hAnsiTheme="minorEastAsia" w:eastAsiaTheme="minorEastAsia"/>
          <w:bCs/>
          <w:szCs w:val="21"/>
          <w:highlight w:val="none"/>
        </w:rPr>
        <w:t>：东莞农村商业银行股份有限公司</w:t>
      </w:r>
    </w:p>
    <w:p>
      <w:pPr>
        <w:widowControl/>
        <w:spacing w:line="360" w:lineRule="auto"/>
        <w:ind w:firstLine="420" w:firstLineChars="200"/>
        <w:rPr>
          <w:rFonts w:hint="eastAsia"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项目概况</w:t>
      </w:r>
      <w:r>
        <w:rPr>
          <w:rFonts w:hint="eastAsia" w:cs="仿宋_GB2312" w:asciiTheme="minorEastAsia" w:hAnsiTheme="minorEastAsia" w:eastAsiaTheme="minorEastAsia"/>
          <w:bCs/>
          <w:szCs w:val="21"/>
          <w:highlight w:val="none"/>
        </w:rPr>
        <w:t>：</w:t>
      </w:r>
      <w:r>
        <w:rPr>
          <w:rFonts w:hint="eastAsia" w:ascii="宋体" w:hAnsi="宋体" w:eastAsia="宋体" w:cs="宋体"/>
          <w:b w:val="0"/>
          <w:bCs/>
          <w:szCs w:val="21"/>
          <w:highlight w:val="none"/>
        </w:rPr>
        <w:t>采购一批</w:t>
      </w:r>
      <w:r>
        <w:rPr>
          <w:rFonts w:hint="eastAsia" w:cs="仿宋_GB2312" w:asciiTheme="minorEastAsia" w:hAnsiTheme="minorEastAsia" w:eastAsiaTheme="minorEastAsia"/>
          <w:bCs/>
          <w:szCs w:val="21"/>
          <w:highlight w:val="none"/>
          <w:lang w:eastAsia="zh-CN"/>
        </w:rPr>
        <w:t>链路负载</w:t>
      </w:r>
      <w:r>
        <w:rPr>
          <w:rFonts w:hint="eastAsia" w:cs="仿宋_GB2312" w:asciiTheme="minorEastAsia" w:hAnsiTheme="minorEastAsia" w:eastAsiaTheme="minorEastAsia"/>
          <w:bCs/>
          <w:szCs w:val="21"/>
          <w:highlight w:val="none"/>
          <w:lang w:val="en-US" w:eastAsia="zh-CN"/>
        </w:rPr>
        <w:t>均衡</w:t>
      </w:r>
      <w:r>
        <w:rPr>
          <w:rFonts w:hint="eastAsia" w:ascii="宋体" w:hAnsi="宋体" w:cs="宋体"/>
          <w:b w:val="0"/>
          <w:bCs/>
          <w:szCs w:val="21"/>
          <w:highlight w:val="none"/>
          <w:lang w:val="en-US" w:eastAsia="zh-CN"/>
        </w:rPr>
        <w:t>设备</w:t>
      </w:r>
      <w:r>
        <w:rPr>
          <w:rFonts w:hint="eastAsia" w:ascii="宋体" w:hAnsi="宋体" w:eastAsia="宋体" w:cs="宋体"/>
          <w:b w:val="0"/>
          <w:bCs/>
          <w:kern w:val="2"/>
          <w:sz w:val="21"/>
          <w:szCs w:val="21"/>
          <w:highlight w:val="none"/>
          <w:lang w:val="en-US" w:eastAsia="zh-CN" w:bidi="ar-SA"/>
        </w:rPr>
        <w:t>用于</w:t>
      </w:r>
      <w:r>
        <w:rPr>
          <w:rFonts w:hint="eastAsia" w:ascii="宋体" w:hAnsi="宋体" w:cs="宋体"/>
          <w:b w:val="0"/>
          <w:bCs/>
          <w:kern w:val="2"/>
          <w:sz w:val="21"/>
          <w:szCs w:val="21"/>
          <w:highlight w:val="none"/>
          <w:lang w:val="en-US" w:eastAsia="zh-CN" w:bidi="ar-SA"/>
        </w:rPr>
        <w:t>现网架构升级和扩容</w:t>
      </w:r>
      <w:r>
        <w:rPr>
          <w:rFonts w:hint="eastAsia" w:cs="仿宋_GB2312" w:asciiTheme="minorEastAsia" w:hAnsiTheme="minorEastAsia" w:eastAsiaTheme="minorEastAsia"/>
          <w:bCs/>
          <w:szCs w:val="21"/>
          <w:highlight w:val="none"/>
        </w:rPr>
        <w:t>。</w:t>
      </w:r>
    </w:p>
    <w:p>
      <w:pPr>
        <w:widowControl/>
        <w:spacing w:line="360" w:lineRule="auto"/>
        <w:ind w:firstLine="420" w:firstLineChars="200"/>
        <w:rPr>
          <w:highlight w:val="none"/>
        </w:rPr>
      </w:pPr>
      <w:r>
        <w:rPr>
          <w:rFonts w:hint="eastAsia" w:cs="仿宋_GB2312" w:asciiTheme="minorEastAsia" w:hAnsiTheme="minorEastAsia" w:eastAsiaTheme="minorEastAsia"/>
          <w:bCs/>
          <w:szCs w:val="21"/>
          <w:highlight w:val="none"/>
        </w:rPr>
        <w:t>注意：本次公告属于项目市场调研需求，上述预计采购时间</w:t>
      </w:r>
      <w:r>
        <w:rPr>
          <w:rFonts w:hint="eastAsia" w:cs="仿宋_GB2312" w:asciiTheme="minorEastAsia" w:hAnsiTheme="minorEastAsia" w:eastAsiaTheme="minorEastAsia"/>
          <w:bCs/>
          <w:szCs w:val="21"/>
          <w:highlight w:val="none"/>
          <w:lang w:val="en-US" w:eastAsia="zh-CN"/>
        </w:rPr>
        <w:t>和项目工期要求</w:t>
      </w:r>
      <w:r>
        <w:rPr>
          <w:rFonts w:hint="eastAsia" w:cs="仿宋_GB2312" w:asciiTheme="minorEastAsia" w:hAnsiTheme="minorEastAsia" w:eastAsiaTheme="minorEastAsia"/>
          <w:bCs/>
          <w:szCs w:val="21"/>
          <w:highlight w:val="none"/>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spacing w:line="360" w:lineRule="auto"/>
        <w:outlineLvl w:val="0"/>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为支撑日互联网业务的持续发展，保障对外服务系统的高可用性与安全性，加强系统的健壮性，东莞农村商业银行需采购一批链路负载设备用于现网架构升级和扩容。</w:t>
      </w:r>
    </w:p>
    <w:p>
      <w:pPr>
        <w:spacing w:line="360" w:lineRule="auto"/>
        <w:outlineLvl w:val="0"/>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rPr>
        <w:t>采购内容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本次项目公开征集</w:t>
      </w:r>
      <w:r>
        <w:rPr>
          <w:rFonts w:hint="eastAsia" w:ascii="宋体" w:hAnsi="宋体" w:cs="宋体"/>
          <w:szCs w:val="21"/>
          <w:highlight w:val="none"/>
          <w:lang w:val="en-US" w:eastAsia="zh-CN"/>
        </w:rPr>
        <w:t>采购的产品及服务</w:t>
      </w:r>
      <w:r>
        <w:rPr>
          <w:rFonts w:hint="eastAsia" w:ascii="宋体" w:hAnsi="宋体" w:cs="宋体"/>
          <w:szCs w:val="21"/>
          <w:highlight w:val="none"/>
        </w:rPr>
        <w:t>要求如下：</w:t>
      </w:r>
    </w:p>
    <w:p>
      <w:pPr>
        <w:numPr>
          <w:ilvl w:val="0"/>
          <w:numId w:val="1"/>
        </w:num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cs="宋体"/>
          <w:b w:val="0"/>
          <w:bCs/>
          <w:kern w:val="2"/>
          <w:sz w:val="22"/>
          <w:szCs w:val="22"/>
          <w:highlight w:val="none"/>
          <w:lang w:val="en-US" w:eastAsia="zh-CN" w:bidi="ar-SA"/>
        </w:rPr>
        <w:t>4</w:t>
      </w:r>
      <w:r>
        <w:rPr>
          <w:rFonts w:hint="eastAsia" w:ascii="宋体" w:hAnsi="宋体" w:eastAsia="宋体" w:cs="宋体"/>
          <w:b w:val="0"/>
          <w:bCs/>
          <w:kern w:val="2"/>
          <w:sz w:val="22"/>
          <w:szCs w:val="22"/>
          <w:highlight w:val="none"/>
          <w:lang w:val="en-US" w:eastAsia="zh-CN" w:bidi="ar-SA"/>
        </w:rPr>
        <w:t>台</w:t>
      </w:r>
      <w:r>
        <w:rPr>
          <w:rFonts w:hint="eastAsia" w:ascii="宋体" w:hAnsi="宋体" w:cs="宋体"/>
          <w:b w:val="0"/>
          <w:bCs/>
          <w:kern w:val="2"/>
          <w:sz w:val="22"/>
          <w:szCs w:val="22"/>
          <w:highlight w:val="none"/>
          <w:lang w:val="en-US" w:eastAsia="zh-CN" w:bidi="ar-SA"/>
        </w:rPr>
        <w:t>链路负载设备</w:t>
      </w:r>
      <w:r>
        <w:rPr>
          <w:rFonts w:hint="eastAsia" w:ascii="宋体" w:hAnsi="宋体" w:eastAsia="宋体" w:cs="宋体"/>
          <w:b w:val="0"/>
          <w:bCs/>
          <w:kern w:val="2"/>
          <w:sz w:val="22"/>
          <w:szCs w:val="22"/>
          <w:highlight w:val="none"/>
          <w:lang w:val="en-US" w:eastAsia="zh-CN" w:bidi="ar-SA"/>
        </w:rPr>
        <w:t>，基本配置如下表：</w:t>
      </w:r>
    </w:p>
    <w:tbl>
      <w:tblPr>
        <w:tblStyle w:val="15"/>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66"/>
        <w:gridCol w:w="862"/>
        <w:gridCol w:w="863"/>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noWrap w:val="0"/>
            <w:vAlign w:val="center"/>
          </w:tcPr>
          <w:p>
            <w:pPr>
              <w:pStyle w:val="8"/>
              <w:numPr>
                <w:ilvl w:val="0"/>
                <w:numId w:val="0"/>
              </w:numPr>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序号</w:t>
            </w:r>
          </w:p>
        </w:tc>
        <w:tc>
          <w:tcPr>
            <w:tcW w:w="2066" w:type="dxa"/>
            <w:noWrap w:val="0"/>
            <w:vAlign w:val="center"/>
          </w:tcPr>
          <w:p>
            <w:pPr>
              <w:widowControl/>
              <w:snapToGrid w:val="0"/>
              <w:spacing w:line="360" w:lineRule="auto"/>
              <w:jc w:val="center"/>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产品名称</w:t>
            </w:r>
          </w:p>
        </w:tc>
        <w:tc>
          <w:tcPr>
            <w:tcW w:w="862" w:type="dxa"/>
            <w:noWrap w:val="0"/>
            <w:vAlign w:val="center"/>
          </w:tcPr>
          <w:p>
            <w:pPr>
              <w:widowControl/>
              <w:snapToGrid w:val="0"/>
              <w:spacing w:line="360" w:lineRule="auto"/>
              <w:jc w:val="center"/>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数量</w:t>
            </w:r>
          </w:p>
        </w:tc>
        <w:tc>
          <w:tcPr>
            <w:tcW w:w="863" w:type="dxa"/>
            <w:noWrap w:val="0"/>
            <w:vAlign w:val="center"/>
          </w:tcPr>
          <w:p>
            <w:pPr>
              <w:widowControl/>
              <w:snapToGrid w:val="0"/>
              <w:spacing w:line="360" w:lineRule="auto"/>
              <w:jc w:val="center"/>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单位</w:t>
            </w:r>
          </w:p>
        </w:tc>
        <w:tc>
          <w:tcPr>
            <w:tcW w:w="5128" w:type="dxa"/>
            <w:noWrap w:val="0"/>
            <w:vAlign w:val="center"/>
          </w:tcPr>
          <w:p>
            <w:pPr>
              <w:widowControl/>
              <w:snapToGrid w:val="0"/>
              <w:spacing w:line="360" w:lineRule="auto"/>
              <w:jc w:val="center"/>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lang w:val="en-US" w:eastAsia="zh-CN"/>
              </w:rPr>
              <w:t>单台设备</w:t>
            </w:r>
            <w:r>
              <w:rPr>
                <w:rFonts w:hint="eastAsia" w:ascii="宋体" w:hAnsi="宋体" w:eastAsia="宋体" w:cs="宋体"/>
                <w:b w:val="0"/>
                <w:bCs/>
                <w:kern w:val="0"/>
                <w:sz w:val="22"/>
                <w:szCs w:val="22"/>
                <w:highlight w:val="none"/>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75" w:type="dxa"/>
            <w:noWrap w:val="0"/>
            <w:vAlign w:val="center"/>
          </w:tcPr>
          <w:p>
            <w:pPr>
              <w:widowControl/>
              <w:snapToGrid w:val="0"/>
              <w:spacing w:line="360" w:lineRule="auto"/>
              <w:jc w:val="center"/>
              <w:rPr>
                <w:rFonts w:hint="eastAsia" w:ascii="宋体" w:hAnsi="宋体" w:eastAsia="宋体" w:cs="宋体"/>
                <w:b w:val="0"/>
                <w:bCs/>
                <w:kern w:val="0"/>
                <w:sz w:val="22"/>
                <w:szCs w:val="22"/>
                <w:highlight w:val="none"/>
                <w:lang w:val="en-US" w:eastAsia="zh-CN"/>
              </w:rPr>
            </w:pPr>
            <w:r>
              <w:rPr>
                <w:rFonts w:hint="eastAsia" w:ascii="宋体" w:hAnsi="宋体" w:eastAsia="宋体" w:cs="宋体"/>
                <w:b w:val="0"/>
                <w:bCs/>
                <w:kern w:val="0"/>
                <w:sz w:val="22"/>
                <w:szCs w:val="22"/>
                <w:highlight w:val="none"/>
                <w:lang w:val="en-US" w:eastAsia="zh-CN"/>
              </w:rPr>
              <w:t>1</w:t>
            </w:r>
          </w:p>
        </w:tc>
        <w:tc>
          <w:tcPr>
            <w:tcW w:w="2066" w:type="dxa"/>
            <w:noWrap w:val="0"/>
            <w:vAlign w:val="center"/>
          </w:tcPr>
          <w:p>
            <w:pPr>
              <w:jc w:val="left"/>
              <w:rPr>
                <w:rFonts w:hint="default" w:ascii="宋体" w:hAnsi="宋体" w:eastAsia="仿宋_GB2312" w:cs="宋体"/>
                <w:b w:val="0"/>
                <w:bCs/>
                <w:sz w:val="22"/>
                <w:szCs w:val="22"/>
                <w:highlight w:val="none"/>
                <w:lang w:val="en-US" w:eastAsia="zh-CN"/>
              </w:rPr>
            </w:pPr>
            <w:r>
              <w:rPr>
                <w:rFonts w:hint="eastAsia" w:ascii="宋体" w:hAnsi="宋体" w:cs="宋体"/>
                <w:b w:val="0"/>
                <w:bCs/>
                <w:kern w:val="0"/>
                <w:sz w:val="22"/>
                <w:szCs w:val="22"/>
                <w:highlight w:val="none"/>
                <w:lang w:val="en-US" w:eastAsia="zh-CN"/>
              </w:rPr>
              <w:t>链路负载</w:t>
            </w:r>
            <w:r>
              <w:rPr>
                <w:rFonts w:hint="eastAsia" w:ascii="宋体" w:hAnsi="宋体" w:eastAsia="宋体" w:cs="宋体"/>
                <w:b w:val="0"/>
                <w:bCs/>
                <w:kern w:val="0"/>
                <w:sz w:val="22"/>
                <w:szCs w:val="22"/>
                <w:highlight w:val="none"/>
                <w:lang w:val="en-US" w:eastAsia="zh-CN"/>
              </w:rPr>
              <w:t>设备</w:t>
            </w:r>
          </w:p>
        </w:tc>
        <w:tc>
          <w:tcPr>
            <w:tcW w:w="862" w:type="dxa"/>
            <w:noWrap w:val="0"/>
            <w:vAlign w:val="center"/>
          </w:tcPr>
          <w:p>
            <w:pPr>
              <w:jc w:val="center"/>
              <w:rPr>
                <w:rFonts w:hint="default" w:ascii="宋体" w:hAnsi="宋体" w:eastAsia="宋体" w:cs="宋体"/>
                <w:b w:val="0"/>
                <w:bCs/>
                <w:kern w:val="0"/>
                <w:sz w:val="22"/>
                <w:szCs w:val="22"/>
                <w:highlight w:val="none"/>
                <w:lang w:val="en-US" w:eastAsia="zh-CN"/>
              </w:rPr>
            </w:pPr>
            <w:r>
              <w:rPr>
                <w:rFonts w:hint="eastAsia" w:ascii="宋体" w:hAnsi="宋体" w:cs="宋体"/>
                <w:sz w:val="22"/>
                <w:szCs w:val="22"/>
                <w:highlight w:val="none"/>
                <w:lang w:val="en-US" w:eastAsia="zh-CN"/>
              </w:rPr>
              <w:t>4</w:t>
            </w:r>
          </w:p>
        </w:tc>
        <w:tc>
          <w:tcPr>
            <w:tcW w:w="863" w:type="dxa"/>
            <w:noWrap w:val="0"/>
            <w:vAlign w:val="center"/>
          </w:tcPr>
          <w:p>
            <w:pPr>
              <w:widowControl/>
              <w:snapToGrid w:val="0"/>
              <w:spacing w:line="360" w:lineRule="auto"/>
              <w:jc w:val="center"/>
              <w:rPr>
                <w:rFonts w:hint="eastAsia" w:ascii="宋体" w:hAnsi="宋体" w:eastAsia="宋体" w:cs="宋体"/>
                <w:b w:val="0"/>
                <w:bCs/>
                <w:kern w:val="0"/>
                <w:sz w:val="22"/>
                <w:szCs w:val="22"/>
                <w:highlight w:val="none"/>
                <w:lang w:val="en-US" w:eastAsia="zh-CN"/>
              </w:rPr>
            </w:pPr>
            <w:r>
              <w:rPr>
                <w:rFonts w:hint="eastAsia" w:ascii="宋体" w:hAnsi="宋体" w:eastAsia="宋体" w:cs="宋体"/>
                <w:b w:val="0"/>
                <w:bCs/>
                <w:kern w:val="0"/>
                <w:sz w:val="22"/>
                <w:szCs w:val="22"/>
                <w:highlight w:val="none"/>
                <w:lang w:val="en-US" w:eastAsia="zh-CN"/>
              </w:rPr>
              <w:t>台</w:t>
            </w:r>
          </w:p>
        </w:tc>
        <w:tc>
          <w:tcPr>
            <w:tcW w:w="5128" w:type="dxa"/>
            <w:noWrap w:val="0"/>
            <w:vAlign w:val="center"/>
          </w:tcPr>
          <w:p>
            <w:pPr>
              <w:widowControl/>
              <w:snapToGrid w:val="0"/>
              <w:spacing w:line="360" w:lineRule="auto"/>
              <w:jc w:val="both"/>
              <w:textAlignment w:val="center"/>
              <w:rPr>
                <w:rFonts w:hint="eastAsia"/>
                <w:highlight w:val="none"/>
                <w:lang w:val="en-US" w:eastAsia="zh-CN"/>
              </w:rPr>
            </w:pPr>
            <w:r>
              <w:rPr>
                <w:rFonts w:hint="eastAsia" w:cs="宋体" w:asciiTheme="minorEastAsia" w:hAnsiTheme="minorEastAsia" w:eastAsiaTheme="minorEastAsia"/>
                <w:b/>
                <w:bCs w:val="0"/>
                <w:color w:val="000000"/>
                <w:kern w:val="0"/>
                <w:sz w:val="21"/>
                <w:szCs w:val="21"/>
                <w:highlight w:val="none"/>
                <w:lang w:val="en-US" w:eastAsia="zh-CN" w:bidi="ar-SA"/>
              </w:rPr>
              <w:t>四层吞吐≥40Gbps</w:t>
            </w:r>
            <w:r>
              <w:rPr>
                <w:rFonts w:hint="eastAsia" w:cs="宋体" w:asciiTheme="minorEastAsia" w:hAnsiTheme="minorEastAsia" w:eastAsiaTheme="minorEastAsia"/>
                <w:b w:val="0"/>
                <w:bCs/>
                <w:color w:val="000000"/>
                <w:kern w:val="0"/>
                <w:sz w:val="21"/>
                <w:szCs w:val="21"/>
                <w:highlight w:val="none"/>
                <w:lang w:val="en-US" w:eastAsia="zh-CN" w:bidi="ar-SA"/>
              </w:rPr>
              <w:t>；四层新建连接≥10万；七层新建连接≥7万；并发连接数（四层+七层）≥1000万；支持虚拟服务数≥700（设备性能，如CPU、内存，仍处于高效可用状态）。带外管理电口≥1个，业务千兆电口≥2，业务万兆光口≥6个，配备与接口数量相同的光接口多模模块，如为插槽形式需包含相应板卡模块；支持接口聚合或链路捆绑；支持管理口、业务口路由表分离。</w:t>
            </w:r>
          </w:p>
        </w:tc>
      </w:tr>
    </w:tbl>
    <w:p>
      <w:pPr>
        <w:numPr>
          <w:ilvl w:val="0"/>
          <w:numId w:val="1"/>
        </w:numPr>
        <w:spacing w:line="360" w:lineRule="auto"/>
        <w:ind w:left="0" w:leftChars="0" w:firstLine="420" w:firstLineChars="200"/>
        <w:rPr>
          <w:rStyle w:val="25"/>
          <w:rFonts w:hint="eastAsia" w:asciiTheme="minorEastAsia" w:hAnsiTheme="minorEastAsia" w:eastAsiaTheme="minorEastAsia"/>
          <w:b w:val="0"/>
          <w:bCs/>
          <w:sz w:val="21"/>
          <w:szCs w:val="21"/>
          <w:highlight w:val="none"/>
          <w:lang w:eastAsia="zh-CN"/>
        </w:rPr>
      </w:pPr>
      <w:r>
        <w:rPr>
          <w:rStyle w:val="25"/>
          <w:rFonts w:hint="default" w:asciiTheme="minorEastAsia" w:hAnsiTheme="minorEastAsia" w:eastAsiaTheme="minorEastAsia"/>
          <w:b w:val="0"/>
          <w:bCs/>
          <w:sz w:val="21"/>
          <w:szCs w:val="21"/>
          <w:highlight w:val="none"/>
        </w:rPr>
        <w:t>设备原厂</w:t>
      </w:r>
      <w:r>
        <w:rPr>
          <w:rStyle w:val="25"/>
          <w:rFonts w:hint="eastAsia" w:asciiTheme="minorEastAsia" w:hAnsiTheme="minorEastAsia" w:eastAsiaTheme="minorEastAsia"/>
          <w:b w:val="0"/>
          <w:bCs/>
          <w:sz w:val="21"/>
          <w:szCs w:val="21"/>
          <w:highlight w:val="none"/>
          <w:lang w:val="en-US" w:eastAsia="zh-CN"/>
        </w:rPr>
        <w:t>工程师</w:t>
      </w:r>
      <w:r>
        <w:rPr>
          <w:rStyle w:val="25"/>
          <w:rFonts w:hint="default" w:asciiTheme="minorEastAsia" w:hAnsiTheme="minorEastAsia" w:eastAsiaTheme="minorEastAsia"/>
          <w:b w:val="0"/>
          <w:bCs/>
          <w:sz w:val="21"/>
          <w:szCs w:val="21"/>
          <w:highlight w:val="none"/>
        </w:rPr>
        <w:t>对本项目进行现场实施和技术支持</w:t>
      </w:r>
      <w:r>
        <w:rPr>
          <w:rStyle w:val="25"/>
          <w:rFonts w:hint="eastAsia" w:asciiTheme="minorEastAsia" w:hAnsiTheme="minorEastAsia" w:eastAsiaTheme="minorEastAsia"/>
          <w:b w:val="0"/>
          <w:bCs/>
          <w:sz w:val="21"/>
          <w:szCs w:val="21"/>
          <w:highlight w:val="none"/>
          <w:lang w:val="en-US" w:eastAsia="zh-CN"/>
        </w:rPr>
        <w:t>服务，</w:t>
      </w:r>
      <w:r>
        <w:rPr>
          <w:rStyle w:val="25"/>
          <w:rFonts w:hint="default" w:asciiTheme="minorEastAsia" w:hAnsiTheme="minorEastAsia" w:eastAsiaTheme="minorEastAsia"/>
          <w:b w:val="0"/>
          <w:bCs/>
          <w:sz w:val="21"/>
          <w:szCs w:val="21"/>
          <w:highlight w:val="none"/>
        </w:rPr>
        <w:t>5年原厂质保期内（自硬件产品验收之日起）免费维修，5年普通硬件备机服务, 5年7*24*4原厂维保，集成安装及项目实施服务，故障处理及保修，季度深度巡检，调试测试，维护培训等</w:t>
      </w:r>
      <w:r>
        <w:rPr>
          <w:rStyle w:val="25"/>
          <w:rFonts w:hint="eastAsia" w:asciiTheme="minorEastAsia" w:hAnsiTheme="minorEastAsia" w:eastAsiaTheme="minorEastAsia"/>
          <w:b w:val="0"/>
          <w:bCs/>
          <w:sz w:val="21"/>
          <w:szCs w:val="21"/>
          <w:highlight w:val="none"/>
          <w:lang w:eastAsia="zh-CN"/>
        </w:rPr>
        <w:t>。</w:t>
      </w:r>
    </w:p>
    <w:p>
      <w:pPr>
        <w:pStyle w:val="2"/>
        <w:numPr>
          <w:ilvl w:val="0"/>
          <w:numId w:val="0"/>
        </w:numPr>
        <w:ind w:firstLine="422" w:firstLineChars="200"/>
        <w:rPr>
          <w:rFonts w:hint="eastAsia"/>
          <w:highlight w:val="none"/>
          <w:lang w:val="en-US" w:eastAsia="zh-CN"/>
        </w:rPr>
      </w:pPr>
      <w:r>
        <w:rPr>
          <w:rFonts w:hint="eastAsia" w:ascii="宋体" w:hAnsi="宋体" w:eastAsia="宋体" w:cs="宋体"/>
          <w:b/>
          <w:bCs/>
          <w:color w:val="auto"/>
          <w:kern w:val="2"/>
          <w:sz w:val="21"/>
          <w:szCs w:val="21"/>
          <w:highlight w:val="none"/>
          <w:lang w:val="en-US" w:eastAsia="zh-CN" w:bidi="ar-SA"/>
        </w:rPr>
        <w:t>注：本项目调研包含价格调研，请根据本次征集采购的产品及服务填写《附件3-东莞农商行XXXXXXXX项目价格调研表》</w:t>
      </w:r>
    </w:p>
    <w:p>
      <w:pPr>
        <w:spacing w:line="360" w:lineRule="auto"/>
        <w:rPr>
          <w:rFonts w:ascii="宋体" w:hAnsi="宋体"/>
          <w:b/>
          <w:bCs/>
          <w:szCs w:val="21"/>
          <w:highlight w:val="none"/>
        </w:rPr>
      </w:pPr>
      <w:r>
        <w:rPr>
          <w:rFonts w:hint="eastAsia" w:ascii="宋体" w:hAnsi="宋体"/>
          <w:b/>
          <w:bCs/>
          <w:szCs w:val="21"/>
          <w:highlight w:val="none"/>
          <w:lang w:val="en-US" w:eastAsia="zh-CN"/>
        </w:rPr>
        <w:t>四、</w:t>
      </w:r>
      <w:r>
        <w:rPr>
          <w:rFonts w:hint="eastAsia" w:ascii="宋体" w:hAnsi="宋体"/>
          <w:b/>
          <w:bCs/>
          <w:szCs w:val="21"/>
          <w:highlight w:val="none"/>
        </w:rPr>
        <w:t>供应商要求</w:t>
      </w:r>
    </w:p>
    <w:p>
      <w:pPr>
        <w:tabs>
          <w:tab w:val="left" w:pos="0"/>
        </w:tabs>
        <w:spacing w:line="360" w:lineRule="auto"/>
        <w:ind w:firstLine="420" w:firstLineChars="200"/>
        <w:rPr>
          <w:rFonts w:hint="eastAsia"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eastAsiaTheme="minorEastAsia"/>
          <w:color w:val="auto"/>
          <w:szCs w:val="21"/>
          <w:highlight w:val="none"/>
          <w:lang w:val="en-US" w:eastAsia="zh-CN"/>
        </w:rPr>
        <w:t>1、供应商为在中华人民共和国境内登记注册的、合法存续、正常经营且具有独立承担民事责任能力的法人或其他组织。</w:t>
      </w:r>
    </w:p>
    <w:p>
      <w:pPr>
        <w:tabs>
          <w:tab w:val="left" w:pos="0"/>
        </w:tabs>
        <w:spacing w:line="360" w:lineRule="auto"/>
        <w:ind w:firstLine="420" w:firstLineChars="200"/>
        <w:rPr>
          <w:rFonts w:hint="eastAsia" w:ascii="宋体" w:hAnsi="宋体" w:eastAsia="宋体" w:cs="宋体"/>
          <w:b w:val="0"/>
          <w:kern w:val="2"/>
          <w:sz w:val="21"/>
          <w:szCs w:val="21"/>
          <w:highlight w:val="none"/>
          <w:lang w:val="zh-CN" w:eastAsia="zh-CN" w:bidi="ar-SA"/>
        </w:rPr>
      </w:pPr>
      <w:r>
        <w:rPr>
          <w:rFonts w:hint="eastAsia" w:ascii="宋体" w:hAnsi="宋体" w:cs="宋体"/>
          <w:b w:val="0"/>
          <w:kern w:val="2"/>
          <w:sz w:val="21"/>
          <w:szCs w:val="21"/>
          <w:highlight w:val="none"/>
          <w:lang w:val="en-US" w:eastAsia="zh-CN" w:bidi="ar-SA"/>
        </w:rPr>
        <w:t>2、</w:t>
      </w:r>
      <w:r>
        <w:rPr>
          <w:rFonts w:hint="eastAsia" w:ascii="宋体" w:hAnsi="宋体" w:eastAsia="宋体" w:cs="宋体"/>
          <w:b w:val="0"/>
          <w:kern w:val="2"/>
          <w:sz w:val="21"/>
          <w:szCs w:val="21"/>
          <w:highlight w:val="none"/>
          <w:lang w:val="en-US" w:eastAsia="zh-CN" w:bidi="ar-SA"/>
        </w:rPr>
        <w:t>至报名截止当天，供应商</w:t>
      </w:r>
      <w:r>
        <w:rPr>
          <w:rFonts w:hint="eastAsia" w:ascii="宋体" w:hAnsi="宋体" w:eastAsia="宋体" w:cs="宋体"/>
          <w:b w:val="0"/>
          <w:kern w:val="2"/>
          <w:sz w:val="21"/>
          <w:szCs w:val="21"/>
          <w:highlight w:val="none"/>
          <w:lang w:val="zh-CN" w:eastAsia="zh-CN" w:bidi="ar-SA"/>
        </w:rPr>
        <w:t>未被列入</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信用中国</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网站</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"http://www.creditchina.gov.cn)"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en-US" w:eastAsia="zh-CN" w:bidi="ar-SA"/>
        </w:rPr>
        <w:t>www.creditchina.gov.cn)“</w:t>
      </w:r>
      <w:r>
        <w:rPr>
          <w:rFonts w:hint="eastAsia" w:ascii="宋体" w:hAnsi="宋体" w:eastAsia="宋体" w:cs="宋体"/>
          <w:b w:val="0"/>
          <w:kern w:val="2"/>
          <w:sz w:val="21"/>
          <w:szCs w:val="21"/>
          <w:highlight w:val="none"/>
          <w:lang w:val="zh-CN" w:eastAsia="zh-CN" w:bidi="ar-SA"/>
        </w:rPr>
        <w:t>记录失信被执行人或重</w:t>
      </w:r>
      <w:r>
        <w:rPr>
          <w:rFonts w:hint="eastAsia" w:ascii="宋体" w:hAnsi="宋体" w:eastAsia="宋体" w:cs="宋体"/>
          <w:b w:val="0"/>
          <w:kern w:val="2"/>
          <w:sz w:val="21"/>
          <w:szCs w:val="21"/>
          <w:highlight w:val="none"/>
          <w:lang w:val="zh-CN" w:eastAsia="zh-CN" w:bidi="ar-SA"/>
        </w:rPr>
        <w:fldChar w:fldCharType="end"/>
      </w:r>
      <w:r>
        <w:rPr>
          <w:rFonts w:hint="eastAsia" w:ascii="宋体" w:hAnsi="宋体" w:eastAsia="宋体" w:cs="宋体"/>
          <w:b w:val="0"/>
          <w:kern w:val="2"/>
          <w:sz w:val="21"/>
          <w:szCs w:val="21"/>
          <w:highlight w:val="none"/>
          <w:lang w:val="zh-CN" w:eastAsia="zh-CN" w:bidi="ar-SA"/>
        </w:rPr>
        <w:t>大税收违法案件当事人名单或政府采购严重违法失信名单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记录名单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不处于中国政府采购网</w:t>
      </w:r>
      <w:r>
        <w:rPr>
          <w:rFonts w:hint="eastAsia" w:ascii="宋体" w:hAnsi="宋体" w:eastAsia="宋体" w:cs="宋体"/>
          <w:b w:val="0"/>
          <w:kern w:val="2"/>
          <w:sz w:val="21"/>
          <w:szCs w:val="21"/>
          <w:highlight w:val="none"/>
          <w:lang w:val="en-US" w:eastAsia="zh-CN" w:bidi="ar-SA"/>
        </w:rPr>
        <w:t>(www.ccgp.gov.cn)“</w:t>
      </w:r>
      <w:r>
        <w:rPr>
          <w:rFonts w:hint="eastAsia" w:ascii="宋体" w:hAnsi="宋体" w:eastAsia="宋体" w:cs="宋体"/>
          <w:b w:val="0"/>
          <w:kern w:val="2"/>
          <w:sz w:val="21"/>
          <w:szCs w:val="21"/>
          <w:highlight w:val="none"/>
          <w:lang w:val="zh-CN" w:eastAsia="zh-CN" w:bidi="ar-SA"/>
        </w:rPr>
        <w:t>政府采购严重违法失信行为信息记录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中的禁止参加政府采购活动期间</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处罚限届满的除外</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w:t>
      </w:r>
    </w:p>
    <w:p>
      <w:pPr>
        <w:tabs>
          <w:tab w:val="left" w:pos="0"/>
        </w:tabs>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3、</w:t>
      </w:r>
      <w:r>
        <w:rPr>
          <w:rFonts w:hint="eastAsia" w:ascii="宋体" w:hAnsi="宋体" w:eastAsia="宋体" w:cs="宋体"/>
          <w:b w:val="0"/>
          <w:kern w:val="2"/>
          <w:sz w:val="21"/>
          <w:szCs w:val="21"/>
          <w:highlight w:val="none"/>
          <w:lang w:val="en-US" w:eastAsia="zh-CN" w:bidi="ar-SA"/>
        </w:rPr>
        <w:t>供应商需获得</w:t>
      </w:r>
      <w:r>
        <w:rPr>
          <w:rFonts w:hint="eastAsia" w:ascii="宋体" w:hAnsi="宋体" w:cs="宋体"/>
          <w:b w:val="0"/>
          <w:kern w:val="2"/>
          <w:sz w:val="21"/>
          <w:szCs w:val="21"/>
          <w:highlight w:val="none"/>
          <w:lang w:val="en-US" w:eastAsia="zh-CN" w:bidi="ar-SA"/>
        </w:rPr>
        <w:t>“</w:t>
      </w:r>
      <w:r>
        <w:rPr>
          <w:rFonts w:hint="eastAsia" w:ascii="宋体" w:hAnsi="宋体"/>
          <w:szCs w:val="21"/>
          <w:highlight w:val="none"/>
          <w:lang w:val="en-US" w:eastAsia="zh-CN"/>
        </w:rPr>
        <w:t>深信服科技股份有限公司”（简称深信服）</w:t>
      </w:r>
      <w:r>
        <w:rPr>
          <w:rFonts w:hint="eastAsia" w:ascii="宋体" w:hAnsi="宋体" w:eastAsia="宋体" w:cs="宋体"/>
          <w:b w:val="0"/>
          <w:kern w:val="2"/>
          <w:sz w:val="21"/>
          <w:szCs w:val="21"/>
          <w:highlight w:val="none"/>
          <w:lang w:val="en-US" w:eastAsia="zh-CN" w:bidi="ar-SA"/>
        </w:rPr>
        <w:t>关于销售</w:t>
      </w:r>
      <w:r>
        <w:rPr>
          <w:rFonts w:hint="eastAsia" w:cs="仿宋_GB2312" w:asciiTheme="minorEastAsia" w:hAnsiTheme="minorEastAsia" w:eastAsiaTheme="minorEastAsia"/>
          <w:bCs/>
          <w:szCs w:val="21"/>
          <w:highlight w:val="none"/>
          <w:lang w:val="en-US" w:eastAsia="zh-CN"/>
        </w:rPr>
        <w:t>链路负载设备产品</w:t>
      </w:r>
      <w:r>
        <w:rPr>
          <w:rFonts w:hint="eastAsia" w:ascii="宋体" w:hAnsi="宋体" w:eastAsia="宋体" w:cs="宋体"/>
          <w:b w:val="0"/>
          <w:kern w:val="2"/>
          <w:sz w:val="21"/>
          <w:szCs w:val="21"/>
          <w:highlight w:val="none"/>
          <w:lang w:val="en-US" w:eastAsia="zh-CN" w:bidi="ar-SA"/>
        </w:rPr>
        <w:t>的有效授权证明。</w:t>
      </w:r>
      <w:bookmarkStart w:id="0" w:name="_GoBack"/>
      <w:bookmarkEnd w:id="0"/>
    </w:p>
    <w:p>
      <w:pPr>
        <w:tabs>
          <w:tab w:val="left" w:pos="0"/>
        </w:tabs>
        <w:spacing w:line="360" w:lineRule="auto"/>
        <w:ind w:firstLine="420" w:firstLineChars="200"/>
        <w:rPr>
          <w:rFonts w:ascii="宋体" w:hAnsi="宋体"/>
          <w:szCs w:val="21"/>
          <w:highlight w:val="none"/>
        </w:rPr>
      </w:pPr>
    </w:p>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01739"/>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8D9D5"/>
    <w:multiLevelType w:val="singleLevel"/>
    <w:tmpl w:val="61D8D9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ZjYxM2FmMjVmOTMxYTlmZDdkZThjNTllNGUwOWIifQ=="/>
  </w:docVars>
  <w:rsids>
    <w:rsidRoot w:val="009F2FB4"/>
    <w:rsid w:val="0002211E"/>
    <w:rsid w:val="00041D24"/>
    <w:rsid w:val="000D3882"/>
    <w:rsid w:val="000E6541"/>
    <w:rsid w:val="000F0DFD"/>
    <w:rsid w:val="000F33B3"/>
    <w:rsid w:val="000F4946"/>
    <w:rsid w:val="00115306"/>
    <w:rsid w:val="00115BC4"/>
    <w:rsid w:val="001C2DAC"/>
    <w:rsid w:val="001D4644"/>
    <w:rsid w:val="001E7CB5"/>
    <w:rsid w:val="0026628E"/>
    <w:rsid w:val="002B7344"/>
    <w:rsid w:val="002C13F5"/>
    <w:rsid w:val="002C2350"/>
    <w:rsid w:val="002E69AE"/>
    <w:rsid w:val="003000DE"/>
    <w:rsid w:val="003161EC"/>
    <w:rsid w:val="003425BD"/>
    <w:rsid w:val="00372F3B"/>
    <w:rsid w:val="003900F9"/>
    <w:rsid w:val="004B3E2C"/>
    <w:rsid w:val="0052378B"/>
    <w:rsid w:val="00547AA6"/>
    <w:rsid w:val="005539C2"/>
    <w:rsid w:val="0058010C"/>
    <w:rsid w:val="005E0F22"/>
    <w:rsid w:val="005F2DE0"/>
    <w:rsid w:val="00657D6E"/>
    <w:rsid w:val="0067085A"/>
    <w:rsid w:val="0067708D"/>
    <w:rsid w:val="00683ADB"/>
    <w:rsid w:val="00684671"/>
    <w:rsid w:val="00697DF5"/>
    <w:rsid w:val="006B282D"/>
    <w:rsid w:val="006E028B"/>
    <w:rsid w:val="00730CFC"/>
    <w:rsid w:val="00755FE0"/>
    <w:rsid w:val="007C1E65"/>
    <w:rsid w:val="007C4B35"/>
    <w:rsid w:val="007D1572"/>
    <w:rsid w:val="0080423D"/>
    <w:rsid w:val="00812356"/>
    <w:rsid w:val="00833E0B"/>
    <w:rsid w:val="00834783"/>
    <w:rsid w:val="00876154"/>
    <w:rsid w:val="008E739F"/>
    <w:rsid w:val="008F0DA8"/>
    <w:rsid w:val="008F5664"/>
    <w:rsid w:val="00906BCA"/>
    <w:rsid w:val="00932867"/>
    <w:rsid w:val="00932D28"/>
    <w:rsid w:val="00955B58"/>
    <w:rsid w:val="0096229B"/>
    <w:rsid w:val="00967333"/>
    <w:rsid w:val="00997589"/>
    <w:rsid w:val="009C139A"/>
    <w:rsid w:val="009C6873"/>
    <w:rsid w:val="009F2FB4"/>
    <w:rsid w:val="009F5DB2"/>
    <w:rsid w:val="00AC726D"/>
    <w:rsid w:val="00AF0288"/>
    <w:rsid w:val="00AF5E80"/>
    <w:rsid w:val="00AF7968"/>
    <w:rsid w:val="00B71931"/>
    <w:rsid w:val="00BB0D09"/>
    <w:rsid w:val="00BB432E"/>
    <w:rsid w:val="00BD79AF"/>
    <w:rsid w:val="00C046DA"/>
    <w:rsid w:val="00C15B9E"/>
    <w:rsid w:val="00C479E2"/>
    <w:rsid w:val="00C707AE"/>
    <w:rsid w:val="00CD38B9"/>
    <w:rsid w:val="00CD62A6"/>
    <w:rsid w:val="00CE7C21"/>
    <w:rsid w:val="00D809E5"/>
    <w:rsid w:val="00DA0CD7"/>
    <w:rsid w:val="00DD11BD"/>
    <w:rsid w:val="00E21A27"/>
    <w:rsid w:val="00E751AB"/>
    <w:rsid w:val="00EE08E3"/>
    <w:rsid w:val="00FC204D"/>
    <w:rsid w:val="00FC3DC7"/>
    <w:rsid w:val="00FE62F0"/>
    <w:rsid w:val="00FE706B"/>
    <w:rsid w:val="00FF59D4"/>
    <w:rsid w:val="01F6766F"/>
    <w:rsid w:val="021B1648"/>
    <w:rsid w:val="05EF6F22"/>
    <w:rsid w:val="065A661B"/>
    <w:rsid w:val="094779DD"/>
    <w:rsid w:val="09BB78D2"/>
    <w:rsid w:val="0B056461"/>
    <w:rsid w:val="0C43782D"/>
    <w:rsid w:val="0C6C3520"/>
    <w:rsid w:val="0D6B1137"/>
    <w:rsid w:val="0DA46FDA"/>
    <w:rsid w:val="0F075DB7"/>
    <w:rsid w:val="11681A77"/>
    <w:rsid w:val="14C50C1C"/>
    <w:rsid w:val="15053565"/>
    <w:rsid w:val="152378BB"/>
    <w:rsid w:val="16381E05"/>
    <w:rsid w:val="170B3BD9"/>
    <w:rsid w:val="1BD85D3B"/>
    <w:rsid w:val="1F2A045F"/>
    <w:rsid w:val="24B11032"/>
    <w:rsid w:val="25F771BD"/>
    <w:rsid w:val="26270D81"/>
    <w:rsid w:val="27842A64"/>
    <w:rsid w:val="27D3756A"/>
    <w:rsid w:val="283A00E5"/>
    <w:rsid w:val="294B5624"/>
    <w:rsid w:val="2A115FDA"/>
    <w:rsid w:val="2AA64209"/>
    <w:rsid w:val="2D9C21DD"/>
    <w:rsid w:val="32717FA3"/>
    <w:rsid w:val="32831D93"/>
    <w:rsid w:val="35592615"/>
    <w:rsid w:val="37013EDE"/>
    <w:rsid w:val="376C7AC4"/>
    <w:rsid w:val="39C06A80"/>
    <w:rsid w:val="3A917B8C"/>
    <w:rsid w:val="3BB52984"/>
    <w:rsid w:val="3D5A7824"/>
    <w:rsid w:val="3E3B38CB"/>
    <w:rsid w:val="3E8C0578"/>
    <w:rsid w:val="3FF04866"/>
    <w:rsid w:val="3FF2048E"/>
    <w:rsid w:val="41A31322"/>
    <w:rsid w:val="452B449A"/>
    <w:rsid w:val="46431334"/>
    <w:rsid w:val="47242D51"/>
    <w:rsid w:val="478B094B"/>
    <w:rsid w:val="480337E2"/>
    <w:rsid w:val="496574B5"/>
    <w:rsid w:val="4A79723B"/>
    <w:rsid w:val="4C2D2789"/>
    <w:rsid w:val="4E526C2D"/>
    <w:rsid w:val="4EDA586A"/>
    <w:rsid w:val="50D313A9"/>
    <w:rsid w:val="51C95D72"/>
    <w:rsid w:val="52097D65"/>
    <w:rsid w:val="54427B22"/>
    <w:rsid w:val="54E44A87"/>
    <w:rsid w:val="562A003B"/>
    <w:rsid w:val="56582426"/>
    <w:rsid w:val="567163DB"/>
    <w:rsid w:val="58234BBB"/>
    <w:rsid w:val="58F55680"/>
    <w:rsid w:val="595953A4"/>
    <w:rsid w:val="5D1E4863"/>
    <w:rsid w:val="5F9E226B"/>
    <w:rsid w:val="62A712E9"/>
    <w:rsid w:val="64E84309"/>
    <w:rsid w:val="66123DE5"/>
    <w:rsid w:val="663A786E"/>
    <w:rsid w:val="669A46E2"/>
    <w:rsid w:val="69270594"/>
    <w:rsid w:val="6B764C86"/>
    <w:rsid w:val="6BFB13A5"/>
    <w:rsid w:val="6D847C22"/>
    <w:rsid w:val="6EBA17FC"/>
    <w:rsid w:val="6EC766B7"/>
    <w:rsid w:val="6F895139"/>
    <w:rsid w:val="71CA4040"/>
    <w:rsid w:val="734D2B98"/>
    <w:rsid w:val="74A16D75"/>
    <w:rsid w:val="7611274E"/>
    <w:rsid w:val="77933B3B"/>
    <w:rsid w:val="78856D46"/>
    <w:rsid w:val="78BC37FE"/>
    <w:rsid w:val="7C8F51E8"/>
    <w:rsid w:val="7D550B01"/>
    <w:rsid w:val="7E260949"/>
    <w:rsid w:val="7E5E0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cstheme="majorBidi"/>
      <w:sz w:val="24"/>
    </w:rPr>
  </w:style>
  <w:style w:type="paragraph" w:styleId="5">
    <w:name w:val="Normal Indent"/>
    <w:basedOn w:val="1"/>
    <w:link w:val="30"/>
    <w:unhideWhenUsed/>
    <w:qFormat/>
    <w:uiPriority w:val="0"/>
    <w:pPr>
      <w:ind w:firstLine="420" w:firstLineChars="200"/>
    </w:pPr>
    <w:rPr>
      <w:rFonts w:ascii="Calibri" w:hAnsi="Calibri"/>
    </w:rPr>
  </w:style>
  <w:style w:type="paragraph" w:styleId="6">
    <w:name w:val="Document Map"/>
    <w:basedOn w:val="1"/>
    <w:link w:val="32"/>
    <w:semiHidden/>
    <w:unhideWhenUsed/>
    <w:qFormat/>
    <w:uiPriority w:val="99"/>
    <w:rPr>
      <w:rFonts w:ascii="宋体"/>
      <w:sz w:val="18"/>
      <w:szCs w:val="18"/>
    </w:rPr>
  </w:style>
  <w:style w:type="paragraph" w:styleId="7">
    <w:name w:val="annotation text"/>
    <w:basedOn w:val="1"/>
    <w:link w:val="27"/>
    <w:semiHidden/>
    <w:unhideWhenUsed/>
    <w:qFormat/>
    <w:uiPriority w:val="99"/>
    <w:pPr>
      <w:jc w:val="left"/>
    </w:pPr>
  </w:style>
  <w:style w:type="paragraph" w:styleId="8">
    <w:name w:val="Body Text"/>
    <w:basedOn w:val="1"/>
    <w:next w:val="9"/>
    <w:link w:val="26"/>
    <w:qFormat/>
    <w:uiPriority w:val="0"/>
    <w:pPr>
      <w:spacing w:after="120"/>
    </w:pPr>
  </w:style>
  <w:style w:type="paragraph" w:customStyle="1" w:styleId="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0">
    <w:name w:val="Balloon Text"/>
    <w:basedOn w:val="1"/>
    <w:link w:val="29"/>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7"/>
    <w:next w:val="7"/>
    <w:link w:val="28"/>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unhideWhenUsed/>
    <w:qFormat/>
    <w:uiPriority w:val="99"/>
    <w:rPr>
      <w:color w:val="0000FF"/>
      <w:u w:val="single"/>
    </w:rPr>
  </w:style>
  <w:style w:type="character" w:styleId="19">
    <w:name w:val="annotation reference"/>
    <w:unhideWhenUsed/>
    <w:qFormat/>
    <w:uiPriority w:val="99"/>
    <w:rPr>
      <w:rFonts w:cs="Times New Roman"/>
      <w:sz w:val="21"/>
      <w:szCs w:val="21"/>
    </w:rPr>
  </w:style>
  <w:style w:type="paragraph" w:customStyle="1" w:styleId="20">
    <w:name w:val="Table Paragraph"/>
    <w:basedOn w:val="1"/>
    <w:qFormat/>
    <w:uiPriority w:val="1"/>
    <w:pPr>
      <w:autoSpaceDE w:val="0"/>
      <w:autoSpaceDN w:val="0"/>
      <w:adjustRightInd w:val="0"/>
      <w:jc w:val="left"/>
    </w:pPr>
    <w:rPr>
      <w:rFonts w:ascii="宋体" w:cs="宋体"/>
      <w:kern w:val="0"/>
      <w:sz w:val="24"/>
    </w:rPr>
  </w:style>
  <w:style w:type="paragraph" w:customStyle="1" w:styleId="21">
    <w:name w:val="样式4"/>
    <w:basedOn w:val="1"/>
    <w:qFormat/>
    <w:uiPriority w:val="0"/>
    <w:pPr>
      <w:tabs>
        <w:tab w:val="left" w:pos="2328"/>
      </w:tabs>
      <w:ind w:left="2328" w:hanging="708"/>
    </w:pPr>
  </w:style>
  <w:style w:type="character" w:customStyle="1" w:styleId="22">
    <w:name w:val="页眉 Char"/>
    <w:link w:val="12"/>
    <w:qFormat/>
    <w:uiPriority w:val="99"/>
    <w:rPr>
      <w:rFonts w:ascii="Times New Roman" w:hAnsi="Times New Roman" w:eastAsia="宋体" w:cs="Times New Roman"/>
      <w:sz w:val="18"/>
      <w:szCs w:val="18"/>
    </w:rPr>
  </w:style>
  <w:style w:type="character" w:customStyle="1" w:styleId="23">
    <w:name w:val="页脚 Char"/>
    <w:link w:val="11"/>
    <w:qFormat/>
    <w:uiPriority w:val="99"/>
    <w:rPr>
      <w:rFonts w:ascii="Times New Roman" w:hAnsi="Times New Roman" w:eastAsia="宋体" w:cs="Times New Roman"/>
      <w:sz w:val="18"/>
      <w:szCs w:val="18"/>
    </w:rPr>
  </w:style>
  <w:style w:type="character" w:customStyle="1" w:styleId="24">
    <w:name w:val="font11"/>
    <w:qFormat/>
    <w:uiPriority w:val="0"/>
    <w:rPr>
      <w:rFonts w:hint="default" w:ascii="Times New Roman" w:hAnsi="Times New Roman" w:cs="Times New Roman"/>
      <w:color w:val="000000"/>
      <w:sz w:val="24"/>
      <w:szCs w:val="24"/>
      <w:u w:val="none"/>
    </w:rPr>
  </w:style>
  <w:style w:type="character" w:customStyle="1" w:styleId="25">
    <w:name w:val="font21"/>
    <w:basedOn w:val="17"/>
    <w:qFormat/>
    <w:uiPriority w:val="0"/>
    <w:rPr>
      <w:rFonts w:ascii="Arial" w:hAnsi="Arial" w:cs="Arial"/>
      <w:color w:val="000000"/>
      <w:sz w:val="21"/>
      <w:szCs w:val="21"/>
      <w:u w:val="none"/>
    </w:rPr>
  </w:style>
  <w:style w:type="character" w:customStyle="1" w:styleId="26">
    <w:name w:val="正文文本 Char"/>
    <w:basedOn w:val="17"/>
    <w:link w:val="8"/>
    <w:qFormat/>
    <w:uiPriority w:val="0"/>
    <w:rPr>
      <w:rFonts w:ascii="Times New Roman" w:hAnsi="Times New Roman" w:eastAsia="宋体"/>
      <w:kern w:val="2"/>
      <w:sz w:val="21"/>
      <w:szCs w:val="24"/>
    </w:rPr>
  </w:style>
  <w:style w:type="character" w:customStyle="1" w:styleId="27">
    <w:name w:val="批注文字 Char"/>
    <w:basedOn w:val="17"/>
    <w:link w:val="7"/>
    <w:semiHidden/>
    <w:qFormat/>
    <w:uiPriority w:val="99"/>
    <w:rPr>
      <w:rFonts w:ascii="Times New Roman" w:hAnsi="Times New Roman" w:eastAsia="宋体"/>
      <w:kern w:val="2"/>
      <w:sz w:val="21"/>
      <w:szCs w:val="24"/>
    </w:rPr>
  </w:style>
  <w:style w:type="character" w:customStyle="1" w:styleId="28">
    <w:name w:val="批注主题 Char"/>
    <w:basedOn w:val="27"/>
    <w:link w:val="14"/>
    <w:semiHidden/>
    <w:qFormat/>
    <w:uiPriority w:val="99"/>
    <w:rPr>
      <w:rFonts w:ascii="Times New Roman" w:hAnsi="Times New Roman" w:eastAsia="宋体"/>
      <w:b/>
      <w:bCs/>
      <w:kern w:val="2"/>
      <w:sz w:val="21"/>
      <w:szCs w:val="24"/>
    </w:rPr>
  </w:style>
  <w:style w:type="character" w:customStyle="1" w:styleId="29">
    <w:name w:val="批注框文本 Char"/>
    <w:basedOn w:val="17"/>
    <w:link w:val="10"/>
    <w:semiHidden/>
    <w:qFormat/>
    <w:uiPriority w:val="99"/>
    <w:rPr>
      <w:rFonts w:ascii="Times New Roman" w:hAnsi="Times New Roman" w:eastAsia="宋体"/>
      <w:kern w:val="2"/>
      <w:sz w:val="18"/>
      <w:szCs w:val="18"/>
    </w:rPr>
  </w:style>
  <w:style w:type="character" w:customStyle="1" w:styleId="30">
    <w:name w:val="正文缩进 Char"/>
    <w:link w:val="5"/>
    <w:qFormat/>
    <w:uiPriority w:val="0"/>
    <w:rPr>
      <w:rFonts w:ascii="Calibri" w:hAnsi="Calibri" w:eastAsia="宋体"/>
      <w:kern w:val="2"/>
      <w:sz w:val="21"/>
      <w:szCs w:val="24"/>
    </w:rPr>
  </w:style>
  <w:style w:type="paragraph" w:customStyle="1" w:styleId="31">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character" w:customStyle="1" w:styleId="32">
    <w:name w:val="文档结构图 Char"/>
    <w:basedOn w:val="17"/>
    <w:link w:val="6"/>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996</Words>
  <Characters>5680</Characters>
  <Lines>47</Lines>
  <Paragraphs>13</Paragraphs>
  <TotalTime>0</TotalTime>
  <ScaleCrop>false</ScaleCrop>
  <LinksUpToDate>false</LinksUpToDate>
  <CharactersWithSpaces>6663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2023-09-05T08:15:00Z</dcterms:created>
  <dc:creator>User</dc:creator>
  <cp:lastModifiedBy>邓晓敏</cp:lastModifiedBy>
  <cp:lastPrinted>2023-05-09T06:57:00Z</cp:lastPrinted>
  <dcterms:modified xsi:type="dcterms:W3CDTF">2026-05-12T07:52:40Z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990334B1DCEE4F3F9A3E9153A213864F</vt:lpwstr>
  </property>
</Properties>
</file>