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rPr>
          <w:rFonts w:hint="eastAsia" w:ascii="仿宋_GB2312" w:hAnsi="仿宋_GB2312" w:eastAsia="仿宋_GB2312" w:cs="仿宋_GB2312"/>
          <w:sz w:val="24"/>
          <w:szCs w:val="24"/>
          <w:lang w:val="en-US" w:eastAsia="zh-CN"/>
        </w:rPr>
      </w:pPr>
    </w:p>
    <w:p>
      <w:pPr>
        <w:spacing w:line="360" w:lineRule="auto"/>
        <w:jc w:val="center"/>
        <w:rPr>
          <w:rFonts w:ascii="宋体" w:hAnsi="宋体"/>
          <w:b/>
          <w:sz w:val="32"/>
          <w:szCs w:val="32"/>
          <w:highlight w:val="none"/>
        </w:rPr>
      </w:pPr>
      <w:r>
        <w:rPr>
          <w:rFonts w:hint="eastAsia" w:ascii="仿宋_GB2312" w:hAnsi="仿宋_GB2312" w:eastAsia="仿宋_GB2312" w:cs="仿宋_GB2312"/>
          <w:sz w:val="24"/>
          <w:szCs w:val="24"/>
          <w:lang w:val="en-US" w:eastAsia="zh-CN"/>
        </w:rPr>
        <w:t xml:space="preserve"> </w:t>
      </w:r>
      <w:r>
        <w:rPr>
          <w:rFonts w:hint="eastAsia" w:ascii="宋体" w:hAnsi="宋体"/>
          <w:b/>
          <w:sz w:val="32"/>
          <w:szCs w:val="32"/>
          <w:highlight w:val="none"/>
        </w:rPr>
        <w:t>东莞农村商业银行</w:t>
      </w:r>
      <w:r>
        <w:rPr>
          <w:rFonts w:hint="eastAsia" w:ascii="宋体" w:hAnsi="宋体"/>
          <w:b/>
          <w:sz w:val="32"/>
          <w:szCs w:val="32"/>
          <w:highlight w:val="none"/>
          <w:lang w:val="en-US" w:eastAsia="zh-CN"/>
        </w:rPr>
        <w:t>智慧后勤系统</w:t>
      </w:r>
      <w:r>
        <w:rPr>
          <w:rFonts w:hint="eastAsia" w:ascii="宋体" w:hAnsi="宋体"/>
          <w:b/>
          <w:sz w:val="32"/>
          <w:szCs w:val="32"/>
          <w:highlight w:val="none"/>
        </w:rPr>
        <w:t>项目市场调研需求</w:t>
      </w:r>
    </w:p>
    <w:p>
      <w:pPr>
        <w:spacing w:line="360" w:lineRule="auto"/>
        <w:rPr>
          <w:rFonts w:ascii="宋体" w:hAnsi="宋体"/>
          <w:b/>
          <w:szCs w:val="21"/>
          <w:highlight w:val="none"/>
        </w:rPr>
      </w:pPr>
    </w:p>
    <w:p>
      <w:pPr>
        <w:spacing w:line="360" w:lineRule="auto"/>
        <w:outlineLvl w:val="0"/>
        <w:rPr>
          <w:rFonts w:ascii="宋体" w:hAnsi="宋体"/>
          <w:b/>
          <w:szCs w:val="21"/>
          <w:highlight w:val="none"/>
        </w:rPr>
      </w:pPr>
      <w:r>
        <w:rPr>
          <w:rFonts w:hint="eastAsia" w:ascii="宋体" w:hAnsi="宋体"/>
          <w:b/>
          <w:szCs w:val="21"/>
          <w:highlight w:val="none"/>
        </w:rPr>
        <w:t>一、项目信息</w:t>
      </w:r>
    </w:p>
    <w:p>
      <w:pPr>
        <w:widowControl/>
        <w:spacing w:line="360" w:lineRule="auto"/>
        <w:ind w:firstLine="420" w:firstLineChars="200"/>
        <w:rPr>
          <w:rFonts w:cs="仿宋_GB2312" w:asciiTheme="minorEastAsia" w:hAnsiTheme="minorEastAsia" w:eastAsiaTheme="minorEastAsia"/>
          <w:bCs/>
          <w:szCs w:val="21"/>
          <w:highlight w:val="none"/>
        </w:rPr>
      </w:pPr>
      <w:r>
        <w:rPr>
          <w:rFonts w:cs="仿宋_GB2312" w:asciiTheme="minorEastAsia" w:hAnsiTheme="minorEastAsia" w:eastAsiaTheme="minorEastAsia"/>
          <w:bCs/>
          <w:szCs w:val="21"/>
          <w:highlight w:val="none"/>
        </w:rPr>
        <w:t>项目名称：</w:t>
      </w:r>
      <w:r>
        <w:rPr>
          <w:rFonts w:hint="eastAsia" w:cs="仿宋_GB2312" w:asciiTheme="minorEastAsia" w:hAnsiTheme="minorEastAsia"/>
          <w:bCs/>
          <w:szCs w:val="21"/>
          <w:highlight w:val="none"/>
          <w:lang w:val="en-US" w:eastAsia="zh-CN"/>
        </w:rPr>
        <w:t>智慧后勤系统项目</w:t>
      </w:r>
    </w:p>
    <w:p>
      <w:pPr>
        <w:widowControl/>
        <w:spacing w:line="360" w:lineRule="auto"/>
        <w:ind w:firstLine="420" w:firstLineChars="200"/>
        <w:rPr>
          <w:rFonts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采购人</w:t>
      </w:r>
      <w:r>
        <w:rPr>
          <w:rFonts w:hint="eastAsia" w:cs="仿宋_GB2312" w:asciiTheme="minorEastAsia" w:hAnsiTheme="minorEastAsia" w:eastAsiaTheme="minorEastAsia"/>
          <w:bCs/>
          <w:szCs w:val="21"/>
          <w:highlight w:val="none"/>
        </w:rPr>
        <w:t>：东莞农村商业银行股份有限公司</w:t>
      </w:r>
    </w:p>
    <w:p>
      <w:pPr>
        <w:widowControl/>
        <w:spacing w:line="360" w:lineRule="auto"/>
        <w:ind w:firstLine="420" w:firstLineChars="200"/>
        <w:rPr>
          <w:rFonts w:hint="eastAsia"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项目概况</w:t>
      </w:r>
      <w:r>
        <w:rPr>
          <w:rFonts w:hint="eastAsia" w:cs="仿宋_GB2312" w:asciiTheme="minorEastAsia" w:hAnsiTheme="minorEastAsia" w:eastAsiaTheme="minorEastAsia"/>
          <w:bCs/>
          <w:szCs w:val="21"/>
          <w:highlight w:val="none"/>
        </w:rPr>
        <w:t>：</w:t>
      </w:r>
      <w:r>
        <w:rPr>
          <w:rFonts w:hint="eastAsia" w:cs="仿宋_GB2312" w:asciiTheme="minorEastAsia" w:hAnsiTheme="minorEastAsia" w:eastAsiaTheme="minorEastAsia"/>
          <w:bCs/>
          <w:szCs w:val="21"/>
          <w:highlight w:val="none"/>
          <w:lang w:val="en-US" w:eastAsia="zh-CN"/>
        </w:rPr>
        <w:t>东莞农村商业银行</w:t>
      </w:r>
      <w:r>
        <w:rPr>
          <w:rFonts w:hint="eastAsia" w:cs="仿宋_GB2312" w:asciiTheme="minorEastAsia" w:hAnsiTheme="minorEastAsia" w:eastAsiaTheme="minorEastAsia"/>
          <w:bCs/>
          <w:szCs w:val="21"/>
          <w:highlight w:val="none"/>
        </w:rPr>
        <w:t>旨在通过数字化、智能化手段，实现银行食堂食材与后勤日用品从基础数据管理、询价报价、采购下单、收货验收、库存管控到统计分析的全流程线上化、规范化管理，全面提升后勤采购效率、成本管控能力与供应商管理水平，保障食堂运营安全、透明、高效。</w:t>
      </w:r>
    </w:p>
    <w:p>
      <w:pPr>
        <w:widowControl/>
        <w:spacing w:line="360" w:lineRule="auto"/>
        <w:ind w:firstLine="420" w:firstLineChars="200"/>
        <w:rPr>
          <w:rFonts w:hint="eastAsia" w:cs="仿宋_GB2312" w:asciiTheme="minorEastAsia" w:hAnsiTheme="minorEastAsia" w:eastAsiaTheme="minorEastAsia"/>
          <w:bCs/>
          <w:szCs w:val="21"/>
          <w:highlight w:val="none"/>
          <w:lang w:eastAsia="zh-CN"/>
        </w:rPr>
      </w:pPr>
      <w:r>
        <w:rPr>
          <w:rFonts w:hint="eastAsia" w:cs="仿宋_GB2312" w:asciiTheme="minorEastAsia" w:hAnsiTheme="minorEastAsia" w:eastAsiaTheme="minorEastAsia"/>
          <w:bCs/>
          <w:szCs w:val="21"/>
          <w:highlight w:val="none"/>
        </w:rPr>
        <w:t>注意：本次公告属于项目市场调研需求，上述预计采购时间</w:t>
      </w:r>
      <w:r>
        <w:rPr>
          <w:rFonts w:hint="eastAsia" w:cs="仿宋_GB2312" w:asciiTheme="minorEastAsia" w:hAnsiTheme="minorEastAsia" w:eastAsiaTheme="minorEastAsia"/>
          <w:bCs/>
          <w:szCs w:val="21"/>
          <w:highlight w:val="none"/>
          <w:lang w:val="en-US" w:eastAsia="zh-CN"/>
        </w:rPr>
        <w:t>和项目工期要求</w:t>
      </w:r>
      <w:r>
        <w:rPr>
          <w:rFonts w:hint="eastAsia" w:cs="仿宋_GB2312" w:asciiTheme="minorEastAsia" w:hAnsiTheme="minorEastAsia" w:eastAsiaTheme="minorEastAsia"/>
          <w:bCs/>
          <w:szCs w:val="21"/>
          <w:highlight w:val="none"/>
        </w:rPr>
        <w:t>只是公告方根据自身计划所作估计，并不代表后续任何实质性承诺；另外，本次项目需求调研，属于公告方对外寻找相关符合要求</w:t>
      </w:r>
      <w:r>
        <w:rPr>
          <w:rFonts w:hint="eastAsia" w:ascii="宋体" w:hAnsi="宋体" w:eastAsia="宋体" w:cs="宋体"/>
          <w:b w:val="0"/>
          <w:kern w:val="2"/>
          <w:sz w:val="21"/>
          <w:szCs w:val="21"/>
          <w:highlight w:val="none"/>
          <w:lang w:val="en-US" w:eastAsia="zh-CN" w:bidi="ar-SA"/>
        </w:rPr>
        <w:t>的厂商进行交流的意向，并不代表公告方对报名厂商的任何承诺，后续公告方将根据自身计划进行项目采购。报名厂商或后续参与交流的厂商并不</w:t>
      </w:r>
      <w:r>
        <w:rPr>
          <w:rFonts w:hint="eastAsia" w:cs="仿宋_GB2312" w:asciiTheme="minorEastAsia" w:hAnsiTheme="minorEastAsia" w:eastAsiaTheme="minorEastAsia"/>
          <w:bCs/>
          <w:szCs w:val="21"/>
          <w:highlight w:val="none"/>
        </w:rPr>
        <w:t>代表已获得公告方的认可或获得任何参与后续项目投标、合同方面的承诺。本次项目调研公告方将根据报</w:t>
      </w:r>
      <w:r>
        <w:rPr>
          <w:rFonts w:hint="eastAsia" w:ascii="宋体" w:hAnsi="宋体" w:eastAsia="宋体" w:cs="宋体"/>
          <w:b w:val="0"/>
          <w:kern w:val="2"/>
          <w:sz w:val="21"/>
          <w:szCs w:val="21"/>
          <w:highlight w:val="none"/>
          <w:lang w:val="en-US" w:eastAsia="zh-CN" w:bidi="ar-SA"/>
        </w:rPr>
        <w:t>名厂商提交的资料情况，择优选择厂商进行现</w:t>
      </w:r>
      <w:r>
        <w:rPr>
          <w:rFonts w:hint="eastAsia" w:cs="仿宋_GB2312" w:asciiTheme="minorEastAsia" w:hAnsiTheme="minorEastAsia" w:eastAsiaTheme="minorEastAsia"/>
          <w:bCs/>
          <w:szCs w:val="21"/>
          <w:highlight w:val="none"/>
        </w:rPr>
        <w:t>场或线上交流。</w:t>
      </w:r>
    </w:p>
    <w:p>
      <w:pPr>
        <w:pStyle w:val="2"/>
        <w:rPr>
          <w:highlight w:val="none"/>
        </w:rPr>
      </w:pPr>
    </w:p>
    <w:p>
      <w:pPr>
        <w:spacing w:line="360" w:lineRule="auto"/>
        <w:outlineLvl w:val="0"/>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spacing w:line="360" w:lineRule="auto"/>
        <w:ind w:firstLine="420" w:firstLineChars="200"/>
        <w:rPr>
          <w:rFonts w:hint="eastAsia" w:ascii="宋体" w:hAnsi="宋体" w:cs="宋体"/>
          <w:szCs w:val="21"/>
          <w:highlight w:val="none"/>
        </w:rPr>
      </w:pPr>
      <w:r>
        <w:rPr>
          <w:rFonts w:hint="eastAsia" w:cs="仿宋_GB2312" w:asciiTheme="minorEastAsia" w:hAnsiTheme="minorEastAsia" w:eastAsiaTheme="minorEastAsia"/>
          <w:bCs/>
          <w:szCs w:val="21"/>
          <w:highlight w:val="none"/>
          <w:lang w:val="en-US" w:eastAsia="zh-CN"/>
        </w:rPr>
        <w:t>东莞农村商业银行是一家具有独立法人资格的总行级地方性股份制商业银行，随着业务规模持续扩大、后勤服务网点不断增多，传统</w:t>
      </w:r>
      <w:r>
        <w:rPr>
          <w:rFonts w:hint="eastAsia" w:cs="仿宋_GB2312" w:asciiTheme="minorEastAsia" w:hAnsiTheme="minorEastAsia"/>
          <w:bCs/>
          <w:szCs w:val="21"/>
          <w:highlight w:val="none"/>
          <w:lang w:val="en-US" w:eastAsia="zh-CN"/>
        </w:rPr>
        <w:t>的</w:t>
      </w:r>
      <w:r>
        <w:rPr>
          <w:rFonts w:hint="eastAsia" w:cs="仿宋_GB2312" w:asciiTheme="minorEastAsia" w:hAnsiTheme="minorEastAsia" w:eastAsiaTheme="minorEastAsia"/>
          <w:bCs/>
          <w:szCs w:val="21"/>
          <w:highlight w:val="none"/>
          <w:lang w:val="en-US" w:eastAsia="zh-CN"/>
        </w:rPr>
        <w:t>食堂食材与后勤日用品线下询价、人工采购、手工记账、分散管理的模式已难以满足精细化运营需求</w:t>
      </w:r>
      <w:r>
        <w:rPr>
          <w:rFonts w:hint="eastAsia" w:cs="仿宋_GB2312" w:asciiTheme="minorEastAsia" w:hAnsiTheme="minorEastAsia"/>
          <w:bCs/>
          <w:szCs w:val="21"/>
          <w:highlight w:val="none"/>
          <w:lang w:val="en-US" w:eastAsia="zh-CN"/>
        </w:rPr>
        <w:t>，且</w:t>
      </w:r>
      <w:r>
        <w:rPr>
          <w:rFonts w:hint="eastAsia" w:cs="仿宋_GB2312" w:asciiTheme="minorEastAsia" w:hAnsiTheme="minorEastAsia" w:eastAsiaTheme="minorEastAsia"/>
          <w:bCs/>
          <w:szCs w:val="21"/>
          <w:highlight w:val="none"/>
          <w:lang w:val="en-US" w:eastAsia="zh-CN"/>
        </w:rPr>
        <w:t>当前采购流程不透明、价格监控缺失、库存管理低效、数据统计滞后、供应商管理不规范等问题突出，既增加运营成本，也存在管理风险与合规隐患。</w:t>
      </w:r>
      <w:r>
        <w:rPr>
          <w:rFonts w:hint="eastAsia" w:cs="仿宋_GB2312" w:asciiTheme="minorEastAsia" w:hAnsiTheme="minorEastAsia"/>
          <w:bCs/>
          <w:szCs w:val="21"/>
          <w:highlight w:val="none"/>
          <w:lang w:val="en-US" w:eastAsia="zh-CN"/>
        </w:rPr>
        <w:t>为满足</w:t>
      </w:r>
      <w:r>
        <w:rPr>
          <w:rFonts w:hint="eastAsia" w:cs="仿宋_GB2312" w:asciiTheme="minorEastAsia" w:hAnsiTheme="minorEastAsia" w:eastAsiaTheme="minorEastAsia"/>
          <w:bCs/>
          <w:szCs w:val="21"/>
          <w:highlight w:val="none"/>
          <w:lang w:val="en-US" w:eastAsia="zh-CN"/>
        </w:rPr>
        <w:t>银行后勤数字化转型要求，实现采购规范化、成本可控化、管理透明化、数据可视化，亟需建设一套覆盖全流程的智慧后勤管理系统，统一管理供应商、食材、日用品、采购、库存与数据分析，提升后勤保障能力与风险防控水平，为全行高质量发展提供高效、安全、智能的后勤支撑</w:t>
      </w:r>
      <w:r>
        <w:rPr>
          <w:rFonts w:hint="eastAsia" w:cs="仿宋_GB2312" w:asciiTheme="minorEastAsia" w:hAnsiTheme="minorEastAsia"/>
          <w:bCs/>
          <w:szCs w:val="21"/>
          <w:highlight w:val="none"/>
          <w:lang w:val="en-US" w:eastAsia="zh-CN"/>
        </w:rPr>
        <w:t>。</w:t>
      </w:r>
      <w:r>
        <w:rPr>
          <w:rFonts w:hint="eastAsia" w:ascii="宋体" w:hAnsi="宋体" w:cs="宋体"/>
          <w:szCs w:val="21"/>
          <w:highlight w:val="none"/>
        </w:rPr>
        <w:t>现开展项目</w:t>
      </w:r>
      <w:r>
        <w:rPr>
          <w:rFonts w:hint="eastAsia" w:ascii="宋体" w:hAnsi="宋体"/>
          <w:szCs w:val="21"/>
          <w:highlight w:val="none"/>
        </w:rPr>
        <w:t>市场调研，欢迎愿意参加本项目的潜在</w:t>
      </w:r>
      <w:r>
        <w:rPr>
          <w:rFonts w:hint="eastAsia" w:ascii="宋体" w:hAnsi="宋体" w:eastAsia="宋体" w:cs="宋体"/>
          <w:b w:val="0"/>
          <w:kern w:val="2"/>
          <w:sz w:val="21"/>
          <w:szCs w:val="21"/>
          <w:highlight w:val="none"/>
          <w:lang w:val="en-US" w:eastAsia="zh-CN" w:bidi="ar-SA"/>
        </w:rPr>
        <w:t>厂商报</w:t>
      </w:r>
      <w:r>
        <w:rPr>
          <w:rFonts w:hint="eastAsia" w:ascii="宋体" w:hAnsi="宋体"/>
          <w:szCs w:val="21"/>
          <w:highlight w:val="none"/>
          <w:lang w:val="en-US" w:eastAsia="zh-CN"/>
        </w:rPr>
        <w:t>名</w:t>
      </w:r>
      <w:r>
        <w:rPr>
          <w:rFonts w:hint="eastAsia" w:ascii="宋体" w:hAnsi="宋体" w:cs="宋体"/>
          <w:szCs w:val="21"/>
          <w:highlight w:val="none"/>
        </w:rPr>
        <w:t>。</w:t>
      </w:r>
    </w:p>
    <w:p>
      <w:pPr>
        <w:spacing w:line="360" w:lineRule="auto"/>
        <w:outlineLvl w:val="0"/>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采购内容</w:t>
      </w:r>
    </w:p>
    <w:p>
      <w:pPr>
        <w:spacing w:line="360" w:lineRule="auto"/>
        <w:rPr>
          <w:rFonts w:hint="eastAsia" w:ascii="宋体" w:hAnsi="宋体" w:cs="宋体"/>
          <w:szCs w:val="21"/>
          <w:highlight w:val="none"/>
        </w:rPr>
      </w:pPr>
      <w:r>
        <w:rPr>
          <w:rFonts w:hint="eastAsia" w:ascii="宋体" w:hAnsi="宋体" w:cs="宋体"/>
          <w:szCs w:val="21"/>
          <w:highlight w:val="none"/>
        </w:rPr>
        <w:t>本次项目公开征集</w:t>
      </w:r>
      <w:r>
        <w:rPr>
          <w:rFonts w:hint="eastAsia" w:ascii="宋体" w:hAnsi="宋体" w:cs="宋体"/>
          <w:szCs w:val="21"/>
          <w:highlight w:val="none"/>
          <w:lang w:val="en-US" w:eastAsia="zh-CN"/>
        </w:rPr>
        <w:t>采购的产品及服务</w:t>
      </w:r>
      <w:r>
        <w:rPr>
          <w:rFonts w:hint="eastAsia" w:ascii="宋体" w:hAnsi="宋体" w:cs="宋体"/>
          <w:szCs w:val="21"/>
          <w:highlight w:val="none"/>
        </w:rPr>
        <w:t>要求如下：</w:t>
      </w:r>
    </w:p>
    <w:tbl>
      <w:tblPr>
        <w:tblStyle w:val="6"/>
        <w:tblW w:w="6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tcPr>
          <w:p>
            <w:pPr>
              <w:spacing w:line="360" w:lineRule="auto"/>
              <w:jc w:val="center"/>
              <w:rPr>
                <w:rFonts w:hint="eastAsia" w:ascii="宋体" w:hAnsi="宋体" w:cs="宋体" w:eastAsiaTheme="minorEastAsia"/>
                <w:b/>
                <w:bCs/>
                <w:szCs w:val="21"/>
                <w:highlight w:val="none"/>
                <w:vertAlign w:val="baseline"/>
                <w:lang w:val="en-US" w:eastAsia="zh-CN"/>
              </w:rPr>
            </w:pPr>
            <w:r>
              <w:rPr>
                <w:rFonts w:hint="eastAsia" w:ascii="宋体" w:hAnsi="宋体" w:cs="宋体"/>
                <w:b/>
                <w:bCs/>
                <w:szCs w:val="21"/>
                <w:highlight w:val="none"/>
                <w:vertAlign w:val="baseline"/>
                <w:lang w:val="en-US" w:eastAsia="zh-CN"/>
              </w:rPr>
              <w:t>产品</w:t>
            </w:r>
          </w:p>
        </w:tc>
        <w:tc>
          <w:tcPr>
            <w:tcW w:w="4265" w:type="dxa"/>
          </w:tcPr>
          <w:p>
            <w:pPr>
              <w:spacing w:line="360" w:lineRule="auto"/>
              <w:jc w:val="center"/>
              <w:rPr>
                <w:rFonts w:hint="eastAsia" w:ascii="宋体" w:hAnsi="宋体" w:cs="宋体"/>
                <w:b/>
                <w:bCs/>
                <w:szCs w:val="21"/>
                <w:highlight w:val="none"/>
                <w:vertAlign w:val="baseline"/>
              </w:rPr>
            </w:pPr>
            <w:r>
              <w:rPr>
                <w:rFonts w:hint="eastAsia" w:ascii="宋体" w:hAnsi="宋体" w:cs="宋体"/>
                <w:b/>
                <w:bCs/>
                <w:szCs w:val="21"/>
                <w:highlight w:val="none"/>
                <w:vertAlign w:val="baseline"/>
                <w:lang w:val="en-US" w:eastAsia="zh-CN"/>
              </w:rPr>
              <w:t>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restart"/>
            <w:vAlign w:val="center"/>
          </w:tcPr>
          <w:p>
            <w:pPr>
              <w:spacing w:line="360" w:lineRule="auto"/>
              <w:jc w:val="center"/>
              <w:rPr>
                <w:rFonts w:hint="default" w:ascii="宋体" w:hAnsi="宋体" w:cs="宋体" w:eastAsiaTheme="minorEastAsia"/>
                <w:szCs w:val="21"/>
                <w:highlight w:val="none"/>
                <w:vertAlign w:val="baseline"/>
                <w:lang w:val="en-US" w:eastAsia="zh-CN"/>
              </w:rPr>
            </w:pPr>
            <w:r>
              <w:rPr>
                <w:rFonts w:hint="eastAsia" w:ascii="宋体" w:hAnsi="宋体" w:cs="宋体"/>
                <w:szCs w:val="21"/>
                <w:highlight w:val="none"/>
                <w:vertAlign w:val="baseline"/>
                <w:lang w:val="en-US" w:eastAsia="zh-CN"/>
              </w:rPr>
              <w:t>智慧后勤系统</w:t>
            </w:r>
          </w:p>
        </w:tc>
        <w:tc>
          <w:tcPr>
            <w:tcW w:w="4265" w:type="dxa"/>
            <w:vAlign w:val="center"/>
          </w:tcPr>
          <w:p>
            <w:pPr>
              <w:numPr>
                <w:ilvl w:val="0"/>
                <w:numId w:val="0"/>
              </w:numPr>
              <w:spacing w:line="360" w:lineRule="auto"/>
              <w:jc w:val="center"/>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询价管理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食材采购管理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日用品采购管理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仓库管理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eastAsia"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数据库管理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9" w:type="dxa"/>
            <w:vMerge w:val="continue"/>
            <w:vAlign w:val="center"/>
          </w:tcPr>
          <w:p>
            <w:pPr>
              <w:spacing w:line="360" w:lineRule="auto"/>
              <w:jc w:val="center"/>
              <w:rPr>
                <w:rFonts w:hint="eastAsia" w:ascii="宋体" w:hAnsi="宋体" w:cs="宋体"/>
                <w:szCs w:val="21"/>
                <w:highlight w:val="none"/>
                <w:vertAlign w:val="baseline"/>
                <w:lang w:val="en-US" w:eastAsia="zh-CN"/>
              </w:rPr>
            </w:pPr>
          </w:p>
        </w:tc>
        <w:tc>
          <w:tcPr>
            <w:tcW w:w="4265" w:type="dxa"/>
            <w:vAlign w:val="center"/>
          </w:tcPr>
          <w:p>
            <w:pPr>
              <w:numPr>
                <w:ilvl w:val="0"/>
                <w:numId w:val="0"/>
              </w:numPr>
              <w:spacing w:line="360" w:lineRule="auto"/>
              <w:jc w:val="center"/>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系统管理</w:t>
            </w:r>
          </w:p>
        </w:tc>
      </w:tr>
    </w:tbl>
    <w:p>
      <w:pPr>
        <w:spacing w:line="360" w:lineRule="auto"/>
        <w:rPr>
          <w:rFonts w:hint="eastAsia" w:ascii="宋体" w:hAnsi="宋体" w:cs="宋体"/>
          <w:szCs w:val="21"/>
          <w:highlight w:val="none"/>
        </w:rPr>
      </w:pPr>
    </w:p>
    <w:p>
      <w:pPr>
        <w:spacing w:line="360" w:lineRule="auto"/>
        <w:rPr>
          <w:rFonts w:ascii="宋体" w:hAnsi="宋体"/>
          <w:b/>
          <w:bCs/>
          <w:szCs w:val="21"/>
          <w:highlight w:val="none"/>
        </w:rPr>
      </w:pPr>
      <w:r>
        <w:rPr>
          <w:rFonts w:hint="eastAsia" w:ascii="宋体" w:hAnsi="宋体"/>
          <w:b/>
          <w:bCs/>
          <w:szCs w:val="21"/>
          <w:highlight w:val="none"/>
          <w:lang w:val="en-US" w:eastAsia="zh-CN"/>
        </w:rPr>
        <w:t>四、厂商</w:t>
      </w:r>
      <w:r>
        <w:rPr>
          <w:rFonts w:hint="eastAsia" w:ascii="宋体" w:hAnsi="宋体"/>
          <w:b/>
          <w:bCs/>
          <w:szCs w:val="21"/>
          <w:highlight w:val="none"/>
        </w:rPr>
        <w:t>要求</w:t>
      </w:r>
    </w:p>
    <w:p>
      <w:pPr>
        <w:tabs>
          <w:tab w:val="left" w:pos="0"/>
        </w:tabs>
        <w:spacing w:line="360" w:lineRule="auto"/>
        <w:ind w:firstLine="420" w:firstLineChars="200"/>
        <w:rPr>
          <w:rFonts w:hint="eastAsia"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eastAsiaTheme="minorEastAsia"/>
          <w:color w:val="auto"/>
          <w:szCs w:val="21"/>
          <w:highlight w:val="none"/>
          <w:lang w:val="en-US" w:eastAsia="zh-CN"/>
        </w:rPr>
        <w:t>（一）为在中华人民共和国境内登记注册的、合法存续、正常经营且具有独立承担民事责任能力的法人或其他组织。</w:t>
      </w:r>
    </w:p>
    <w:p>
      <w:pPr>
        <w:tabs>
          <w:tab w:val="left" w:pos="0"/>
        </w:tabs>
        <w:spacing w:line="360" w:lineRule="auto"/>
        <w:ind w:firstLine="420" w:firstLineChars="200"/>
        <w:rPr>
          <w:rFonts w:hint="eastAsia" w:ascii="宋体" w:hAnsi="宋体" w:eastAsia="宋体" w:cs="宋体"/>
          <w:b w:val="0"/>
          <w:kern w:val="2"/>
          <w:sz w:val="21"/>
          <w:szCs w:val="21"/>
          <w:highlight w:val="none"/>
          <w:lang w:val="zh-CN" w:eastAsia="zh-CN" w:bidi="ar-SA"/>
        </w:rPr>
      </w:pPr>
      <w:r>
        <w:rPr>
          <w:rFonts w:hint="eastAsia" w:ascii="宋体" w:hAnsi="宋体" w:eastAsia="宋体" w:cs="宋体"/>
          <w:b w:val="0"/>
          <w:kern w:val="2"/>
          <w:sz w:val="21"/>
          <w:szCs w:val="21"/>
          <w:highlight w:val="none"/>
          <w:lang w:val="en-US" w:eastAsia="zh-CN" w:bidi="ar-SA"/>
        </w:rPr>
        <w:t>（二）至报名截止当天，厂商</w:t>
      </w:r>
      <w:r>
        <w:rPr>
          <w:rFonts w:hint="eastAsia" w:ascii="宋体" w:hAnsi="宋体" w:eastAsia="宋体" w:cs="宋体"/>
          <w:b w:val="0"/>
          <w:kern w:val="2"/>
          <w:sz w:val="21"/>
          <w:szCs w:val="21"/>
          <w:highlight w:val="none"/>
          <w:lang w:val="zh-CN" w:eastAsia="zh-CN" w:bidi="ar-SA"/>
        </w:rPr>
        <w:t>未被列入</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信用中国</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网站</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"http://www.creditchina.gov.cn)"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en-US" w:eastAsia="zh-CN" w:bidi="ar-SA"/>
        </w:rPr>
        <w:t>www.creditchina.gov.cn)“</w:t>
      </w:r>
      <w:r>
        <w:rPr>
          <w:rFonts w:hint="eastAsia" w:ascii="宋体" w:hAnsi="宋体" w:eastAsia="宋体" w:cs="宋体"/>
          <w:b w:val="0"/>
          <w:kern w:val="2"/>
          <w:sz w:val="21"/>
          <w:szCs w:val="21"/>
          <w:highlight w:val="none"/>
          <w:lang w:val="zh-CN" w:eastAsia="zh-CN" w:bidi="ar-SA"/>
        </w:rPr>
        <w:t>记录失信被执行人或重</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eastAsia="宋体" w:cs="宋体"/>
          <w:b w:val="0"/>
          <w:kern w:val="2"/>
          <w:sz w:val="21"/>
          <w:szCs w:val="21"/>
          <w:highlight w:val="none"/>
          <w:lang w:val="zh-CN" w:eastAsia="zh-CN" w:bidi="ar-SA"/>
        </w:rPr>
        <w:t>大税收违法案件当事人名单或政府采购严重违法失信名单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记录名单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不处于中国政府采购网</w:t>
      </w:r>
      <w:r>
        <w:rPr>
          <w:rFonts w:hint="eastAsia" w:ascii="宋体" w:hAnsi="宋体" w:eastAsia="宋体" w:cs="宋体"/>
          <w:b w:val="0"/>
          <w:kern w:val="2"/>
          <w:sz w:val="21"/>
          <w:szCs w:val="21"/>
          <w:highlight w:val="none"/>
          <w:lang w:val="en-US" w:eastAsia="zh-CN" w:bidi="ar-SA"/>
        </w:rPr>
        <w:t>(www.ccgp.gov.cn)“</w:t>
      </w:r>
      <w:r>
        <w:rPr>
          <w:rFonts w:hint="eastAsia" w:ascii="宋体" w:hAnsi="宋体" w:eastAsia="宋体" w:cs="宋体"/>
          <w:b w:val="0"/>
          <w:kern w:val="2"/>
          <w:sz w:val="21"/>
          <w:szCs w:val="21"/>
          <w:highlight w:val="none"/>
          <w:lang w:val="zh-CN" w:eastAsia="zh-CN" w:bidi="ar-SA"/>
        </w:rPr>
        <w:t>政府采购严重违法失信行为信息记录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中的禁止参加政府采购活动期间</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处罚限届满的除外</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zh-CN" w:eastAsia="zh-CN" w:bidi="ar-SA"/>
        </w:rPr>
        <w:t>（</w:t>
      </w:r>
      <w:r>
        <w:rPr>
          <w:rFonts w:hint="eastAsia" w:ascii="宋体" w:hAnsi="宋体" w:eastAsia="宋体" w:cs="宋体"/>
          <w:b w:val="0"/>
          <w:kern w:val="2"/>
          <w:sz w:val="21"/>
          <w:szCs w:val="21"/>
          <w:highlight w:val="none"/>
          <w:lang w:val="en-US" w:eastAsia="zh-CN" w:bidi="ar-SA"/>
        </w:rPr>
        <w:t>三</w:t>
      </w:r>
      <w:r>
        <w:rPr>
          <w:rFonts w:hint="eastAsia" w:ascii="宋体" w:hAnsi="宋体" w:eastAsia="宋体" w:cs="宋体"/>
          <w:b w:val="0"/>
          <w:kern w:val="2"/>
          <w:sz w:val="21"/>
          <w:szCs w:val="21"/>
          <w:highlight w:val="none"/>
          <w:lang w:val="zh-CN" w:eastAsia="zh-CN" w:bidi="ar-SA"/>
        </w:rPr>
        <w:t>）</w:t>
      </w:r>
      <w:r>
        <w:rPr>
          <w:rFonts w:hint="eastAsia" w:ascii="宋体" w:hAnsi="宋体" w:cs="宋体"/>
          <w:b w:val="0"/>
          <w:kern w:val="2"/>
          <w:sz w:val="21"/>
          <w:szCs w:val="21"/>
          <w:highlight w:val="none"/>
          <w:lang w:val="en-US" w:eastAsia="zh-CN" w:bidi="ar-SA"/>
        </w:rPr>
        <w:t>2020年1月1日以来，具有后勤保障采购同类项目案例。</w:t>
      </w:r>
    </w:p>
    <w:p>
      <w:pPr>
        <w:spacing w:line="360" w:lineRule="auto"/>
        <w:rPr>
          <w:rFonts w:hint="eastAsia" w:ascii="宋体" w:hAnsi="宋体"/>
          <w:b/>
          <w:bCs/>
          <w:szCs w:val="21"/>
          <w:highlight w:val="none"/>
          <w:lang w:val="en-US" w:eastAsia="zh-CN"/>
        </w:rPr>
      </w:pPr>
      <w:r>
        <w:rPr>
          <w:rFonts w:hint="eastAsia" w:ascii="宋体" w:hAnsi="宋体"/>
          <w:b/>
          <w:bCs/>
          <w:szCs w:val="21"/>
          <w:highlight w:val="none"/>
          <w:lang w:val="en-US" w:eastAsia="zh-CN"/>
        </w:rPr>
        <w:t>五、征集截止时间</w:t>
      </w:r>
    </w:p>
    <w:p>
      <w:pPr>
        <w:numPr>
          <w:ilvl w:val="0"/>
          <w:numId w:val="0"/>
        </w:numPr>
        <w:tabs>
          <w:tab w:val="left" w:pos="0"/>
        </w:tabs>
        <w:spacing w:line="360" w:lineRule="auto"/>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2026年05月12日 17:30</w:t>
      </w:r>
      <w:bookmarkStart w:id="0" w:name="_GoBack"/>
      <w:bookmarkEnd w:id="0"/>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附件：</w:t>
      </w:r>
    </w:p>
    <w:p>
      <w:pPr>
        <w:tabs>
          <w:tab w:val="left" w:pos="0"/>
        </w:tabs>
        <w:spacing w:line="360" w:lineRule="auto"/>
        <w:ind w:firstLine="420" w:firstLineChars="200"/>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1.2026年智慧后勤系统项目调研表-xxx公司</w:t>
      </w:r>
    </w:p>
    <w:p>
      <w:pPr>
        <w:tabs>
          <w:tab w:val="left" w:pos="0"/>
        </w:tabs>
        <w:spacing w:line="360" w:lineRule="auto"/>
        <w:ind w:firstLine="420" w:firstLineChars="200"/>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2.</w:t>
      </w:r>
      <w:r>
        <w:rPr>
          <w:rFonts w:hint="default" w:ascii="宋体" w:hAnsi="宋体" w:cs="宋体"/>
          <w:b w:val="0"/>
          <w:kern w:val="2"/>
          <w:sz w:val="21"/>
          <w:szCs w:val="21"/>
          <w:highlight w:val="none"/>
          <w:lang w:val="en-US" w:eastAsia="zh-CN" w:bidi="ar-SA"/>
        </w:rPr>
        <w:t>公司基本情况介绍-xxx公司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04B7A"/>
    <w:rsid w:val="02184707"/>
    <w:rsid w:val="02357EF4"/>
    <w:rsid w:val="025172D3"/>
    <w:rsid w:val="02C75F85"/>
    <w:rsid w:val="03373CAA"/>
    <w:rsid w:val="044F2C20"/>
    <w:rsid w:val="05054A98"/>
    <w:rsid w:val="061E0361"/>
    <w:rsid w:val="09DE5878"/>
    <w:rsid w:val="0C76282D"/>
    <w:rsid w:val="0C8F1F90"/>
    <w:rsid w:val="0D340A79"/>
    <w:rsid w:val="0E372223"/>
    <w:rsid w:val="0E604700"/>
    <w:rsid w:val="114C7F8B"/>
    <w:rsid w:val="11DA10DC"/>
    <w:rsid w:val="12C93C86"/>
    <w:rsid w:val="16D71D22"/>
    <w:rsid w:val="16E81A9A"/>
    <w:rsid w:val="17411DF1"/>
    <w:rsid w:val="19D26960"/>
    <w:rsid w:val="19E47D4D"/>
    <w:rsid w:val="1AFE2969"/>
    <w:rsid w:val="1B4646C4"/>
    <w:rsid w:val="1D0467E7"/>
    <w:rsid w:val="1DAF3419"/>
    <w:rsid w:val="1F7A749D"/>
    <w:rsid w:val="20B85C7F"/>
    <w:rsid w:val="222F734B"/>
    <w:rsid w:val="241F12E7"/>
    <w:rsid w:val="248753CF"/>
    <w:rsid w:val="26D45D6F"/>
    <w:rsid w:val="27DE2DD2"/>
    <w:rsid w:val="29D34EE6"/>
    <w:rsid w:val="2A715E00"/>
    <w:rsid w:val="2CC70888"/>
    <w:rsid w:val="2F491019"/>
    <w:rsid w:val="327B01CD"/>
    <w:rsid w:val="341558EE"/>
    <w:rsid w:val="357C3E30"/>
    <w:rsid w:val="3D044E0B"/>
    <w:rsid w:val="3DB22FEB"/>
    <w:rsid w:val="3FC41B76"/>
    <w:rsid w:val="40847118"/>
    <w:rsid w:val="44122DE4"/>
    <w:rsid w:val="45392A30"/>
    <w:rsid w:val="4762139A"/>
    <w:rsid w:val="48B80D7D"/>
    <w:rsid w:val="49496FBF"/>
    <w:rsid w:val="49B234DC"/>
    <w:rsid w:val="4A7E1BE4"/>
    <w:rsid w:val="4C447CF0"/>
    <w:rsid w:val="5A5F4E79"/>
    <w:rsid w:val="5AF710EA"/>
    <w:rsid w:val="5AFF7F38"/>
    <w:rsid w:val="5C236231"/>
    <w:rsid w:val="5C385D7C"/>
    <w:rsid w:val="61641317"/>
    <w:rsid w:val="62954A61"/>
    <w:rsid w:val="63C906B6"/>
    <w:rsid w:val="65F5642F"/>
    <w:rsid w:val="67255537"/>
    <w:rsid w:val="68104F26"/>
    <w:rsid w:val="6C214692"/>
    <w:rsid w:val="6C8F5E5E"/>
    <w:rsid w:val="6D4028D4"/>
    <w:rsid w:val="6E4842E0"/>
    <w:rsid w:val="702540AF"/>
    <w:rsid w:val="7068551A"/>
    <w:rsid w:val="70FD48BB"/>
    <w:rsid w:val="75482292"/>
    <w:rsid w:val="7A672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r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667</Words>
  <Characters>764</Characters>
  <Lines>0</Lines>
  <Paragraphs>0</Paragraphs>
  <TotalTime>13</TotalTime>
  <ScaleCrop>false</ScaleCrop>
  <LinksUpToDate>false</LinksUpToDate>
  <CharactersWithSpaces>769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2024-04-09T01:32:00Z</dcterms:created>
  <dc:creator>id120279</dc:creator>
  <cp:lastModifiedBy>admin</cp:lastModifiedBy>
  <dcterms:modified xsi:type="dcterms:W3CDTF">2026-05-06T09:02:41Z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42A5FFC0AFD64C019F17E7032E855617_13</vt:lpwstr>
  </property>
  <property fmtid="{D5CDD505-2E9C-101B-9397-08002B2CF9AE}" pid="4" name="KSOTemplateDocerSaveRecord">
    <vt:lpwstr>eyJoZGlkIjoiOGFkZmNkMjVlNjM4NmU2ZDgyYTJlZTIxMmViZGQzZDEiLCJ1c2VySWQiOiI2NTk0MzQ2MjMifQ==</vt:lpwstr>
  </property>
</Properties>
</file>