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rPr>
          <w:rFonts w:ascii="宋体" w:hAnsi="宋体" w:eastAsia="宋体" w:cs="宋体"/>
          <w:b/>
          <w:bCs/>
          <w:color w:val="auto"/>
          <w:kern w:val="0"/>
          <w:sz w:val="52"/>
          <w:szCs w:val="52"/>
          <w:highlight w:val="none"/>
          <w:lang w:val="zh-CN"/>
        </w:rPr>
      </w:pPr>
    </w:p>
    <w:p>
      <w:pPr>
        <w:outlineLvl w:val="9"/>
        <w:rPr>
          <w:color w:val="auto"/>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东莞市水务环境投资控股集团净水有限公司2026年-2027年生产药剂液体次氯酸钠采购项目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outlineLvl w:val="9"/>
        <w:rPr>
          <w:rFonts w:ascii="宋体" w:hAnsi="宋体" w:eastAsia="宋体" w:cs="宋体"/>
          <w:b/>
          <w:bCs/>
          <w:color w:val="auto"/>
          <w:sz w:val="32"/>
          <w:szCs w:val="32"/>
          <w:highlight w:val="none"/>
          <w:lang w:val="zh-CN"/>
        </w:rPr>
      </w:pPr>
    </w:p>
    <w:p>
      <w:pPr>
        <w:rPr>
          <w:color w:val="auto"/>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号：GXTZ-ZB-2026第（76）号</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招标代理机构：广西同泽工程项目管理股份有限公司</w:t>
      </w:r>
    </w:p>
    <w:p>
      <w:pPr>
        <w:autoSpaceDE w:val="0"/>
        <w:autoSpaceDN w:val="0"/>
        <w:adjustRightInd w:val="0"/>
        <w:spacing w:line="360" w:lineRule="auto"/>
        <w:ind w:left="0" w:leftChars="0" w:right="-23" w:rightChars="-11"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03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05</w:t>
      </w:r>
      <w:r>
        <w:rPr>
          <w:rFonts w:hint="eastAsia" w:ascii="宋体" w:hAnsi="宋体" w:eastAsia="宋体" w:cs="宋体"/>
          <w:b/>
          <w:bCs/>
          <w:color w:val="auto"/>
          <w:sz w:val="32"/>
          <w:szCs w:val="32"/>
          <w:highlight w:val="none"/>
          <w:lang w:val="zh-CN"/>
        </w:rPr>
        <w:t xml:space="preserve"> 日</w:t>
      </w:r>
    </w:p>
    <w:p>
      <w:pPr>
        <w:rPr>
          <w:color w:val="auto"/>
          <w:highlight w:val="none"/>
        </w:rPr>
      </w:pPr>
      <w:r>
        <w:rPr>
          <w:color w:val="auto"/>
          <w:highlight w:val="none"/>
        </w:rPr>
        <w:br w:type="page"/>
      </w:r>
    </w:p>
    <w:sdt>
      <w:sdtPr>
        <w:rPr>
          <w:rFonts w:hint="eastAsia" w:ascii="宋体" w:hAnsi="宋体" w:eastAsia="宋体" w:cs="宋体"/>
          <w:b/>
          <w:bCs/>
          <w:color w:val="auto"/>
          <w:sz w:val="24"/>
          <w:szCs w:val="24"/>
          <w:highlight w:val="none"/>
          <w:lang w:val="en-US" w:eastAsia="zh-CN"/>
        </w:rPr>
        <w:id w:val="147469936"/>
        <w15:color w:val="DBDBDB"/>
        <w:docPartObj>
          <w:docPartGallery w:val="Table of Contents"/>
          <w:docPartUnique/>
        </w:docPartObj>
      </w:sdtPr>
      <w:sdtEndPr>
        <w:rPr>
          <w:rFonts w:hint="eastAsia" w:ascii="宋体" w:hAnsi="宋体" w:eastAsia="宋体" w:cstheme="minorBidi"/>
          <w:b/>
          <w:bCs/>
          <w:color w:val="auto"/>
          <w:kern w:val="2"/>
          <w:sz w:val="21"/>
          <w:szCs w:val="22"/>
          <w:highlight w:val="none"/>
          <w:lang w:val="en-US" w:eastAsia="zh-CN" w:bidi="ar-SA"/>
        </w:rPr>
      </w:sdtEndPr>
      <w:sdtContent>
        <w:p>
          <w:pPr>
            <w:spacing w:line="360" w:lineRule="auto"/>
            <w:jc w:val="center"/>
            <w:rPr>
              <w:rFonts w:hint="eastAsia" w:ascii="宋体" w:hAnsi="宋体" w:eastAsia="宋体" w:cs="宋体"/>
              <w:b/>
              <w:bCs/>
              <w:color w:val="auto"/>
              <w:sz w:val="24"/>
              <w:szCs w:val="24"/>
              <w:highlight w:val="none"/>
            </w:rPr>
          </w:pPr>
          <w:bookmarkStart w:id="0" w:name="_Toc486167660"/>
          <w:bookmarkStart w:id="1" w:name="_Toc450662846"/>
          <w:bookmarkStart w:id="2" w:name="_Toc11638"/>
          <w:bookmarkStart w:id="3" w:name="_Toc142508310"/>
          <w:bookmarkStart w:id="4" w:name="_Toc2723_WPSOffice_Level1"/>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pPr>
            <w:pStyle w:val="29"/>
            <w:tabs>
              <w:tab w:val="right" w:leader="dot" w:pos="10144"/>
            </w:tabs>
            <w:spacing w:line="36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"1-3"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_Toc27606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44"/>
              <w:sz w:val="22"/>
              <w:szCs w:val="22"/>
              <w:highlight w:val="none"/>
              <w:lang w:val="zh-CN"/>
            </w:rPr>
            <w:t xml:space="preserve">第一篇 </w:t>
          </w:r>
          <w:r>
            <w:rPr>
              <w:rStyle w:val="41"/>
              <w:rFonts w:hint="eastAsia" w:ascii="宋体" w:hAnsi="宋体" w:eastAsia="宋体" w:cs="宋体"/>
              <w:b/>
              <w:bCs/>
              <w:color w:val="auto"/>
              <w:kern w:val="44"/>
              <w:sz w:val="21"/>
              <w:szCs w:val="21"/>
              <w:highlight w:val="none"/>
              <w:lang w:val="zh-CN"/>
            </w:rPr>
            <w:t>招标</w:t>
          </w:r>
          <w:r>
            <w:rPr>
              <w:rFonts w:hint="eastAsia" w:ascii="宋体" w:hAnsi="宋体" w:eastAsia="宋体" w:cs="宋体"/>
              <w:b/>
              <w:bCs/>
              <w:color w:val="auto"/>
              <w:kern w:val="44"/>
              <w:sz w:val="22"/>
              <w:szCs w:val="22"/>
              <w:highlight w:val="none"/>
              <w:lang w:val="zh-CN"/>
            </w:rPr>
            <w:t>公告</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_Toc27606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4</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9"/>
            <w:tabs>
              <w:tab w:val="right" w:leader="dot" w:pos="10144"/>
            </w:tabs>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_Toc17731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44"/>
              <w:sz w:val="22"/>
              <w:szCs w:val="22"/>
              <w:highlight w:val="none"/>
              <w:lang w:val="zh-CN"/>
            </w:rPr>
            <w:t>第二篇</w:t>
          </w:r>
          <w:r>
            <w:rPr>
              <w:rFonts w:hint="eastAsia" w:ascii="宋体" w:hAnsi="宋体" w:eastAsia="宋体" w:cs="宋体"/>
              <w:b/>
              <w:bCs/>
              <w:color w:val="auto"/>
              <w:kern w:val="44"/>
              <w:sz w:val="22"/>
              <w:szCs w:val="22"/>
              <w:highlight w:val="none"/>
            </w:rPr>
            <w:t xml:space="preserve"> </w:t>
          </w:r>
          <w:r>
            <w:rPr>
              <w:rFonts w:hint="eastAsia" w:ascii="宋体" w:hAnsi="宋体" w:eastAsia="宋体" w:cs="宋体"/>
              <w:b/>
              <w:bCs/>
              <w:color w:val="auto"/>
              <w:kern w:val="44"/>
              <w:sz w:val="22"/>
              <w:szCs w:val="22"/>
              <w:highlight w:val="none"/>
              <w:lang w:val="zh-CN"/>
            </w:rPr>
            <w:t>投标人须知</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_Toc17731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6</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32"/>
            <w:tabs>
              <w:tab w:val="right" w:leader="dot" w:pos="10144"/>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_Toc12880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kern w:val="44"/>
              <w:sz w:val="22"/>
              <w:szCs w:val="22"/>
              <w:highlight w:val="none"/>
              <w:lang w:val="zh-CN"/>
            </w:rPr>
            <w:t>一、总则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_Toc12880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_Toc29658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 资金来源</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_Toc29658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_Toc30493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 合格的投标人</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_Toc30493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_Toc12258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 合格的货物</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_Toc12258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_Toc12121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4 其它说明</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_Toc12121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7</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32"/>
            <w:tabs>
              <w:tab w:val="right" w:leader="dot" w:pos="10144"/>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_Toc8016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kern w:val="44"/>
              <w:sz w:val="22"/>
              <w:szCs w:val="22"/>
              <w:highlight w:val="none"/>
              <w:lang w:val="zh-CN"/>
            </w:rPr>
            <w:t>二、</w:t>
          </w:r>
          <w:r>
            <w:rPr>
              <w:rStyle w:val="41"/>
              <w:rFonts w:hint="eastAsia" w:ascii="宋体" w:hAnsi="宋体" w:eastAsia="宋体" w:cs="宋体"/>
              <w:bCs/>
              <w:color w:val="auto"/>
              <w:kern w:val="44"/>
              <w:sz w:val="21"/>
              <w:szCs w:val="21"/>
              <w:highlight w:val="none"/>
              <w:lang w:val="zh-CN"/>
            </w:rPr>
            <w:t>招</w:t>
          </w:r>
          <w:r>
            <w:rPr>
              <w:rStyle w:val="41"/>
              <w:rFonts w:hint="eastAsia" w:ascii="宋体" w:hAnsi="宋体" w:eastAsia="宋体" w:cs="宋体"/>
              <w:bCs/>
              <w:color w:val="auto"/>
              <w:kern w:val="44"/>
              <w:sz w:val="21"/>
              <w:szCs w:val="21"/>
              <w:highlight w:val="none"/>
              <w:lang w:val="zh-CN" w:eastAsia="zh-CN"/>
            </w:rPr>
            <w:t>标</w:t>
          </w:r>
          <w:r>
            <w:rPr>
              <w:rFonts w:hint="eastAsia" w:ascii="宋体" w:hAnsi="宋体" w:eastAsia="宋体" w:cs="宋体"/>
              <w:bCs/>
              <w:color w:val="auto"/>
              <w:kern w:val="44"/>
              <w:sz w:val="22"/>
              <w:szCs w:val="22"/>
              <w:highlight w:val="none"/>
              <w:lang w:val="zh-CN"/>
            </w:rPr>
            <w:t>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_Toc8016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_Toc331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5 招标文件的构成</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_Toc331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8</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_Toc3815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6 招标文件的异议</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_Toc3815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_Toc12248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7 招标文件的澄清及修改</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_Toc12248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32"/>
            <w:tabs>
              <w:tab w:val="right" w:leader="dot" w:pos="10144"/>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_Toc614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kern w:val="44"/>
              <w:sz w:val="22"/>
              <w:szCs w:val="22"/>
              <w:highlight w:val="none"/>
              <w:lang w:val="zh-CN"/>
            </w:rPr>
            <w:t>三、</w:t>
          </w:r>
          <w:r>
            <w:rPr>
              <w:rStyle w:val="41"/>
              <w:rFonts w:hint="eastAsia" w:ascii="宋体" w:hAnsi="宋体" w:eastAsia="宋体" w:cs="宋体"/>
              <w:bCs/>
              <w:color w:val="auto"/>
              <w:kern w:val="44"/>
              <w:sz w:val="21"/>
              <w:szCs w:val="21"/>
              <w:highlight w:val="none"/>
              <w:lang w:val="zh-CN"/>
            </w:rPr>
            <w:t>投标</w:t>
          </w:r>
          <w:r>
            <w:rPr>
              <w:rFonts w:hint="eastAsia" w:ascii="宋体" w:hAnsi="宋体" w:eastAsia="宋体" w:cs="宋体"/>
              <w:bCs/>
              <w:color w:val="auto"/>
              <w:kern w:val="44"/>
              <w:sz w:val="22"/>
              <w:szCs w:val="22"/>
              <w:highlight w:val="none"/>
              <w:lang w:val="zh-CN"/>
            </w:rPr>
            <w:t>文件的编制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_Toc614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_Toc29320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8 投标使用的文字及度量衡单位</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_Toc29320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_Toc4845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9 投标文件的组成</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_Toc4845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_Toc9934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10 投标函</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_Toc9934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11</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_Toc30128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11 投标报价</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_Toc30128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11</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_Toc27756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12 投标报价货币</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_Toc27756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12</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_Toc5435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13 证明投标人的合格性和资格的声明文件</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_Toc5435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12</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_Toc3635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14 证明货物的合格性并符合招标文件规定的声明文件</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_Toc3635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12</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_Toc14798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15 投标保证金</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_Toc14798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13</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_Toc24933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16 投标有效期</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_Toc24933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14</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_Toc24985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17 投标文件的式样和签署</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_Toc24985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14</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32"/>
            <w:tabs>
              <w:tab w:val="right" w:leader="dot" w:pos="10144"/>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_Toc22915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kern w:val="44"/>
              <w:sz w:val="22"/>
              <w:szCs w:val="22"/>
              <w:highlight w:val="none"/>
              <w:lang w:val="zh-CN"/>
            </w:rPr>
            <w:t>四、投标文件的递交</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_Toc22915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_Toc12260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18 投标文件的密封和标记</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_Toc12260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14</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_Toc15193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19 递交投标文件的截止日期</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_Toc15193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15</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_Toc21091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20 迟交的投标文件</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_Toc21091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15</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_Toc29049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21 投标文件的修改和撤回</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_Toc29049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15</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32"/>
            <w:tabs>
              <w:tab w:val="right" w:leader="dot" w:pos="10144"/>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_Toc30282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kern w:val="44"/>
              <w:sz w:val="22"/>
              <w:szCs w:val="22"/>
              <w:highlight w:val="none"/>
              <w:lang w:val="zh-CN"/>
            </w:rPr>
            <w:t>五、开标与</w:t>
          </w:r>
          <w:r>
            <w:rPr>
              <w:rStyle w:val="41"/>
              <w:rFonts w:hint="eastAsia" w:ascii="宋体" w:hAnsi="宋体" w:eastAsia="宋体" w:cs="宋体"/>
              <w:bCs/>
              <w:color w:val="auto"/>
              <w:kern w:val="44"/>
              <w:sz w:val="21"/>
              <w:szCs w:val="21"/>
              <w:highlight w:val="none"/>
              <w:lang w:val="zh-CN"/>
            </w:rPr>
            <w:t>评标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_Toc30282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_Toc21900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22 开标</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_Toc21900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15</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_Toc29403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23 评标过程的保密性</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_Toc29403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_Toc7450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24 评标委员会</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_Toc7450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_Toc15748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25 投标文件的初审</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_Toc15748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_Toc19907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26 投标文件的澄清</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_Toc19907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_Toc7107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27 对投标文件的比较和评价</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_Toc7107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16</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_Toc31734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28 评标原则及方法</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_Toc31734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17</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_Toc26996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29 评标结果公示及异议、投诉</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_Toc26996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17</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_Toc28842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30 真实性审查</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_Toc28842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18</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_Toc15916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31 评标委员会和招标人接受或拒绝任何投标或所有投标的权利</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_Toc15916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18</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32"/>
            <w:tabs>
              <w:tab w:val="right" w:leader="dot" w:pos="10144"/>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_Toc30123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kern w:val="44"/>
              <w:sz w:val="22"/>
              <w:szCs w:val="22"/>
              <w:highlight w:val="none"/>
              <w:lang w:val="zh-CN"/>
            </w:rPr>
            <w:t>六、授予合同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_Toc30123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_Toc21198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32 授予合同的准则</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_Toc21198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_Toc17779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33 中标通知</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_Toc17779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_Toc20617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34 签署合同</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_Toc20617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19</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_Toc17066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35 履约担保</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_Toc17066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20</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_Toc15565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36 在合同履行中变更采购范围的权利</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_Toc15565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22</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_Toc31936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37 中标服务费</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_Toc31936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22</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_Toc4615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38 发票</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_Toc4615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23</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Style w:val="41"/>
              <w:rFonts w:hint="eastAsia" w:ascii="宋体" w:hAnsi="宋体" w:eastAsia="宋体" w:cs="宋体"/>
              <w:color w:val="auto"/>
              <w:sz w:val="21"/>
              <w:szCs w:val="21"/>
              <w:highlight w:val="none"/>
              <w:lang w:val="zh-CN"/>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_Toc29246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39 招标相关补充约定</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_Toc29246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24</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2"/>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HYPERLINK \l _Toc21284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40 本次招标活动的最终解释权归招标代理机构及招标人所有。</w:t>
          </w:r>
          <w:r>
            <w:rPr>
              <w:rStyle w:val="41"/>
              <w:rFonts w:hint="eastAsia" w:ascii="宋体" w:hAnsi="宋体" w:eastAsia="宋体" w:cs="宋体"/>
              <w:color w:val="auto"/>
              <w:sz w:val="21"/>
              <w:szCs w:val="21"/>
              <w:highlight w:val="none"/>
              <w:lang w:val="zh-CN"/>
            </w:rPr>
            <w:tab/>
          </w:r>
          <w:r>
            <w:rPr>
              <w:rStyle w:val="41"/>
              <w:rFonts w:hint="eastAsia" w:ascii="宋体" w:hAnsi="宋体" w:eastAsia="宋体" w:cs="宋体"/>
              <w:color w:val="auto"/>
              <w:sz w:val="21"/>
              <w:szCs w:val="21"/>
              <w:highlight w:val="none"/>
              <w:lang w:val="zh-CN"/>
            </w:rPr>
            <w:fldChar w:fldCharType="begin"/>
          </w:r>
          <w:r>
            <w:rPr>
              <w:rStyle w:val="41"/>
              <w:rFonts w:hint="eastAsia" w:ascii="宋体" w:hAnsi="宋体" w:eastAsia="宋体" w:cs="宋体"/>
              <w:color w:val="auto"/>
              <w:sz w:val="21"/>
              <w:szCs w:val="21"/>
              <w:highlight w:val="none"/>
              <w:lang w:val="zh-CN"/>
            </w:rPr>
            <w:instrText xml:space="preserve"> PAGEREF _Toc21284 </w:instrText>
          </w:r>
          <w:r>
            <w:rPr>
              <w:rStyle w:val="41"/>
              <w:rFonts w:hint="eastAsia" w:ascii="宋体" w:hAnsi="宋体" w:eastAsia="宋体" w:cs="宋体"/>
              <w:color w:val="auto"/>
              <w:sz w:val="21"/>
              <w:szCs w:val="21"/>
              <w:highlight w:val="none"/>
              <w:lang w:val="zh-CN"/>
            </w:rPr>
            <w:fldChar w:fldCharType="separate"/>
          </w:r>
          <w:r>
            <w:rPr>
              <w:rStyle w:val="41"/>
              <w:rFonts w:hint="eastAsia" w:ascii="宋体" w:hAnsi="宋体" w:eastAsia="宋体" w:cs="宋体"/>
              <w:color w:val="auto"/>
              <w:sz w:val="21"/>
              <w:szCs w:val="21"/>
              <w:highlight w:val="none"/>
              <w:lang w:val="zh-CN"/>
            </w:rPr>
            <w:t>24</w:t>
          </w:r>
          <w:r>
            <w:rPr>
              <w:rStyle w:val="41"/>
              <w:rFonts w:hint="eastAsia" w:ascii="宋体" w:hAnsi="宋体" w:eastAsia="宋体" w:cs="宋体"/>
              <w:color w:val="auto"/>
              <w:sz w:val="21"/>
              <w:szCs w:val="21"/>
              <w:highlight w:val="none"/>
              <w:lang w:val="zh-CN"/>
            </w:rPr>
            <w:fldChar w:fldCharType="end"/>
          </w:r>
          <w:r>
            <w:rPr>
              <w:rStyle w:val="41"/>
              <w:rFonts w:hint="eastAsia" w:ascii="宋体" w:hAnsi="宋体" w:eastAsia="宋体" w:cs="宋体"/>
              <w:color w:val="auto"/>
              <w:sz w:val="21"/>
              <w:szCs w:val="21"/>
              <w:highlight w:val="none"/>
              <w:lang w:val="zh-CN"/>
            </w:rPr>
            <w:fldChar w:fldCharType="end"/>
          </w:r>
        </w:p>
        <w:p>
          <w:pPr>
            <w:pStyle w:val="29"/>
            <w:tabs>
              <w:tab w:val="right" w:leader="dot" w:pos="10144"/>
            </w:tabs>
            <w:spacing w:line="360" w:lineRule="auto"/>
            <w:rPr>
              <w:rStyle w:val="41"/>
              <w:rFonts w:hint="eastAsia" w:ascii="宋体" w:hAnsi="宋体" w:eastAsia="宋体" w:cs="宋体"/>
              <w:b/>
              <w:bCs/>
              <w:color w:val="auto"/>
              <w:kern w:val="44"/>
              <w:sz w:val="21"/>
              <w:szCs w:val="21"/>
              <w:highlight w:val="none"/>
              <w:lang w:val="zh-CN"/>
            </w:rPr>
          </w:pP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HYPERLINK \l _Toc18115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第三篇 用户需求书</w:t>
          </w:r>
          <w:r>
            <w:rPr>
              <w:rStyle w:val="41"/>
              <w:rFonts w:hint="eastAsia" w:ascii="宋体" w:hAnsi="宋体" w:eastAsia="宋体" w:cs="宋体"/>
              <w:b/>
              <w:bCs/>
              <w:color w:val="auto"/>
              <w:kern w:val="44"/>
              <w:sz w:val="21"/>
              <w:szCs w:val="21"/>
              <w:highlight w:val="none"/>
              <w:lang w:val="zh-CN"/>
            </w:rPr>
            <w:tab/>
          </w: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PAGEREF _Toc18115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25</w:t>
          </w:r>
          <w:r>
            <w:rPr>
              <w:rStyle w:val="41"/>
              <w:rFonts w:hint="eastAsia" w:ascii="宋体" w:hAnsi="宋体" w:eastAsia="宋体" w:cs="宋体"/>
              <w:b/>
              <w:bCs/>
              <w:color w:val="auto"/>
              <w:kern w:val="44"/>
              <w:sz w:val="21"/>
              <w:szCs w:val="21"/>
              <w:highlight w:val="none"/>
              <w:lang w:val="zh-CN"/>
            </w:rPr>
            <w:fldChar w:fldCharType="end"/>
          </w:r>
          <w:r>
            <w:rPr>
              <w:rStyle w:val="41"/>
              <w:rFonts w:hint="eastAsia" w:ascii="宋体" w:hAnsi="宋体" w:eastAsia="宋体" w:cs="宋体"/>
              <w:b/>
              <w:bCs/>
              <w:color w:val="auto"/>
              <w:kern w:val="44"/>
              <w:sz w:val="21"/>
              <w:szCs w:val="21"/>
              <w:highlight w:val="none"/>
              <w:lang w:val="zh-CN"/>
            </w:rPr>
            <w:fldChar w:fldCharType="end"/>
          </w:r>
        </w:p>
        <w:p>
          <w:pPr>
            <w:pStyle w:val="29"/>
            <w:tabs>
              <w:tab w:val="right" w:leader="dot" w:pos="10144"/>
            </w:tabs>
            <w:spacing w:line="360" w:lineRule="auto"/>
            <w:rPr>
              <w:rStyle w:val="41"/>
              <w:rFonts w:hint="eastAsia" w:ascii="宋体" w:hAnsi="宋体" w:eastAsia="宋体" w:cs="宋体"/>
              <w:b/>
              <w:bCs/>
              <w:color w:val="auto"/>
              <w:kern w:val="44"/>
              <w:sz w:val="21"/>
              <w:szCs w:val="21"/>
              <w:highlight w:val="none"/>
              <w:lang w:val="zh-CN"/>
            </w:rPr>
          </w:pP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HYPERLINK \l _Toc22866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第四篇 合同条款格式</w:t>
          </w:r>
          <w:r>
            <w:rPr>
              <w:rStyle w:val="41"/>
              <w:rFonts w:hint="eastAsia" w:ascii="宋体" w:hAnsi="宋体" w:eastAsia="宋体" w:cs="宋体"/>
              <w:b/>
              <w:bCs/>
              <w:color w:val="auto"/>
              <w:kern w:val="44"/>
              <w:sz w:val="21"/>
              <w:szCs w:val="21"/>
              <w:highlight w:val="none"/>
              <w:lang w:val="zh-CN"/>
            </w:rPr>
            <w:tab/>
          </w: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PAGEREF _Toc22866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38</w:t>
          </w:r>
          <w:r>
            <w:rPr>
              <w:rStyle w:val="41"/>
              <w:rFonts w:hint="eastAsia" w:ascii="宋体" w:hAnsi="宋体" w:eastAsia="宋体" w:cs="宋体"/>
              <w:b/>
              <w:bCs/>
              <w:color w:val="auto"/>
              <w:kern w:val="44"/>
              <w:sz w:val="21"/>
              <w:szCs w:val="21"/>
              <w:highlight w:val="none"/>
              <w:lang w:val="zh-CN"/>
            </w:rPr>
            <w:fldChar w:fldCharType="end"/>
          </w:r>
          <w:r>
            <w:rPr>
              <w:rStyle w:val="41"/>
              <w:rFonts w:hint="eastAsia" w:ascii="宋体" w:hAnsi="宋体" w:eastAsia="宋体" w:cs="宋体"/>
              <w:b/>
              <w:bCs/>
              <w:color w:val="auto"/>
              <w:kern w:val="44"/>
              <w:sz w:val="21"/>
              <w:szCs w:val="21"/>
              <w:highlight w:val="none"/>
              <w:lang w:val="zh-CN"/>
            </w:rPr>
            <w:fldChar w:fldCharType="end"/>
          </w:r>
        </w:p>
        <w:p>
          <w:pPr>
            <w:pStyle w:val="29"/>
            <w:tabs>
              <w:tab w:val="right" w:leader="dot" w:pos="10144"/>
            </w:tabs>
            <w:spacing w:line="360" w:lineRule="auto"/>
            <w:rPr>
              <w:rStyle w:val="41"/>
              <w:rFonts w:hint="eastAsia" w:ascii="宋体" w:hAnsi="宋体" w:eastAsia="宋体" w:cs="宋体"/>
              <w:b/>
              <w:bCs/>
              <w:color w:val="auto"/>
              <w:kern w:val="44"/>
              <w:sz w:val="21"/>
              <w:szCs w:val="21"/>
              <w:highlight w:val="none"/>
              <w:lang w:val="zh-CN"/>
            </w:rPr>
          </w:pP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HYPERLINK \l _Toc8496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第五篇 相关保函格式</w:t>
          </w:r>
          <w:r>
            <w:rPr>
              <w:rStyle w:val="41"/>
              <w:rFonts w:hint="eastAsia" w:ascii="宋体" w:hAnsi="宋体" w:eastAsia="宋体" w:cs="宋体"/>
              <w:b/>
              <w:bCs/>
              <w:color w:val="auto"/>
              <w:kern w:val="44"/>
              <w:sz w:val="21"/>
              <w:szCs w:val="21"/>
              <w:highlight w:val="none"/>
              <w:lang w:val="zh-CN"/>
            </w:rPr>
            <w:tab/>
          </w: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PAGEREF _Toc8496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60</w:t>
          </w:r>
          <w:r>
            <w:rPr>
              <w:rStyle w:val="41"/>
              <w:rFonts w:hint="eastAsia" w:ascii="宋体" w:hAnsi="宋体" w:eastAsia="宋体" w:cs="宋体"/>
              <w:b/>
              <w:bCs/>
              <w:color w:val="auto"/>
              <w:kern w:val="44"/>
              <w:sz w:val="21"/>
              <w:szCs w:val="21"/>
              <w:highlight w:val="none"/>
              <w:lang w:val="zh-CN"/>
            </w:rPr>
            <w:fldChar w:fldCharType="end"/>
          </w:r>
          <w:r>
            <w:rPr>
              <w:rStyle w:val="41"/>
              <w:rFonts w:hint="eastAsia" w:ascii="宋体" w:hAnsi="宋体" w:eastAsia="宋体" w:cs="宋体"/>
              <w:b/>
              <w:bCs/>
              <w:color w:val="auto"/>
              <w:kern w:val="44"/>
              <w:sz w:val="21"/>
              <w:szCs w:val="21"/>
              <w:highlight w:val="none"/>
              <w:lang w:val="zh-CN"/>
            </w:rPr>
            <w:fldChar w:fldCharType="end"/>
          </w:r>
        </w:p>
        <w:p>
          <w:pPr>
            <w:pStyle w:val="29"/>
            <w:tabs>
              <w:tab w:val="right" w:leader="dot" w:pos="10144"/>
            </w:tabs>
            <w:spacing w:line="360" w:lineRule="auto"/>
            <w:rPr>
              <w:rStyle w:val="41"/>
              <w:rFonts w:hint="eastAsia" w:ascii="宋体" w:hAnsi="宋体" w:eastAsia="宋体" w:cs="宋体"/>
              <w:b/>
              <w:bCs/>
              <w:color w:val="auto"/>
              <w:kern w:val="44"/>
              <w:sz w:val="21"/>
              <w:szCs w:val="21"/>
              <w:highlight w:val="none"/>
              <w:lang w:val="zh-CN"/>
            </w:rPr>
          </w:pP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HYPERLINK \l _Toc1705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第六篇 投标文件格式</w:t>
          </w:r>
          <w:r>
            <w:rPr>
              <w:rStyle w:val="41"/>
              <w:rFonts w:hint="eastAsia" w:ascii="宋体" w:hAnsi="宋体" w:eastAsia="宋体" w:cs="宋体"/>
              <w:b/>
              <w:bCs/>
              <w:color w:val="auto"/>
              <w:kern w:val="44"/>
              <w:sz w:val="21"/>
              <w:szCs w:val="21"/>
              <w:highlight w:val="none"/>
              <w:lang w:val="zh-CN"/>
            </w:rPr>
            <w:tab/>
          </w: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PAGEREF _Toc1705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63</w:t>
          </w:r>
          <w:r>
            <w:rPr>
              <w:rStyle w:val="41"/>
              <w:rFonts w:hint="eastAsia" w:ascii="宋体" w:hAnsi="宋体" w:eastAsia="宋体" w:cs="宋体"/>
              <w:b/>
              <w:bCs/>
              <w:color w:val="auto"/>
              <w:kern w:val="44"/>
              <w:sz w:val="21"/>
              <w:szCs w:val="21"/>
              <w:highlight w:val="none"/>
              <w:lang w:val="zh-CN"/>
            </w:rPr>
            <w:fldChar w:fldCharType="end"/>
          </w:r>
          <w:r>
            <w:rPr>
              <w:rStyle w:val="41"/>
              <w:rFonts w:hint="eastAsia" w:ascii="宋体" w:hAnsi="宋体" w:eastAsia="宋体" w:cs="宋体"/>
              <w:b/>
              <w:bCs/>
              <w:color w:val="auto"/>
              <w:kern w:val="44"/>
              <w:sz w:val="21"/>
              <w:szCs w:val="21"/>
              <w:highlight w:val="none"/>
              <w:lang w:val="zh-CN"/>
            </w:rPr>
            <w:fldChar w:fldCharType="end"/>
          </w:r>
        </w:p>
        <w:p>
          <w:pPr>
            <w:pStyle w:val="29"/>
            <w:tabs>
              <w:tab w:val="right" w:leader="dot" w:pos="10144"/>
            </w:tabs>
            <w:spacing w:line="360" w:lineRule="auto"/>
            <w:rPr>
              <w:rFonts w:hint="eastAsia" w:ascii="宋体" w:hAnsi="宋体" w:eastAsia="宋体" w:cs="宋体"/>
              <w:color w:val="auto"/>
              <w:sz w:val="22"/>
              <w:szCs w:val="22"/>
              <w:highlight w:val="none"/>
            </w:rPr>
          </w:pP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HYPERLINK \l _Toc17757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附件一：评标工作大纲</w:t>
          </w:r>
          <w:r>
            <w:rPr>
              <w:rStyle w:val="41"/>
              <w:rFonts w:hint="eastAsia" w:ascii="宋体" w:hAnsi="宋体" w:eastAsia="宋体" w:cs="宋体"/>
              <w:b/>
              <w:bCs/>
              <w:color w:val="auto"/>
              <w:kern w:val="44"/>
              <w:sz w:val="21"/>
              <w:szCs w:val="21"/>
              <w:highlight w:val="none"/>
              <w:lang w:val="zh-CN"/>
            </w:rPr>
            <w:tab/>
          </w:r>
          <w:r>
            <w:rPr>
              <w:rStyle w:val="41"/>
              <w:rFonts w:hint="eastAsia" w:ascii="宋体" w:hAnsi="宋体" w:eastAsia="宋体" w:cs="宋体"/>
              <w:b/>
              <w:bCs/>
              <w:color w:val="auto"/>
              <w:kern w:val="44"/>
              <w:sz w:val="21"/>
              <w:szCs w:val="21"/>
              <w:highlight w:val="none"/>
              <w:lang w:val="zh-CN"/>
            </w:rPr>
            <w:fldChar w:fldCharType="begin"/>
          </w:r>
          <w:r>
            <w:rPr>
              <w:rStyle w:val="41"/>
              <w:rFonts w:hint="eastAsia" w:ascii="宋体" w:hAnsi="宋体" w:eastAsia="宋体" w:cs="宋体"/>
              <w:b/>
              <w:bCs/>
              <w:color w:val="auto"/>
              <w:kern w:val="44"/>
              <w:sz w:val="21"/>
              <w:szCs w:val="21"/>
              <w:highlight w:val="none"/>
              <w:lang w:val="zh-CN"/>
            </w:rPr>
            <w:instrText xml:space="preserve"> PAGEREF _Toc17757 </w:instrText>
          </w:r>
          <w:r>
            <w:rPr>
              <w:rStyle w:val="41"/>
              <w:rFonts w:hint="eastAsia" w:ascii="宋体" w:hAnsi="宋体" w:eastAsia="宋体" w:cs="宋体"/>
              <w:b/>
              <w:bCs/>
              <w:color w:val="auto"/>
              <w:kern w:val="44"/>
              <w:sz w:val="21"/>
              <w:szCs w:val="21"/>
              <w:highlight w:val="none"/>
              <w:lang w:val="zh-CN"/>
            </w:rPr>
            <w:fldChar w:fldCharType="separate"/>
          </w:r>
          <w:r>
            <w:rPr>
              <w:rStyle w:val="41"/>
              <w:rFonts w:hint="eastAsia" w:ascii="宋体" w:hAnsi="宋体" w:eastAsia="宋体" w:cs="宋体"/>
              <w:b/>
              <w:bCs/>
              <w:color w:val="auto"/>
              <w:kern w:val="44"/>
              <w:sz w:val="21"/>
              <w:szCs w:val="21"/>
              <w:highlight w:val="none"/>
              <w:lang w:val="zh-CN"/>
            </w:rPr>
            <w:t>101</w:t>
          </w:r>
          <w:r>
            <w:rPr>
              <w:rStyle w:val="41"/>
              <w:rFonts w:hint="eastAsia" w:ascii="宋体" w:hAnsi="宋体" w:eastAsia="宋体" w:cs="宋体"/>
              <w:b/>
              <w:bCs/>
              <w:color w:val="auto"/>
              <w:kern w:val="44"/>
              <w:sz w:val="21"/>
              <w:szCs w:val="21"/>
              <w:highlight w:val="none"/>
              <w:lang w:val="zh-CN"/>
            </w:rPr>
            <w:fldChar w:fldCharType="end"/>
          </w:r>
          <w:r>
            <w:rPr>
              <w:rStyle w:val="41"/>
              <w:rFonts w:hint="eastAsia" w:ascii="宋体" w:hAnsi="宋体" w:eastAsia="宋体" w:cs="宋体"/>
              <w:b/>
              <w:bCs/>
              <w:color w:val="auto"/>
              <w:kern w:val="44"/>
              <w:sz w:val="21"/>
              <w:szCs w:val="21"/>
              <w:highlight w:val="none"/>
              <w:lang w:val="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color w:val="auto"/>
              <w:highlight w:val="none"/>
            </w:rPr>
          </w:pPr>
          <w:r>
            <w:rPr>
              <w:rFonts w:hint="eastAsia" w:ascii="宋体" w:hAnsi="宋体" w:eastAsia="宋体" w:cs="宋体"/>
              <w:color w:val="auto"/>
              <w:sz w:val="22"/>
              <w:szCs w:val="22"/>
              <w:highlight w:val="none"/>
            </w:rPr>
            <w:fldChar w:fldCharType="end"/>
          </w:r>
        </w:p>
      </w:sdtContent>
    </w:sdt>
    <w:p>
      <w:pPr>
        <w:rPr>
          <w:color w:val="auto"/>
          <w:highlight w:val="none"/>
        </w:rPr>
      </w:pPr>
    </w:p>
    <w:p>
      <w:pP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5" w:name="_Toc27606"/>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东莞市水务环境投资控股集团净水有限公司</w:t>
      </w:r>
      <w:r>
        <w:rPr>
          <w:rFonts w:ascii="宋体" w:hAnsi="宋体" w:eastAsia="宋体" w:cs="Times New Roman"/>
          <w:color w:val="auto"/>
          <w:szCs w:val="21"/>
          <w:highlight w:val="none"/>
          <w:lang w:val="zh-CN"/>
        </w:rPr>
        <w:t>（以下简称“招标人”）的委托，对</w:t>
      </w:r>
      <w:bookmarkStart w:id="6" w:name="_Hlk41903390"/>
      <w:r>
        <w:rPr>
          <w:rFonts w:hint="eastAsia" w:ascii="宋体" w:hAnsi="宋体" w:eastAsia="宋体" w:cs="Times New Roman"/>
          <w:color w:val="auto"/>
          <w:kern w:val="0"/>
          <w:szCs w:val="21"/>
          <w:highlight w:val="none"/>
          <w:lang w:eastAsia="zh-CN"/>
        </w:rPr>
        <w:t>东莞市水务环境投资控股集团净水有限公司2026年-2027年生产药剂液体次氯酸钠采购项目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GXTZ-ZB-2026第（76）号</w:t>
      </w:r>
      <w:r>
        <w:rPr>
          <w:rFonts w:ascii="宋体" w:hAnsi="宋体" w:eastAsia="宋体" w:cs="Times New Roman"/>
          <w:color w:val="auto"/>
          <w:szCs w:val="21"/>
          <w:highlight w:val="none"/>
          <w:lang w:val="zh-CN"/>
        </w:rPr>
        <w:t>)</w:t>
      </w:r>
      <w:bookmarkEnd w:id="6"/>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3"/>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99"/>
        <w:gridCol w:w="1376"/>
        <w:gridCol w:w="1001"/>
        <w:gridCol w:w="1263"/>
        <w:gridCol w:w="3838"/>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815" w:hRule="atLeast"/>
          <w:jc w:val="center"/>
        </w:trPr>
        <w:tc>
          <w:tcPr>
            <w:tcW w:w="159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37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383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12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555" w:hRule="atLeast"/>
          <w:jc w:val="center"/>
        </w:trPr>
        <w:tc>
          <w:tcPr>
            <w:tcW w:w="159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w:t>
            </w:r>
            <w:r>
              <w:rPr>
                <w:rFonts w:hint="eastAsia" w:ascii="宋体" w:hAnsi="宋体" w:eastAsia="宋体" w:cs="宋体"/>
                <w:color w:val="auto"/>
                <w:sz w:val="21"/>
                <w:szCs w:val="21"/>
                <w:highlight w:val="none"/>
                <w:lang w:val="en-US" w:eastAsia="zh-CN"/>
              </w:rPr>
              <w:t>次氯酸钠</w:t>
            </w:r>
          </w:p>
        </w:tc>
        <w:tc>
          <w:tcPr>
            <w:tcW w:w="137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9978.678</w:t>
            </w:r>
            <w:r>
              <w:rPr>
                <w:rFonts w:hint="eastAsia" w:ascii="宋体" w:hAnsi="宋体" w:eastAsia="宋体" w:cs="宋体"/>
                <w:color w:val="auto"/>
                <w:sz w:val="21"/>
                <w:szCs w:val="21"/>
                <w:highlight w:val="none"/>
              </w:rPr>
              <w:t>吨</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537.15元/吨</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自合同签订之日起至202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年12月31日止</w:t>
            </w:r>
            <w:r>
              <w:rPr>
                <w:rFonts w:hint="eastAsia" w:ascii="宋体" w:hAnsi="宋体" w:eastAsia="宋体" w:cs="宋体"/>
                <w:color w:val="auto"/>
                <w:sz w:val="21"/>
                <w:szCs w:val="21"/>
                <w:highlight w:val="none"/>
              </w:rPr>
              <w:t>。</w:t>
            </w:r>
          </w:p>
        </w:tc>
        <w:tc>
          <w:tcPr>
            <w:tcW w:w="383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w:t>
            </w:r>
          </w:p>
        </w:tc>
        <w:tc>
          <w:tcPr>
            <w:tcW w:w="112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招标人在东莞市范围内的运营项目</w:t>
            </w:r>
            <w:r>
              <w:rPr>
                <w:rFonts w:hint="eastAsia" w:ascii="宋体" w:hAnsi="宋体" w:eastAsia="宋体" w:cs="宋体"/>
                <w:color w:val="auto"/>
                <w:sz w:val="21"/>
                <w:szCs w:val="21"/>
                <w:highlight w:val="none"/>
              </w:rPr>
              <w:t>。</w:t>
            </w:r>
          </w:p>
        </w:tc>
      </w:tr>
    </w:tbl>
    <w:p>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8"/>
        <w:spacing w:line="360" w:lineRule="auto"/>
        <w:ind w:right="-29" w:rightChars="-14" w:firstLine="0" w:firstLineChars="0"/>
        <w:jc w:val="both"/>
        <w:rPr>
          <w:rFonts w:hint="eastAsia" w:ascii="宋体" w:hAnsi="宋体" w:eastAsia="宋体" w:cs="宋体"/>
          <w:b/>
          <w:color w:val="auto"/>
          <w:sz w:val="21"/>
          <w:szCs w:val="21"/>
          <w:highlight w:val="none"/>
        </w:rPr>
      </w:pPr>
      <w:bookmarkStart w:id="7" w:name="_Toc25819"/>
      <w:r>
        <w:rPr>
          <w:rFonts w:hint="eastAsia" w:hAnsi="宋体" w:eastAsia="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投标人必须是投标产品的制造商；</w:t>
      </w:r>
    </w:p>
    <w:p>
      <w:pPr>
        <w:pStyle w:val="158"/>
        <w:spacing w:line="360" w:lineRule="auto"/>
        <w:ind w:left="422" w:right="-29" w:rightChars="-14" w:hanging="422" w:hangingChars="200"/>
        <w:jc w:val="both"/>
        <w:rPr>
          <w:rFonts w:hint="default" w:hAnsi="宋体" w:eastAsia="宋体"/>
          <w:b/>
          <w:color w:val="auto"/>
          <w:sz w:val="21"/>
          <w:szCs w:val="21"/>
          <w:highlight w:val="none"/>
          <w:lang w:val="en-US" w:eastAsia="zh-CN"/>
        </w:rPr>
      </w:pPr>
      <w:r>
        <w:rPr>
          <w:rFonts w:hint="eastAsia" w:ascii="宋体" w:hAnsi="宋体" w:eastAsia="宋体" w:cs="宋体"/>
          <w:b/>
          <w:color w:val="auto"/>
          <w:sz w:val="21"/>
          <w:szCs w:val="21"/>
          <w:highlight w:val="none"/>
        </w:rPr>
        <w:t>2.3 所投产品制造商须具有安全生产监督管理部门核发的合法有效的安全生产许可证（许可范围含次氯酸钠或次氯酸钠</w:t>
      </w:r>
      <w:r>
        <w:rPr>
          <w:rFonts w:hint="eastAsia" w:hAnsi="宋体" w:eastAsia="宋体" w:cs="宋体"/>
          <w:b/>
          <w:color w:val="auto"/>
          <w:sz w:val="21"/>
          <w:szCs w:val="21"/>
          <w:highlight w:val="none"/>
          <w:lang w:val="en-US" w:eastAsia="zh-CN"/>
        </w:rPr>
        <w:t>溶液</w:t>
      </w:r>
      <w:r>
        <w:rPr>
          <w:rFonts w:hint="eastAsia" w:ascii="宋体" w:hAnsi="宋体" w:eastAsia="宋体" w:cs="宋体"/>
          <w:b/>
          <w:color w:val="auto"/>
          <w:sz w:val="21"/>
          <w:szCs w:val="21"/>
          <w:highlight w:val="none"/>
        </w:rPr>
        <w:t>）及全国工业产品生产许可证（许可范围含次氯酸钠或次氯酸钠</w:t>
      </w:r>
      <w:r>
        <w:rPr>
          <w:rFonts w:hint="eastAsia" w:hAnsi="宋体" w:eastAsia="宋体" w:cs="宋体"/>
          <w:b/>
          <w:color w:val="auto"/>
          <w:sz w:val="21"/>
          <w:szCs w:val="21"/>
          <w:highlight w:val="none"/>
          <w:lang w:val="en-US" w:eastAsia="zh-CN"/>
        </w:rPr>
        <w:t>溶液</w:t>
      </w:r>
      <w:r>
        <w:rPr>
          <w:rFonts w:hint="eastAsia" w:ascii="宋体" w:hAnsi="宋体" w:eastAsia="宋体" w:cs="宋体"/>
          <w:b/>
          <w:color w:val="auto"/>
          <w:sz w:val="21"/>
          <w:szCs w:val="21"/>
          <w:highlight w:val="none"/>
        </w:rPr>
        <w:t>）；</w:t>
      </w:r>
    </w:p>
    <w:p>
      <w:pPr>
        <w:pStyle w:val="158"/>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投标人202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年1月1日</w:t>
      </w:r>
      <w:r>
        <w:rPr>
          <w:rFonts w:hint="eastAsia" w:hAnsi="宋体" w:eastAsia="宋体" w:cs="宋体"/>
          <w:b/>
          <w:color w:val="auto"/>
          <w:sz w:val="21"/>
          <w:szCs w:val="21"/>
          <w:highlight w:val="none"/>
          <w:lang w:val="zh-CN"/>
        </w:rPr>
        <w:t>以来</w:t>
      </w:r>
      <w:r>
        <w:rPr>
          <w:rFonts w:hint="eastAsia" w:hAnsi="宋体" w:eastAsia="宋体"/>
          <w:b/>
          <w:color w:val="auto"/>
          <w:sz w:val="21"/>
          <w:szCs w:val="21"/>
          <w:highlight w:val="none"/>
          <w:lang w:val="zh-CN"/>
        </w:rPr>
        <w:t>具有一份投标品牌液体次氯酸钠供货业绩（合同签订日期为202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年1月1日或以后）；</w:t>
      </w:r>
    </w:p>
    <w:p>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2.5 </w:t>
      </w:r>
      <w:r>
        <w:rPr>
          <w:rFonts w:hint="eastAsia" w:hAnsi="宋体" w:eastAsia="宋体"/>
          <w:b/>
          <w:color w:val="auto"/>
          <w:sz w:val="21"/>
          <w:szCs w:val="21"/>
          <w:highlight w:val="none"/>
          <w:lang w:val="zh-CN"/>
        </w:rPr>
        <w:t>本项目不接受联合体投标。</w:t>
      </w:r>
      <w:bookmarkEnd w:id="7"/>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03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26</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东莞市南城区塘贝北路福特大厦A区811</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网（www.dgweg.cn/）、招标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东莞市南城街道滨河路100号二期1号楼101室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万淑婷</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8" w:name="_Toc31764_WPSOffice_Level1"/>
      <w:bookmarkStart w:id="9" w:name="_Toc486167661"/>
      <w:bookmarkStart w:id="10"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广西同泽工程项目管理股份有限公司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szCs w:val="32"/>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szCs w:val="21"/>
          <w:highlight w:val="none"/>
          <w:u w:val="single"/>
          <w:lang w:val="en-US" w:eastAsia="zh-CN"/>
        </w:rPr>
        <w:t>东莞市南城区塘贝北路福特大厦A区811</w:t>
      </w:r>
      <w:r>
        <w:rPr>
          <w:rFonts w:hint="eastAsia" w:ascii="宋体" w:hAnsi="宋体" w:eastAsia="宋体" w:cs="Times New Roman"/>
          <w:color w:val="auto"/>
          <w:kern w:val="0"/>
          <w:szCs w:val="21"/>
          <w:highlight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kern w:val="0"/>
          <w:szCs w:val="21"/>
          <w:highlight w:val="none"/>
          <w:lang w:val="en-US" w:eastAsia="zh-CN"/>
        </w:rPr>
        <w:t>张晓彬</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lang w:val="en-US" w:eastAsia="zh-CN"/>
        </w:rPr>
        <w:t>0769-21688191</w:t>
      </w:r>
      <w:r>
        <w:rPr>
          <w:rFonts w:hint="eastAsia" w:ascii="宋体" w:hAnsi="宋体" w:eastAsia="宋体" w:cs="Times New Roman"/>
          <w:color w:val="auto"/>
          <w:kern w:val="0"/>
          <w:szCs w:val="21"/>
          <w:highlight w:val="none"/>
          <w:lang w:val="en-US" w:eastAsia="zh-CN"/>
        </w:rPr>
        <w:t xml:space="preserve"> </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1" w:name="_Toc12475"/>
      <w:bookmarkStart w:id="12" w:name="_Toc142508311"/>
      <w:bookmarkStart w:id="13" w:name="_Toc1773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8"/>
      <w:bookmarkEnd w:id="9"/>
      <w:bookmarkEnd w:id="10"/>
      <w:bookmarkEnd w:id="11"/>
      <w:bookmarkEnd w:id="12"/>
      <w:bookmarkEnd w:id="13"/>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 w:name="_Toc486167662"/>
      <w:bookmarkStart w:id="15" w:name="_Toc450662848"/>
      <w:bookmarkStart w:id="16" w:name="_Toc12880"/>
      <w:bookmarkStart w:id="17" w:name="_Toc16098"/>
      <w:bookmarkStart w:id="18" w:name="_Toc142508312"/>
      <w:bookmarkStart w:id="19" w:name="_Toc140596871"/>
      <w:bookmarkStart w:id="20" w:name="_Toc15366_WPSOffice_Level2"/>
      <w:r>
        <w:rPr>
          <w:rFonts w:hint="eastAsia" w:ascii="宋体" w:hAnsi="宋体" w:eastAsia="宋体" w:cs="宋体"/>
          <w:b/>
          <w:bCs/>
          <w:color w:val="auto"/>
          <w:kern w:val="44"/>
          <w:szCs w:val="21"/>
          <w:highlight w:val="none"/>
          <w:lang w:val="zh-CN"/>
        </w:rPr>
        <w:t>一、总则</w:t>
      </w:r>
      <w:bookmarkEnd w:id="14"/>
      <w:bookmarkEnd w:id="15"/>
      <w:bookmarkEnd w:id="16"/>
      <w:bookmarkEnd w:id="17"/>
      <w:bookmarkEnd w:id="18"/>
      <w:bookmarkEnd w:id="19"/>
      <w:bookmarkEnd w:id="20"/>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 w:name="_Toc16700"/>
      <w:bookmarkStart w:id="22" w:name="_Toc486167663"/>
      <w:bookmarkStart w:id="23" w:name="_Toc21710_WPSOffice_Level3"/>
      <w:bookmarkStart w:id="24" w:name="_Toc142508313"/>
      <w:bookmarkStart w:id="25" w:name="_Toc29658"/>
      <w:bookmarkStart w:id="26"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1"/>
      <w:bookmarkEnd w:id="22"/>
      <w:bookmarkEnd w:id="23"/>
      <w:bookmarkEnd w:id="24"/>
      <w:bookmarkEnd w:id="25"/>
      <w:bookmarkEnd w:id="26"/>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 w:name="_Toc30493"/>
      <w:bookmarkStart w:id="28" w:name="_Toc450662850"/>
      <w:bookmarkStart w:id="29" w:name="_Toc486167664"/>
      <w:bookmarkStart w:id="30" w:name="_Toc80_WPSOffice_Level3"/>
      <w:bookmarkStart w:id="31" w:name="_Toc142508314"/>
      <w:bookmarkStart w:id="32"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7"/>
      <w:bookmarkEnd w:id="28"/>
      <w:bookmarkEnd w:id="29"/>
      <w:bookmarkEnd w:id="30"/>
      <w:bookmarkEnd w:id="31"/>
      <w:bookmarkEnd w:id="32"/>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 w:name="_Toc8199"/>
      <w:bookmarkStart w:id="34" w:name="_Toc23847_WPSOffice_Level3"/>
      <w:bookmarkStart w:id="35" w:name="_Toc12258"/>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3"/>
      <w:bookmarkEnd w:id="34"/>
      <w:bookmarkEnd w:id="35"/>
      <w:bookmarkEnd w:id="3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w:t>
      </w:r>
      <w:r>
        <w:rPr>
          <w:rFonts w:hint="eastAsia" w:ascii="宋体" w:hAnsi="宋体" w:eastAsia="宋体" w:cs="Times New Roman"/>
          <w:color w:val="auto"/>
          <w:kern w:val="0"/>
          <w:szCs w:val="21"/>
          <w:highlight w:val="none"/>
          <w:lang w:val="en-US" w:eastAsia="zh-CN"/>
        </w:rPr>
        <w:t>投标</w:t>
      </w:r>
      <w:r>
        <w:rPr>
          <w:rFonts w:hint="eastAsia" w:ascii="宋体" w:hAnsi="宋体" w:eastAsia="宋体" w:cs="Times New Roman"/>
          <w:color w:val="auto"/>
          <w:kern w:val="0"/>
          <w:szCs w:val="21"/>
          <w:highlight w:val="none"/>
        </w:rPr>
        <w:t>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2121"/>
      <w:bookmarkStart w:id="52" w:name="_Toc142508316"/>
      <w:bookmarkStart w:id="53" w:name="_Toc23394"/>
      <w:bookmarkStart w:id="54"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1977670"/>
      <w:bookmarkStart w:id="56" w:name="_Toc533708070"/>
      <w:r>
        <w:rPr>
          <w:rFonts w:hint="eastAsia" w:ascii="宋体" w:hAnsi="宋体" w:eastAsia="宋体" w:cs="宋体"/>
          <w:color w:val="auto"/>
          <w:szCs w:val="21"/>
          <w:highlight w:val="none"/>
          <w:lang w:val="zh-CN"/>
        </w:rPr>
        <w:t>4.1  投标费用</w:t>
      </w:r>
      <w:bookmarkEnd w:id="55"/>
      <w:bookmarkEnd w:id="56"/>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7" w:name="_Toc1977672"/>
      <w:bookmarkStart w:id="58"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7"/>
      <w:bookmarkEnd w:id="5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1977673"/>
      <w:bookmarkStart w:id="60" w:name="_Toc533708073"/>
      <w:r>
        <w:rPr>
          <w:rFonts w:hint="eastAsia" w:ascii="宋体" w:hAnsi="宋体" w:eastAsia="宋体" w:cs="宋体"/>
          <w:color w:val="auto"/>
          <w:szCs w:val="21"/>
          <w:highlight w:val="none"/>
          <w:lang w:val="zh-CN"/>
        </w:rPr>
        <w:t>4.2  踏勘现场</w:t>
      </w:r>
      <w:bookmarkEnd w:id="59"/>
      <w:bookmarkEnd w:id="60"/>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1" w:name="_Toc533708076"/>
      <w:bookmarkStart w:id="62"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1"/>
      <w:bookmarkEnd w:id="62"/>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3" w:name="_Toc30507_WPSOffice_Level2"/>
      <w:bookmarkStart w:id="64" w:name="_Toc140596876"/>
      <w:bookmarkStart w:id="65" w:name="_Toc142508317"/>
      <w:bookmarkStart w:id="66" w:name="_Toc450662853"/>
      <w:bookmarkStart w:id="67" w:name="_Toc8016"/>
      <w:bookmarkStart w:id="68" w:name="_Toc486167667"/>
      <w:bookmarkStart w:id="69" w:name="_Toc1482"/>
      <w:r>
        <w:rPr>
          <w:rFonts w:hint="eastAsia" w:ascii="宋体" w:hAnsi="宋体" w:eastAsia="宋体" w:cs="宋体"/>
          <w:b/>
          <w:bCs/>
          <w:color w:val="auto"/>
          <w:kern w:val="44"/>
          <w:szCs w:val="21"/>
          <w:highlight w:val="none"/>
          <w:lang w:val="zh-CN"/>
        </w:rPr>
        <w:t>二、招标文件</w:t>
      </w:r>
      <w:bookmarkEnd w:id="63"/>
      <w:bookmarkEnd w:id="64"/>
      <w:bookmarkEnd w:id="65"/>
      <w:bookmarkEnd w:id="66"/>
      <w:bookmarkEnd w:id="67"/>
      <w:bookmarkEnd w:id="68"/>
      <w:bookmarkEnd w:id="69"/>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0" w:name="_Toc331"/>
      <w:bookmarkStart w:id="71" w:name="_Toc26635_WPSOffice_Level3"/>
      <w:bookmarkStart w:id="72" w:name="_Toc28179"/>
      <w:bookmarkStart w:id="73" w:name="_Toc486167668"/>
      <w:bookmarkStart w:id="74" w:name="_Toc450662854"/>
      <w:bookmarkStart w:id="75"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0"/>
      <w:bookmarkEnd w:id="71"/>
      <w:bookmarkEnd w:id="72"/>
      <w:bookmarkEnd w:id="73"/>
      <w:bookmarkEnd w:id="74"/>
      <w:bookmarkEnd w:id="7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广西同泽工程项目管理股份有限公司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东莞市水务环境投资控股集团净水有限公司2026年-2027年生产药剂液体次氯酸钠采购项目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w:t>
      </w:r>
      <w:r>
        <w:rPr>
          <w:rFonts w:hint="eastAsia" w:ascii="宋体" w:hAnsi="宋体" w:eastAsia="宋体" w:cs="宋体"/>
          <w:color w:val="auto"/>
          <w:sz w:val="21"/>
          <w:szCs w:val="21"/>
          <w:highlight w:val="none"/>
          <w:lang w:val="en-US" w:eastAsia="zh-CN"/>
        </w:rPr>
        <w:t>招标人、招标人权属子公司、尚源公司</w:t>
      </w:r>
      <w:r>
        <w:rPr>
          <w:rFonts w:hint="eastAsia" w:ascii="宋体" w:hAnsi="宋体" w:eastAsia="宋体" w:cs="Times New Roman"/>
          <w:color w:val="auto"/>
          <w:kern w:val="0"/>
          <w:szCs w:val="21"/>
          <w:highlight w:val="none"/>
        </w:rPr>
        <w:t>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）“甲方”指在合同条款中指明的购买货物及有关服务的单位，即东莞市水务环境投资控股集团净水有限公司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东莞市石鼓净水有限公司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lang w:bidi="ar"/>
        </w:rPr>
        <w:t>东莞市清源净水科技有限公司</w:t>
      </w:r>
      <w:r>
        <w:rPr>
          <w:rFonts w:hint="eastAsia" w:ascii="宋体" w:hAnsi="宋体" w:eastAsia="宋体" w:cs="宋体"/>
          <w:color w:val="auto"/>
          <w:szCs w:val="21"/>
          <w:highlight w:val="none"/>
          <w:lang w:eastAsia="zh-CN" w:bidi="ar"/>
        </w:rPr>
        <w:t>、东莞市莞水装备科技有限公司、</w:t>
      </w:r>
      <w:r>
        <w:rPr>
          <w:rFonts w:hint="eastAsia" w:ascii="宋体" w:hAnsi="宋体" w:eastAsia="宋体" w:cs="宋体"/>
          <w:color w:val="auto"/>
          <w:szCs w:val="21"/>
          <w:highlight w:val="none"/>
          <w:lang w:bidi="ar"/>
        </w:rPr>
        <w:t>东莞市尚源环能科技有限公司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规定的销售额。</w:t>
      </w:r>
      <w:r>
        <w:rPr>
          <w:rFonts w:hint="eastAsia" w:ascii="宋体" w:hAnsi="宋体" w:eastAsia="宋体" w:cs="Times New Roman"/>
          <w:color w:val="auto"/>
          <w:kern w:val="0"/>
          <w:szCs w:val="21"/>
          <w:highlight w:val="none"/>
        </w:rPr>
        <w:t>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6" w:name="_Toc29125_WPSOffice_Level3"/>
      <w:bookmarkStart w:id="77" w:name="_Toc18407"/>
      <w:bookmarkStart w:id="78" w:name="_Toc142508319"/>
      <w:bookmarkStart w:id="79" w:name="_Toc3815"/>
      <w:bookmarkStart w:id="80" w:name="_Toc486167669"/>
      <w:bookmarkStart w:id="81"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6"/>
      <w:bookmarkEnd w:id="77"/>
      <w:bookmarkEnd w:id="78"/>
      <w:bookmarkEnd w:id="79"/>
      <w:bookmarkEnd w:id="80"/>
      <w:bookmarkEnd w:id="81"/>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2" w:name="_Toc486167670"/>
      <w:bookmarkStart w:id="83" w:name="_Toc142508320"/>
      <w:bookmarkStart w:id="84" w:name="_Toc23483_WPSOffice_Level3"/>
      <w:bookmarkStart w:id="85" w:name="_Toc26320"/>
      <w:bookmarkStart w:id="86" w:name="_Toc450662856"/>
      <w:bookmarkStart w:id="87" w:name="_Toc1224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2"/>
      <w:bookmarkEnd w:id="83"/>
      <w:bookmarkEnd w:id="84"/>
      <w:bookmarkEnd w:id="85"/>
      <w:bookmarkEnd w:id="86"/>
      <w:bookmarkEnd w:id="8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1"/>
          <w:rFonts w:hint="eastAsia" w:ascii="宋体" w:hAnsi="宋体" w:eastAsia="宋体" w:cs="Times New Roman"/>
          <w:color w:val="auto"/>
          <w:szCs w:val="21"/>
          <w:highlight w:val="none"/>
        </w:rPr>
        <w:t>www.dgweg.cn/</w:t>
      </w:r>
      <w:r>
        <w:rPr>
          <w:rStyle w:val="41"/>
          <w:rFonts w:ascii="宋体" w:hAnsi="宋体" w:eastAsia="宋体" w:cs="Times New Roman"/>
          <w:color w:val="auto"/>
          <w:sz w:val="21"/>
          <w:szCs w:val="21"/>
          <w:highlight w:val="none"/>
        </w:rPr>
        <w:t>）</w:t>
      </w:r>
      <w:r>
        <w:rPr>
          <w:rStyle w:val="41"/>
          <w:rFonts w:ascii="宋体" w:hAnsi="宋体" w:eastAsia="宋体" w:cs="Times New Roman"/>
          <w:color w:val="auto"/>
          <w:sz w:val="21"/>
          <w:szCs w:val="21"/>
          <w:highlight w:val="none"/>
          <w:lang w:val="zh-CN"/>
        </w:rPr>
        <w:t>、</w:t>
      </w:r>
      <w:r>
        <w:rPr>
          <w:rStyle w:val="41"/>
          <w:rFonts w:hint="eastAsia" w:ascii="宋体" w:hAnsi="宋体" w:eastAsia="宋体" w:cs="Times New Roman"/>
          <w:bCs/>
          <w:color w:val="auto"/>
          <w:kern w:val="0"/>
          <w:sz w:val="21"/>
          <w:szCs w:val="21"/>
          <w:highlight w:val="none"/>
        </w:rPr>
        <w:t>招标代理</w:t>
      </w:r>
      <w:r>
        <w:rPr>
          <w:rStyle w:val="41"/>
          <w:rFonts w:hint="eastAsia" w:ascii="宋体" w:hAnsi="宋体" w:eastAsia="宋体" w:cs="Times New Roman"/>
          <w:bCs/>
          <w:color w:val="auto"/>
          <w:kern w:val="0"/>
          <w:sz w:val="21"/>
          <w:szCs w:val="21"/>
          <w:highlight w:val="none"/>
          <w:lang w:val="en-US" w:eastAsia="zh-CN"/>
        </w:rPr>
        <w:t>机构</w:t>
      </w:r>
      <w:r>
        <w:rPr>
          <w:rStyle w:val="41"/>
          <w:rFonts w:hint="eastAsia" w:ascii="宋体" w:hAnsi="宋体" w:eastAsia="宋体" w:cs="Times New Roman"/>
          <w:bCs/>
          <w:color w:val="auto"/>
          <w:kern w:val="0"/>
          <w:sz w:val="21"/>
          <w:szCs w:val="21"/>
          <w:highlight w:val="none"/>
        </w:rPr>
        <w:t>网站</w:t>
      </w:r>
      <w:r>
        <w:rPr>
          <w:rFonts w:hint="eastAsia" w:ascii="宋体" w:hAnsi="宋体" w:eastAsia="宋体" w:cs="Times New Roman"/>
          <w:color w:val="auto"/>
          <w:szCs w:val="21"/>
          <w:highlight w:val="none"/>
          <w:lang w:val="zh-CN"/>
        </w:rPr>
        <w:t>（</w:t>
      </w:r>
      <w:r>
        <w:rPr>
          <w:rStyle w:val="41"/>
          <w:rFonts w:hint="eastAsia" w:ascii="宋体" w:hAnsi="宋体" w:eastAsia="宋体" w:cs="Times New Roman"/>
          <w:bCs/>
          <w:color w:val="auto"/>
          <w:kern w:val="0"/>
          <w:sz w:val="21"/>
          <w:szCs w:val="21"/>
          <w:highlight w:val="none"/>
        </w:rPr>
        <w:t>http://www.gxtzfz.cn/</w:t>
      </w:r>
      <w:r>
        <w:rPr>
          <w:rFonts w:ascii="宋体" w:hAnsi="宋体" w:eastAsia="宋体" w:cs="Times New Roman"/>
          <w:color w:val="auto"/>
          <w:szCs w:val="21"/>
          <w:highlight w:val="none"/>
          <w:lang w:val="zh-CN"/>
        </w:rPr>
        <w:t>）</w:t>
      </w:r>
      <w:r>
        <w:rPr>
          <w:rStyle w:val="4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8" w:name="_Toc450662857"/>
      <w:bookmarkStart w:id="89" w:name="_Toc29659_WPSOffice_Level2"/>
      <w:bookmarkStart w:id="90" w:name="_Toc6039"/>
      <w:bookmarkStart w:id="91" w:name="_Toc140596880"/>
      <w:bookmarkStart w:id="92" w:name="_Toc614"/>
      <w:bookmarkStart w:id="93" w:name="_Toc486167671"/>
      <w:bookmarkStart w:id="94" w:name="_Toc142508321"/>
      <w:r>
        <w:rPr>
          <w:rFonts w:hint="eastAsia" w:ascii="宋体" w:hAnsi="宋体" w:eastAsia="宋体" w:cs="宋体"/>
          <w:b/>
          <w:bCs/>
          <w:color w:val="auto"/>
          <w:kern w:val="44"/>
          <w:szCs w:val="21"/>
          <w:highlight w:val="none"/>
          <w:lang w:val="zh-CN"/>
        </w:rPr>
        <w:t>三、投标文件的编制</w:t>
      </w:r>
      <w:bookmarkEnd w:id="88"/>
      <w:bookmarkEnd w:id="89"/>
      <w:bookmarkEnd w:id="90"/>
      <w:bookmarkEnd w:id="91"/>
      <w:bookmarkEnd w:id="92"/>
      <w:bookmarkEnd w:id="93"/>
      <w:bookmarkEnd w:id="94"/>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29320"/>
      <w:bookmarkStart w:id="96" w:name="_Toc10015_WPSOffice_Level3"/>
      <w:bookmarkStart w:id="97" w:name="_Toc142508322"/>
      <w:bookmarkStart w:id="98" w:name="_Toc450662858"/>
      <w:bookmarkStart w:id="99" w:name="_Toc486167672"/>
      <w:bookmarkStart w:id="100" w:name="_Toc2577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5"/>
      <w:bookmarkEnd w:id="96"/>
      <w:bookmarkEnd w:id="97"/>
      <w:bookmarkEnd w:id="98"/>
      <w:bookmarkEnd w:id="99"/>
      <w:bookmarkEnd w:id="10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1" w:name="_Toc24916_WPSOffice_Level3"/>
      <w:bookmarkStart w:id="102" w:name="_Toc1879"/>
      <w:bookmarkStart w:id="103" w:name="_Toc142508323"/>
      <w:bookmarkStart w:id="104" w:name="_Toc450662859"/>
      <w:bookmarkStart w:id="105" w:name="_Toc486167673"/>
      <w:bookmarkStart w:id="106" w:name="_Toc4845"/>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1"/>
      <w:bookmarkEnd w:id="102"/>
      <w:bookmarkEnd w:id="103"/>
      <w:bookmarkEnd w:id="104"/>
      <w:bookmarkEnd w:id="105"/>
      <w:bookmarkEnd w:id="106"/>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numPr>
          <w:ilvl w:val="0"/>
          <w:numId w:val="0"/>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rPr>
        <w:t>制造商资格声明</w:t>
      </w:r>
      <w:r>
        <w:rPr>
          <w:rFonts w:hint="eastAsia" w:ascii="宋体" w:hAnsi="宋体" w:eastAsia="宋体" w:cs="宋体"/>
          <w:color w:val="auto"/>
          <w:kern w:val="2"/>
          <w:sz w:val="21"/>
          <w:szCs w:val="21"/>
          <w:highlight w:val="none"/>
        </w:rPr>
        <w:t>；</w:t>
      </w:r>
    </w:p>
    <w:p>
      <w:pPr>
        <w:tabs>
          <w:tab w:val="left" w:pos="1276"/>
        </w:tabs>
        <w:spacing w:line="360" w:lineRule="auto"/>
        <w:ind w:left="283" w:hanging="283" w:hangingChars="135"/>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b/>
          <w:color w:val="auto"/>
          <w:sz w:val="21"/>
          <w:szCs w:val="21"/>
          <w:highlight w:val="none"/>
        </w:rPr>
        <w:t>所投产品制造商须具有安全生产监督管理部门核发的合法有效的安全生产许可证（许可范围含次氯酸钠或次氯酸钠</w:t>
      </w:r>
      <w:r>
        <w:rPr>
          <w:rFonts w:hint="eastAsia" w:ascii="宋体" w:hAnsi="宋体" w:eastAsia="宋体" w:cs="宋体"/>
          <w:b/>
          <w:color w:val="auto"/>
          <w:sz w:val="21"/>
          <w:szCs w:val="21"/>
          <w:highlight w:val="none"/>
          <w:lang w:val="en-US" w:eastAsia="zh-CN"/>
        </w:rPr>
        <w:t>溶液</w:t>
      </w:r>
      <w:r>
        <w:rPr>
          <w:rFonts w:hint="eastAsia" w:ascii="宋体" w:hAnsi="宋体" w:eastAsia="宋体" w:cs="宋体"/>
          <w:b/>
          <w:color w:val="auto"/>
          <w:sz w:val="21"/>
          <w:szCs w:val="21"/>
          <w:highlight w:val="none"/>
        </w:rPr>
        <w:t>）及全国工业产品生产许可证（许可范围含次氯酸钠或次氯酸钠</w:t>
      </w:r>
      <w:r>
        <w:rPr>
          <w:rFonts w:hint="eastAsia" w:ascii="宋体" w:hAnsi="宋体" w:eastAsia="宋体" w:cs="宋体"/>
          <w:b/>
          <w:color w:val="auto"/>
          <w:sz w:val="21"/>
          <w:szCs w:val="21"/>
          <w:highlight w:val="none"/>
          <w:lang w:val="en-US" w:eastAsia="zh-CN"/>
        </w:rPr>
        <w:t>溶液</w:t>
      </w:r>
      <w:r>
        <w:rPr>
          <w:rFonts w:hint="eastAsia" w:ascii="宋体" w:hAnsi="宋体" w:eastAsia="宋体" w:cs="宋体"/>
          <w:b/>
          <w:color w:val="auto"/>
          <w:sz w:val="21"/>
          <w:szCs w:val="21"/>
          <w:highlight w:val="none"/>
        </w:rPr>
        <w:t>）；</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年1月1日以来具有的投标品牌</w:t>
      </w:r>
      <w:r>
        <w:rPr>
          <w:rFonts w:hint="eastAsia" w:ascii="宋体" w:hAnsi="宋体" w:eastAsia="宋体" w:cs="宋体"/>
          <w:color w:val="auto"/>
          <w:sz w:val="21"/>
          <w:szCs w:val="21"/>
          <w:highlight w:val="none"/>
        </w:rPr>
        <w:t>液体</w:t>
      </w:r>
      <w:r>
        <w:rPr>
          <w:rFonts w:hint="eastAsia" w:ascii="宋体" w:hAnsi="宋体" w:eastAsia="宋体" w:cs="宋体"/>
          <w:color w:val="auto"/>
          <w:sz w:val="21"/>
          <w:szCs w:val="21"/>
          <w:highlight w:val="none"/>
          <w:lang w:val="en-US" w:eastAsia="zh-CN"/>
        </w:rPr>
        <w:t>次氯酸钠</w:t>
      </w:r>
      <w:r>
        <w:rPr>
          <w:rFonts w:hint="eastAsia" w:ascii="宋体" w:hAnsi="宋体" w:eastAsia="宋体"/>
          <w:color w:val="auto"/>
          <w:szCs w:val="21"/>
          <w:highlight w:val="none"/>
        </w:rPr>
        <w:t>供货业绩（合同签订日期为202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7</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r>
        <w:rPr>
          <w:rFonts w:hint="eastAsia" w:ascii="宋体" w:hAnsi="宋体" w:eastAsia="宋体" w:cs="Times New Roman"/>
          <w:color w:val="auto"/>
          <w:kern w:val="0"/>
          <w:szCs w:val="21"/>
          <w:highlight w:val="none"/>
          <w:lang w:val="zh-CN"/>
        </w:rPr>
        <w:t>；</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）生产工艺；</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eastAsia="zh-CN"/>
        </w:rPr>
        <w:t>供货保障能力</w:t>
      </w:r>
      <w:r>
        <w:rPr>
          <w:rFonts w:hint="eastAsia" w:ascii="宋体" w:hAnsi="宋体" w:eastAsia="宋体" w:cs="宋体"/>
          <w:color w:val="auto"/>
          <w:kern w:val="0"/>
          <w:szCs w:val="21"/>
          <w:highlight w:val="none"/>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）质量保证体系和措施；</w:t>
      </w:r>
    </w:p>
    <w:p>
      <w:pPr>
        <w:tabs>
          <w:tab w:val="left" w:pos="567"/>
        </w:tabs>
        <w:spacing w:line="360" w:lineRule="auto"/>
        <w:ind w:left="105" w:leftChars="-100" w:hanging="315" w:hangingChars="150"/>
        <w:rPr>
          <w:rFonts w:hint="eastAsia"/>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en-US" w:eastAsia="zh-CN"/>
        </w:rPr>
        <w:t>能力</w:t>
      </w:r>
      <w:r>
        <w:rPr>
          <w:rFonts w:hint="eastAsia" w:ascii="宋体" w:hAnsi="宋体" w:eastAsia="宋体" w:cs="宋体"/>
          <w:color w:val="auto"/>
          <w:szCs w:val="21"/>
          <w:highlight w:val="none"/>
          <w:lang w:val="zh-CN"/>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8675_WPSOffice_Level3"/>
      <w:bookmarkStart w:id="108" w:name="_Toc486167674"/>
      <w:bookmarkStart w:id="109" w:name="_Toc142508324"/>
      <w:bookmarkStart w:id="110" w:name="_Toc9934"/>
      <w:bookmarkStart w:id="111" w:name="_Toc450662860"/>
      <w:bookmarkStart w:id="112"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7"/>
      <w:bookmarkEnd w:id="108"/>
      <w:bookmarkEnd w:id="109"/>
      <w:bookmarkEnd w:id="110"/>
      <w:bookmarkEnd w:id="111"/>
      <w:bookmarkEnd w:id="112"/>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3" w:name="_Toc450662861"/>
      <w:bookmarkStart w:id="114" w:name="_Toc142508325"/>
      <w:bookmarkStart w:id="115" w:name="_Toc4385_WPSOffice_Level3"/>
      <w:bookmarkStart w:id="116" w:name="_Toc28822"/>
      <w:bookmarkStart w:id="117" w:name="_Toc30128"/>
      <w:bookmarkStart w:id="118"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3"/>
      <w:bookmarkEnd w:id="114"/>
      <w:bookmarkEnd w:id="115"/>
      <w:bookmarkEnd w:id="116"/>
      <w:bookmarkEnd w:id="117"/>
      <w:bookmarkEnd w:id="11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88" w:leftChars="137"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autoSpaceDE w:val="0"/>
        <w:autoSpaceDN w:val="0"/>
        <w:adjustRightInd w:val="0"/>
        <w:spacing w:line="360" w:lineRule="auto"/>
        <w:ind w:left="288" w:leftChars="137"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w:t>
      </w:r>
      <w:r>
        <w:rPr>
          <w:rFonts w:hint="eastAsia" w:ascii="宋体" w:hAnsi="宋体" w:eastAsia="宋体" w:cs="宋体"/>
          <w:b/>
          <w:color w:val="auto"/>
          <w:szCs w:val="21"/>
          <w:highlight w:val="none"/>
          <w:lang w:val="zh-CN" w:eastAsia="zh-CN"/>
        </w:rPr>
        <w:t>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报价平均值50%的；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（4）评审委员会认为投标</w:t>
      </w:r>
      <w:r>
        <w:rPr>
          <w:rFonts w:hint="eastAsia" w:ascii="宋体" w:hAnsi="宋体" w:eastAsia="宋体" w:cs="宋体"/>
          <w:b/>
          <w:color w:val="auto"/>
          <w:szCs w:val="21"/>
          <w:highlight w:val="none"/>
          <w:lang w:val="en-US" w:eastAsia="zh-CN"/>
        </w:rPr>
        <w:t>人</w:t>
      </w:r>
      <w:r>
        <w:rPr>
          <w:rFonts w:hint="eastAsia" w:ascii="宋体" w:hAnsi="宋体" w:eastAsia="宋体" w:cs="宋体"/>
          <w:b/>
          <w:color w:val="auto"/>
          <w:szCs w:val="21"/>
          <w:highlight w:val="none"/>
          <w:lang w:val="zh-CN"/>
        </w:rPr>
        <w:t>报价过低，有可能影响产品质量或者不能诚信履约的。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投标人的报价为综合单价(元/吨)乘以货物暂定</w:t>
      </w:r>
      <w:r>
        <w:rPr>
          <w:rFonts w:hint="eastAsia" w:ascii="宋体" w:hAnsi="宋体" w:eastAsia="宋体" w:cs="宋体"/>
          <w:b/>
          <w:color w:val="auto"/>
          <w:kern w:val="2"/>
          <w:sz w:val="21"/>
          <w:szCs w:val="21"/>
          <w:highlight w:val="none"/>
          <w:lang w:val="en-US" w:eastAsia="zh-CN"/>
        </w:rPr>
        <w:t>采购</w:t>
      </w:r>
      <w:r>
        <w:rPr>
          <w:rFonts w:hint="eastAsia" w:ascii="宋体" w:hAnsi="宋体" w:eastAsia="宋体" w:cs="宋体"/>
          <w:b/>
          <w:color w:val="auto"/>
          <w:kern w:val="2"/>
          <w:sz w:val="21"/>
          <w:szCs w:val="21"/>
          <w:highlight w:val="none"/>
          <w:lang w:val="zh-CN"/>
        </w:rPr>
        <w:t>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w:t>
      </w:r>
      <w:r>
        <w:rPr>
          <w:rFonts w:hint="eastAsia" w:ascii="宋体" w:hAnsi="宋体" w:eastAsia="宋体" w:cs="宋体"/>
          <w:b/>
          <w:color w:val="auto"/>
          <w:szCs w:val="21"/>
          <w:highlight w:val="none"/>
          <w:u w:val="single"/>
          <w:lang w:val="zh-CN"/>
        </w:rPr>
        <w:t>《中华人民共和国增值税法》及其实施条例</w:t>
      </w:r>
      <w:r>
        <w:rPr>
          <w:rFonts w:hint="eastAsia" w:ascii="宋体" w:hAnsi="宋体" w:eastAsia="宋体" w:cs="Times New Roman"/>
          <w:b/>
          <w:color w:val="auto"/>
          <w:szCs w:val="21"/>
          <w:highlight w:val="none"/>
          <w:u w:val="single"/>
          <w:lang w:val="zh-CN"/>
        </w:rPr>
        <w:t>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（1）招标范围内所有货物的研究、采购、制造、检验、配合试验、包装、储存、运输（退换货运输）、称重、装卸、安全、保险、培训、验收等费用；</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（4）日常技术指导，免费的质保服务，包括但不限于免费对具有质量问题的货物进行处理或更换，并以招标人确认的最优化的产品成分配比向招标人供货；</w:t>
      </w:r>
    </w:p>
    <w:p>
      <w:pPr>
        <w:spacing w:line="360" w:lineRule="auto"/>
        <w:ind w:left="315" w:leftChars="-100" w:hanging="525" w:hangingChars="250"/>
        <w:rPr>
          <w:rFonts w:hint="eastAsia" w:ascii="宋体" w:hAnsi="宋体" w:eastAsia="宋体" w:cs="宋体"/>
          <w:color w:val="auto"/>
          <w:szCs w:val="21"/>
          <w:highlight w:val="none"/>
          <w:lang w:val="zh-CN"/>
        </w:rPr>
      </w:pPr>
      <w:bookmarkStart w:id="119" w:name="_Toc17217"/>
      <w:r>
        <w:rPr>
          <w:rFonts w:hint="eastAsia" w:ascii="宋体" w:hAnsi="宋体" w:eastAsia="宋体" w:cs="宋体"/>
          <w:color w:val="auto"/>
          <w:szCs w:val="21"/>
          <w:highlight w:val="none"/>
          <w:lang w:val="zh-CN"/>
        </w:rPr>
        <w:t>（5）合理利润、投标人销项税额以外的税费、中标服务费等；</w:t>
      </w:r>
      <w:bookmarkEnd w:id="119"/>
    </w:p>
    <w:p>
      <w:pPr>
        <w:autoSpaceDE w:val="0"/>
        <w:autoSpaceDN w:val="0"/>
        <w:adjustRightInd w:val="0"/>
        <w:spacing w:line="360" w:lineRule="auto"/>
        <w:ind w:left="357" w:leftChars="-100" w:hanging="567" w:firstLineChars="0"/>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w:t>
      </w:r>
      <w:r>
        <w:rPr>
          <w:rFonts w:hint="eastAsia" w:ascii="宋体" w:hAnsi="宋体" w:eastAsia="宋体" w:cs="宋体"/>
          <w:b/>
          <w:bCs/>
          <w:color w:val="auto"/>
          <w:kern w:val="0"/>
          <w:szCs w:val="21"/>
          <w:highlight w:val="none"/>
          <w:u w:val="single"/>
          <w:lang w:val="en-US" w:eastAsia="zh-CN"/>
        </w:rPr>
        <w:t>5,360,046.89</w:t>
      </w:r>
      <w:r>
        <w:rPr>
          <w:rFonts w:hint="eastAsia" w:ascii="宋体" w:hAnsi="宋体" w:eastAsia="宋体" w:cs="宋体"/>
          <w:b/>
          <w:bCs/>
          <w:color w:val="auto"/>
          <w:kern w:val="0"/>
          <w:szCs w:val="21"/>
          <w:highlight w:val="none"/>
          <w:u w:val="single"/>
        </w:rPr>
        <w:t>元（大写：</w:t>
      </w:r>
      <w:r>
        <w:rPr>
          <w:rFonts w:hint="eastAsia" w:ascii="宋体" w:hAnsi="宋体" w:eastAsia="宋体" w:cs="宋体"/>
          <w:b/>
          <w:bCs/>
          <w:color w:val="auto"/>
          <w:kern w:val="0"/>
          <w:szCs w:val="21"/>
          <w:highlight w:val="none"/>
          <w:u w:val="single"/>
          <w:lang w:val="en-US" w:eastAsia="zh-CN"/>
        </w:rPr>
        <w:t>伍佰叁拾陆万零肆拾陆元捌角玖分</w:t>
      </w:r>
      <w:r>
        <w:rPr>
          <w:rFonts w:hint="eastAsia" w:ascii="宋体" w:hAnsi="宋体" w:eastAsia="宋体" w:cs="宋体"/>
          <w:b/>
          <w:bCs/>
          <w:color w:val="auto"/>
          <w:kern w:val="0"/>
          <w:szCs w:val="21"/>
          <w:highlight w:val="none"/>
          <w:u w:val="single"/>
        </w:rPr>
        <w:t>），不含税预算综合单价为</w:t>
      </w:r>
      <w:r>
        <w:rPr>
          <w:rFonts w:hint="eastAsia" w:ascii="宋体" w:hAnsi="宋体" w:eastAsia="宋体" w:cs="宋体"/>
          <w:b/>
          <w:bCs/>
          <w:color w:val="auto"/>
          <w:kern w:val="0"/>
          <w:szCs w:val="21"/>
          <w:highlight w:val="none"/>
          <w:u w:val="single"/>
          <w:lang w:val="en-US" w:eastAsia="zh-CN"/>
        </w:rPr>
        <w:t>537.15</w:t>
      </w:r>
      <w:r>
        <w:rPr>
          <w:rFonts w:hint="eastAsia" w:ascii="宋体" w:hAnsi="宋体" w:eastAsia="宋体" w:cs="宋体"/>
          <w:b/>
          <w:bCs/>
          <w:color w:val="auto"/>
          <w:kern w:val="0"/>
          <w:szCs w:val="21"/>
          <w:highlight w:val="none"/>
          <w:u w:val="single"/>
        </w:rPr>
        <w:t>元/吨（大写：</w:t>
      </w:r>
      <w:r>
        <w:rPr>
          <w:rFonts w:hint="eastAsia" w:ascii="宋体" w:hAnsi="宋体" w:eastAsia="宋体" w:cs="宋体"/>
          <w:b/>
          <w:bCs/>
          <w:color w:val="auto"/>
          <w:kern w:val="0"/>
          <w:szCs w:val="21"/>
          <w:highlight w:val="none"/>
          <w:u w:val="single"/>
          <w:lang w:val="en-US" w:eastAsia="zh-CN"/>
        </w:rPr>
        <w:t>每吨伍佰叁拾柒元壹角伍分</w:t>
      </w:r>
      <w:r>
        <w:rPr>
          <w:rFonts w:hint="eastAsia" w:ascii="宋体" w:hAnsi="宋体" w:eastAsia="宋体" w:cs="宋体"/>
          <w:b/>
          <w:bCs/>
          <w:color w:val="auto"/>
          <w:kern w:val="0"/>
          <w:szCs w:val="21"/>
          <w:highlight w:val="none"/>
          <w:u w:val="single"/>
        </w:rPr>
        <w:t>）</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0" w:name="_Toc142508326"/>
      <w:bookmarkStart w:id="121" w:name="_Toc27756"/>
      <w:bookmarkStart w:id="122" w:name="_Toc450662862"/>
      <w:bookmarkStart w:id="123" w:name="_Toc30042_WPSOffice_Level3"/>
      <w:bookmarkStart w:id="124" w:name="_Toc14068"/>
      <w:bookmarkStart w:id="12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25596"/>
      <w:bookmarkStart w:id="127" w:name="_Toc5435"/>
      <w:bookmarkStart w:id="128" w:name="_Toc450662863"/>
      <w:bookmarkStart w:id="129" w:name="_Toc486167677"/>
      <w:bookmarkStart w:id="130" w:name="_Toc9411_WPSOffice_Level3"/>
      <w:bookmarkStart w:id="131"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450662864"/>
      <w:bookmarkStart w:id="133" w:name="_Toc30441"/>
      <w:bookmarkStart w:id="134" w:name="_Toc486167678"/>
      <w:bookmarkStart w:id="135" w:name="_Toc27771_WPSOffice_Level3"/>
      <w:bookmarkStart w:id="136" w:name="_Toc3635"/>
      <w:bookmarkStart w:id="137"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142508329"/>
      <w:bookmarkStart w:id="139" w:name="_Toc486167679"/>
      <w:bookmarkStart w:id="140" w:name="_Toc5356_WPSOffice_Level3"/>
      <w:bookmarkStart w:id="141" w:name="_Toc24774"/>
      <w:bookmarkStart w:id="142" w:name="_Toc1479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100,000.00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壹拾万</w:t>
      </w:r>
      <w:r>
        <w:rPr>
          <w:rFonts w:hint="eastAsia" w:ascii="宋体" w:hAnsi="宋体" w:eastAsia="宋体" w:cs="宋体"/>
          <w:b/>
          <w:color w:val="auto"/>
          <w:kern w:val="0"/>
          <w:szCs w:val="21"/>
          <w:highlight w:val="none"/>
          <w:u w:val="single"/>
          <w:lang w:eastAsia="zh-CN"/>
        </w:rPr>
        <w:t>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开户名称：东莞市水务环境投资控股集团净水有限公司</w:t>
      </w:r>
    </w:p>
    <w:p>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开户银行：东莞银行股份有限公司东莞分行营业部</w:t>
      </w:r>
      <w:r>
        <w:rPr>
          <w:rFonts w:ascii="宋体" w:hAnsi="宋体" w:eastAsia="宋体" w:cs="Times New Roman"/>
          <w:b/>
          <w:bCs/>
          <w:color w:val="auto"/>
          <w:kern w:val="0"/>
          <w:szCs w:val="21"/>
          <w:highlight w:val="none"/>
          <w:lang w:val="zh-CN"/>
        </w:rPr>
        <w:t xml:space="preserve"> </w:t>
      </w:r>
    </w:p>
    <w:p>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银行账号：540008801002628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pStyle w:val="19"/>
        <w:spacing w:before="0"/>
        <w:ind w:left="315" w:leftChars="150"/>
        <w:rPr>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2649_WPSOffice_Level3"/>
      <w:bookmarkStart w:id="144" w:name="_Toc24933"/>
      <w:bookmarkStart w:id="145" w:name="_Toc142508330"/>
      <w:bookmarkStart w:id="146" w:name="_Toc450662865"/>
      <w:bookmarkStart w:id="147" w:name="_Toc10550"/>
      <w:bookmarkStart w:id="148"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450662866"/>
      <w:bookmarkStart w:id="150" w:name="_Toc25637_WPSOffice_Level3"/>
      <w:bookmarkStart w:id="151" w:name="_Toc142508331"/>
      <w:bookmarkStart w:id="152" w:name="_Toc24985"/>
      <w:bookmarkStart w:id="153" w:name="_Toc13311"/>
      <w:bookmarkStart w:id="154"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55"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140596891"/>
      <w:bookmarkStart w:id="157" w:name="_Toc142508332"/>
      <w:bookmarkStart w:id="158" w:name="_Toc486167682"/>
      <w:bookmarkStart w:id="159" w:name="_Toc22915"/>
      <w:bookmarkStart w:id="160" w:name="_Toc22356_WPSOffice_Level2"/>
      <w:bookmarkStart w:id="161" w:name="_Toc17608"/>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486167683"/>
      <w:bookmarkStart w:id="163" w:name="_Toc12192_WPSOffice_Level3"/>
      <w:bookmarkStart w:id="164" w:name="_Toc142508333"/>
      <w:bookmarkStart w:id="165" w:name="_Toc12260"/>
      <w:bookmarkStart w:id="166" w:name="_Toc450662868"/>
      <w:bookmarkStart w:id="167" w:name="_Toc990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29665_WPSOffice_Level3"/>
      <w:bookmarkStart w:id="169" w:name="_Toc450662869"/>
      <w:bookmarkStart w:id="170" w:name="_Toc15193"/>
      <w:bookmarkStart w:id="171" w:name="_Toc486167684"/>
      <w:bookmarkStart w:id="172" w:name="_Toc3384"/>
      <w:bookmarkStart w:id="173"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142508335"/>
      <w:bookmarkStart w:id="175" w:name="_Toc21091"/>
      <w:bookmarkStart w:id="176" w:name="_Toc22431_WPSOffice_Level3"/>
      <w:bookmarkStart w:id="177" w:name="_Toc450662870"/>
      <w:bookmarkStart w:id="178" w:name="_Toc486167685"/>
      <w:bookmarkStart w:id="179" w:name="_Toc6684"/>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142508336"/>
      <w:bookmarkStart w:id="181" w:name="_Toc29049"/>
      <w:bookmarkStart w:id="182" w:name="_Toc450662871"/>
      <w:bookmarkStart w:id="183" w:name="_Toc486167686"/>
      <w:bookmarkStart w:id="184" w:name="_Toc16964"/>
      <w:bookmarkStart w:id="185" w:name="_Toc4883_WPSOffice_Level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30282"/>
      <w:bookmarkStart w:id="187" w:name="_Toc450662872"/>
      <w:bookmarkStart w:id="188" w:name="_Toc1049_WPSOffice_Level2"/>
      <w:bookmarkStart w:id="189" w:name="_Toc142508337"/>
      <w:bookmarkStart w:id="190" w:name="_Toc486167687"/>
      <w:bookmarkStart w:id="191" w:name="_Toc27648"/>
      <w:bookmarkStart w:id="192" w:name="_Toc140596896"/>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486167688"/>
      <w:bookmarkStart w:id="194" w:name="_Toc144_WPSOffice_Level3"/>
      <w:bookmarkStart w:id="195" w:name="_Toc21900"/>
      <w:bookmarkStart w:id="196" w:name="_Toc142508338"/>
      <w:bookmarkStart w:id="197" w:name="_Toc7200"/>
      <w:bookmarkStart w:id="198"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2165_WPSOffice_Level3"/>
      <w:bookmarkStart w:id="200" w:name="_Toc142508339"/>
      <w:bookmarkStart w:id="201" w:name="_Toc450662874"/>
      <w:bookmarkStart w:id="202" w:name="_Toc2038"/>
      <w:bookmarkStart w:id="203" w:name="_Toc486167689"/>
      <w:bookmarkStart w:id="204" w:name="_Toc2940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7450"/>
      <w:bookmarkStart w:id="206" w:name="_Toc142508340"/>
      <w:bookmarkStart w:id="207" w:name="_Toc486167690"/>
      <w:bookmarkStart w:id="208" w:name="_Toc833"/>
      <w:bookmarkStart w:id="209" w:name="_Toc450662875"/>
      <w:bookmarkStart w:id="210"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15748"/>
      <w:bookmarkStart w:id="212" w:name="_Toc450662876"/>
      <w:bookmarkStart w:id="213" w:name="_Toc142508341"/>
      <w:bookmarkStart w:id="214" w:name="_Toc31399"/>
      <w:bookmarkStart w:id="215" w:name="_Toc486167691"/>
      <w:bookmarkStart w:id="216"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486167692"/>
      <w:bookmarkStart w:id="218" w:name="_Toc450662877"/>
      <w:bookmarkStart w:id="219" w:name="_Toc19907"/>
      <w:bookmarkStart w:id="220" w:name="_Toc338_WPSOffice_Level3"/>
      <w:bookmarkStart w:id="221" w:name="_Toc10130"/>
      <w:bookmarkStart w:id="222" w:name="_Toc14250834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4" w:name="_Toc522047355"/>
      <w:bookmarkStart w:id="225" w:name="_Toc18368_WPSOffice_Level3"/>
      <w:bookmarkStart w:id="226" w:name="_Toc521918096"/>
      <w:bookmarkStart w:id="227" w:name="_Toc14250834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022"/>
      <w:bookmarkStart w:id="229" w:name="_Toc710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2047356"/>
      <w:bookmarkStart w:id="231"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142508344"/>
      <w:bookmarkStart w:id="233" w:name="_Toc31734"/>
      <w:bookmarkStart w:id="234" w:name="_Toc21460_WPSOffice_Level3"/>
      <w:bookmarkStart w:id="235"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keepNext w:val="0"/>
        <w:keepLines w:val="0"/>
        <w:pageBreakBefore w:val="0"/>
        <w:widowControl w:val="0"/>
        <w:tabs>
          <w:tab w:val="left" w:pos="360"/>
        </w:tabs>
        <w:kinsoku/>
        <w:wordWrap/>
        <w:overflowPunct/>
        <w:topLinePunct w:val="0"/>
        <w:autoSpaceDE w:val="0"/>
        <w:autoSpaceDN w:val="0"/>
        <w:bidi w:val="0"/>
        <w:adjustRightInd w:val="0"/>
        <w:spacing w:line="336" w:lineRule="auto"/>
        <w:ind w:left="330" w:leftChars="-100" w:right="44" w:rightChars="21" w:hanging="54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若本次招标过程中，参与投标的投标人不足3个时，本项目公开招标失败。</w:t>
      </w:r>
    </w:p>
    <w:p>
      <w:pPr>
        <w:keepNext w:val="0"/>
        <w:keepLines w:val="0"/>
        <w:pageBreakBefore w:val="0"/>
        <w:widowControl w:val="0"/>
        <w:tabs>
          <w:tab w:val="left" w:pos="360"/>
        </w:tabs>
        <w:kinsoku/>
        <w:wordWrap/>
        <w:overflowPunct/>
        <w:topLinePunct w:val="0"/>
        <w:autoSpaceDE w:val="0"/>
        <w:autoSpaceDN w:val="0"/>
        <w:bidi w:val="0"/>
        <w:adjustRightInd w:val="0"/>
        <w:snapToGrid/>
        <w:spacing w:line="336" w:lineRule="auto"/>
        <w:ind w:left="0" w:leftChars="0" w:right="44" w:rightChars="21" w:firstLine="316" w:firstLineChars="150"/>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pPr>
        <w:autoSpaceDE w:val="0"/>
        <w:autoSpaceDN w:val="0"/>
        <w:adjustRightInd w:val="0"/>
        <w:spacing w:line="360" w:lineRule="auto"/>
        <w:ind w:left="441" w:leftChars="-60" w:right="0" w:rightChars="0" w:hanging="567" w:hangingChars="27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26996"/>
      <w:bookmarkStart w:id="237" w:name="_Toc466882017"/>
      <w:bookmarkStart w:id="238" w:name="_Toc465358969"/>
      <w:bookmarkStart w:id="239" w:name="_Toc15841"/>
      <w:bookmarkStart w:id="240" w:name="_Toc486167694"/>
      <w:bookmarkStart w:id="241" w:name="_Toc142508345"/>
      <w:bookmarkStart w:id="242"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28842"/>
      <w:bookmarkStart w:id="244" w:name="_Toc466882018"/>
      <w:bookmarkStart w:id="245" w:name="_Toc142508346"/>
      <w:bookmarkStart w:id="246" w:name="_Toc26138"/>
      <w:bookmarkStart w:id="247" w:name="_Toc1848_WPSOffice_Level3"/>
      <w:bookmarkStart w:id="248" w:name="_Toc465358970"/>
      <w:bookmarkStart w:id="249"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hint="eastAsia"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5358971"/>
      <w:bookmarkStart w:id="251"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26035"/>
      <w:bookmarkStart w:id="253" w:name="_Toc10867_WPSOffice_Level3"/>
      <w:bookmarkStart w:id="254" w:name="_Toc486167696"/>
      <w:bookmarkStart w:id="255" w:name="_Toc15916"/>
      <w:bookmarkStart w:id="256"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6848_WPSOffice_Level2"/>
      <w:bookmarkStart w:id="259" w:name="_Toc140596907"/>
      <w:bookmarkStart w:id="260" w:name="_Toc142508348"/>
      <w:bookmarkStart w:id="261" w:name="_Toc486167697"/>
      <w:bookmarkStart w:id="262" w:name="_Toc30123"/>
      <w:bookmarkStart w:id="263" w:name="_Toc18316"/>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21198"/>
      <w:bookmarkStart w:id="265" w:name="_Toc25540"/>
      <w:bookmarkStart w:id="266" w:name="_Toc486167698"/>
      <w:bookmarkStart w:id="267" w:name="_Toc142508349"/>
      <w:bookmarkStart w:id="268" w:name="_Toc6401_WPSOffice_Level3"/>
      <w:bookmarkStart w:id="269"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24266"/>
      <w:bookmarkStart w:id="272" w:name="_Toc6726_WPSOffice_Level3"/>
      <w:bookmarkStart w:id="273" w:name="_Toc17779"/>
      <w:bookmarkStart w:id="274" w:name="_Toc486167699"/>
      <w:bookmarkStart w:id="275"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9694_WPSOffice_Level3"/>
      <w:bookmarkStart w:id="278" w:name="_Toc32732"/>
      <w:bookmarkStart w:id="279" w:name="_Toc20617"/>
      <w:bookmarkStart w:id="280" w:name="_Toc486167700"/>
      <w:bookmarkStart w:id="281"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Times New Roman"/>
          <w:b/>
          <w:color w:val="auto"/>
          <w:szCs w:val="21"/>
          <w:highlight w:val="none"/>
          <w:u w:val="single"/>
          <w:lang w:val="en-US" w:eastAsia="zh-CN"/>
        </w:rPr>
        <w:t>招标人、</w:t>
      </w:r>
      <w:r>
        <w:rPr>
          <w:rFonts w:hint="eastAsia" w:ascii="宋体" w:hAnsi="宋体" w:eastAsia="宋体" w:cs="Times New Roman"/>
          <w:b/>
          <w:color w:val="auto"/>
          <w:szCs w:val="21"/>
          <w:highlight w:val="none"/>
          <w:u w:val="single"/>
          <w:lang w:val="zh-CN"/>
        </w:rPr>
        <w:t>招标人权属子公司、尚源公司（</w:t>
      </w:r>
      <w:r>
        <w:rPr>
          <w:rFonts w:hint="eastAsia" w:ascii="宋体" w:hAnsi="宋体" w:eastAsia="宋体" w:cs="Times New Roman"/>
          <w:b/>
          <w:color w:val="auto"/>
          <w:szCs w:val="21"/>
          <w:highlight w:val="none"/>
          <w:u w:val="single"/>
          <w:lang w:val="en-US" w:eastAsia="zh-CN"/>
        </w:rPr>
        <w:t>即</w:t>
      </w:r>
      <w:r>
        <w:rPr>
          <w:rFonts w:hint="eastAsia" w:ascii="宋体" w:hAnsi="宋体" w:eastAsia="宋体" w:cs="Times New Roman"/>
          <w:b/>
          <w:color w:val="auto"/>
          <w:szCs w:val="21"/>
          <w:highlight w:val="none"/>
          <w:u w:val="single"/>
          <w:lang w:val="zh-CN"/>
        </w:rPr>
        <w:t>东莞市水务环境投资控股集团净水有限公司、东莞市石鼓净水有限公司、东莞市清源净水科技有限公司</w:t>
      </w:r>
      <w:r>
        <w:rPr>
          <w:rFonts w:hint="eastAsia" w:ascii="宋体" w:hAnsi="宋体" w:eastAsia="宋体" w:cs="Times New Roman"/>
          <w:b w:val="0"/>
          <w:bCs/>
          <w:color w:val="auto"/>
          <w:szCs w:val="21"/>
          <w:highlight w:val="none"/>
          <w:u w:val="single"/>
          <w:lang w:val="zh-CN"/>
        </w:rPr>
        <w:t>、</w:t>
      </w:r>
      <w:r>
        <w:rPr>
          <w:rFonts w:hint="eastAsia" w:ascii="宋体" w:hAnsi="宋体" w:eastAsia="宋体" w:cs="宋体"/>
          <w:b/>
          <w:bCs w:val="0"/>
          <w:color w:val="auto"/>
          <w:szCs w:val="21"/>
          <w:highlight w:val="none"/>
          <w:lang w:eastAsia="zh-CN" w:bidi="ar"/>
        </w:rPr>
        <w:t>东莞市莞水装备科技有限公司、</w:t>
      </w:r>
      <w:r>
        <w:rPr>
          <w:rFonts w:hint="eastAsia" w:ascii="宋体" w:hAnsi="宋体" w:eastAsia="宋体" w:cs="Times New Roman"/>
          <w:b/>
          <w:color w:val="auto"/>
          <w:szCs w:val="21"/>
          <w:highlight w:val="none"/>
          <w:u w:val="single"/>
          <w:lang w:val="zh-CN"/>
        </w:rPr>
        <w:t>东莞市尚源环能科技有限公司）签订书面合同，具体签订方式以招标人通知为准。否则招标人有权取消中标资格并按招标文件及法律、法规的规定进行处理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pPr>
        <w:autoSpaceDE w:val="0"/>
        <w:autoSpaceDN w:val="0"/>
        <w:snapToGrid w:val="0"/>
        <w:spacing w:line="360" w:lineRule="auto"/>
        <w:ind w:left="315" w:hanging="525" w:hangingChars="2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eastAsia="zh-CN"/>
        </w:rPr>
        <w:t xml:space="preserve">34.3 </w:t>
      </w:r>
      <w:bookmarkStart w:id="282" w:name="_Toc8873"/>
      <w:bookmarkStart w:id="283" w:name="_Toc142508352"/>
      <w:bookmarkStart w:id="284" w:name="_Toc486167701"/>
      <w:bookmarkStart w:id="285" w:name="_Toc450662887"/>
      <w:bookmarkStart w:id="286" w:name="_Toc10513_WPSOffice_Level3"/>
      <w:r>
        <w:rPr>
          <w:rFonts w:hint="eastAsia" w:ascii="宋体" w:hAnsi="宋体" w:eastAsia="宋体" w:cs="Times New Roman"/>
          <w:color w:val="auto"/>
          <w:szCs w:val="21"/>
          <w:highlight w:val="none"/>
          <w:lang w:val="zh-CN"/>
        </w:rPr>
        <w:t>本项目中标人与东莞市水务环境投资控股集团净水有限公司、东莞市石鼓净水有限公司、东莞市清源净水科技有限公司、</w:t>
      </w:r>
      <w:r>
        <w:rPr>
          <w:rFonts w:hint="eastAsia" w:ascii="宋体" w:hAnsi="宋体" w:eastAsia="宋体" w:cs="宋体"/>
          <w:b w:val="0"/>
          <w:bCs w:val="0"/>
          <w:color w:val="auto"/>
          <w:szCs w:val="21"/>
          <w:highlight w:val="none"/>
          <w:lang w:eastAsia="zh-CN" w:bidi="ar"/>
        </w:rPr>
        <w:t>东莞市莞水装备科技有限公司、</w:t>
      </w:r>
      <w:r>
        <w:rPr>
          <w:rFonts w:hint="eastAsia" w:ascii="宋体" w:hAnsi="宋体" w:eastAsia="宋体" w:cs="Times New Roman"/>
          <w:color w:val="auto"/>
          <w:szCs w:val="21"/>
          <w:highlight w:val="none"/>
          <w:lang w:val="zh-CN"/>
        </w:rPr>
        <w:t>东莞市尚源环能科技有限公司</w:t>
      </w:r>
      <w:r>
        <w:rPr>
          <w:rFonts w:hint="eastAsia" w:ascii="宋体" w:hAnsi="宋体" w:eastAsia="宋体" w:cs="Times New Roman"/>
          <w:color w:val="auto"/>
          <w:szCs w:val="21"/>
          <w:highlight w:val="none"/>
          <w:lang w:val="en-US" w:eastAsia="zh-CN"/>
        </w:rPr>
        <w:t>共同</w:t>
      </w:r>
      <w:r>
        <w:rPr>
          <w:rFonts w:hint="eastAsia" w:ascii="宋体" w:hAnsi="宋体" w:eastAsia="宋体" w:cs="Times New Roman"/>
          <w:color w:val="auto"/>
          <w:szCs w:val="21"/>
          <w:highlight w:val="none"/>
          <w:lang w:val="zh-CN"/>
        </w:rPr>
        <w:t>签署合同。</w:t>
      </w:r>
    </w:p>
    <w:p>
      <w:pPr>
        <w:snapToGrid w:val="0"/>
        <w:spacing w:line="360" w:lineRule="auto"/>
        <w:ind w:left="630" w:leftChars="0" w:hanging="630" w:hangingChars="3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34.4 本项目</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单位（即中标人）合同履约期间，如因</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单位（即中标人）存在违约行为或因其他合同约定或法定事由，导致招标人依法依规解除本合同的，招标人有权按照本项目综合评审结果，</w:t>
      </w:r>
      <w:r>
        <w:rPr>
          <w:rFonts w:hint="eastAsia" w:ascii="宋体" w:hAnsi="宋体" w:eastAsia="宋体" w:cs="Times New Roman"/>
          <w:color w:val="auto"/>
          <w:szCs w:val="21"/>
          <w:highlight w:val="none"/>
          <w:lang w:val="en-US" w:eastAsia="zh-CN"/>
        </w:rPr>
        <w:t>从以下方式中择一确定后续安排：</w:t>
      </w:r>
    </w:p>
    <w:p>
      <w:pPr>
        <w:tabs>
          <w:tab w:val="left" w:pos="360"/>
          <w:tab w:val="left" w:pos="4725"/>
        </w:tabs>
        <w:autoSpaceDE w:val="0"/>
        <w:autoSpaceDN w:val="0"/>
        <w:adjustRightInd w:val="0"/>
        <w:snapToGrid/>
        <w:spacing w:line="360" w:lineRule="auto"/>
        <w:ind w:left="357" w:leftChars="-100" w:hanging="567" w:hangingChars="270"/>
        <w:jc w:val="left"/>
        <w:rPr>
          <w:rFonts w:hint="eastAsia" w:ascii="宋体" w:hAnsi="宋体" w:eastAsia="宋体" w:cs="Times New Roman"/>
          <w:color w:val="auto"/>
          <w:szCs w:val="21"/>
          <w:highlight w:val="none"/>
          <w:lang w:val="zh-CN"/>
        </w:rPr>
      </w:pPr>
      <w:r>
        <w:rPr>
          <w:rFonts w:hint="eastAsia" w:ascii="宋体" w:hAnsi="宋体" w:eastAsia="宋体" w:cs="Times New Roman"/>
          <w:b w:val="0"/>
          <w:bCs w:val="0"/>
          <w:color w:val="auto"/>
          <w:szCs w:val="21"/>
          <w:highlight w:val="none"/>
          <w:lang w:val="en-US" w:eastAsia="zh-CN"/>
        </w:rPr>
        <w:t>（1）</w:t>
      </w:r>
      <w:r>
        <w:rPr>
          <w:rFonts w:hint="eastAsia" w:ascii="宋体" w:hAnsi="宋体" w:eastAsia="宋体" w:cs="Times New Roman"/>
          <w:b/>
          <w:bCs/>
          <w:color w:val="auto"/>
          <w:szCs w:val="21"/>
          <w:highlight w:val="none"/>
        </w:rPr>
        <w:t>替补</w:t>
      </w:r>
      <w:r>
        <w:rPr>
          <w:rFonts w:hint="eastAsia" w:ascii="宋体" w:hAnsi="宋体" w:eastAsia="宋体" w:cs="Times New Roman"/>
          <w:b/>
          <w:bCs/>
          <w:color w:val="auto"/>
          <w:szCs w:val="21"/>
          <w:highlight w:val="none"/>
          <w:lang w:val="en-US" w:eastAsia="zh-CN"/>
        </w:rPr>
        <w:t>投标人</w:t>
      </w:r>
      <w:r>
        <w:rPr>
          <w:rFonts w:hint="eastAsia" w:ascii="宋体" w:hAnsi="宋体" w:eastAsia="宋体" w:cs="Times New Roman"/>
          <w:b/>
          <w:bCs/>
          <w:color w:val="auto"/>
          <w:szCs w:val="21"/>
          <w:highlight w:val="none"/>
        </w:rPr>
        <w:t>承接：</w:t>
      </w:r>
      <w:r>
        <w:rPr>
          <w:rFonts w:hint="eastAsia" w:ascii="宋体" w:hAnsi="宋体" w:eastAsia="宋体" w:cs="Times New Roman"/>
          <w:b w:val="0"/>
          <w:bCs w:val="0"/>
          <w:color w:val="auto"/>
          <w:szCs w:val="21"/>
          <w:highlight w:val="none"/>
        </w:rPr>
        <w:t>招标人有权根据剩余有效投标人数量，在原评审排名基础上邀请相应投标人，通过谈判或其他招标人认可的方式，</w:t>
      </w:r>
      <w:r>
        <w:rPr>
          <w:rFonts w:hint="eastAsia" w:ascii="宋体" w:hAnsi="宋体" w:eastAsia="宋体" w:cs="宋体"/>
          <w:b/>
          <w:bCs/>
          <w:color w:val="auto"/>
          <w:szCs w:val="21"/>
          <w:highlight w:val="none"/>
        </w:rPr>
        <w:t>择优</w:t>
      </w:r>
      <w:r>
        <w:rPr>
          <w:rFonts w:hint="eastAsia" w:ascii="宋体" w:hAnsi="宋体" w:eastAsia="宋体" w:cs="Times New Roman"/>
          <w:b w:val="0"/>
          <w:bCs w:val="0"/>
          <w:color w:val="auto"/>
          <w:szCs w:val="21"/>
          <w:highlight w:val="none"/>
        </w:rPr>
        <w:t>确定新的</w:t>
      </w:r>
      <w:r>
        <w:rPr>
          <w:rFonts w:hint="eastAsia" w:ascii="宋体" w:hAnsi="宋体" w:eastAsia="宋体" w:cs="Times New Roman"/>
          <w:b w:val="0"/>
          <w:bCs w:val="0"/>
          <w:color w:val="auto"/>
          <w:szCs w:val="21"/>
          <w:highlight w:val="none"/>
          <w:lang w:val="en-US" w:eastAsia="zh-CN"/>
        </w:rPr>
        <w:t>供货</w:t>
      </w:r>
      <w:r>
        <w:rPr>
          <w:rFonts w:hint="eastAsia" w:ascii="宋体" w:hAnsi="宋体" w:eastAsia="宋体" w:cs="Times New Roman"/>
          <w:b w:val="0"/>
          <w:bCs w:val="0"/>
          <w:color w:val="auto"/>
          <w:szCs w:val="21"/>
          <w:highlight w:val="none"/>
        </w:rPr>
        <w:t>单位承接本合同项下未履行部分的服务内容</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邀请规则如下：</w:t>
      </w:r>
      <w:r>
        <w:rPr>
          <w:rFonts w:hint="eastAsia" w:ascii="宋体" w:hAnsi="宋体" w:eastAsia="宋体" w:cs="Times New Roman"/>
          <w:color w:val="auto"/>
          <w:szCs w:val="21"/>
          <w:highlight w:val="none"/>
          <w:lang w:val="en-US" w:eastAsia="zh-CN"/>
        </w:rPr>
        <w:t>当剩余有效投标人为2家时，邀请综合评审排名第2名及第3名的投标人，当剩余有效投标人≥3家时，邀请综合评审排名第2名至第4名的投标人</w:t>
      </w:r>
      <w:r>
        <w:rPr>
          <w:rFonts w:hint="eastAsia" w:ascii="宋体" w:hAnsi="宋体" w:eastAsia="宋体" w:cs="Times New Roman"/>
          <w:color w:val="auto"/>
          <w:szCs w:val="21"/>
          <w:highlight w:val="none"/>
          <w:lang w:val="zh-CN"/>
        </w:rPr>
        <w:t>。替补</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单位一经确定，应与招标人另行签订书面合同，</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lang w:val="zh-CN"/>
        </w:rPr>
        <w:t>标准、履约要求原则上不得低于投标时承诺的标准。</w:t>
      </w:r>
    </w:p>
    <w:p>
      <w:pPr>
        <w:tabs>
          <w:tab w:val="left" w:pos="360"/>
          <w:tab w:val="left" w:pos="4725"/>
        </w:tabs>
        <w:autoSpaceDE w:val="0"/>
        <w:autoSpaceDN w:val="0"/>
        <w:adjustRightInd w:val="0"/>
        <w:snapToGrid/>
        <w:spacing w:line="360" w:lineRule="auto"/>
        <w:ind w:left="357" w:leftChars="-100" w:hanging="567" w:hangingChars="27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b/>
          <w:bCs/>
          <w:color w:val="auto"/>
          <w:szCs w:val="21"/>
          <w:highlight w:val="none"/>
          <w:lang w:val="en-US" w:eastAsia="zh-CN"/>
        </w:rPr>
        <w:t>重新招标：</w:t>
      </w:r>
      <w:r>
        <w:rPr>
          <w:rFonts w:hint="eastAsia" w:ascii="宋体" w:hAnsi="宋体" w:eastAsia="宋体" w:cs="Times New Roman"/>
          <w:color w:val="auto"/>
          <w:szCs w:val="21"/>
          <w:highlight w:val="none"/>
          <w:lang w:val="en-US" w:eastAsia="zh-CN"/>
        </w:rPr>
        <w:t>招标人亦有权根据</w:t>
      </w:r>
      <w:r>
        <w:rPr>
          <w:rFonts w:hint="eastAsia" w:ascii="宋体" w:hAnsi="宋体" w:eastAsia="宋体" w:cs="宋体"/>
          <w:b/>
          <w:bCs/>
          <w:color w:val="auto"/>
          <w:szCs w:val="21"/>
          <w:highlight w:val="none"/>
          <w:lang w:val="en-US" w:eastAsia="zh-CN"/>
        </w:rPr>
        <w:t>实际</w:t>
      </w:r>
      <w:r>
        <w:rPr>
          <w:rFonts w:hint="eastAsia" w:ascii="宋体" w:hAnsi="宋体" w:eastAsia="宋体" w:cs="Times New Roman"/>
          <w:color w:val="auto"/>
          <w:szCs w:val="21"/>
          <w:highlight w:val="none"/>
          <w:lang w:val="en-US" w:eastAsia="zh-CN"/>
        </w:rPr>
        <w:t>情况，重新组织招标。</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7" w:name="_Toc17066"/>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6882025"/>
      <w:bookmarkStart w:id="28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w:t>
      </w:r>
      <w:r>
        <w:rPr>
          <w:rFonts w:hint="eastAsia" w:ascii="宋体" w:hAnsi="宋体" w:eastAsia="宋体" w:cs="宋体"/>
          <w:b/>
          <w:bCs/>
          <w:color w:val="auto"/>
          <w:szCs w:val="21"/>
          <w:highlight w:val="none"/>
          <w:u w:val="single"/>
          <w:lang w:val="zh-CN"/>
        </w:rPr>
        <w:t>标人应在签订合同前，按本招标文件规定金额及形式要求，向</w:t>
      </w:r>
      <w:r>
        <w:rPr>
          <w:rFonts w:hint="eastAsia" w:ascii="宋体" w:hAnsi="宋体" w:eastAsia="宋体" w:cs="宋体"/>
          <w:b/>
          <w:bCs/>
          <w:color w:val="auto"/>
          <w:szCs w:val="21"/>
          <w:highlight w:val="none"/>
          <w:u w:val="single"/>
        </w:rPr>
        <w:t>东莞市石鼓净水有限公司</w:t>
      </w:r>
      <w:r>
        <w:rPr>
          <w:rFonts w:hint="eastAsia" w:ascii="宋体" w:hAnsi="宋体" w:eastAsia="宋体" w:cs="宋体"/>
          <w:b/>
          <w:bCs/>
          <w:color w:val="auto"/>
          <w:szCs w:val="21"/>
          <w:highlight w:val="none"/>
          <w:u w:val="single"/>
          <w:lang w:val="zh-CN"/>
        </w:rPr>
        <w:t>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统一由东莞市石鼓净水有限公司收取；采用不可撤销银行履约保函（或履约保证保险）形式的金额为暂定合同价的8%，中标人需开具一份受益人为东莞市石鼓净水有限公司的不可撤销银行履约保函（或履约保证保险）</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%，中标人需开具一份受益人为东莞市石鼓净水有限公司的履约担保书。</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w:t>
      </w:r>
      <w:r>
        <w:rPr>
          <w:rFonts w:hint="eastAsia" w:ascii="宋体" w:hAnsi="宋体" w:eastAsia="宋体" w:cs="宋体"/>
          <w:color w:val="auto"/>
          <w:highlight w:val="none"/>
        </w:rPr>
        <w:t>或尚源公司</w:t>
      </w:r>
      <w:r>
        <w:rPr>
          <w:rFonts w:hint="eastAsia" w:ascii="宋体" w:hAnsi="宋体" w:eastAsia="宋体" w:cs="Arial"/>
          <w:color w:val="auto"/>
          <w:kern w:val="0"/>
          <w:szCs w:val="24"/>
          <w:highlight w:val="none"/>
        </w:rPr>
        <w:t>造成的损失超过履约担保数额的，中标人还应当对超过部分予以赔偿，招标人或招标人权属子公司</w:t>
      </w:r>
      <w:r>
        <w:rPr>
          <w:rFonts w:hint="eastAsia" w:ascii="宋体" w:hAnsi="宋体" w:eastAsia="宋体" w:cs="宋体"/>
          <w:color w:val="auto"/>
          <w:highlight w:val="none"/>
        </w:rPr>
        <w:t>或尚源公司</w:t>
      </w:r>
      <w:r>
        <w:rPr>
          <w:rFonts w:hint="eastAsia" w:ascii="宋体" w:hAnsi="宋体" w:eastAsia="宋体" w:cs="Arial"/>
          <w:color w:val="auto"/>
          <w:kern w:val="0"/>
          <w:szCs w:val="24"/>
          <w:highlight w:val="none"/>
        </w:rPr>
        <w:t>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的担保机构经济性质须为国有企业，或政府性融资担保机构（中标人须提供能证明其属于政府性融资担保机构的证明文件），并经</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要求重新提供的，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Arial"/>
          <w:color w:val="auto"/>
          <w:kern w:val="0"/>
          <w:szCs w:val="24"/>
          <w:highlight w:val="none"/>
        </w:rPr>
        <w:t>招标人或招标人权属子公司</w:t>
      </w:r>
      <w:r>
        <w:rPr>
          <w:rFonts w:hint="eastAsia" w:ascii="宋体" w:hAnsi="宋体" w:eastAsia="宋体" w:cs="宋体"/>
          <w:color w:val="auto"/>
          <w:highlight w:val="none"/>
        </w:rPr>
        <w:t>或尚源公司</w:t>
      </w:r>
      <w:r>
        <w:rPr>
          <w:rFonts w:hint="eastAsia" w:ascii="宋体" w:hAnsi="宋体" w:eastAsia="宋体" w:cs="Times New Roman"/>
          <w:color w:val="auto"/>
          <w:kern w:val="0"/>
          <w:szCs w:val="21"/>
          <w:highlight w:val="none"/>
        </w:rPr>
        <w:t>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合同签订之日起（或签订合同前）至合同期限届满并全部货物经最终验收合格、招标人权属子公司和</w:t>
      </w:r>
      <w:r>
        <w:rPr>
          <w:rFonts w:hint="eastAsia" w:ascii="宋体" w:hAnsi="宋体" w:eastAsia="宋体" w:cs="宋体"/>
          <w:color w:val="auto"/>
          <w:highlight w:val="none"/>
        </w:rPr>
        <w:t>尚源公司</w:t>
      </w:r>
      <w:r>
        <w:rPr>
          <w:rFonts w:hint="eastAsia" w:ascii="宋体" w:hAnsi="宋体" w:eastAsia="宋体" w:cs="宋体"/>
          <w:color w:val="auto"/>
          <w:sz w:val="21"/>
          <w:szCs w:val="21"/>
          <w:highlight w:val="none"/>
          <w:lang w:val="en-US" w:eastAsia="zh-CN"/>
        </w:rPr>
        <w:t>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w:t>
      </w:r>
      <w:r>
        <w:rPr>
          <w:rFonts w:ascii="宋体" w:hAnsi="宋体" w:eastAsia="宋体" w:cs="Times New Roman"/>
          <w:color w:val="auto"/>
          <w:kern w:val="0"/>
          <w:szCs w:val="21"/>
          <w:highlight w:val="none"/>
          <w:u w:val="none"/>
        </w:rPr>
        <w:t>向</w:t>
      </w:r>
      <w:r>
        <w:rPr>
          <w:rFonts w:hint="eastAsia" w:ascii="宋体" w:hAnsi="宋体" w:eastAsia="宋体" w:cs="宋体"/>
          <w:color w:val="auto"/>
          <w:szCs w:val="21"/>
          <w:highlight w:val="none"/>
          <w:u w:val="none"/>
        </w:rPr>
        <w:t>东莞市石鼓净水有限公司</w:t>
      </w:r>
      <w:r>
        <w:rPr>
          <w:rFonts w:ascii="宋体" w:hAnsi="宋体" w:eastAsia="宋体" w:cs="Times New Roman"/>
          <w:color w:val="auto"/>
          <w:kern w:val="0"/>
          <w:szCs w:val="21"/>
          <w:highlight w:val="none"/>
          <w:u w:val="none"/>
        </w:rPr>
        <w:t>交纳同等数额的履约</w:t>
      </w:r>
      <w:r>
        <w:rPr>
          <w:rFonts w:ascii="宋体" w:hAnsi="宋体" w:eastAsia="宋体" w:cs="Times New Roman"/>
          <w:color w:val="auto"/>
          <w:kern w:val="0"/>
          <w:szCs w:val="21"/>
          <w:highlight w:val="none"/>
        </w:rPr>
        <w:t>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履约保证金账户：（特别提醒，本账户非投标保证金账户）</w:t>
      </w:r>
    </w:p>
    <w:p>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pPr>
        <w:tabs>
          <w:tab w:val="left" w:pos="360"/>
          <w:tab w:val="left" w:pos="4725"/>
        </w:tabs>
        <w:kinsoku/>
        <w:overflowPunct/>
        <w:autoSpaceDE w:val="0"/>
        <w:autoSpaceDN w:val="0"/>
        <w:bidi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pPr>
        <w:tabs>
          <w:tab w:val="left" w:pos="360"/>
          <w:tab w:val="left" w:pos="4725"/>
        </w:tabs>
        <w:kinsoku/>
        <w:overflowPunct/>
        <w:autoSpaceDE w:val="0"/>
        <w:autoSpaceDN w:val="0"/>
        <w:bidi w:val="0"/>
        <w:adjustRightInd w:val="0"/>
        <w:spacing w:line="360" w:lineRule="auto"/>
        <w:ind w:left="630" w:leftChars="300" w:firstLine="0" w:firstLineChars="0"/>
        <w:jc w:val="left"/>
        <w:outlineLvl w:val="9"/>
        <w:rPr>
          <w:rFonts w:hint="eastAsia"/>
          <w:color w:val="auto"/>
          <w:highlight w:val="none"/>
        </w:rPr>
      </w:pPr>
      <w:r>
        <w:rPr>
          <w:rFonts w:hint="eastAsia" w:ascii="宋体" w:hAnsi="宋体" w:eastAsia="宋体" w:cs="宋体"/>
          <w:b/>
          <w:color w:val="auto"/>
          <w:sz w:val="21"/>
          <w:szCs w:val="21"/>
          <w:highlight w:val="none"/>
        </w:rPr>
        <w:t>特别约定：</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知悉并同意，在本合同履行期间，一旦发生</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违反本合同约定义务，无需另行征得</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同意，</w:t>
      </w:r>
      <w:r>
        <w:rPr>
          <w:rFonts w:hint="eastAsia" w:ascii="宋体" w:hAnsi="宋体" w:eastAsia="宋体" w:cs="宋体"/>
          <w:b/>
          <w:color w:val="auto"/>
          <w:sz w:val="21"/>
          <w:szCs w:val="21"/>
          <w:highlight w:val="none"/>
          <w:lang w:val="en-US" w:eastAsia="zh-CN"/>
        </w:rPr>
        <w:t>招标人或</w:t>
      </w:r>
      <w:r>
        <w:rPr>
          <w:rFonts w:hint="eastAsia" w:ascii="宋体" w:hAnsi="宋体" w:eastAsia="宋体" w:cs="宋体"/>
          <w:color w:val="auto"/>
          <w:sz w:val="21"/>
          <w:szCs w:val="21"/>
          <w:highlight w:val="none"/>
          <w:lang w:val="en-US" w:eastAsia="zh-CN"/>
        </w:rPr>
        <w:t>招标人权属子公司或</w:t>
      </w:r>
      <w:r>
        <w:rPr>
          <w:rFonts w:hint="eastAsia" w:ascii="宋体" w:hAnsi="宋体" w:eastAsia="宋体" w:cs="宋体"/>
          <w:color w:val="auto"/>
          <w:highlight w:val="none"/>
        </w:rPr>
        <w:t>尚源公司</w:t>
      </w:r>
      <w:r>
        <w:rPr>
          <w:rFonts w:hint="eastAsia" w:ascii="宋体" w:hAnsi="宋体" w:eastAsia="宋体" w:cs="宋体"/>
          <w:b/>
          <w:color w:val="auto"/>
          <w:sz w:val="21"/>
          <w:szCs w:val="21"/>
          <w:highlight w:val="none"/>
        </w:rPr>
        <w:t>均有权就全部的履约担保金额单独或共同进行索赔，索赔方之间的担保金额分配由其内部协商确定，</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不得以此为由提出任何异议。</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u w:val="single"/>
        </w:rPr>
        <w:t>东莞市石鼓净水有限公司</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rPr>
        <w:t>作为履约担保的收取方或受益人，负责办理履约担保的索赔提取手续，并将相应款项支付给对应索赔方。</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宋体"/>
          <w:color w:val="auto"/>
          <w:kern w:val="0"/>
          <w:szCs w:val="21"/>
          <w:highlight w:val="none"/>
          <w:lang w:val="en-US" w:eastAsia="zh-CN"/>
        </w:rPr>
        <w:t>人</w:t>
      </w:r>
      <w:r>
        <w:rPr>
          <w:rFonts w:hint="eastAsia" w:ascii="宋体" w:hAnsi="宋体" w:eastAsia="宋体" w:cs="Times New Roman"/>
          <w:color w:val="auto"/>
          <w:kern w:val="0"/>
          <w:szCs w:val="24"/>
          <w:highlight w:val="none"/>
        </w:rPr>
        <w:t>提交了履约担保后，当履约保证金转</w:t>
      </w:r>
      <w:r>
        <w:rPr>
          <w:rFonts w:hint="eastAsia" w:ascii="宋体" w:hAnsi="宋体" w:eastAsia="宋体" w:cs="Times New Roman"/>
          <w:color w:val="auto"/>
          <w:kern w:val="0"/>
          <w:szCs w:val="24"/>
          <w:highlight w:val="none"/>
          <w:u w:val="none"/>
        </w:rPr>
        <w:t>达</w:t>
      </w:r>
      <w:r>
        <w:rPr>
          <w:rFonts w:hint="eastAsia" w:ascii="宋体" w:hAnsi="宋体" w:eastAsia="宋体" w:cs="宋体"/>
          <w:color w:val="auto"/>
          <w:szCs w:val="21"/>
          <w:highlight w:val="none"/>
          <w:u w:val="none"/>
        </w:rPr>
        <w:t>东莞市石鼓净水有限公司</w:t>
      </w:r>
      <w:r>
        <w:rPr>
          <w:rFonts w:hint="eastAsia" w:ascii="宋体" w:hAnsi="宋体" w:eastAsia="宋体" w:cs="Times New Roman"/>
          <w:color w:val="auto"/>
          <w:kern w:val="0"/>
          <w:szCs w:val="24"/>
          <w:highlight w:val="none"/>
          <w:u w:val="none"/>
        </w:rPr>
        <w:t>履约保证金账户后，</w:t>
      </w:r>
      <w:r>
        <w:rPr>
          <w:rFonts w:hint="eastAsia" w:ascii="宋体" w:hAnsi="宋体" w:eastAsia="宋体" w:cs="Times New Roman"/>
          <w:color w:val="auto"/>
          <w:szCs w:val="21"/>
          <w:highlight w:val="none"/>
          <w:u w:val="none"/>
          <w:lang w:val="zh-CN"/>
        </w:rPr>
        <w:t>中标</w:t>
      </w:r>
      <w:r>
        <w:rPr>
          <w:rFonts w:hint="eastAsia" w:ascii="宋体" w:hAnsi="宋体" w:eastAsia="宋体" w:cs="Times New Roman"/>
          <w:color w:val="auto"/>
          <w:kern w:val="0"/>
          <w:szCs w:val="24"/>
          <w:highlight w:val="none"/>
          <w:u w:val="none"/>
        </w:rPr>
        <w:t>人将履约保证金的汇款凭证用A4纸复印件（</w:t>
      </w:r>
      <w:r>
        <w:rPr>
          <w:rFonts w:hint="eastAsia" w:ascii="宋体" w:hAnsi="宋体" w:eastAsia="宋体" w:cs="Times New Roman"/>
          <w:bCs/>
          <w:color w:val="auto"/>
          <w:kern w:val="0"/>
          <w:szCs w:val="24"/>
          <w:highlight w:val="none"/>
          <w:u w:val="none"/>
        </w:rPr>
        <w:t>注明</w:t>
      </w:r>
      <w:r>
        <w:rPr>
          <w:rFonts w:hint="eastAsia" w:ascii="宋体" w:hAnsi="宋体" w:eastAsia="宋体" w:cs="Times New Roman"/>
          <w:bCs/>
          <w:color w:val="auto"/>
          <w:szCs w:val="21"/>
          <w:highlight w:val="none"/>
          <w:u w:val="none"/>
          <w:lang w:val="zh-CN"/>
        </w:rPr>
        <w:t>招标</w:t>
      </w:r>
      <w:r>
        <w:rPr>
          <w:rFonts w:hint="eastAsia" w:ascii="宋体" w:hAnsi="宋体" w:eastAsia="宋体" w:cs="Times New Roman"/>
          <w:bCs/>
          <w:color w:val="auto"/>
          <w:kern w:val="0"/>
          <w:szCs w:val="24"/>
          <w:highlight w:val="none"/>
          <w:u w:val="none"/>
        </w:rPr>
        <w:t>编号</w:t>
      </w:r>
      <w:r>
        <w:rPr>
          <w:rFonts w:hint="eastAsia" w:ascii="宋体" w:hAnsi="宋体" w:eastAsia="宋体" w:cs="Times New Roman"/>
          <w:color w:val="auto"/>
          <w:kern w:val="0"/>
          <w:szCs w:val="24"/>
          <w:highlight w:val="none"/>
          <w:u w:val="none"/>
        </w:rPr>
        <w:t>）一式二份并加盖</w:t>
      </w:r>
      <w:r>
        <w:rPr>
          <w:rFonts w:hint="eastAsia" w:ascii="宋体" w:hAnsi="宋体" w:eastAsia="宋体" w:cs="Times New Roman"/>
          <w:color w:val="auto"/>
          <w:szCs w:val="21"/>
          <w:highlight w:val="none"/>
          <w:u w:val="none"/>
          <w:lang w:val="zh-CN"/>
        </w:rPr>
        <w:t>中标</w:t>
      </w:r>
      <w:r>
        <w:rPr>
          <w:rFonts w:hint="eastAsia" w:ascii="宋体" w:hAnsi="宋体" w:eastAsia="宋体" w:cs="Times New Roman"/>
          <w:color w:val="auto"/>
          <w:kern w:val="0"/>
          <w:szCs w:val="24"/>
          <w:highlight w:val="none"/>
          <w:u w:val="none"/>
        </w:rPr>
        <w:t>人的公章送招标代理机构，[或当中标人采取不可撤销银行履约保函（</w:t>
      </w:r>
      <w:r>
        <w:rPr>
          <w:rFonts w:hint="eastAsia" w:ascii="宋体" w:hAnsi="宋体" w:eastAsia="宋体" w:cs="Times New Roman"/>
          <w:color w:val="auto"/>
          <w:kern w:val="0"/>
          <w:szCs w:val="21"/>
          <w:highlight w:val="none"/>
          <w:u w:val="none"/>
        </w:rPr>
        <w:t>或履约保证保险</w:t>
      </w:r>
      <w:r>
        <w:rPr>
          <w:rFonts w:hint="eastAsia" w:ascii="宋体" w:hAnsi="宋体" w:eastAsia="宋体" w:cs="Times New Roman"/>
          <w:color w:val="auto"/>
          <w:kern w:val="0"/>
          <w:szCs w:val="24"/>
          <w:highlight w:val="none"/>
          <w:u w:val="none"/>
        </w:rPr>
        <w:t>或担保公司履约担保书）的方式缴纳履约担保时，中标人将不可撤销银行履约保函（</w:t>
      </w:r>
      <w:r>
        <w:rPr>
          <w:rFonts w:hint="eastAsia" w:ascii="宋体" w:hAnsi="宋体" w:eastAsia="宋体" w:cs="Times New Roman"/>
          <w:color w:val="auto"/>
          <w:kern w:val="0"/>
          <w:szCs w:val="21"/>
          <w:highlight w:val="none"/>
          <w:u w:val="none"/>
        </w:rPr>
        <w:t>或履约保证保险</w:t>
      </w:r>
      <w:r>
        <w:rPr>
          <w:rFonts w:hint="eastAsia" w:ascii="宋体" w:hAnsi="宋体" w:eastAsia="宋体" w:cs="Times New Roman"/>
          <w:color w:val="auto"/>
          <w:kern w:val="0"/>
          <w:szCs w:val="24"/>
          <w:highlight w:val="none"/>
          <w:u w:val="none"/>
        </w:rPr>
        <w:t>或担保公司履约担保书）原件</w:t>
      </w:r>
      <w:r>
        <w:rPr>
          <w:rFonts w:hint="eastAsia" w:ascii="宋体" w:hAnsi="宋体" w:eastAsia="宋体" w:cs="Times New Roman"/>
          <w:color w:val="auto"/>
          <w:szCs w:val="21"/>
          <w:highlight w:val="none"/>
          <w:u w:val="none"/>
          <w:lang w:val="zh-CN"/>
        </w:rPr>
        <w:t>交给</w:t>
      </w:r>
      <w:r>
        <w:rPr>
          <w:rFonts w:hint="eastAsia" w:ascii="宋体" w:hAnsi="宋体" w:eastAsia="宋体" w:cs="宋体"/>
          <w:color w:val="auto"/>
          <w:szCs w:val="21"/>
          <w:highlight w:val="none"/>
          <w:u w:val="none"/>
        </w:rPr>
        <w:t>东莞市石鼓净水有限公司</w:t>
      </w:r>
      <w:r>
        <w:rPr>
          <w:rFonts w:hint="eastAsia" w:ascii="宋体" w:hAnsi="宋体" w:eastAsia="宋体" w:cs="Times New Roman"/>
          <w:color w:val="auto"/>
          <w:szCs w:val="21"/>
          <w:highlight w:val="none"/>
          <w:u w:val="none"/>
          <w:lang w:val="zh-CN"/>
        </w:rPr>
        <w:t>，由</w:t>
      </w:r>
      <w:r>
        <w:rPr>
          <w:rFonts w:hint="eastAsia" w:ascii="宋体" w:hAnsi="宋体" w:eastAsia="宋体" w:cs="宋体"/>
          <w:color w:val="auto"/>
          <w:szCs w:val="21"/>
          <w:highlight w:val="none"/>
          <w:u w:val="none"/>
        </w:rPr>
        <w:t>东莞市石鼓净水有限公司</w:t>
      </w:r>
      <w:r>
        <w:rPr>
          <w:rFonts w:hint="eastAsia" w:ascii="宋体" w:hAnsi="宋体" w:eastAsia="宋体" w:cs="Times New Roman"/>
          <w:color w:val="auto"/>
          <w:szCs w:val="21"/>
          <w:highlight w:val="none"/>
          <w:u w:val="none"/>
          <w:lang w:val="zh-CN"/>
        </w:rPr>
        <w:t>在</w:t>
      </w:r>
      <w:r>
        <w:rPr>
          <w:rFonts w:hint="eastAsia" w:ascii="宋体" w:hAnsi="宋体" w:eastAsia="宋体" w:cs="Times New Roman"/>
          <w:color w:val="auto"/>
          <w:kern w:val="0"/>
          <w:szCs w:val="24"/>
          <w:highlight w:val="none"/>
          <w:u w:val="none"/>
        </w:rPr>
        <w:t>履约保函一式两份复印件上</w:t>
      </w:r>
      <w:r>
        <w:rPr>
          <w:rFonts w:hint="eastAsia" w:ascii="宋体" w:hAnsi="宋体" w:eastAsia="宋体" w:cs="Times New Roman"/>
          <w:color w:val="auto"/>
          <w:szCs w:val="21"/>
          <w:highlight w:val="none"/>
          <w:u w:val="none"/>
          <w:lang w:val="zh-CN"/>
        </w:rPr>
        <w:t>注明“原件已收”及签收人、日期后，中标人在每份复印件上</w:t>
      </w:r>
      <w:r>
        <w:rPr>
          <w:rFonts w:hint="eastAsia" w:ascii="宋体" w:hAnsi="宋体" w:eastAsia="宋体" w:cs="Times New Roman"/>
          <w:color w:val="auto"/>
          <w:kern w:val="0"/>
          <w:szCs w:val="24"/>
          <w:highlight w:val="none"/>
          <w:u w:val="none"/>
        </w:rPr>
        <w:t>加盖</w:t>
      </w:r>
      <w:r>
        <w:rPr>
          <w:rFonts w:hint="eastAsia" w:ascii="宋体" w:hAnsi="宋体" w:eastAsia="宋体" w:cs="Times New Roman"/>
          <w:color w:val="auto"/>
          <w:szCs w:val="21"/>
          <w:highlight w:val="none"/>
          <w:u w:val="none"/>
          <w:lang w:val="zh-CN"/>
        </w:rPr>
        <w:t>中标</w:t>
      </w:r>
      <w:r>
        <w:rPr>
          <w:rFonts w:hint="eastAsia" w:ascii="宋体" w:hAnsi="宋体" w:eastAsia="宋体" w:cs="Times New Roman"/>
          <w:color w:val="auto"/>
          <w:kern w:val="0"/>
          <w:szCs w:val="24"/>
          <w:highlight w:val="none"/>
          <w:u w:val="none"/>
        </w:rPr>
        <w:t>人的公章，送招标代理机构]</w:t>
      </w:r>
      <w:r>
        <w:rPr>
          <w:rFonts w:hint="eastAsia" w:ascii="宋体" w:hAnsi="宋体" w:eastAsia="宋体" w:cs="宋体"/>
          <w:color w:val="auto"/>
          <w:kern w:val="0"/>
          <w:szCs w:val="21"/>
          <w:highlight w:val="none"/>
          <w:u w:val="none"/>
        </w:rPr>
        <w:t>。</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以履约保证金（银行转账形式）提供履约担保的，自合同签订日起满一年后，在</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所供应全部货物经最终验收合格、</w:t>
      </w:r>
      <w:r>
        <w:rPr>
          <w:rFonts w:hint="eastAsia" w:ascii="宋体" w:hAnsi="宋体" w:eastAsia="宋体" w:cs="宋体"/>
          <w:color w:val="auto"/>
          <w:kern w:val="0"/>
          <w:szCs w:val="21"/>
          <w:highlight w:val="none"/>
        </w:rPr>
        <w:t>招标人权属子公司</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highlight w:val="none"/>
        </w:rPr>
        <w:t>尚源公司</w:t>
      </w:r>
      <w:r>
        <w:rPr>
          <w:rFonts w:hint="eastAsia" w:ascii="宋体" w:hAnsi="宋体" w:eastAsia="宋体" w:cs="宋体"/>
          <w:color w:val="auto"/>
          <w:sz w:val="21"/>
          <w:szCs w:val="21"/>
          <w:highlight w:val="none"/>
        </w:rPr>
        <w:t>对</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的履约评价合格，经</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确认，在</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的履约保证金未被扣除的情况下，</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可向</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提交退回履约保证金40%的申请。</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审核无异议后，办理退回履约保证金40%的手续。假如履约保证金被扣除（无论扣除数额大小），</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不退回任何履约保证金。</w:t>
      </w:r>
    </w:p>
    <w:p>
      <w:pPr>
        <w:autoSpaceDE w:val="0"/>
        <w:autoSpaceDN w:val="0"/>
        <w:adjustRightInd w:val="0"/>
        <w:spacing w:line="360" w:lineRule="auto"/>
        <w:ind w:left="288" w:leftChars="13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剩余的履约保证金，在合同期限届满、全部货物经最终验收合格、</w:t>
      </w:r>
      <w:r>
        <w:rPr>
          <w:rFonts w:hint="eastAsia" w:ascii="宋体" w:hAnsi="宋体" w:eastAsia="宋体" w:cs="宋体"/>
          <w:color w:val="auto"/>
          <w:kern w:val="0"/>
          <w:szCs w:val="21"/>
          <w:highlight w:val="none"/>
        </w:rPr>
        <w:t>招标人权属子公司</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highlight w:val="none"/>
        </w:rPr>
        <w:t>尚源公司</w:t>
      </w:r>
      <w:r>
        <w:rPr>
          <w:rFonts w:hint="eastAsia" w:ascii="宋体" w:hAnsi="宋体" w:eastAsia="宋体" w:cs="宋体"/>
          <w:color w:val="auto"/>
          <w:sz w:val="21"/>
          <w:szCs w:val="21"/>
          <w:highlight w:val="none"/>
        </w:rPr>
        <w:t>对</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的履约评价合格、</w:t>
      </w:r>
      <w:r>
        <w:rPr>
          <w:rFonts w:hint="eastAsia" w:ascii="宋体" w:hAnsi="宋体" w:eastAsia="宋体" w:cs="宋体"/>
          <w:color w:val="auto"/>
          <w:kern w:val="0"/>
          <w:szCs w:val="21"/>
          <w:highlight w:val="none"/>
        </w:rPr>
        <w:t>招标人权属子公司</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highlight w:val="none"/>
        </w:rPr>
        <w:t>尚源公司</w:t>
      </w:r>
      <w:r>
        <w:rPr>
          <w:rFonts w:hint="eastAsia" w:ascii="宋体" w:hAnsi="宋体" w:eastAsia="宋体" w:cs="宋体"/>
          <w:color w:val="auto"/>
          <w:sz w:val="21"/>
          <w:szCs w:val="21"/>
          <w:highlight w:val="none"/>
        </w:rPr>
        <w:t>支付了全部货款（除质保金）后二十八（28）日后，经</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确认，</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可向</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提交退回剩余履约保证金的申请。</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审核无异议并在扣除相应的费用（若有）后，办理退回剩余履约保证金的手续。</w:t>
      </w:r>
    </w:p>
    <w:p>
      <w:pPr>
        <w:autoSpaceDE w:val="0"/>
        <w:autoSpaceDN w:val="0"/>
        <w:adjustRightInd w:val="0"/>
        <w:spacing w:line="360" w:lineRule="auto"/>
        <w:ind w:left="288" w:leftChars="13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退回时一律以银行转账的形式无息退回到</w:t>
      </w:r>
      <w:r>
        <w:rPr>
          <w:rFonts w:hint="eastAsia" w:ascii="宋体" w:hAnsi="宋体" w:eastAsia="宋体" w:cs="宋体"/>
          <w:color w:val="auto"/>
          <w:kern w:val="0"/>
          <w:szCs w:val="21"/>
          <w:highlight w:val="none"/>
        </w:rPr>
        <w:t>中标人</w:t>
      </w:r>
      <w:r>
        <w:rPr>
          <w:rFonts w:hint="eastAsia" w:ascii="宋体" w:hAnsi="宋体" w:eastAsia="宋体" w:cs="宋体"/>
          <w:color w:val="auto"/>
          <w:sz w:val="21"/>
          <w:szCs w:val="21"/>
          <w:highlight w:val="none"/>
        </w:rPr>
        <w:t>的账户。如履约保证金被扣除，则只退回扣除后的余额，如全部扣除完毕，则</w:t>
      </w:r>
      <w:r>
        <w:rPr>
          <w:rFonts w:hint="eastAsia" w:ascii="宋体" w:hAnsi="宋体" w:eastAsia="宋体" w:cs="宋体"/>
          <w:b/>
          <w:color w:val="auto"/>
          <w:szCs w:val="21"/>
          <w:highlight w:val="none"/>
          <w:lang w:val="zh-CN"/>
        </w:rPr>
        <w:t>东莞市</w:t>
      </w:r>
      <w:r>
        <w:rPr>
          <w:rFonts w:hint="eastAsia" w:ascii="宋体" w:hAnsi="宋体" w:eastAsia="宋体" w:cs="宋体"/>
          <w:color w:val="auto"/>
          <w:szCs w:val="21"/>
          <w:highlight w:val="none"/>
          <w:u w:val="single"/>
        </w:rPr>
        <w:t>石鼓净水有限公司</w:t>
      </w:r>
      <w:r>
        <w:rPr>
          <w:rFonts w:hint="eastAsia" w:ascii="宋体" w:hAnsi="宋体" w:eastAsia="宋体" w:cs="宋体"/>
          <w:color w:val="auto"/>
          <w:sz w:val="21"/>
          <w:szCs w:val="21"/>
          <w:highlight w:val="none"/>
        </w:rPr>
        <w:t>不退回履约保证金。</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3033"/>
      <w:bookmarkStart w:id="291" w:name="_Toc486167702"/>
      <w:bookmarkStart w:id="292" w:name="_Toc142508353"/>
      <w:bookmarkStart w:id="293" w:name="_Toc15565"/>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31936"/>
      <w:bookmarkStart w:id="296" w:name="_Toc142508354"/>
      <w:bookmarkStart w:id="297" w:name="_Toc14372"/>
      <w:bookmarkStart w:id="298" w:name="_Toc28921_WPSOffice_Level3"/>
      <w:bookmarkStart w:id="299"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pPr>
        <w:tabs>
          <w:tab w:val="left" w:pos="567"/>
        </w:tabs>
        <w:autoSpaceDE w:val="0"/>
        <w:autoSpaceDN w:val="0"/>
        <w:adjustRightInd w:val="0"/>
        <w:spacing w:line="360" w:lineRule="auto"/>
        <w:ind w:left="0" w:leftChars="0"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中标人应向招标代理机构一次性交纳中标服务费</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以</w:t>
      </w:r>
      <w:r>
        <w:rPr>
          <w:rFonts w:hint="eastAsia" w:ascii="宋体" w:hAnsi="宋体" w:eastAsia="宋体" w:cs="宋体"/>
          <w:color w:val="auto"/>
          <w:kern w:val="0"/>
          <w:szCs w:val="21"/>
          <w:highlight w:val="none"/>
        </w:rPr>
        <w:t>中标通知书中的中标综合单价计算得出的不含税暂定总价金额为计费额，本项目业务性质：按</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类招标代理服务收费</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szCs w:val="21"/>
          <w:highlight w:val="none"/>
          <w:lang w:val="en-US" w:eastAsia="zh-CN"/>
        </w:rPr>
        <w:t>依次按以下第（1）（2）款计算得出服务费基价，服务费基价</w:t>
      </w:r>
      <w:r>
        <w:rPr>
          <w:rFonts w:hint="eastAsia" w:ascii="宋体" w:hAnsi="宋体" w:eastAsia="宋体" w:cs="宋体"/>
          <w:b w:val="0"/>
          <w:bCs w:val="0"/>
          <w:color w:val="auto"/>
          <w:szCs w:val="21"/>
          <w:highlight w:val="none"/>
          <w:lang w:val="zh-CN" w:eastAsia="zh-CN"/>
        </w:rPr>
        <w:t>实行全额分档折扣计算，</w:t>
      </w:r>
      <w:r>
        <w:rPr>
          <w:rFonts w:hint="eastAsia" w:ascii="宋体" w:hAnsi="宋体" w:eastAsia="宋体" w:cs="宋体"/>
          <w:b w:val="0"/>
          <w:bCs w:val="0"/>
          <w:color w:val="auto"/>
          <w:szCs w:val="21"/>
          <w:highlight w:val="none"/>
          <w:lang w:val="en-US" w:eastAsia="zh-CN"/>
        </w:rPr>
        <w:t>按第（3）款计算折扣得出代理服务费</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具体如下。</w:t>
      </w:r>
    </w:p>
    <w:p>
      <w:pPr>
        <w:tabs>
          <w:tab w:val="left" w:pos="567"/>
        </w:tabs>
        <w:autoSpaceDE w:val="0"/>
        <w:autoSpaceDN w:val="0"/>
        <w:adjustRightInd w:val="0"/>
        <w:spacing w:line="360" w:lineRule="auto"/>
        <w:ind w:left="0" w:leftChars="0"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zh-CN"/>
        </w:rPr>
        <w:t>参照</w:t>
      </w:r>
      <w:r>
        <w:rPr>
          <w:rFonts w:hint="eastAsia" w:ascii="宋体" w:hAnsi="宋体" w:eastAsia="宋体" w:cs="宋体"/>
          <w:b w:val="0"/>
          <w:bCs w:val="0"/>
          <w:color w:val="auto"/>
          <w:szCs w:val="21"/>
          <w:highlight w:val="none"/>
          <w:lang w:val="en-US" w:eastAsia="zh-CN"/>
        </w:rPr>
        <w:t>以下标准按差额定率累进法计算：</w:t>
      </w:r>
    </w:p>
    <w:tbl>
      <w:tblPr>
        <w:tblStyle w:val="43"/>
        <w:tblW w:w="1018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44"/>
        <w:gridCol w:w="2544"/>
        <w:gridCol w:w="2544"/>
        <w:gridCol w:w="25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vMerge w:val="restart"/>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7638"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7638"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544"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2544"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2544"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2550"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en-US" w:eastAsia="zh-CN"/>
        </w:rPr>
        <w:t>（2）</w:t>
      </w:r>
      <w:r>
        <w:rPr>
          <w:rFonts w:hint="default" w:ascii="宋体" w:hAnsi="宋体" w:eastAsia="宋体" w:cs="宋体"/>
          <w:b w:val="0"/>
          <w:bCs/>
          <w:color w:val="auto"/>
          <w:szCs w:val="21"/>
          <w:highlight w:val="none"/>
          <w:lang w:val="en-US" w:eastAsia="zh-CN"/>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en-US" w:eastAsia="zh-CN"/>
        </w:rPr>
        <w:t>（3）服务费基价</w:t>
      </w:r>
      <w:r>
        <w:rPr>
          <w:rFonts w:hint="eastAsia" w:ascii="宋体" w:hAnsi="宋体" w:eastAsia="宋体" w:cs="宋体"/>
          <w:b w:val="0"/>
          <w:bCs/>
          <w:color w:val="auto"/>
          <w:szCs w:val="21"/>
          <w:highlight w:val="none"/>
          <w:lang w:val="zh-CN" w:eastAsia="zh-CN"/>
        </w:rPr>
        <w:t>实行全额分档折扣计算，</w:t>
      </w:r>
      <w:r>
        <w:rPr>
          <w:rFonts w:hint="eastAsia" w:ascii="宋体" w:hAnsi="宋体" w:eastAsia="宋体" w:cs="宋体"/>
          <w:b w:val="0"/>
          <w:bCs/>
          <w:color w:val="auto"/>
          <w:szCs w:val="21"/>
          <w:highlight w:val="none"/>
          <w:lang w:val="en-US" w:eastAsia="zh-CN"/>
        </w:rPr>
        <w:t>得出代理服务费。</w:t>
      </w:r>
      <w:r>
        <w:rPr>
          <w:rFonts w:hint="eastAsia" w:ascii="宋体" w:hAnsi="宋体" w:eastAsia="宋体" w:cs="宋体"/>
          <w:b w:val="0"/>
          <w:bCs/>
          <w:color w:val="auto"/>
          <w:szCs w:val="21"/>
          <w:highlight w:val="none"/>
          <w:lang w:val="zh-CN" w:eastAsia="zh-CN"/>
        </w:rPr>
        <w:t>具体为：</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10万元（不含）以下的，按80%执行；</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10万元（含）—20万元（不含）的，按70%执行；</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20万元（含）—30万元（不含）的，按60%执行；</w:t>
      </w:r>
      <w:r>
        <w:rPr>
          <w:rFonts w:hint="eastAsia" w:ascii="宋体" w:hAnsi="宋体" w:eastAsia="宋体" w:cs="宋体"/>
          <w:b w:val="0"/>
          <w:bCs/>
          <w:color w:val="auto"/>
          <w:szCs w:val="21"/>
          <w:highlight w:val="none"/>
          <w:lang w:val="en-US" w:eastAsia="zh-CN"/>
        </w:rPr>
        <w:t>服务费基价</w:t>
      </w:r>
      <w:r>
        <w:rPr>
          <w:rFonts w:hint="eastAsia" w:ascii="宋体" w:hAnsi="宋体" w:eastAsia="宋体" w:cs="宋体"/>
          <w:b w:val="0"/>
          <w:bCs/>
          <w:color w:val="auto"/>
          <w:szCs w:val="21"/>
          <w:highlight w:val="none"/>
          <w:lang w:val="zh-CN" w:eastAsia="zh-CN"/>
        </w:rPr>
        <w:t>30万元（含）以上的，按50%计取，且单个项目最高代理费为30万元封顶</w:t>
      </w: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同时，</w:t>
      </w:r>
      <w:r>
        <w:rPr>
          <w:rFonts w:hint="eastAsia" w:ascii="宋体" w:hAnsi="宋体" w:eastAsia="宋体" w:cs="宋体"/>
          <w:b w:val="0"/>
          <w:bCs/>
          <w:color w:val="auto"/>
          <w:szCs w:val="21"/>
          <w:highlight w:val="none"/>
          <w:lang w:val="zh-CN" w:eastAsia="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 w:val="0"/>
          <w:bCs/>
          <w:color w:val="auto"/>
          <w:szCs w:val="21"/>
          <w:highlight w:val="none"/>
          <w:lang w:val="en-US" w:eastAsia="zh-CN"/>
        </w:rPr>
        <w:t>甲方</w:t>
      </w:r>
      <w:r>
        <w:rPr>
          <w:rFonts w:hint="eastAsia" w:ascii="宋体" w:hAnsi="宋体" w:eastAsia="宋体" w:cs="宋体"/>
          <w:b w:val="0"/>
          <w:bCs/>
          <w:color w:val="auto"/>
          <w:sz w:val="21"/>
          <w:szCs w:val="21"/>
          <w:highlight w:val="none"/>
          <w:lang w:val="en-US" w:eastAsia="zh-CN"/>
        </w:rPr>
        <w:t>或其</w:t>
      </w:r>
      <w:r>
        <w:rPr>
          <w:rFonts w:hint="eastAsia" w:ascii="宋体" w:hAnsi="宋体" w:eastAsia="宋体" w:cs="宋体"/>
          <w:b w:val="0"/>
          <w:bCs/>
          <w:color w:val="auto"/>
          <w:sz w:val="21"/>
          <w:szCs w:val="21"/>
          <w:highlight w:val="none"/>
        </w:rPr>
        <w:t>下属企业</w:t>
      </w:r>
      <w:r>
        <w:rPr>
          <w:rFonts w:hint="eastAsia" w:ascii="宋体" w:hAnsi="宋体" w:eastAsia="宋体" w:cs="宋体"/>
          <w:b w:val="0"/>
          <w:bCs/>
          <w:color w:val="auto"/>
          <w:szCs w:val="21"/>
          <w:highlight w:val="none"/>
          <w:lang w:val="zh-CN" w:eastAsia="zh-CN"/>
        </w:rPr>
        <w:t>与</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lang w:val="zh-CN" w:eastAsia="zh-CN"/>
        </w:rPr>
        <w:t>另行商定代理费用。</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例子：某项目招标代理业务中标金额为2000万元（货物类），计算代理服务费额如下：</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0-100万元部分：100万元×1.5%=15000元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100-500万元部分：400万元×1.1%=44000元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500-1000万元部分：500万元×0.8%=40000元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1000-2000万元部分：1000万元×0.5%=50000元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各部分累计得出服务费基价：149000.00元</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按70%计算得出代理服务费：149000元×70%=104300元</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中标人收到中标通知后，须在15日内向招标代理机构交纳中标服务费用。</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广西同泽工程项目管理股份有限公司</w:t>
      </w:r>
      <w:r>
        <w:rPr>
          <w:rFonts w:hint="eastAsia" w:ascii="宋体" w:hAnsi="宋体" w:eastAsia="宋体" w:cs="宋体"/>
          <w:color w:val="auto"/>
          <w:szCs w:val="21"/>
          <w:highlight w:val="none"/>
        </w:rPr>
        <w:t>东莞分公司</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w:t>
      </w:r>
      <w:r>
        <w:rPr>
          <w:rFonts w:hint="eastAsia" w:ascii="宋体" w:hAnsi="宋体" w:eastAsia="宋体" w:cs="宋体"/>
          <w:color w:val="auto"/>
          <w:kern w:val="0"/>
          <w:szCs w:val="21"/>
          <w:highlight w:val="none"/>
        </w:rPr>
        <w:t>2010045209100165935</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kern w:val="0"/>
          <w:szCs w:val="21"/>
          <w:highlight w:val="none"/>
        </w:rPr>
        <w:t>中国工商银行股份有限公司东莞会展支行</w:t>
      </w:r>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0"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6764_WPSOffice_Level3"/>
      <w:bookmarkStart w:id="302" w:name="_Toc142508355"/>
      <w:bookmarkStart w:id="303" w:name="_Toc26292"/>
      <w:bookmarkStart w:id="304" w:name="_Toc4615"/>
      <w:bookmarkStart w:id="305"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w:t>
      </w:r>
      <w:r>
        <w:rPr>
          <w:rFonts w:hint="eastAsia" w:ascii="宋体" w:hAnsi="宋体" w:eastAsia="宋体" w:cs="Times New Roman"/>
          <w:color w:val="auto"/>
          <w:szCs w:val="21"/>
          <w:highlight w:val="none"/>
          <w:lang w:val="en-US" w:eastAsia="zh-CN"/>
        </w:rPr>
        <w:t>和</w:t>
      </w:r>
      <w:r>
        <w:rPr>
          <w:rFonts w:hint="eastAsia" w:ascii="宋体" w:hAnsi="宋体" w:eastAsia="宋体" w:cs="宋体"/>
          <w:color w:val="auto"/>
          <w:highlight w:val="none"/>
        </w:rPr>
        <w:t>尚源公司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w:t>
      </w:r>
      <w:r>
        <w:rPr>
          <w:rFonts w:hint="eastAsia" w:ascii="宋体" w:hAnsi="宋体" w:eastAsia="宋体" w:cs="Times New Roman"/>
          <w:color w:val="auto"/>
          <w:szCs w:val="21"/>
          <w:highlight w:val="none"/>
          <w:lang w:val="en-US" w:eastAsia="zh-CN"/>
        </w:rPr>
        <w:t>和</w:t>
      </w:r>
      <w:r>
        <w:rPr>
          <w:rFonts w:hint="eastAsia" w:ascii="宋体" w:hAnsi="宋体" w:eastAsia="宋体" w:cs="宋体"/>
          <w:color w:val="auto"/>
          <w:highlight w:val="none"/>
        </w:rPr>
        <w:t>尚源公司</w:t>
      </w:r>
      <w:r>
        <w:rPr>
          <w:rFonts w:hint="eastAsia" w:ascii="宋体" w:hAnsi="宋体" w:eastAsia="宋体" w:cs="Times New Roman"/>
          <w:color w:val="auto"/>
          <w:szCs w:val="21"/>
          <w:highlight w:val="none"/>
          <w:lang w:val="zh-CN"/>
        </w:rPr>
        <w:t>出具的发票类型为增值税专用发票。</w:t>
      </w:r>
      <w:bookmarkStart w:id="306" w:name="_Toc31106_WPSOffice_Level3"/>
      <w:bookmarkStart w:id="307" w:name="_Toc486167705"/>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29246"/>
      <w:bookmarkStart w:id="309" w:name="_Toc16304"/>
      <w:bookmarkStart w:id="310" w:name="_Toc142508356"/>
      <w:r>
        <w:rPr>
          <w:rFonts w:ascii="宋体" w:hAnsi="宋体" w:eastAsia="宋体" w:cs="宋体"/>
          <w:b/>
          <w:color w:val="auto"/>
          <w:szCs w:val="21"/>
          <w:highlight w:val="none"/>
        </w:rPr>
        <w:t>39 招标相关补充约定</w:t>
      </w:r>
      <w:bookmarkEnd w:id="308"/>
      <w:bookmarkEnd w:id="309"/>
      <w:bookmarkEnd w:id="31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21284"/>
      <w:bookmarkStart w:id="312" w:name="_Toc142508357"/>
      <w:bookmarkStart w:id="31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0"/>
          <w:sz w:val="32"/>
          <w:szCs w:val="32"/>
          <w:highlight w:val="none"/>
          <w:lang w:val="zh-CN"/>
        </w:rPr>
      </w:pPr>
      <w:bookmarkStart w:id="314" w:name="_Toc18115"/>
      <w:bookmarkStart w:id="315" w:name="_Toc22810"/>
      <w:bookmarkStart w:id="316" w:name="_Toc6282"/>
      <w:bookmarkStart w:id="317" w:name="_Toc9840"/>
      <w:bookmarkStart w:id="318" w:name="_Toc4217"/>
      <w:bookmarkStart w:id="319" w:name="_Toc29361"/>
      <w:bookmarkStart w:id="320" w:name="_Toc25246"/>
      <w:bookmarkStart w:id="321" w:name="_Toc15817"/>
      <w:bookmarkStart w:id="322" w:name="_Toc450662891"/>
      <w:bookmarkStart w:id="323" w:name="_Toc486167706"/>
      <w:bookmarkStart w:id="324" w:name="_Toc142508358"/>
      <w:bookmarkStart w:id="325" w:name="_Toc28218"/>
      <w:bookmarkStart w:id="326"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p>
    <w:bookmarkEnd w:id="315"/>
    <w:bookmarkEnd w:id="316"/>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一、</w:t>
      </w:r>
      <w:r>
        <w:rPr>
          <w:rFonts w:hint="eastAsia" w:ascii="宋体" w:hAnsi="宋体" w:eastAsia="宋体" w:cs="宋体"/>
          <w:b/>
          <w:color w:val="auto"/>
          <w:sz w:val="21"/>
          <w:szCs w:val="21"/>
          <w:highlight w:val="none"/>
        </w:rPr>
        <w:t>基本招标要求</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kern w:val="2"/>
          <w:sz w:val="21"/>
          <w:szCs w:val="21"/>
          <w:highlight w:val="none"/>
          <w:lang w:val="en-US" w:eastAsia="zh-CN"/>
        </w:rPr>
        <w:t>（以下称作“招标人”）</w:t>
      </w:r>
      <w:r>
        <w:rPr>
          <w:rFonts w:hint="eastAsia" w:ascii="宋体" w:hAnsi="宋体" w:eastAsia="宋体" w:cs="宋体"/>
          <w:color w:val="auto"/>
          <w:sz w:val="21"/>
          <w:szCs w:val="21"/>
          <w:highlight w:val="none"/>
        </w:rPr>
        <w:t>旗下运营项目所需生产药剂：液体</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。根据实际运营中药剂使用情况，招标人</w:t>
      </w:r>
      <w:r>
        <w:rPr>
          <w:rFonts w:hint="eastAsia" w:ascii="宋体" w:hAnsi="宋体" w:eastAsia="宋体" w:cs="宋体"/>
          <w:color w:val="auto"/>
          <w:kern w:val="2"/>
          <w:sz w:val="21"/>
          <w:szCs w:val="21"/>
          <w:highlight w:val="none"/>
          <w:lang w:val="en-US" w:eastAsia="zh-CN"/>
        </w:rPr>
        <w:t>旗下运营项目包括</w:t>
      </w:r>
      <w:r>
        <w:rPr>
          <w:rFonts w:hint="eastAsia" w:ascii="宋体" w:hAnsi="宋体" w:eastAsia="宋体" w:cs="宋体"/>
          <w:color w:val="auto"/>
          <w:sz w:val="21"/>
          <w:szCs w:val="21"/>
          <w:highlight w:val="none"/>
        </w:rPr>
        <w:t>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污水处理厂提标项目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w:t>
      </w:r>
      <w:r>
        <w:rPr>
          <w:rFonts w:hint="eastAsia" w:ascii="宋体" w:hAnsi="宋体" w:eastAsia="宋体" w:cs="宋体"/>
          <w:color w:val="auto"/>
          <w:szCs w:val="21"/>
          <w:highlight w:val="none"/>
        </w:rPr>
        <w:t>东莞市污泥集中处理处置项目</w:t>
      </w:r>
      <w:r>
        <w:rPr>
          <w:rFonts w:hint="eastAsia" w:ascii="宋体" w:hAnsi="宋体" w:eastAsia="宋体" w:cs="宋体"/>
          <w:color w:val="auto"/>
          <w:sz w:val="21"/>
          <w:szCs w:val="21"/>
          <w:highlight w:val="none"/>
        </w:rPr>
        <w:t>（以下称作“运营项目”）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需使用液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次氯酸钠</w:t>
      </w:r>
      <w:r>
        <w:rPr>
          <w:rFonts w:hint="eastAsia" w:ascii="宋体" w:hAnsi="宋体" w:eastAsia="宋体" w:cs="宋体"/>
          <w:color w:val="auto"/>
          <w:sz w:val="21"/>
          <w:szCs w:val="21"/>
          <w:highlight w:val="none"/>
        </w:rPr>
        <w:t>（以下简称“生产药剂”）</w:t>
      </w:r>
      <w:r>
        <w:rPr>
          <w:rFonts w:hint="eastAsia" w:ascii="宋体" w:hAnsi="宋体" w:eastAsia="宋体" w:cs="宋体"/>
          <w:color w:val="auto"/>
          <w:szCs w:val="21"/>
          <w:highlight w:val="none"/>
        </w:rPr>
        <w:t>作为出水强化消毒和MBR膜设备维护清洗</w:t>
      </w:r>
      <w:r>
        <w:rPr>
          <w:rFonts w:hint="eastAsia" w:ascii="宋体" w:hAnsi="宋体" w:eastAsia="宋体" w:cs="宋体"/>
          <w:color w:val="auto"/>
          <w:sz w:val="21"/>
          <w:szCs w:val="21"/>
          <w:highlight w:val="none"/>
        </w:rPr>
        <w:t>。东莞市污泥集中处理处置项目为由东莞市水务环境投资控股集团净水有限公司托管运营的东莞市尚源环能科技有限公司（以下称作“尚源公司”）旗下运营项目。具体供货项目和供货量根据实际运营需求，并结合招标人运营项目使用中标人提供的药剂样品的实际使用效果确定。</w:t>
      </w:r>
    </w:p>
    <w:p>
      <w:pPr>
        <w:pStyle w:val="128"/>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r>
        <w:rPr>
          <w:rFonts w:hint="eastAsia" w:ascii="宋体" w:hAnsi="宋体" w:eastAsia="宋体" w:cs="宋体"/>
          <w:color w:val="auto"/>
          <w:sz w:val="21"/>
          <w:szCs w:val="21"/>
          <w:highlight w:val="none"/>
          <w:lang w:val="en-US" w:eastAsia="zh-CN"/>
        </w:rPr>
        <w:t>招标人、招标人权属子公司、尚源公司与中标人签订采购合同。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供货期自合同签订之日起至202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收到招标人或招标人权属子公司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通知后必须无条件按照招标人或招标人权属子公司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的要求开始供货。</w:t>
      </w:r>
    </w:p>
    <w:p>
      <w:pPr>
        <w:spacing w:line="360" w:lineRule="auto"/>
        <w:ind w:firstLine="420" w:firstLineChars="200"/>
        <w:rPr>
          <w:rFonts w:ascii="宋体" w:hAnsi="宋体" w:eastAsia="宋体" w:cs="宋体"/>
          <w:color w:val="auto"/>
          <w:szCs w:val="21"/>
          <w:highlight w:val="none"/>
        </w:rPr>
      </w:pP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二、</w:t>
      </w:r>
      <w:r>
        <w:rPr>
          <w:rFonts w:hint="eastAsia" w:ascii="宋体" w:hAnsi="宋体" w:eastAsia="宋体" w:cs="宋体"/>
          <w:b/>
          <w:color w:val="auto"/>
          <w:sz w:val="21"/>
          <w:szCs w:val="21"/>
          <w:highlight w:val="none"/>
        </w:rPr>
        <w:t>标的物</w:t>
      </w:r>
    </w:p>
    <w:p>
      <w:pPr>
        <w:numPr>
          <w:ilvl w:val="0"/>
          <w:numId w:val="0"/>
        </w:numPr>
        <w:autoSpaceDE/>
        <w:autoSpaceDN/>
        <w:adjustRightInd/>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产品名称：液体</w:t>
      </w:r>
      <w:r>
        <w:rPr>
          <w:rFonts w:hint="eastAsia" w:ascii="宋体" w:hAnsi="宋体" w:eastAsia="宋体" w:cs="宋体"/>
          <w:color w:val="auto"/>
          <w:sz w:val="21"/>
          <w:szCs w:val="21"/>
          <w:highlight w:val="none"/>
          <w:lang w:val="en-US" w:eastAsia="zh-CN"/>
        </w:rPr>
        <w:t>次氯酸钠</w:t>
      </w:r>
    </w:p>
    <w:p>
      <w:pPr>
        <w:numPr>
          <w:ilvl w:val="0"/>
          <w:numId w:val="0"/>
        </w:numPr>
        <w:autoSpaceDE/>
        <w:autoSpaceDN/>
        <w:adjustRightInd/>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暂定采购数量：</w:t>
      </w:r>
      <w:r>
        <w:rPr>
          <w:rFonts w:hint="default" w:ascii="宋体" w:hAnsi="宋体" w:eastAsia="宋体" w:cs="宋体"/>
          <w:color w:val="auto"/>
          <w:sz w:val="21"/>
          <w:szCs w:val="21"/>
          <w:highlight w:val="none"/>
          <w:lang w:val="en-US" w:eastAsia="zh-CN"/>
        </w:rPr>
        <w:t>9978.678</w:t>
      </w:r>
      <w:r>
        <w:rPr>
          <w:rFonts w:hint="eastAsia" w:ascii="宋体" w:hAnsi="宋体" w:eastAsia="宋体" w:cs="宋体"/>
          <w:color w:val="auto"/>
          <w:sz w:val="21"/>
          <w:szCs w:val="21"/>
          <w:highlight w:val="none"/>
        </w:rPr>
        <w:t>吨</w:t>
      </w:r>
      <w:r>
        <w:rPr>
          <w:rFonts w:hint="eastAsia" w:ascii="宋体" w:hAnsi="宋体" w:eastAsia="宋体" w:cs="宋体"/>
          <w:color w:val="auto"/>
          <w:sz w:val="21"/>
          <w:szCs w:val="21"/>
          <w:highlight w:val="none"/>
          <w:lang w:val="en-US" w:eastAsia="zh-CN"/>
        </w:rPr>
        <w:t>( 其中招标人权属子公司东莞市石鼓净水有限公司</w:t>
      </w:r>
      <w:r>
        <w:rPr>
          <w:rFonts w:hint="default" w:ascii="宋体" w:hAnsi="宋体" w:eastAsia="宋体" w:cs="宋体"/>
          <w:color w:val="auto"/>
          <w:sz w:val="21"/>
          <w:szCs w:val="21"/>
          <w:highlight w:val="none"/>
          <w:lang w:val="en-US" w:eastAsia="zh-CN"/>
        </w:rPr>
        <w:t>9657.502</w:t>
      </w:r>
      <w:r>
        <w:rPr>
          <w:rFonts w:hint="eastAsia" w:ascii="宋体" w:hAnsi="宋体" w:eastAsia="宋体" w:cs="宋体"/>
          <w:color w:val="auto"/>
          <w:sz w:val="21"/>
          <w:szCs w:val="21"/>
          <w:highlight w:val="none"/>
          <w:lang w:val="en-US" w:eastAsia="zh-CN"/>
        </w:rPr>
        <w:t>吨，东莞市清源净水科技有限公司</w:t>
      </w:r>
      <w:r>
        <w:rPr>
          <w:rFonts w:hint="default" w:ascii="宋体" w:hAnsi="宋体" w:eastAsia="宋体" w:cs="宋体"/>
          <w:color w:val="auto"/>
          <w:sz w:val="21"/>
          <w:szCs w:val="21"/>
          <w:highlight w:val="none"/>
          <w:lang w:val="en-US" w:eastAsia="zh-CN"/>
        </w:rPr>
        <w:t xml:space="preserve">292.178 </w:t>
      </w:r>
      <w:r>
        <w:rPr>
          <w:rFonts w:hint="eastAsia" w:ascii="宋体" w:hAnsi="宋体" w:eastAsia="宋体" w:cs="宋体"/>
          <w:color w:val="auto"/>
          <w:sz w:val="21"/>
          <w:szCs w:val="21"/>
          <w:highlight w:val="none"/>
          <w:lang w:val="en-US" w:eastAsia="zh-CN"/>
        </w:rPr>
        <w:t>吨，东莞市莞水装备科技有限公司</w:t>
      </w:r>
      <w:r>
        <w:rPr>
          <w:rFonts w:hint="default" w:ascii="宋体" w:hAnsi="宋体" w:eastAsia="宋体" w:cs="宋体"/>
          <w:color w:val="auto"/>
          <w:sz w:val="21"/>
          <w:szCs w:val="21"/>
          <w:highlight w:val="none"/>
          <w:lang w:val="en-US" w:eastAsia="zh-CN"/>
        </w:rPr>
        <w:t>8.998</w:t>
      </w:r>
      <w:r>
        <w:rPr>
          <w:rFonts w:hint="eastAsia" w:ascii="宋体" w:hAnsi="宋体" w:eastAsia="宋体" w:cs="宋体"/>
          <w:color w:val="auto"/>
          <w:sz w:val="21"/>
          <w:szCs w:val="21"/>
          <w:highlight w:val="none"/>
          <w:lang w:val="en-US" w:eastAsia="zh-CN"/>
        </w:rPr>
        <w:t>吨，</w:t>
      </w:r>
      <w:r>
        <w:rPr>
          <w:rFonts w:hint="eastAsia" w:ascii="宋体" w:hAnsi="宋体" w:eastAsia="宋体" w:cs="宋体"/>
          <w:color w:val="auto"/>
          <w:sz w:val="21"/>
          <w:szCs w:val="21"/>
          <w:highlight w:val="none"/>
        </w:rPr>
        <w:t>东莞市尚源环能科技有限公司</w:t>
      </w:r>
      <w:r>
        <w:rPr>
          <w:rFonts w:hint="eastAsia" w:ascii="宋体" w:hAnsi="宋体" w:eastAsia="宋体" w:cs="宋体"/>
          <w:color w:val="auto"/>
          <w:sz w:val="21"/>
          <w:szCs w:val="21"/>
          <w:highlight w:val="none"/>
          <w:lang w:val="en-US" w:eastAsia="zh-CN"/>
        </w:rPr>
        <w:t>20.000吨。)</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本次采购涉及招标人运营项目及采购数量为暂定，仅为便于计算暂定合同价使用，不作为招标人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eastAsia="zh-CN"/>
        </w:rPr>
        <w:t>尚源公司</w:t>
      </w:r>
      <w:r>
        <w:rPr>
          <w:rFonts w:hint="eastAsia" w:ascii="宋体" w:hAnsi="宋体" w:eastAsia="宋体" w:cs="宋体"/>
          <w:b/>
          <w:color w:val="auto"/>
          <w:sz w:val="21"/>
          <w:szCs w:val="21"/>
          <w:highlight w:val="none"/>
        </w:rPr>
        <w:t>最终采购数量的保证，招标人保留根据运营项目实际情况，对采购数量进行灵活调整的权利。实际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rPr>
        <w:t>尚源公司的实际需求数量以招标人运营项目每次的供货通知为准，在供货期内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eastAsia="zh-CN"/>
        </w:rPr>
        <w:t>尚源公司</w:t>
      </w:r>
      <w:r>
        <w:rPr>
          <w:rFonts w:hint="eastAsia" w:ascii="宋体" w:hAnsi="宋体" w:eastAsia="宋体" w:cs="宋体"/>
          <w:b/>
          <w:color w:val="auto"/>
          <w:sz w:val="21"/>
          <w:szCs w:val="21"/>
          <w:highlight w:val="none"/>
        </w:rPr>
        <w:t>实际采购数量的减少或增加而要求提供任何形式的补偿或赔偿，或要求招标人权属子公司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rPr>
        <w:t>尚源公司按暂定采购数量采购相应货物</w:t>
      </w:r>
      <w:r>
        <w:rPr>
          <w:rFonts w:hint="eastAsia" w:ascii="宋体" w:hAnsi="宋体" w:eastAsia="宋体" w:cs="宋体"/>
          <w:b/>
          <w:bCs/>
          <w:color w:val="auto"/>
          <w:kern w:val="2"/>
          <w:sz w:val="21"/>
          <w:szCs w:val="21"/>
          <w:highlight w:val="none"/>
          <w:lang w:val="en-US" w:eastAsia="zh-CN" w:bidi="ar"/>
        </w:rPr>
        <w:t>。</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pPr>
        <w:spacing w:line="360" w:lineRule="auto"/>
        <w:ind w:firstLine="211" w:firstLineChars="1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次氯酸钠产品</w:t>
      </w:r>
      <w:r>
        <w:rPr>
          <w:rFonts w:hint="eastAsia" w:ascii="宋体" w:hAnsi="宋体" w:eastAsia="宋体" w:cs="宋体"/>
          <w:b/>
          <w:bCs/>
          <w:color w:val="auto"/>
          <w:sz w:val="21"/>
          <w:szCs w:val="21"/>
          <w:highlight w:val="none"/>
        </w:rPr>
        <w:t>外观</w:t>
      </w:r>
      <w:r>
        <w:rPr>
          <w:rFonts w:hint="eastAsia" w:ascii="宋体" w:hAnsi="宋体" w:eastAsia="宋体" w:cs="宋体"/>
          <w:b/>
          <w:color w:val="auto"/>
          <w:sz w:val="21"/>
          <w:szCs w:val="21"/>
          <w:highlight w:val="none"/>
        </w:rPr>
        <w:t>为浅黄色透明液体，无沉淀，无悬浮异物。</w:t>
      </w:r>
    </w:p>
    <w:p>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次氯酸钠必须符合《次氯酸钠》（GB</w:t>
      </w:r>
      <w:r>
        <w:rPr>
          <w:rFonts w:hint="eastAsia" w:ascii="宋体" w:hAnsi="宋体" w:eastAsia="宋体" w:cs="宋体"/>
          <w:b/>
          <w:bCs/>
          <w:color w:val="auto"/>
          <w:szCs w:val="21"/>
          <w:highlight w:val="none"/>
          <w:lang w:val="en-US" w:eastAsia="zh-CN"/>
        </w:rPr>
        <w:t>/T</w:t>
      </w:r>
      <w:r>
        <w:rPr>
          <w:rFonts w:hint="eastAsia" w:ascii="宋体" w:hAnsi="宋体" w:eastAsia="宋体" w:cs="宋体"/>
          <w:b/>
          <w:bCs/>
          <w:color w:val="auto"/>
          <w:szCs w:val="21"/>
          <w:highlight w:val="none"/>
        </w:rPr>
        <w:t xml:space="preserve"> 19106—2013）A型Ⅱ类产品质量及检测标准，包括下表技术指标：</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w:t>
      </w:r>
    </w:p>
    <w:tbl>
      <w:tblPr>
        <w:tblStyle w:val="43"/>
        <w:tblW w:w="9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1"/>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5571"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指标项目</w:t>
            </w:r>
          </w:p>
        </w:tc>
        <w:tc>
          <w:tcPr>
            <w:tcW w:w="4330"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1"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有效氯（以Cl计）  ω/% </w:t>
            </w:r>
          </w:p>
        </w:tc>
        <w:tc>
          <w:tcPr>
            <w:tcW w:w="433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1" w:type="dxa"/>
            <w:vAlign w:val="center"/>
          </w:tcPr>
          <w:p>
            <w:pPr>
              <w:spacing w:line="360" w:lineRule="auto"/>
              <w:ind w:firstLine="1476" w:firstLineChars="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游离碱（以NaOH计）ω/% </w:t>
            </w:r>
          </w:p>
        </w:tc>
        <w:tc>
          <w:tcPr>
            <w:tcW w:w="433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1"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铁（Fe）           ω/% </w:t>
            </w:r>
          </w:p>
        </w:tc>
        <w:tc>
          <w:tcPr>
            <w:tcW w:w="433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1"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重金属（以Pb计）  ω/% </w:t>
            </w:r>
          </w:p>
        </w:tc>
        <w:tc>
          <w:tcPr>
            <w:tcW w:w="433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1"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砷（As）           ω/% </w:t>
            </w:r>
          </w:p>
        </w:tc>
        <w:tc>
          <w:tcPr>
            <w:tcW w:w="433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≤0.0001</w:t>
            </w:r>
          </w:p>
        </w:tc>
      </w:tr>
    </w:tbl>
    <w:p>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（3）供货期间，如有发布最新的行业标准或国家标准，招标人</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bCs/>
          <w:color w:val="auto"/>
          <w:szCs w:val="21"/>
          <w:highlight w:val="none"/>
          <w:lang w:val="en-US" w:eastAsia="zh-CN"/>
        </w:rPr>
        <w:t>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bCs/>
          <w:color w:val="auto"/>
          <w:szCs w:val="21"/>
          <w:highlight w:val="none"/>
          <w:lang w:val="en-US" w:eastAsia="zh-CN"/>
        </w:rPr>
        <w:t>尚源公司有权根据项目实际情况及有关行业标准或国家标准对合同的主要技术指标进行变更调整，</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Cs w:val="21"/>
          <w:highlight w:val="none"/>
          <w:lang w:val="en-US" w:eastAsia="zh-CN"/>
        </w:rPr>
        <w:t>应无条件接受。</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人所供产品的真实质量，必须满足本用户需求书的所有技术指标。</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三、交货要求</w:t>
      </w:r>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color w:val="auto"/>
          <w:szCs w:val="21"/>
          <w:highlight w:val="none"/>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无需因加急供货而额外支付任何费用。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szCs w:val="21"/>
          <w:highlight w:val="none"/>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 w:val="21"/>
          <w:szCs w:val="21"/>
          <w:highlight w:val="none"/>
        </w:rPr>
        <w:t>招标人</w:t>
      </w:r>
      <w:r>
        <w:rPr>
          <w:rFonts w:hint="eastAsia" w:ascii="宋体" w:hAnsi="宋体" w:eastAsia="宋体" w:cs="宋体"/>
          <w:color w:val="auto"/>
          <w:szCs w:val="21"/>
          <w:highlight w:val="none"/>
        </w:rPr>
        <w:t>权属子公司</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sz w:val="21"/>
          <w:szCs w:val="21"/>
          <w:highlight w:val="none"/>
        </w:rPr>
        <w:t>电子地磅的称重服务不含税单价为1.51元/吨，称重服务相关条款由招标人权属子公司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与中标人签订称重服务合同另行约定。</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rPr>
        <w:t>每次送货，中标人须随货提供生产厂家出具的具有</w:t>
      </w:r>
      <w:r>
        <w:rPr>
          <w:rFonts w:hint="eastAsia" w:ascii="宋体" w:hAnsi="宋体" w:eastAsia="宋体" w:cs="宋体"/>
          <w:b/>
          <w:bCs/>
          <w:color w:val="auto"/>
          <w:szCs w:val="21"/>
          <w:highlight w:val="none"/>
        </w:rPr>
        <w:t>生产厂家、出厂批号、有效氯、游离碱等主要信息</w:t>
      </w:r>
      <w:r>
        <w:rPr>
          <w:rFonts w:hint="eastAsia" w:ascii="宋体" w:hAnsi="宋体" w:eastAsia="宋体" w:cs="宋体"/>
          <w:color w:val="auto"/>
          <w:szCs w:val="21"/>
          <w:highlight w:val="none"/>
        </w:rPr>
        <w:t>的符合表1《液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次氯酸钠主要技术指标》要求的产品质量检验报告（如出厂检验报告、质量检验报告等）、供货单据等资料，中标人提供的检验报告只作为招标人运营项目参考。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8、</w:t>
      </w:r>
      <w:r>
        <w:rPr>
          <w:rFonts w:hint="eastAsia" w:ascii="宋体" w:hAnsi="宋体" w:eastAsia="宋体" w:cs="宋体"/>
          <w:color w:val="auto"/>
          <w:szCs w:val="21"/>
          <w:highlight w:val="none"/>
        </w:rPr>
        <w:t>生产药剂液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次氯酸钠的运送及输送方式应符合国家或行业规范标准。液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次氯酸钠采用聚乙烯塑料桶或专用耐酸耐腐蚀贮罐等密闭容器装运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运输过程防止药剂泄露并避免有毒物品的污染。其余包装及运输要求需符合《次氯酸钠》（GB</w:t>
      </w:r>
      <w:r>
        <w:rPr>
          <w:rFonts w:hint="eastAsia" w:ascii="宋体" w:hAnsi="宋体" w:eastAsia="宋体" w:cs="宋体"/>
          <w:b w:val="0"/>
          <w:bCs w:val="0"/>
          <w:color w:val="auto"/>
          <w:szCs w:val="21"/>
          <w:highlight w:val="none"/>
          <w:lang w:val="en-US" w:eastAsia="zh-CN"/>
        </w:rPr>
        <w:t>/T</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szCs w:val="21"/>
          <w:highlight w:val="none"/>
        </w:rPr>
        <w:t>19106—2013）中所列标准，且中标人或其委托的运输单位应当具备国家及行业规定的运输资质。供货期间，如有发布最新的行业标准或国家标准，包装及运输按发布的最新行业标准或国家标准执行。</w:t>
      </w: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kern w:val="2"/>
          <w:sz w:val="21"/>
          <w:szCs w:val="21"/>
          <w:highlight w:val="none"/>
          <w:lang w:val="en-US" w:eastAsia="zh-CN" w:bidi="ar-SA"/>
        </w:rPr>
      </w:pPr>
    </w:p>
    <w:p>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四、</w:t>
      </w:r>
      <w:r>
        <w:rPr>
          <w:rFonts w:hint="eastAsia" w:ascii="宋体" w:hAnsi="宋体" w:eastAsia="宋体" w:cs="宋体"/>
          <w:b/>
          <w:color w:val="auto"/>
          <w:sz w:val="21"/>
          <w:szCs w:val="21"/>
          <w:highlight w:val="none"/>
        </w:rPr>
        <w:t>验收要求</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招</w:t>
      </w:r>
      <w:r>
        <w:rPr>
          <w:rFonts w:hint="eastAsia" w:ascii="宋体" w:hAnsi="宋体" w:eastAsia="宋体" w:cs="宋体"/>
          <w:color w:val="auto"/>
          <w:kern w:val="2"/>
          <w:sz w:val="21"/>
          <w:szCs w:val="21"/>
          <w:highlight w:val="none"/>
          <w:lang w:eastAsia="zh-CN"/>
        </w:rPr>
        <w:t>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尚源公司</w:t>
      </w:r>
      <w:r>
        <w:rPr>
          <w:rFonts w:hint="eastAsia" w:ascii="宋体" w:hAnsi="宋体" w:eastAsia="宋体" w:cs="宋体"/>
          <w:color w:val="auto"/>
          <w:kern w:val="2"/>
          <w:sz w:val="21"/>
          <w:szCs w:val="21"/>
          <w:highlight w:val="none"/>
        </w:rPr>
        <w:t>对每次供货货物检验，检验指标由</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尚源公司</w:t>
      </w:r>
      <w:r>
        <w:rPr>
          <w:rFonts w:hint="eastAsia" w:ascii="宋体" w:hAnsi="宋体" w:eastAsia="宋体" w:cs="宋体"/>
          <w:color w:val="auto"/>
          <w:kern w:val="2"/>
          <w:sz w:val="21"/>
          <w:szCs w:val="21"/>
          <w:highlight w:val="none"/>
        </w:rPr>
        <w:t>在</w:t>
      </w:r>
      <w:r>
        <w:rPr>
          <w:rFonts w:hint="eastAsia" w:ascii="宋体" w:hAnsi="宋体" w:eastAsia="宋体" w:cs="宋体"/>
          <w:b/>
          <w:bCs/>
          <w:color w:val="auto"/>
          <w:kern w:val="2"/>
          <w:sz w:val="21"/>
          <w:szCs w:val="21"/>
          <w:highlight w:val="none"/>
        </w:rPr>
        <w:t>表1《</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w:t>
      </w:r>
      <w:r>
        <w:rPr>
          <w:rFonts w:hint="eastAsia" w:ascii="宋体" w:hAnsi="宋体" w:eastAsia="宋体" w:cs="宋体"/>
          <w:b/>
          <w:bCs/>
          <w:color w:val="auto"/>
          <w:kern w:val="2"/>
          <w:sz w:val="21"/>
          <w:szCs w:val="21"/>
          <w:highlight w:val="none"/>
        </w:rPr>
        <w:t>》</w:t>
      </w:r>
      <w:r>
        <w:rPr>
          <w:rFonts w:hint="eastAsia" w:ascii="宋体" w:hAnsi="宋体" w:eastAsia="宋体" w:cs="宋体"/>
          <w:color w:val="auto"/>
          <w:kern w:val="2"/>
          <w:sz w:val="21"/>
          <w:szCs w:val="21"/>
          <w:highlight w:val="none"/>
        </w:rPr>
        <w:t>中选择，</w:t>
      </w:r>
      <w:r>
        <w:rPr>
          <w:rFonts w:hint="eastAsia" w:ascii="宋体" w:hAnsi="宋体" w:eastAsia="宋体" w:cs="宋体"/>
          <w:color w:val="auto"/>
          <w:szCs w:val="21"/>
          <w:highlight w:val="none"/>
        </w:rPr>
        <w:t>其中有效氯（以Cl计）为每次供货货物的批检检验指标</w:t>
      </w:r>
      <w:r>
        <w:rPr>
          <w:rFonts w:hint="eastAsia" w:ascii="宋体" w:hAnsi="宋体" w:eastAsia="宋体" w:cs="宋体"/>
          <w:color w:val="auto"/>
          <w:kern w:val="2"/>
          <w:sz w:val="21"/>
          <w:szCs w:val="21"/>
          <w:highlight w:val="none"/>
        </w:rPr>
        <w:t>，其余指标为</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根据需要抽检的按需检验指标，货物批检检验指标和按需检验指标由</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关于药剂的管理制度及要求适时调整。</w:t>
      </w:r>
      <w:r>
        <w:rPr>
          <w:rFonts w:hint="eastAsia" w:ascii="宋体" w:hAnsi="宋体" w:eastAsia="宋体" w:cs="宋体"/>
          <w:color w:val="auto"/>
          <w:sz w:val="21"/>
          <w:szCs w:val="21"/>
          <w:highlight w:val="none"/>
        </w:rPr>
        <w:t>每次货到现场时应由双方共同取样封存。若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无正当理由拒绝或未能按</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通知派员参与共同取样，则视为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val="en-US" w:eastAsia="zh-CN"/>
        </w:rPr>
        <w:t>招标人运营项目</w:t>
      </w:r>
      <w:r>
        <w:rPr>
          <w:rFonts w:hint="eastAsia" w:ascii="宋体" w:hAnsi="宋体" w:eastAsia="宋体" w:cs="宋体"/>
          <w:color w:val="auto"/>
          <w:sz w:val="21"/>
          <w:szCs w:val="21"/>
          <w:highlight w:val="none"/>
        </w:rPr>
        <w:t>单独取样，该取样结果及据此进行的检验结果对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具有同等约束力。供货货物合格判定以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实验室检验结果为准。招标人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根据需要可委托具有CMA认证资质的第三方检测机构检测，招标人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委托的具有CMA认证资质的第三方检测机构的检验结果与招标人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实验室不一致的，该次的供货货物质量判定以招标人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szCs w:val="21"/>
          <w:highlight w:val="none"/>
        </w:rPr>
        <w:t>若中标人对招标人运营项目验收结果有异议，中标人应自招标人运营项目书面告知中标人检验结果24小时内，书面要求通过中标人和招标人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Cs w:val="21"/>
          <w:highlight w:val="none"/>
        </w:rPr>
        <w:t>双方确认的具有检测产品CMA认证资质的第三方单位对留样货物进行检测，最终供货产品质量判定以中标人和招标人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双方确认的具有检测产品CMA认证资质的第三方检测机构检验结果为准；因此产生的检测费、运输费等全部费用均由中标人承担。</w:t>
      </w:r>
    </w:p>
    <w:p>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rPr>
        <w:t>货物检验方法按《次氯酸钠》（GB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b/>
          <w:bCs/>
          <w:color w:val="auto"/>
          <w:kern w:val="2"/>
          <w:sz w:val="21"/>
          <w:szCs w:val="21"/>
          <w:highlight w:val="none"/>
        </w:rPr>
        <w:t>19106-2013）中的检测方法进行。</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rPr>
        <w:t>如供货货物符合</w:t>
      </w:r>
      <w:r>
        <w:rPr>
          <w:rFonts w:hint="eastAsia" w:ascii="宋体" w:hAnsi="宋体" w:eastAsia="宋体" w:cs="宋体"/>
          <w:b/>
          <w:bCs/>
          <w:color w:val="auto"/>
          <w:kern w:val="2"/>
          <w:sz w:val="21"/>
          <w:szCs w:val="21"/>
          <w:highlight w:val="none"/>
        </w:rPr>
        <w:t>表1《液</w:t>
      </w:r>
      <w:r>
        <w:rPr>
          <w:rFonts w:hint="eastAsia" w:ascii="宋体" w:hAnsi="宋体" w:eastAsia="宋体" w:cs="宋体"/>
          <w:b/>
          <w:bCs/>
          <w:color w:val="auto"/>
          <w:kern w:val="2"/>
          <w:sz w:val="21"/>
          <w:szCs w:val="21"/>
          <w:highlight w:val="none"/>
          <w:lang w:val="en-US" w:eastAsia="zh-CN"/>
        </w:rPr>
        <w:t>体</w:t>
      </w:r>
      <w:r>
        <w:rPr>
          <w:rFonts w:hint="eastAsia" w:ascii="宋体" w:hAnsi="宋体" w:eastAsia="宋体" w:cs="宋体"/>
          <w:b/>
          <w:bCs/>
          <w:color w:val="auto"/>
          <w:kern w:val="2"/>
          <w:sz w:val="21"/>
          <w:szCs w:val="21"/>
          <w:highlight w:val="none"/>
        </w:rPr>
        <w:t>次氯酸钠主要技术指标》</w:t>
      </w:r>
      <w:r>
        <w:rPr>
          <w:rFonts w:hint="eastAsia" w:ascii="宋体" w:hAnsi="宋体" w:eastAsia="宋体" w:cs="宋体"/>
          <w:color w:val="auto"/>
          <w:kern w:val="2"/>
          <w:sz w:val="21"/>
          <w:szCs w:val="21"/>
          <w:highlight w:val="none"/>
        </w:rPr>
        <w:t>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章确认，验收报告（模板）见附件2。验收报告作为对货物供货数量及主要技术指标验收的证明，不代表对货物使用效果的认可。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3、招标人运营项目根据本条规定对货物所做出的验收，仅作为起算付款之用，</w:t>
      </w:r>
      <w:r>
        <w:rPr>
          <w:rFonts w:hint="eastAsia" w:ascii="宋体" w:hAnsi="宋体" w:eastAsia="宋体" w:cs="宋体"/>
          <w:color w:val="auto"/>
          <w:sz w:val="21"/>
          <w:szCs w:val="21"/>
          <w:highlight w:val="none"/>
        </w:rPr>
        <w:t>不能免除中标人的质量责任，也不能排除其后因产品实际情况与要求不符而导致的招标人运营项目</w:t>
      </w:r>
      <w:r>
        <w:rPr>
          <w:rFonts w:hint="eastAsia" w:ascii="宋体" w:hAnsi="宋体" w:eastAsia="宋体" w:cs="宋体"/>
          <w:color w:val="auto"/>
          <w:sz w:val="21"/>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五、资料要求</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zh-CN" w:eastAsia="zh-CN"/>
        </w:rPr>
        <w:t>有效期内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eastAsia="zh-CN"/>
        </w:rPr>
        <w:t>车辆道路运输证、有效期内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eastAsia="zh-CN"/>
        </w:rPr>
        <w:t>车辆行驶证</w:t>
      </w:r>
      <w:r>
        <w:rPr>
          <w:rFonts w:hint="eastAsia" w:ascii="宋体" w:hAnsi="宋体" w:eastAsia="宋体" w:cs="宋体"/>
          <w:color w:val="auto"/>
          <w:szCs w:val="21"/>
          <w:highlight w:val="none"/>
        </w:rPr>
        <w:t>等</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eastAsia="zh-CN"/>
        </w:rPr>
        <w:t>）有效期内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《中华人民共和国道路运输经营许可证》</w:t>
      </w:r>
      <w:r>
        <w:rPr>
          <w:rFonts w:hint="eastAsia" w:ascii="宋体" w:hAnsi="宋体" w:eastAsia="宋体" w:cs="宋体"/>
          <w:color w:val="auto"/>
          <w:szCs w:val="21"/>
          <w:highlight w:val="none"/>
          <w:lang w:val="en-US" w:eastAsia="zh-CN"/>
        </w:rPr>
        <w:t>或《道路危险货物运输许可证》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运输合同（若有）；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）招标人运营项目要求提供的其他技术资料。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pPr>
        <w:autoSpaceDE/>
        <w:autoSpaceDN/>
        <w:adjustRightInd/>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供货期内，中标人需每季度委托有资质的第三方检测机构对供货期间所供货物进行检测，并提供第三方检测机构出具的符合表1《液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次氯酸钠主要技术指标》要求的检验报告，检验报告上的标徽应包括但不限于CMA认证标徽，</w:t>
      </w:r>
      <w:r>
        <w:rPr>
          <w:rFonts w:hint="eastAsia" w:ascii="宋体" w:hAnsi="宋体" w:eastAsia="宋体" w:cs="宋体"/>
          <w:b/>
          <w:bCs/>
          <w:color w:val="auto"/>
          <w:szCs w:val="21"/>
          <w:highlight w:val="none"/>
        </w:rPr>
        <w:t>检验报告需体现委托方、生产厂家、送检样品的产品名称、生产批号或生产日期、表1《液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次氯酸钠主要技术指标》中各指标项目检测结果，检验报告使用的检测方法需符合《次氯酸钠》（GB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b/>
          <w:bCs/>
          <w:color w:val="auto"/>
          <w:szCs w:val="21"/>
          <w:highlight w:val="none"/>
        </w:rPr>
        <w:t>19106—2013）</w:t>
      </w:r>
      <w:r>
        <w:rPr>
          <w:rFonts w:hint="eastAsia" w:ascii="宋体" w:hAnsi="宋体" w:eastAsia="宋体" w:cs="宋体"/>
          <w:color w:val="auto"/>
          <w:szCs w:val="21"/>
          <w:highlight w:val="none"/>
        </w:rPr>
        <w:t>，检验报告中样品送检时间需在供货期内。供货期间，如有发布最新的行业标准或国家标准，货物检验方法按发布的最新行业标准或国家标准执行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kern w:val="2"/>
          <w:sz w:val="21"/>
          <w:szCs w:val="21"/>
          <w:highlight w:val="none"/>
        </w:rPr>
        <w:t>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、在交货或合同履行过程中，若因所交货物（包括但不限于品种、规格、质量）不符合招标人运营项目要求、或货物使用过程中出现质量问题，导致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、尚源公司</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Cs w:val="21"/>
          <w:highlight w:val="none"/>
        </w:rPr>
        <w:t>该些不合格货物损毁灭失的风险及损失由</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自行承担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处置该次不合格货物所需的全部费用，以及给招标人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所提供的产品导致</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运营项目处理系统生产运行出现异常或故障，妨碍水处理系统正常生产运行，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将根据需要通知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到指定地点提供技术服务，如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接到通知，应在4小时内自费派工程师到达现场，并在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要求的限期内排除故障，确保不影响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运营项目的生产运营，且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须承担由此给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lang w:eastAsia="zh-CN"/>
        </w:rPr>
        <w:t>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造成的一切损失。</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r>
        <w:rPr>
          <w:rFonts w:hint="eastAsia" w:ascii="宋体" w:hAnsi="宋体" w:eastAsia="宋体" w:cs="宋体"/>
          <w:b w:val="0"/>
          <w:bCs/>
          <w:color w:val="auto"/>
          <w:sz w:val="21"/>
          <w:szCs w:val="21"/>
          <w:highlight w:val="none"/>
          <w:u w:val="none"/>
          <w:lang w:val="en-US" w:eastAsia="zh-CN"/>
        </w:rPr>
        <w:t>或招标人权属子公司或尚源公司</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支付完相关款项后，招标人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也不得以此为由拒绝或迟延履行合同义务，</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各合同甲方</w:t>
      </w:r>
      <w:r>
        <w:rPr>
          <w:rFonts w:hint="eastAsia" w:ascii="宋体" w:hAnsi="宋体" w:eastAsia="宋体" w:cs="宋体"/>
          <w:color w:val="auto"/>
          <w:sz w:val="21"/>
          <w:szCs w:val="21"/>
          <w:highlight w:val="none"/>
        </w:rPr>
        <w:t>分别按照其各自管理的运营项目支付对应</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w:t>
      </w:r>
      <w:r>
        <w:rPr>
          <w:rFonts w:hint="eastAsia" w:ascii="宋体" w:hAnsi="宋体" w:eastAsia="宋体" w:cs="宋体"/>
          <w:color w:val="auto"/>
          <w:kern w:val="2"/>
          <w:sz w:val="21"/>
          <w:szCs w:val="21"/>
          <w:highlight w:val="none"/>
          <w:lang w:val="en-US" w:eastAsia="zh-CN" w:bidi="ar-SA"/>
        </w:rPr>
        <w:t>经最终验收合格的</w:t>
      </w:r>
      <w:r>
        <w:rPr>
          <w:rFonts w:hint="eastAsia" w:ascii="宋体" w:hAnsi="宋体" w:eastAsia="宋体" w:cs="宋体"/>
          <w:color w:val="auto"/>
          <w:sz w:val="21"/>
          <w:szCs w:val="21"/>
          <w:highlight w:val="none"/>
        </w:rPr>
        <w:t>实际供货量的款项。</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运营项目提交请款报告和请款金额等额的合法、有效的增值税专用发票，招标人</w:t>
      </w:r>
      <w:r>
        <w:rPr>
          <w:rFonts w:hint="eastAsia" w:ascii="宋体" w:hAnsi="宋体" w:eastAsia="宋体" w:cs="宋体"/>
          <w:b w:val="0"/>
          <w:bCs/>
          <w:color w:val="auto"/>
          <w:sz w:val="21"/>
          <w:szCs w:val="21"/>
          <w:highlight w:val="none"/>
          <w:u w:val="none"/>
          <w:lang w:val="en-US" w:eastAsia="zh-CN"/>
        </w:rPr>
        <w:t>或招标人权属子公司对应运营项目</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在收到前述材料并确认无误后30个工作日内</w:t>
      </w:r>
      <w:r>
        <w:rPr>
          <w:rFonts w:hint="eastAsia" w:ascii="宋体" w:hAnsi="宋体" w:eastAsia="宋体" w:cs="宋体"/>
          <w:color w:val="auto"/>
          <w:sz w:val="21"/>
          <w:szCs w:val="21"/>
          <w:highlight w:val="none"/>
          <w:lang w:eastAsia="zh-CN"/>
        </w:rPr>
        <w:t>，由管理该运营项目的</w:t>
      </w:r>
      <w:r>
        <w:rPr>
          <w:rFonts w:hint="eastAsia" w:ascii="宋体" w:hAnsi="宋体" w:eastAsia="宋体" w:cs="宋体"/>
          <w:color w:val="auto"/>
          <w:sz w:val="21"/>
          <w:szCs w:val="21"/>
          <w:highlight w:val="none"/>
          <w:lang w:val="en-US" w:eastAsia="zh-CN"/>
        </w:rPr>
        <w:t>各合同甲方</w:t>
      </w:r>
      <w:r>
        <w:rPr>
          <w:rFonts w:hint="eastAsia" w:ascii="宋体" w:hAnsi="宋体" w:eastAsia="宋体" w:cs="宋体"/>
          <w:color w:val="auto"/>
          <w:sz w:val="21"/>
          <w:szCs w:val="21"/>
          <w:highlight w:val="none"/>
        </w:rPr>
        <w:t>支付结算上月</w:t>
      </w:r>
      <w:r>
        <w:rPr>
          <w:rFonts w:hint="eastAsia" w:ascii="宋体" w:hAnsi="宋体" w:eastAsia="宋体" w:cs="宋体"/>
          <w:color w:val="auto"/>
          <w:kern w:val="2"/>
          <w:sz w:val="21"/>
          <w:szCs w:val="21"/>
          <w:highlight w:val="none"/>
          <w:lang w:val="en-US" w:eastAsia="zh-CN" w:bidi="ar-SA"/>
        </w:rPr>
        <w:t>经最终验收合格的</w:t>
      </w:r>
      <w:r>
        <w:rPr>
          <w:rFonts w:hint="eastAsia" w:ascii="宋体" w:hAnsi="宋体" w:eastAsia="宋体" w:cs="宋体"/>
          <w:color w:val="auto"/>
          <w:sz w:val="21"/>
          <w:szCs w:val="21"/>
          <w:highlight w:val="none"/>
        </w:rPr>
        <w:t>实际供货量的</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4、支付方式为银行转账或银行承兑汇票，汇票期限不超过三个月，每期款项支付方式由招标人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val="en-US" w:eastAsia="zh-CN"/>
        </w:rPr>
        <w:t>决定。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迟延提供请款报告及发票或提供的请款报告、发票不符合要求的，招标人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不因此承担任何责任，</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不得以此为由拒绝或迟延履行合同义务。因支付产生的相关银行手续费用，根据有关银行规定执行。由于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p>
    <w:p>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bookmarkEnd w:id="317"/>
    <w:bookmarkEnd w:id="318"/>
    <w:bookmarkEnd w:id="319"/>
    <w:bookmarkEnd w:id="320"/>
    <w:bookmarkEnd w:id="321"/>
    <w:p>
      <w:pPr>
        <w:pStyle w:val="1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货款的10%向招标人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有权单方解除合同，并要求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或招标人权属子公司</w:t>
      </w:r>
      <w:r>
        <w:rPr>
          <w:rFonts w:hint="eastAsia" w:ascii="宋体" w:hAnsi="宋体" w:eastAsia="宋体" w:cs="宋体"/>
          <w:color w:val="auto"/>
          <w:sz w:val="21"/>
          <w:szCs w:val="21"/>
          <w:highlight w:val="none"/>
          <w:lang w:val="en-US" w:eastAsia="zh-CN"/>
        </w:rPr>
        <w:t>或尚源公司）</w:t>
      </w:r>
      <w:r>
        <w:rPr>
          <w:rFonts w:hint="eastAsia" w:ascii="宋体" w:hAnsi="宋体" w:eastAsia="宋体" w:cs="宋体"/>
          <w:color w:val="auto"/>
          <w:sz w:val="21"/>
          <w:szCs w:val="21"/>
          <w:highlight w:val="none"/>
        </w:rPr>
        <w:t>实验室或招标人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委托的第三方检测机构检验累计出现3次（含）以上不合格的，招标人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val="en-US" w:eastAsia="zh-CN"/>
        </w:rPr>
        <w:t>中标人提供的</w:t>
      </w:r>
      <w:r>
        <w:rPr>
          <w:rFonts w:hint="eastAsia" w:ascii="宋体" w:hAnsi="宋体" w:eastAsia="宋体" w:cs="宋体"/>
          <w:color w:val="auto"/>
          <w:sz w:val="21"/>
          <w:szCs w:val="21"/>
          <w:highlight w:val="none"/>
        </w:rPr>
        <w:t>药剂问题对招标人</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生产、成本造成影响，未造成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运营项目出水水质指标超标等严重影响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运营项目生产的情况，招标人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足额</w:t>
      </w:r>
      <w:r>
        <w:rPr>
          <w:rFonts w:hint="eastAsia" w:ascii="宋体" w:hAnsi="宋体" w:eastAsia="宋体" w:cs="宋体"/>
          <w:color w:val="auto"/>
          <w:sz w:val="21"/>
          <w:szCs w:val="21"/>
          <w:highlight w:val="none"/>
        </w:rPr>
        <w:t>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造成招标人运营项目出水水质指标超标</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严重影响招标人运营项目生产的情况，招标人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w:t>
      </w:r>
      <w:r>
        <w:rPr>
          <w:rFonts w:hint="eastAsia" w:ascii="宋体" w:hAnsi="宋体" w:eastAsia="宋体" w:cs="宋体"/>
          <w:color w:val="auto"/>
          <w:sz w:val="21"/>
          <w:szCs w:val="21"/>
          <w:highlight w:val="none"/>
          <w:lang w:val="en-US" w:eastAsia="zh-CN"/>
        </w:rPr>
        <w:t>暂停或</w:t>
      </w:r>
      <w:r>
        <w:rPr>
          <w:rFonts w:hint="eastAsia" w:ascii="宋体" w:hAnsi="宋体" w:eastAsia="宋体" w:cs="宋体"/>
          <w:color w:val="auto"/>
          <w:sz w:val="21"/>
          <w:szCs w:val="21"/>
          <w:highlight w:val="none"/>
        </w:rPr>
        <w:t>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kern w:val="2"/>
          <w:sz w:val="21"/>
          <w:szCs w:val="21"/>
          <w:highlight w:val="none"/>
        </w:rPr>
        <w:t>无需支付货款。</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、授予合同前或合同履行中，招标人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单方解除</w:t>
      </w:r>
      <w:r>
        <w:rPr>
          <w:rFonts w:hint="eastAsia" w:ascii="宋体" w:hAnsi="宋体" w:eastAsia="宋体" w:cs="宋体"/>
          <w:color w:val="auto"/>
          <w:sz w:val="21"/>
          <w:szCs w:val="21"/>
          <w:highlight w:val="none"/>
        </w:rPr>
        <w:t>合同。因此给招标人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pPr>
        <w:pStyle w:val="128"/>
        <w:widowControl/>
        <w:autoSpaceDE/>
        <w:autoSpaceDN/>
        <w:adjustRightInd/>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关于供货资格供应商的管理规则及要求。招标人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。考核评分满分为100分，若</w:t>
      </w:r>
      <w:r>
        <w:rPr>
          <w:rFonts w:hint="eastAsia" w:ascii="宋体" w:hAnsi="宋体" w:eastAsia="宋体" w:cs="宋体"/>
          <w:color w:val="auto"/>
          <w:sz w:val="21"/>
          <w:szCs w:val="21"/>
          <w:highlight w:val="none"/>
          <w:lang w:val="en-US" w:eastAsia="zh-CN" w:bidi="ar"/>
        </w:rPr>
        <w:t>招标人</w:t>
      </w:r>
      <w:r>
        <w:rPr>
          <w:rFonts w:hint="eastAsia" w:ascii="宋体" w:hAnsi="宋体" w:eastAsia="宋体" w:cs="宋体"/>
          <w:color w:val="auto"/>
          <w:sz w:val="21"/>
          <w:szCs w:val="21"/>
          <w:highlight w:val="none"/>
          <w:lang w:bidi="ar"/>
        </w:rPr>
        <w:t>某运营项目对</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的考核评分分数低于80分、达到60分时，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货款的20%向</w:t>
      </w:r>
      <w:r>
        <w:rPr>
          <w:rFonts w:hint="eastAsia" w:ascii="宋体" w:hAnsi="宋体" w:eastAsia="宋体" w:cs="宋体"/>
          <w:color w:val="auto"/>
          <w:sz w:val="21"/>
          <w:szCs w:val="21"/>
          <w:highlight w:val="none"/>
          <w:lang w:val="en-US" w:eastAsia="zh-CN" w:bidi="ar"/>
        </w:rPr>
        <w:t>管理该</w:t>
      </w:r>
      <w:r>
        <w:rPr>
          <w:rFonts w:hint="eastAsia" w:ascii="宋体" w:hAnsi="宋体" w:eastAsia="宋体" w:cs="Times New Roman"/>
          <w:b w:val="0"/>
          <w:bCs/>
          <w:color w:val="auto"/>
          <w:szCs w:val="21"/>
          <w:highlight w:val="none"/>
          <w:u w:val="none"/>
          <w:lang w:val="en-US" w:eastAsia="zh-CN"/>
        </w:rPr>
        <w:t>运营项目的</w:t>
      </w:r>
      <w:r>
        <w:rPr>
          <w:rFonts w:hint="eastAsia" w:ascii="宋体" w:hAnsi="宋体" w:eastAsia="宋体" w:cs="宋体"/>
          <w:color w:val="auto"/>
          <w:sz w:val="21"/>
          <w:szCs w:val="21"/>
          <w:highlight w:val="none"/>
          <w:lang w:bidi="ar"/>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支付违约金；若</w:t>
      </w:r>
      <w:r>
        <w:rPr>
          <w:rFonts w:hint="eastAsia" w:ascii="宋体" w:hAnsi="宋体" w:eastAsia="宋体" w:cs="宋体"/>
          <w:color w:val="auto"/>
          <w:sz w:val="21"/>
          <w:szCs w:val="21"/>
          <w:highlight w:val="none"/>
          <w:lang w:val="en-US" w:eastAsia="zh-CN" w:bidi="ar"/>
        </w:rPr>
        <w:t>招标人</w:t>
      </w:r>
      <w:r>
        <w:rPr>
          <w:rFonts w:hint="eastAsia" w:ascii="宋体" w:hAnsi="宋体" w:eastAsia="宋体" w:cs="宋体"/>
          <w:color w:val="auto"/>
          <w:sz w:val="21"/>
          <w:szCs w:val="21"/>
          <w:highlight w:val="none"/>
          <w:lang w:bidi="ar"/>
        </w:rPr>
        <w:t>某运营项目对</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的考核评分分数低于60分时，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货款的30%向</w:t>
      </w:r>
      <w:r>
        <w:rPr>
          <w:rFonts w:hint="eastAsia" w:ascii="宋体" w:hAnsi="宋体" w:eastAsia="宋体" w:cs="宋体"/>
          <w:color w:val="auto"/>
          <w:sz w:val="21"/>
          <w:szCs w:val="21"/>
          <w:highlight w:val="none"/>
          <w:lang w:val="en-US" w:eastAsia="zh-CN" w:bidi="ar"/>
        </w:rPr>
        <w:t>管理该</w:t>
      </w:r>
      <w:r>
        <w:rPr>
          <w:rFonts w:hint="eastAsia" w:ascii="宋体" w:hAnsi="宋体" w:eastAsia="宋体" w:cs="Times New Roman"/>
          <w:b w:val="0"/>
          <w:bCs/>
          <w:color w:val="auto"/>
          <w:szCs w:val="21"/>
          <w:highlight w:val="none"/>
          <w:u w:val="none"/>
          <w:lang w:val="en-US" w:eastAsia="zh-CN"/>
        </w:rPr>
        <w:t>运营项目的</w:t>
      </w:r>
      <w:r>
        <w:rPr>
          <w:rFonts w:hint="eastAsia" w:ascii="宋体" w:hAnsi="宋体" w:eastAsia="宋体" w:cs="宋体"/>
          <w:color w:val="auto"/>
          <w:sz w:val="21"/>
          <w:szCs w:val="21"/>
          <w:highlight w:val="none"/>
          <w:lang w:bidi="ar"/>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，招标人</w:t>
      </w:r>
      <w:r>
        <w:rPr>
          <w:rFonts w:hint="eastAsia" w:ascii="宋体" w:hAnsi="宋体" w:eastAsia="宋体" w:cs="宋体"/>
          <w:b w:val="0"/>
          <w:bCs/>
          <w:color w:val="auto"/>
          <w:sz w:val="21"/>
          <w:szCs w:val="21"/>
          <w:highlight w:val="none"/>
          <w:u w:val="none"/>
          <w:lang w:val="en-US" w:eastAsia="zh-CN"/>
        </w:rPr>
        <w:t>或招标人权属子公司</w:t>
      </w:r>
      <w:r>
        <w:rPr>
          <w:rFonts w:hint="eastAsia" w:ascii="宋体" w:hAnsi="宋体" w:eastAsia="宋体" w:cs="宋体"/>
          <w:color w:val="auto"/>
          <w:kern w:val="2"/>
          <w:sz w:val="21"/>
          <w:szCs w:val="21"/>
          <w:highlight w:val="none"/>
          <w:lang w:val="en-US" w:eastAsia="zh-CN"/>
        </w:rPr>
        <w:t>或尚源公司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：招标人运营项目相关信息</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附件2：验收报告（模板）</w:t>
      </w:r>
    </w:p>
    <w:p>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附件3：</w:t>
      </w:r>
      <w:r>
        <w:rPr>
          <w:rFonts w:hint="eastAsia" w:ascii="宋体" w:hAnsi="宋体" w:eastAsia="宋体" w:cs="宋体"/>
          <w:color w:val="auto"/>
          <w:sz w:val="21"/>
          <w:szCs w:val="21"/>
          <w:highlight w:val="none"/>
          <w:lang w:bidi="ar"/>
        </w:rPr>
        <w:t>供应商履约评价表</w:t>
      </w:r>
    </w:p>
    <w:p>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color w:val="auto"/>
          <w:sz w:val="21"/>
          <w:szCs w:val="21"/>
          <w:highlight w:val="none"/>
        </w:rPr>
      </w:pPr>
      <w:bookmarkStart w:id="327" w:name="_Toc6177"/>
      <w:r>
        <w:rPr>
          <w:rFonts w:hint="eastAsia" w:ascii="宋体" w:hAnsi="宋体" w:eastAsia="宋体" w:cs="宋体"/>
          <w:b/>
          <w:bCs/>
          <w:color w:val="auto"/>
          <w:kern w:val="2"/>
          <w:sz w:val="21"/>
          <w:szCs w:val="21"/>
          <w:highlight w:val="none"/>
          <w:lang w:val="en-US" w:eastAsia="zh-CN" w:bidi="ar"/>
        </w:rPr>
        <w:t>附件1：</w:t>
      </w:r>
      <w:r>
        <w:rPr>
          <w:rFonts w:hint="eastAsia" w:ascii="宋体" w:hAnsi="宋体" w:eastAsia="宋体" w:cs="宋体"/>
          <w:b/>
          <w:color w:val="auto"/>
          <w:kern w:val="2"/>
          <w:sz w:val="21"/>
          <w:szCs w:val="21"/>
          <w:highlight w:val="none"/>
        </w:rPr>
        <w:t>招标人运营项目相关信息</w:t>
      </w:r>
      <w:bookmarkEnd w:id="327"/>
    </w:p>
    <w:tbl>
      <w:tblPr>
        <w:tblStyle w:val="43"/>
        <w:tblW w:w="10594"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583"/>
        <w:gridCol w:w="4386"/>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预计总送货量（吨）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8734" w:type="dxa"/>
            <w:gridSpan w:val="3"/>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一、</w:t>
            </w:r>
            <w:r>
              <w:rPr>
                <w:rFonts w:hint="eastAsia" w:ascii="宋体" w:hAnsi="宋体" w:eastAsia="宋体" w:cs="宋体"/>
                <w:b/>
                <w:bCs/>
                <w:color w:val="auto"/>
                <w:kern w:val="0"/>
                <w:szCs w:val="21"/>
                <w:highlight w:val="none"/>
                <w:u w:val="none"/>
                <w:lang w:bidi="ar"/>
              </w:rPr>
              <w:t>东莞市石鼓净水有限公司</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Cs w:val="21"/>
                <w:highlight w:val="none"/>
                <w:u w:val="none"/>
                <w:lang w:val="en-US" w:eastAsia="zh-CN" w:bidi="ar"/>
              </w:rPr>
            </w:pPr>
            <w:r>
              <w:rPr>
                <w:rFonts w:hint="default" w:ascii="宋体" w:hAnsi="宋体" w:eastAsia="宋体" w:cs="宋体"/>
                <w:b/>
                <w:bCs/>
                <w:color w:val="auto"/>
                <w:sz w:val="21"/>
                <w:szCs w:val="21"/>
                <w:highlight w:val="none"/>
                <w:lang w:val="en-US" w:eastAsia="zh-CN"/>
              </w:rPr>
              <w:t>9657.502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594" w:type="dxa"/>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市区污水处理厂一二期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市区厂污水处理厂三期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16.143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178.515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102.084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8.811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5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438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18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109.717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26.323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54.013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38.103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东莞市东城街道象山路7号2栋101室</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13.123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东莞市沙田镇大流村下涌</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13.264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6.588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23.676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22.479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16.785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5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438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c>
          <w:tcPr>
            <w:tcW w:w="18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26.354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426.798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426.798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17.193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56.341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30.415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40.370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松山湖科学城厂</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274.500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583"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4386"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45.428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19.553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39.844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17.949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57.406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58.761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24.759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30.916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594" w:type="dxa"/>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3920.974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41.602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186.880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410.445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130.121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东莞市黄江镇合路创业一路1号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371.006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1078.421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320.476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67.189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塘厦林村一期提标</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126.393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36.445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185.812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91.973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296.100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凤岗雁田污水处理厂提标工程</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东莞市凤岗雁田污水处理厂（凤深大道310号）</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8734" w:type="dxa"/>
            <w:gridSpan w:val="3"/>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二、</w:t>
            </w:r>
            <w:r>
              <w:rPr>
                <w:rFonts w:hint="eastAsia" w:ascii="宋体" w:hAnsi="宋体" w:eastAsia="宋体" w:cs="宋体"/>
                <w:b/>
                <w:bCs/>
                <w:color w:val="auto"/>
                <w:kern w:val="0"/>
                <w:szCs w:val="21"/>
                <w:highlight w:val="none"/>
                <w:u w:val="none"/>
                <w:lang w:bidi="ar"/>
              </w:rPr>
              <w:t>东莞市清源净水科技有限公司</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b/>
                <w:bCs/>
                <w:color w:val="auto"/>
                <w:sz w:val="21"/>
                <w:szCs w:val="21"/>
                <w:highlight w:val="none"/>
                <w:lang w:val="en-US" w:eastAsia="zh-CN"/>
              </w:rPr>
              <w:t>292.178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594" w:type="dxa"/>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（一）</w:t>
            </w:r>
            <w:r>
              <w:rPr>
                <w:rFonts w:hint="eastAsia" w:ascii="宋体" w:hAnsi="宋体" w:eastAsia="宋体" w:cs="宋体"/>
                <w:b/>
                <w:bCs/>
                <w:i w:val="0"/>
                <w:iCs w:val="0"/>
                <w:color w:val="auto"/>
                <w:kern w:val="0"/>
                <w:sz w:val="21"/>
                <w:szCs w:val="21"/>
                <w:highlight w:val="none"/>
                <w:u w:val="none"/>
                <w:lang w:val="en-US" w:eastAsia="zh-CN" w:bidi="ar"/>
              </w:rPr>
              <w:t>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292.178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8734" w:type="dxa"/>
            <w:gridSpan w:val="3"/>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w:t>
            </w:r>
            <w:r>
              <w:rPr>
                <w:rFonts w:hint="eastAsia" w:ascii="宋体" w:hAnsi="宋体" w:eastAsia="宋体" w:cs="宋体"/>
                <w:b/>
                <w:bCs/>
                <w:color w:val="auto"/>
                <w:kern w:val="0"/>
                <w:szCs w:val="21"/>
                <w:highlight w:val="none"/>
                <w:u w:val="none"/>
                <w:lang w:bidi="ar"/>
              </w:rPr>
              <w:t>东莞市莞水装备科技有限公司</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default" w:ascii="宋体" w:hAnsi="宋体" w:eastAsia="宋体" w:cs="宋体"/>
                <w:b/>
                <w:bCs/>
                <w:color w:val="auto"/>
                <w:sz w:val="21"/>
                <w:szCs w:val="21"/>
                <w:highlight w:val="none"/>
                <w:lang w:val="en-US" w:eastAsia="zh-CN"/>
              </w:rPr>
              <w:t>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594" w:type="dxa"/>
            <w:gridSpan w:val="4"/>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（一）分散式及一体化项目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桥头长和圩</w:t>
            </w:r>
          </w:p>
        </w:tc>
        <w:tc>
          <w:tcPr>
            <w:tcW w:w="4386"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桥头镇东江旧围</w:t>
            </w:r>
          </w:p>
        </w:tc>
        <w:tc>
          <w:tcPr>
            <w:tcW w:w="4386"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长安霄边第四工业区</w:t>
            </w:r>
          </w:p>
        </w:tc>
        <w:tc>
          <w:tcPr>
            <w:tcW w:w="4386"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8734" w:type="dxa"/>
            <w:gridSpan w:val="3"/>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Cs w:val="21"/>
                <w:highlight w:val="none"/>
                <w:u w:val="none"/>
                <w:lang w:val="en-US" w:eastAsia="zh-CN" w:bidi="ar"/>
              </w:rPr>
              <w:t>四、</w:t>
            </w:r>
            <w:r>
              <w:rPr>
                <w:rFonts w:hint="eastAsia" w:ascii="宋体" w:hAnsi="宋体" w:eastAsia="宋体" w:cs="宋体"/>
                <w:b/>
                <w:bCs/>
                <w:color w:val="auto"/>
                <w:kern w:val="0"/>
                <w:szCs w:val="21"/>
                <w:highlight w:val="none"/>
                <w:u w:val="none"/>
                <w:lang w:bidi="ar"/>
              </w:rPr>
              <w:t>东莞市尚源环能科技有限公司</w:t>
            </w:r>
          </w:p>
        </w:tc>
        <w:tc>
          <w:tcPr>
            <w:tcW w:w="186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sz w:val="21"/>
                <w:szCs w:val="21"/>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594" w:type="dxa"/>
            <w:gridSpan w:val="4"/>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（一）东莞市污泥集中处理处置项目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65"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583"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污泥集中处理处置项目</w:t>
            </w:r>
          </w:p>
        </w:tc>
        <w:tc>
          <w:tcPr>
            <w:tcW w:w="438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广东省东莞市沙田镇立沙中路76号</w:t>
            </w:r>
          </w:p>
        </w:tc>
        <w:tc>
          <w:tcPr>
            <w:tcW w:w="1860"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20.000</w:t>
            </w:r>
          </w:p>
        </w:tc>
      </w:tr>
    </w:tbl>
    <w:p>
      <w:pPr>
        <w:rPr>
          <w:rFonts w:hint="eastAsia" w:ascii="宋体" w:hAnsi="宋体" w:eastAsia="宋体" w:cs="宋体"/>
          <w:b/>
          <w:color w:val="auto"/>
          <w:kern w:val="2"/>
          <w:sz w:val="21"/>
          <w:szCs w:val="21"/>
          <w:highlight w:val="none"/>
        </w:rPr>
        <w:sectPr>
          <w:footerReference r:id="rId3" w:type="default"/>
          <w:pgSz w:w="12240" w:h="15840"/>
          <w:pgMar w:top="1191" w:right="1043" w:bottom="1191" w:left="1043" w:header="720" w:footer="720" w:gutter="0"/>
          <w:pgNumType w:fmt="decimal" w:start="1"/>
          <w:cols w:space="720" w:num="1"/>
          <w:docGrid w:linePitch="326" w:charSpace="0"/>
        </w:sectPr>
      </w:pPr>
      <w:r>
        <w:rPr>
          <w:rFonts w:hint="eastAsia" w:ascii="宋体" w:hAnsi="宋体" w:eastAsia="宋体" w:cs="宋体"/>
          <w:b/>
          <w:color w:val="auto"/>
          <w:kern w:val="2"/>
          <w:sz w:val="21"/>
          <w:szCs w:val="21"/>
          <w:highlight w:val="none"/>
        </w:rPr>
        <w:t>备注：以上运营项目为暂定，具体情况以实际为准。</w:t>
      </w:r>
    </w:p>
    <w:p>
      <w:pPr>
        <w:spacing w:line="240" w:lineRule="auto"/>
        <w:ind w:firstLine="0" w:firstLineChars="0"/>
        <w:outlineLvl w:val="1"/>
        <w:rPr>
          <w:rFonts w:hint="eastAsia" w:ascii="宋体" w:hAnsi="宋体" w:eastAsia="宋体" w:cs="宋体"/>
          <w:b/>
          <w:color w:val="auto"/>
          <w:szCs w:val="21"/>
          <w:highlight w:val="none"/>
          <w:lang w:val="en-US" w:eastAsia="zh-CN"/>
        </w:rPr>
      </w:pPr>
      <w:bookmarkStart w:id="328" w:name="_Toc4554"/>
      <w:r>
        <w:rPr>
          <w:rFonts w:hint="eastAsia" w:ascii="宋体" w:hAnsi="宋体" w:eastAsia="宋体" w:cs="宋体"/>
          <w:b/>
          <w:color w:val="auto"/>
          <w:szCs w:val="21"/>
          <w:highlight w:val="none"/>
          <w:lang w:val="en-US" w:eastAsia="zh-CN"/>
        </w:rPr>
        <w:t>附件2：验收报告（模板）</w:t>
      </w:r>
      <w:bookmarkEnd w:id="328"/>
    </w:p>
    <w:p>
      <w:pPr>
        <w:outlineLvl w:val="9"/>
        <w:rPr>
          <w:color w:val="auto"/>
          <w:highlight w:val="none"/>
          <w:lang w:val="zh-CN"/>
        </w:rPr>
      </w:pPr>
    </w:p>
    <w:p>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验收报告</w:t>
      </w:r>
    </w:p>
    <w:tbl>
      <w:tblPr>
        <w:tblStyle w:val="43"/>
        <w:tblW w:w="10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highlight w:val="none"/>
              </w:rPr>
            </w:pPr>
            <w:r>
              <w:rPr>
                <w:rFonts w:hint="default"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highlight w:val="none"/>
              </w:rPr>
            </w:pPr>
            <w:r>
              <w:rPr>
                <w:rFonts w:hint="default"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keepNext w:val="0"/>
              <w:keepLines w:val="0"/>
              <w:suppressLineNumbers w:val="0"/>
              <w:spacing w:before="0" w:beforeAutospacing="0" w:after="0" w:afterAutospacing="0"/>
              <w:ind w:left="0" w:right="0"/>
              <w:jc w:val="center"/>
              <w:rPr>
                <w:rFonts w:hint="default"/>
                <w:b/>
                <w:bCs/>
                <w:color w:val="auto"/>
                <w:highlight w:val="none"/>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highlight w:val="none"/>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highlight w:val="none"/>
              </w:rPr>
            </w:pPr>
          </w:p>
          <w:p>
            <w:pPr>
              <w:keepNext w:val="0"/>
              <w:keepLines w:val="0"/>
              <w:widowControl/>
              <w:suppressLineNumbers w:val="0"/>
              <w:spacing w:before="0" w:beforeAutospacing="0" w:after="0" w:afterAutospacing="0"/>
              <w:ind w:left="0" w:right="0"/>
              <w:jc w:val="left"/>
              <w:textAlignment w:val="center"/>
              <w:rPr>
                <w:rFonts w:hint="default"/>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noWrap/>
            <w:tcMar>
              <w:top w:w="15" w:type="dxa"/>
              <w:left w:w="15" w:type="dxa"/>
              <w:right w:w="15" w:type="dxa"/>
            </w:tcMar>
          </w:tcPr>
          <w:p>
            <w:pPr>
              <w:pStyle w:val="19"/>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highlight w:val="none"/>
              </w:rPr>
            </w:pPr>
          </w:p>
          <w:p>
            <w:pPr>
              <w:pStyle w:val="19"/>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pPr>
              <w:pStyle w:val="19"/>
              <w:keepNext w:val="0"/>
              <w:keepLines w:val="0"/>
              <w:suppressLineNumbers w:val="0"/>
              <w:spacing w:beforeAutospacing="0" w:after="0" w:afterAutospacing="0"/>
              <w:ind w:left="0" w:right="0"/>
              <w:rPr>
                <w:rFonts w:hint="default" w:eastAsia="宋体"/>
                <w:color w:val="auto"/>
                <w:highlight w:val="none"/>
                <w:lang w:val="en-US" w:eastAsia="zh-CN"/>
              </w:rPr>
            </w:pPr>
            <w:r>
              <w:rPr>
                <w:rFonts w:hint="eastAsia" w:ascii="宋体" w:hAnsi="宋体" w:eastAsia="宋体" w:cs="宋体"/>
                <w:b/>
                <w:bCs w:val="0"/>
                <w:color w:val="auto"/>
                <w:szCs w:val="21"/>
                <w:highlight w:val="none"/>
                <w:lang w:val="en-US" w:eastAsia="zh-CN"/>
              </w:rPr>
              <w:t xml:space="preserve">  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pPr>
        <w:rPr>
          <w:color w:val="auto"/>
          <w:highlight w:val="none"/>
          <w:lang w:val="zh-CN"/>
        </w:rPr>
        <w:sectPr>
          <w:pgSz w:w="12240" w:h="15840"/>
          <w:pgMar w:top="1191" w:right="1043" w:bottom="1191" w:left="1043" w:header="720" w:footer="720" w:gutter="0"/>
          <w:pgNumType w:fmt="decimal"/>
          <w:cols w:space="720" w:num="1"/>
          <w:titlePg/>
          <w:docGrid w:linePitch="326" w:charSpace="0"/>
        </w:sectPr>
      </w:pPr>
    </w:p>
    <w:p>
      <w:pPr>
        <w:spacing w:line="240" w:lineRule="auto"/>
        <w:ind w:firstLine="0" w:firstLineChars="0"/>
        <w:outlineLvl w:val="1"/>
        <w:rPr>
          <w:rFonts w:hint="eastAsia" w:ascii="宋体" w:hAnsi="宋体" w:eastAsia="宋体" w:cs="宋体"/>
          <w:b/>
          <w:color w:val="auto"/>
          <w:szCs w:val="21"/>
          <w:highlight w:val="none"/>
          <w:lang w:bidi="ar"/>
        </w:rPr>
      </w:pPr>
      <w:bookmarkStart w:id="329" w:name="_Toc17464"/>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bookmarkEnd w:id="329"/>
    </w:p>
    <w:p>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43"/>
        <w:tblW w:w="10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15"/>
        <w:gridCol w:w="3840"/>
        <w:gridCol w:w="582"/>
        <w:gridCol w:w="1860"/>
        <w:gridCol w:w="540"/>
        <w:gridCol w:w="56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合同名称</w:t>
            </w:r>
          </w:p>
        </w:tc>
        <w:tc>
          <w:tcPr>
            <w:tcW w:w="8106"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合同编号</w:t>
            </w:r>
          </w:p>
        </w:tc>
        <w:tc>
          <w:tcPr>
            <w:tcW w:w="8106" w:type="dxa"/>
            <w:gridSpan w:val="6"/>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甲方名称</w:t>
            </w:r>
          </w:p>
        </w:tc>
        <w:tc>
          <w:tcPr>
            <w:tcW w:w="8106"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8106"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供应货物名称</w:t>
            </w:r>
          </w:p>
        </w:tc>
        <w:tc>
          <w:tcPr>
            <w:tcW w:w="8106"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交货月份</w:t>
            </w:r>
          </w:p>
        </w:tc>
        <w:tc>
          <w:tcPr>
            <w:tcW w:w="8106"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8106"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序号</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履约评价项目</w:t>
            </w:r>
          </w:p>
        </w:tc>
        <w:tc>
          <w:tcPr>
            <w:tcW w:w="4422"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评价标准</w:t>
            </w:r>
          </w:p>
        </w:tc>
        <w:tc>
          <w:tcPr>
            <w:tcW w:w="186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评分说明</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分值</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实得分</w:t>
            </w:r>
          </w:p>
        </w:tc>
        <w:tc>
          <w:tcPr>
            <w:tcW w:w="719" w:type="dxa"/>
            <w:vAlign w:val="center"/>
          </w:tcPr>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trPr>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质量</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（1）货物未出现全部拒收或换货等质量问题；</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（2）货物主要技术指标符合合同规定；</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86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trPr>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2</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包装、运输</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（1）影响货物输送或储存质量；</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（2）货物质量下降；</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（3）货物泄漏导致供货量不足；</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（4）造成环境污染。</w:t>
            </w:r>
          </w:p>
        </w:tc>
        <w:tc>
          <w:tcPr>
            <w:tcW w:w="186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15</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3</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货物交付</w:t>
            </w:r>
          </w:p>
        </w:tc>
        <w:tc>
          <w:tcPr>
            <w:tcW w:w="4422" w:type="dxa"/>
            <w:gridSpan w:val="2"/>
            <w:vAlign w:val="center"/>
          </w:tcPr>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（1）按合同要求的期限供货（包括加急供货）；</w:t>
            </w:r>
          </w:p>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（2）每次供货配合提供电子地磅称重单；</w:t>
            </w:r>
          </w:p>
          <w:p>
            <w:pPr>
              <w:keepNext w:val="0"/>
              <w:keepLines w:val="0"/>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86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4</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验收</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86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5</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安全</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（2）未出现超载或非法运输等情况；</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bookmarkStart w:id="330" w:name="_Toc21667"/>
            <w:r>
              <w:rPr>
                <w:rFonts w:hint="eastAsia" w:ascii="宋体" w:hAnsi="宋体" w:eastAsia="宋体"/>
                <w:bCs/>
                <w:color w:val="auto"/>
                <w:highlight w:val="none"/>
              </w:rPr>
              <w:t>（4）未出现卸货安全事故。</w:t>
            </w:r>
            <w:bookmarkEnd w:id="330"/>
          </w:p>
        </w:tc>
        <w:tc>
          <w:tcPr>
            <w:tcW w:w="186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15</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6</w:t>
            </w:r>
          </w:p>
        </w:tc>
        <w:tc>
          <w:tcPr>
            <w:tcW w:w="121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售后服务</w:t>
            </w:r>
          </w:p>
        </w:tc>
        <w:tc>
          <w:tcPr>
            <w:tcW w:w="4422"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（1）人员：</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（2）配合：</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④能根据甲方要求提供专业培训</w:t>
            </w:r>
            <w:r>
              <w:rPr>
                <w:rFonts w:hint="eastAsia" w:ascii="宋体" w:hAnsi="宋体" w:eastAsia="宋体"/>
                <w:bCs/>
                <w:color w:val="auto"/>
                <w:highlight w:val="none"/>
                <w:lang w:eastAsia="zh-CN"/>
              </w:rPr>
              <w:t>；</w:t>
            </w:r>
          </w:p>
          <w:p>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bookmarkStart w:id="331" w:name="_Toc23150"/>
            <w:r>
              <w:rPr>
                <w:rFonts w:hint="eastAsia" w:ascii="宋体" w:hAnsi="宋体" w:eastAsia="宋体"/>
                <w:bCs/>
                <w:color w:val="auto"/>
                <w:highlight w:val="none"/>
              </w:rPr>
              <w:t>⑤高效处理退换货工作、态度良好。</w:t>
            </w:r>
            <w:bookmarkEnd w:id="331"/>
          </w:p>
        </w:tc>
        <w:tc>
          <w:tcPr>
            <w:tcW w:w="186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10</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292" w:type="dxa"/>
            <w:gridSpan w:val="5"/>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合计</w:t>
            </w:r>
          </w:p>
        </w:tc>
        <w:tc>
          <w:tcPr>
            <w:tcW w:w="540"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r>
              <w:rPr>
                <w:rFonts w:hint="default" w:ascii="宋体" w:hAnsi="宋体" w:eastAsia="宋体"/>
                <w:bCs/>
                <w:color w:val="auto"/>
                <w:highlight w:val="none"/>
              </w:rPr>
              <w:t>00</w:t>
            </w:r>
          </w:p>
        </w:tc>
        <w:tc>
          <w:tcPr>
            <w:tcW w:w="56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01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评审结论</w:t>
            </w:r>
          </w:p>
        </w:tc>
        <w:tc>
          <w:tcPr>
            <w:tcW w:w="8106" w:type="dxa"/>
            <w:gridSpan w:val="6"/>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□合计分值不低于</w:t>
            </w:r>
            <w:r>
              <w:rPr>
                <w:rFonts w:hint="default"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trPr>
        <w:tc>
          <w:tcPr>
            <w:tcW w:w="2010" w:type="dxa"/>
            <w:gridSpan w:val="2"/>
            <w:vMerge w:val="restart"/>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经办人</w:t>
            </w:r>
          </w:p>
        </w:tc>
        <w:tc>
          <w:tcPr>
            <w:tcW w:w="4266"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2010" w:type="dxa"/>
            <w:gridSpan w:val="2"/>
            <w:vMerge w:val="continue"/>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c>
          <w:tcPr>
            <w:tcW w:w="3840"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运营项目负责人</w:t>
            </w:r>
          </w:p>
        </w:tc>
        <w:tc>
          <w:tcPr>
            <w:tcW w:w="4266"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2010" w:type="dxa"/>
            <w:gridSpan w:val="2"/>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default" w:ascii="宋体" w:hAnsi="宋体" w:eastAsia="宋体"/>
                <w:bCs/>
                <w:color w:val="auto"/>
                <w:highlight w:val="none"/>
              </w:rPr>
              <w:t>供应商确认意见及签署</w:t>
            </w:r>
          </w:p>
        </w:tc>
        <w:tc>
          <w:tcPr>
            <w:tcW w:w="3840" w:type="dxa"/>
            <w:vAlign w:val="center"/>
          </w:tcPr>
          <w:p>
            <w:pPr>
              <w:keepNext w:val="0"/>
              <w:keepLines w:val="0"/>
              <w:widowControl/>
              <w:suppressLineNumbers w:val="0"/>
              <w:snapToGrid w:val="0"/>
              <w:spacing w:before="0" w:beforeAutospacing="0" w:after="0" w:afterAutospacing="0"/>
              <w:ind w:left="0" w:right="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4266"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bl>
    <w:p>
      <w:pPr>
        <w:widowControl/>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32" w:name="_Toc22866"/>
      <w:bookmarkStart w:id="333" w:name="_Toc23633"/>
      <w:bookmarkStart w:id="334" w:name="_Toc30747"/>
      <w:r>
        <w:rPr>
          <w:rFonts w:hint="eastAsia" w:ascii="宋体" w:hAnsi="宋体" w:eastAsia="宋体" w:cs="宋体"/>
          <w:b/>
          <w:bCs/>
          <w:color w:val="auto"/>
          <w:kern w:val="44"/>
          <w:sz w:val="32"/>
          <w:szCs w:val="32"/>
          <w:highlight w:val="none"/>
          <w:lang w:val="zh-CN"/>
        </w:rPr>
        <w:t>第四篇 合同条款格式</w:t>
      </w:r>
      <w:bookmarkEnd w:id="332"/>
      <w:bookmarkEnd w:id="333"/>
      <w:bookmarkEnd w:id="334"/>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Times New Roman"/>
          <w:b/>
          <w:color w:val="auto"/>
          <w:kern w:val="0"/>
          <w:sz w:val="52"/>
          <w:szCs w:val="96"/>
          <w:highlight w:val="none"/>
        </w:rPr>
        <w:t>东莞市水务环境投资控股集团净水有限公司2026年-2027年生产药剂液体次氯酸钠采购项目</w:t>
      </w: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rPr>
          <w:rFonts w:hint="eastAsia" w:ascii="宋体" w:hAnsi="宋体" w:eastAsia="宋体" w:cs="宋体"/>
          <w:color w:val="auto"/>
          <w:sz w:val="21"/>
          <w:szCs w:val="21"/>
          <w:highlight w:val="none"/>
        </w:rPr>
      </w:pPr>
    </w:p>
    <w:p>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pPr>
        <w:spacing w:line="360" w:lineRule="auto"/>
        <w:ind w:left="-210"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pPr>
        <w:snapToGrid w:val="0"/>
        <w:spacing w:line="360" w:lineRule="auto"/>
        <w:ind w:firstLine="210" w:firstLineChars="1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pPr>
        <w:snapToGrid w:val="0"/>
        <w:spacing w:line="360" w:lineRule="auto"/>
        <w:ind w:firstLine="210" w:firstLineChars="1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snapToGrid w:val="0"/>
        <w:spacing w:line="360" w:lineRule="auto"/>
        <w:rPr>
          <w:rFonts w:hint="eastAsia" w:ascii="宋体" w:hAnsi="宋体" w:eastAsia="宋体" w:cs="宋体"/>
          <w:color w:val="auto"/>
          <w:sz w:val="21"/>
          <w:szCs w:val="21"/>
          <w:highlight w:val="none"/>
        </w:rPr>
      </w:pPr>
    </w:p>
    <w:p>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“甲方”指</w:t>
      </w:r>
      <w:r>
        <w:rPr>
          <w:rFonts w:hint="eastAsia" w:ascii="宋体" w:hAnsi="宋体" w:eastAsia="宋体" w:cs="宋体"/>
          <w:color w:val="auto"/>
          <w:szCs w:val="21"/>
          <w:highlight w:val="none"/>
          <w:u w:val="single"/>
        </w:rPr>
        <w:t>东莞市水务环境投资控股集团净水有限公司</w:t>
      </w:r>
      <w:r>
        <w:rPr>
          <w:rFonts w:hint="eastAsia" w:ascii="宋体" w:hAnsi="宋体" w:eastAsia="宋体" w:cs="宋体"/>
          <w:color w:val="auto"/>
          <w:sz w:val="21"/>
          <w:szCs w:val="21"/>
          <w:highlight w:val="none"/>
        </w:rPr>
        <w:t>（甲方1）、</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rPr>
        <w:t>（甲方2）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东莞市清源净水科技有限公司</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东莞市莞水装备科技有限公司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东莞市尚源环能科技有限公司</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）的统称，共同作为本合同的甲方，共同享有合同项下的权利并承担义务，除付款责任按约定分别承担外，其余条款中“甲方”的表述均涵盖甲方1、甲方2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甲方3、甲方4、甲方5</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甲方1、甲方2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甲方3、甲方4</w:t>
      </w:r>
      <w:r>
        <w:rPr>
          <w:rFonts w:hint="eastAsia" w:ascii="宋体" w:hAnsi="宋体" w:eastAsia="宋体" w:cs="宋体"/>
          <w:color w:val="auto"/>
          <w:szCs w:val="21"/>
          <w:highlight w:val="none"/>
        </w:rPr>
        <w:t>及甲方</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均有权就本合同约定的甲方的权利义务，单独或共同向乙方提出权利主张、要求乙方承担违约责任及赔偿责任。</w:t>
      </w:r>
      <w:r>
        <w:rPr>
          <w:rFonts w:hint="eastAsia" w:ascii="宋体" w:hAnsi="宋体" w:eastAsia="宋体" w:cs="宋体"/>
          <w:color w:val="auto"/>
          <w:highlight w:val="none"/>
        </w:rPr>
        <w:t>甲方2、甲方3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甲方4、甲方5共同委托甲方1代为负责</w:t>
      </w:r>
      <w:r>
        <w:rPr>
          <w:rFonts w:hint="eastAsia" w:ascii="宋体" w:hAnsi="宋体" w:eastAsia="宋体" w:cs="宋体"/>
          <w:color w:val="auto"/>
          <w:highlight w:val="none"/>
        </w:rPr>
        <w:t>本项目的招标</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，甲方 1对本合同约定的</w:t>
      </w:r>
      <w:r>
        <w:rPr>
          <w:rFonts w:hint="eastAsia" w:ascii="宋体" w:hAnsi="宋体" w:eastAsia="宋体" w:cs="宋体"/>
          <w:b/>
          <w:bCs/>
          <w:color w:val="auto"/>
          <w:highlight w:val="none"/>
        </w:rPr>
        <w:t>液体</w:t>
      </w:r>
      <w:r>
        <w:rPr>
          <w:rFonts w:hint="eastAsia" w:ascii="宋体" w:hAnsi="宋体" w:eastAsia="宋体" w:cs="宋体"/>
          <w:b/>
          <w:bCs/>
          <w:color w:val="auto"/>
          <w:highlight w:val="none"/>
          <w:lang w:val="en-US" w:eastAsia="zh-CN"/>
        </w:rPr>
        <w:t>次氯酸钠</w:t>
      </w:r>
      <w:r>
        <w:rPr>
          <w:rFonts w:hint="eastAsia" w:ascii="宋体" w:hAnsi="宋体" w:eastAsia="宋体" w:cs="宋体"/>
          <w:color w:val="auto"/>
          <w:highlight w:val="none"/>
        </w:rPr>
        <w:t>并无采购需求，乙方无需向甲方1供货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甲方1也无需向乙方支付任何款项</w:t>
      </w:r>
      <w:r>
        <w:rPr>
          <w:rFonts w:hint="eastAsia" w:ascii="宋体" w:hAnsi="宋体" w:eastAsia="宋体" w:cs="宋体"/>
          <w:color w:val="auto"/>
          <w:highlight w:val="none"/>
        </w:rPr>
        <w:t>。</w:t>
      </w:r>
    </w:p>
    <w:p>
      <w:pPr>
        <w:outlineLvl w:val="9"/>
        <w:rPr>
          <w:rFonts w:hint="eastAsia" w:hAnsi="宋体" w:cs="宋体"/>
          <w:color w:val="auto"/>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35" w:name="_Toc19340"/>
      <w:r>
        <w:rPr>
          <w:rFonts w:hint="eastAsia" w:ascii="宋体" w:hAnsi="宋体" w:eastAsia="宋体" w:cs="宋体"/>
          <w:b/>
          <w:color w:val="auto"/>
          <w:sz w:val="21"/>
          <w:szCs w:val="21"/>
          <w:highlight w:val="none"/>
        </w:rPr>
        <w:t>第一条 合同项目</w:t>
      </w:r>
      <w:bookmarkEnd w:id="335"/>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43"/>
        <w:tblW w:w="10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386"/>
        <w:gridCol w:w="1074"/>
        <w:gridCol w:w="1258"/>
        <w:gridCol w:w="1763"/>
        <w:gridCol w:w="130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074"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暂定数量</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吨</w:t>
            </w:r>
            <w:r>
              <w:rPr>
                <w:rFonts w:hint="eastAsia" w:ascii="宋体" w:hAnsi="宋体" w:eastAsia="宋体" w:cs="宋体"/>
                <w:b/>
                <w:color w:val="auto"/>
                <w:sz w:val="21"/>
                <w:szCs w:val="21"/>
                <w:highlight w:val="none"/>
                <w:lang w:eastAsia="zh-CN"/>
              </w:rPr>
              <w:t>）</w:t>
            </w:r>
          </w:p>
        </w:tc>
        <w:tc>
          <w:tcPr>
            <w:tcW w:w="1306"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使用单位</w:t>
            </w:r>
          </w:p>
        </w:tc>
        <w:tc>
          <w:tcPr>
            <w:tcW w:w="1892"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386"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074"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合计</w:t>
            </w:r>
          </w:p>
        </w:tc>
        <w:tc>
          <w:tcPr>
            <w:tcW w:w="1763"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小计</w:t>
            </w:r>
          </w:p>
        </w:tc>
        <w:tc>
          <w:tcPr>
            <w:tcW w:w="1306"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lang w:val="en-US" w:eastAsia="zh-CN"/>
              </w:rPr>
            </w:pPr>
          </w:p>
        </w:tc>
        <w:tc>
          <w:tcPr>
            <w:tcW w:w="1892"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液体</w:t>
            </w:r>
            <w:r>
              <w:rPr>
                <w:rFonts w:hint="eastAsia" w:ascii="宋体" w:hAnsi="宋体" w:eastAsia="宋体" w:cs="宋体"/>
                <w:color w:val="auto"/>
                <w:sz w:val="21"/>
                <w:szCs w:val="21"/>
                <w:highlight w:val="none"/>
                <w:lang w:val="en-US" w:eastAsia="zh-CN"/>
              </w:rPr>
              <w:t>次氯酸钠</w:t>
            </w:r>
          </w:p>
        </w:tc>
        <w:tc>
          <w:tcPr>
            <w:tcW w:w="1386"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074"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258"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9978.678</w:t>
            </w:r>
          </w:p>
        </w:tc>
        <w:tc>
          <w:tcPr>
            <w:tcW w:w="1763"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highlight w:val="none"/>
                <w:u w:val="none"/>
                <w:lang w:val="en-US" w:eastAsia="zh-CN"/>
              </w:rPr>
              <w:t>无采购需求</w:t>
            </w:r>
          </w:p>
        </w:tc>
        <w:tc>
          <w:tcPr>
            <w:tcW w:w="1306"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甲方1</w:t>
            </w:r>
          </w:p>
        </w:tc>
        <w:tc>
          <w:tcPr>
            <w:tcW w:w="1892" w:type="dxa"/>
            <w:vMerge w:val="restart"/>
            <w:tcBorders>
              <w:top w:val="single" w:color="auto" w:sz="4" w:space="0"/>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386"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074"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c>
          <w:tcPr>
            <w:tcW w:w="1258"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9657.502</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snapToGrid w:val="0"/>
              <w:spacing w:line="360" w:lineRule="auto"/>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甲方2</w:t>
            </w:r>
          </w:p>
        </w:tc>
        <w:tc>
          <w:tcPr>
            <w:tcW w:w="1892"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continue"/>
            <w:tcBorders>
              <w:left w:val="single" w:color="auto" w:sz="4" w:space="0"/>
              <w:right w:val="single" w:color="auto" w:sz="4" w:space="0"/>
            </w:tcBorders>
            <w:vAlign w:val="center"/>
          </w:tcPr>
          <w:p>
            <w:pPr>
              <w:numPr>
                <w:ilvl w:val="0"/>
                <w:numId w:val="0"/>
              </w:numPr>
              <w:autoSpaceDE/>
              <w:autoSpaceDN/>
              <w:adjustRightInd/>
              <w:snapToGrid/>
              <w:spacing w:line="360" w:lineRule="auto"/>
              <w:ind w:firstLine="0" w:firstLineChars="0"/>
              <w:jc w:val="center"/>
              <w:rPr>
                <w:rFonts w:hint="eastAsia" w:ascii="宋体" w:hAnsi="宋体" w:eastAsia="宋体" w:cs="宋体"/>
                <w:color w:val="auto"/>
                <w:sz w:val="21"/>
                <w:szCs w:val="21"/>
                <w:highlight w:val="none"/>
              </w:rPr>
            </w:pPr>
          </w:p>
        </w:tc>
        <w:tc>
          <w:tcPr>
            <w:tcW w:w="1386"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right w:val="single" w:color="auto" w:sz="4" w:space="0"/>
            </w:tcBorders>
            <w:vAlign w:val="center"/>
          </w:tcPr>
          <w:p>
            <w:pPr>
              <w:autoSpaceDE/>
              <w:autoSpaceDN/>
              <w:adjustRightInd/>
              <w:snapToGrid/>
              <w:spacing w:line="240" w:lineRule="auto"/>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292.178</w:t>
            </w:r>
          </w:p>
        </w:tc>
        <w:tc>
          <w:tcPr>
            <w:tcW w:w="1306"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default"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甲方3</w:t>
            </w:r>
          </w:p>
        </w:tc>
        <w:tc>
          <w:tcPr>
            <w:tcW w:w="1892"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continue"/>
            <w:tcBorders>
              <w:left w:val="single" w:color="auto" w:sz="4" w:space="0"/>
              <w:right w:val="single" w:color="auto" w:sz="4" w:space="0"/>
            </w:tcBorders>
            <w:vAlign w:val="center"/>
          </w:tcPr>
          <w:p>
            <w:pPr>
              <w:numPr>
                <w:ilvl w:val="0"/>
                <w:numId w:val="0"/>
              </w:numPr>
              <w:autoSpaceDE/>
              <w:autoSpaceDN/>
              <w:adjustRightInd/>
              <w:snapToGrid/>
              <w:spacing w:line="360" w:lineRule="auto"/>
              <w:ind w:firstLine="420" w:firstLineChars="200"/>
              <w:jc w:val="center"/>
              <w:rPr>
                <w:rFonts w:hint="eastAsia" w:ascii="宋体" w:hAnsi="宋体" w:eastAsia="宋体" w:cs="宋体"/>
                <w:color w:val="auto"/>
                <w:sz w:val="21"/>
                <w:szCs w:val="21"/>
                <w:highlight w:val="none"/>
              </w:rPr>
            </w:pPr>
          </w:p>
        </w:tc>
        <w:tc>
          <w:tcPr>
            <w:tcW w:w="1386"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right w:val="single" w:color="auto" w:sz="4" w:space="0"/>
            </w:tcBorders>
            <w:vAlign w:val="center"/>
          </w:tcPr>
          <w:p>
            <w:pPr>
              <w:autoSpaceDE/>
              <w:autoSpaceDN/>
              <w:adjustRightInd/>
              <w:snapToGrid/>
              <w:spacing w:line="240" w:lineRule="auto"/>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8.998</w:t>
            </w:r>
          </w:p>
        </w:tc>
        <w:tc>
          <w:tcPr>
            <w:tcW w:w="1306"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甲方4</w:t>
            </w:r>
          </w:p>
        </w:tc>
        <w:tc>
          <w:tcPr>
            <w:tcW w:w="1892" w:type="dxa"/>
            <w:vMerge w:val="continue"/>
            <w:tcBorders>
              <w:left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Merge w:val="continue"/>
            <w:tcBorders>
              <w:left w:val="single" w:color="auto" w:sz="4" w:space="0"/>
              <w:bottom w:val="single" w:color="auto" w:sz="4" w:space="0"/>
              <w:right w:val="single" w:color="auto" w:sz="4" w:space="0"/>
            </w:tcBorders>
            <w:vAlign w:val="center"/>
          </w:tcPr>
          <w:p>
            <w:pPr>
              <w:numPr>
                <w:ilvl w:val="0"/>
                <w:numId w:val="0"/>
              </w:numPr>
              <w:autoSpaceDE/>
              <w:autoSpaceDN/>
              <w:adjustRightInd/>
              <w:snapToGrid/>
              <w:spacing w:line="360" w:lineRule="auto"/>
              <w:ind w:firstLine="420" w:firstLineChars="200"/>
              <w:jc w:val="center"/>
              <w:rPr>
                <w:rFonts w:hint="eastAsia" w:ascii="宋体" w:hAnsi="宋体" w:eastAsia="宋体" w:cs="宋体"/>
                <w:color w:val="auto"/>
                <w:sz w:val="21"/>
                <w:szCs w:val="21"/>
                <w:highlight w:val="none"/>
              </w:rPr>
            </w:pPr>
          </w:p>
        </w:tc>
        <w:tc>
          <w:tcPr>
            <w:tcW w:w="1386"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074"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258" w:type="dxa"/>
            <w:vMerge w:val="continue"/>
            <w:tcBorders>
              <w:left w:val="single" w:color="auto" w:sz="4" w:space="0"/>
              <w:bottom w:val="single" w:color="auto" w:sz="4" w:space="0"/>
              <w:right w:val="single" w:color="auto" w:sz="4" w:space="0"/>
            </w:tcBorders>
            <w:vAlign w:val="center"/>
          </w:tcPr>
          <w:p>
            <w:pPr>
              <w:autoSpaceDE/>
              <w:autoSpaceDN/>
              <w:adjustRightInd/>
              <w:snapToGrid/>
              <w:spacing w:line="240" w:lineRule="auto"/>
              <w:jc w:val="center"/>
              <w:rPr>
                <w:rFonts w:hint="eastAsia" w:ascii="宋体" w:hAnsi="宋体" w:eastAsia="宋体" w:cs="宋体"/>
                <w:color w:val="auto"/>
                <w:highlight w:val="none"/>
                <w:lang w:val="en-US" w:eastAsia="zh-CN"/>
              </w:rPr>
            </w:pPr>
          </w:p>
        </w:tc>
        <w:tc>
          <w:tcPr>
            <w:tcW w:w="1763"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20.000</w:t>
            </w:r>
          </w:p>
        </w:tc>
        <w:tc>
          <w:tcPr>
            <w:tcW w:w="1306"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甲方5</w:t>
            </w:r>
          </w:p>
        </w:tc>
        <w:tc>
          <w:tcPr>
            <w:tcW w:w="1892" w:type="dxa"/>
            <w:vMerge w:val="continue"/>
            <w:tcBorders>
              <w:left w:val="single" w:color="auto" w:sz="4" w:space="0"/>
              <w:bottom w:val="single" w:color="auto" w:sz="4" w:space="0"/>
              <w:right w:val="single" w:color="auto" w:sz="4" w:space="0"/>
            </w:tcBorders>
            <w:vAlign w:val="center"/>
          </w:tcPr>
          <w:p>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pPr>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保留根据运营项目实际情况，对采购数量进行灵活调整的权利。实际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供货期自合同签订之日起至20</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乙方收到甲方通知后必须无条件按照甲方的要求开始供货。</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、乙方应承担完成合同义务的全部费用，包括但不限于：</w:t>
      </w:r>
    </w:p>
    <w:p>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（1）合同范围内所有货物的研究、采购、制造、检验、配合试验、包装、储存、运输（退换货运输）、称重、装卸、安全、保险、培训、验收等费用；</w:t>
      </w:r>
    </w:p>
    <w:p>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并以甲方确认的最优化的产品成分配比向甲方供货</w:t>
      </w:r>
      <w:r>
        <w:rPr>
          <w:rFonts w:hint="eastAsia" w:ascii="宋体" w:hAnsi="宋体" w:eastAsia="宋体" w:cs="宋体"/>
          <w:color w:val="auto"/>
          <w:sz w:val="21"/>
          <w:szCs w:val="21"/>
          <w:highlight w:val="none"/>
          <w:lang w:val="zh-CN"/>
        </w:rPr>
        <w:t>；</w:t>
      </w:r>
    </w:p>
    <w:p>
      <w:pPr>
        <w:snapToGrid w:val="0"/>
        <w:spacing w:line="360" w:lineRule="auto"/>
        <w:ind w:left="1018"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pPr>
        <w:snapToGrid w:val="0"/>
        <w:spacing w:line="360" w:lineRule="auto"/>
        <w:ind w:left="1018"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pPr>
        <w:tabs>
          <w:tab w:val="left" w:pos="6930"/>
        </w:tabs>
        <w:autoSpaceDE/>
        <w:autoSpaceDN/>
        <w:adjustRightInd/>
        <w:spacing w:line="360" w:lineRule="auto"/>
        <w:ind w:left="124"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szCs w:val="21"/>
          <w:highlight w:val="none"/>
          <w:lang w:val="zh-CN"/>
        </w:rPr>
        <w:t>液体次氯酸钠</w:t>
      </w:r>
      <w:r>
        <w:rPr>
          <w:rFonts w:hint="eastAsia" w:ascii="宋体" w:hAnsi="宋体" w:eastAsia="宋体" w:cs="宋体"/>
          <w:b/>
          <w:color w:val="auto"/>
          <w:kern w:val="2"/>
          <w:sz w:val="21"/>
          <w:szCs w:val="21"/>
          <w:highlight w:val="none"/>
          <w:lang w:val="zh-CN"/>
        </w:rPr>
        <w:t>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pPr>
        <w:snapToGrid w:val="0"/>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36" w:name="_Toc2338"/>
      <w:r>
        <w:rPr>
          <w:rFonts w:hint="eastAsia" w:ascii="宋体" w:hAnsi="宋体" w:eastAsia="宋体" w:cs="宋体"/>
          <w:b/>
          <w:color w:val="auto"/>
          <w:sz w:val="21"/>
          <w:szCs w:val="21"/>
          <w:highlight w:val="none"/>
        </w:rPr>
        <w:t>第二条 合同价款及销项税价</w:t>
      </w:r>
      <w:bookmarkEnd w:id="336"/>
    </w:p>
    <w:p>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《中华人民共和国增值税法实施条例》（国务院令第</w:t>
      </w:r>
      <w:r>
        <w:rPr>
          <w:rFonts w:hint="eastAsia" w:ascii="宋体" w:hAnsi="宋体" w:eastAsia="宋体" w:cs="宋体"/>
          <w:color w:val="auto"/>
          <w:kern w:val="2"/>
          <w:sz w:val="21"/>
          <w:szCs w:val="21"/>
          <w:highlight w:val="none"/>
          <w:lang w:val="en-US" w:eastAsia="zh-CN"/>
        </w:rPr>
        <w:t>826</w:t>
      </w:r>
      <w:r>
        <w:rPr>
          <w:rFonts w:hint="eastAsia" w:ascii="宋体" w:hAnsi="宋体" w:eastAsia="宋体" w:cs="宋体"/>
          <w:color w:val="auto"/>
          <w:kern w:val="2"/>
          <w:sz w:val="21"/>
          <w:szCs w:val="21"/>
          <w:highlight w:val="none"/>
          <w:lang w:val="zh-CN"/>
        </w:rPr>
        <w:t>号）</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4、采购合同下暂定采购数量对应的暂定合同价为¥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；暂定采购数量对应的暂定合同价税合计为¥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甲方1无采购需求，无需承担任何费用；甲方2暂定承担¥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）；甲方3暂定承担¥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暂定承担¥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暂定采购数量对应的暂定合同价税合计为</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rPr>
        <w:t>）。</w:t>
      </w:r>
    </w:p>
    <w:p>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5、合同履约过程中，在供货期内按综合单价乘以经甲方最终验收合格的实际供货数量进行结算。</w:t>
      </w:r>
    </w:p>
    <w:p>
      <w:pPr>
        <w:pStyle w:val="19"/>
        <w:rPr>
          <w:rFonts w:hint="eastAsia" w:ascii="宋体" w:hAnsi="宋体" w:eastAsia="宋体" w:cs="宋体"/>
          <w:color w:val="auto"/>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37" w:name="_Toc12478"/>
      <w:r>
        <w:rPr>
          <w:rFonts w:hint="eastAsia" w:ascii="宋体" w:hAnsi="宋体" w:eastAsia="宋体" w:cs="宋体"/>
          <w:b/>
          <w:color w:val="auto"/>
          <w:sz w:val="21"/>
          <w:szCs w:val="21"/>
          <w:highlight w:val="none"/>
        </w:rPr>
        <w:t>第三条 合同组成</w:t>
      </w:r>
      <w:bookmarkEnd w:id="337"/>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pPr>
        <w:snapToGrid w:val="0"/>
        <w:spacing w:line="360" w:lineRule="auto"/>
        <w:ind w:firstLine="422" w:firstLineChars="200"/>
        <w:rPr>
          <w:rFonts w:hint="eastAsia" w:ascii="宋体" w:hAnsi="宋体" w:eastAsia="宋体" w:cs="宋体"/>
          <w:b/>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lang w:val="en-US" w:eastAsia="zh-CN"/>
        </w:rPr>
      </w:pPr>
      <w:bookmarkStart w:id="338" w:name="_Toc316"/>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bookmarkEnd w:id="338"/>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snapToGrid w:val="0"/>
        <w:spacing w:line="360" w:lineRule="auto"/>
        <w:ind w:firstLine="0" w:firstLineChars="0"/>
        <w:rPr>
          <w:rFonts w:hint="eastAsia" w:ascii="宋体" w:hAnsi="宋体" w:eastAsia="宋体" w:cs="宋体"/>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39" w:name="_Toc16508"/>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bookmarkEnd w:id="339"/>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snapToGrid w:val="0"/>
        <w:spacing w:line="360" w:lineRule="auto"/>
        <w:ind w:firstLine="422" w:firstLineChars="200"/>
        <w:outlineLvl w:val="9"/>
        <w:rPr>
          <w:rFonts w:hint="eastAsia" w:ascii="宋体" w:hAnsi="宋体" w:eastAsia="宋体" w:cs="宋体"/>
          <w:b/>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40" w:name="_Toc7294"/>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bookmarkEnd w:id="340"/>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pPr>
        <w:snapToGrid w:val="0"/>
        <w:spacing w:line="360" w:lineRule="auto"/>
        <w:ind w:firstLine="373" w:firstLineChars="177"/>
        <w:rPr>
          <w:rFonts w:hint="eastAsia" w:ascii="宋体" w:hAnsi="宋体" w:eastAsia="宋体" w:cs="宋体"/>
          <w:b/>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41" w:name="_Toc30566"/>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bookmarkEnd w:id="341"/>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rPr>
          <w:rFonts w:hint="eastAsia" w:ascii="宋体" w:hAnsi="宋体" w:eastAsia="宋体" w:cs="宋体"/>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2" w:name="_Toc9560"/>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bookmarkEnd w:id="342"/>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1）甲方对每次供货货物检验，检验指标由甲方</w:t>
      </w:r>
      <w:r>
        <w:rPr>
          <w:rFonts w:hint="eastAsia" w:ascii="宋体" w:hAnsi="宋体" w:eastAsia="宋体" w:cs="宋体"/>
          <w:color w:val="auto"/>
          <w:sz w:val="21"/>
          <w:szCs w:val="21"/>
          <w:highlight w:val="none"/>
          <w:lang w:val="en-US" w:eastAsia="zh-CN"/>
        </w:rPr>
        <w:t>在用户需求书</w:t>
      </w:r>
      <w:r>
        <w:rPr>
          <w:rFonts w:hint="eastAsia" w:ascii="宋体" w:hAnsi="宋体" w:eastAsia="宋体" w:cs="宋体"/>
          <w:b/>
          <w:bCs/>
          <w:color w:val="auto"/>
          <w:kern w:val="2"/>
          <w:sz w:val="21"/>
          <w:szCs w:val="21"/>
          <w:highlight w:val="none"/>
        </w:rPr>
        <w:t>表1《</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sz w:val="21"/>
          <w:szCs w:val="21"/>
          <w:highlight w:val="none"/>
        </w:rPr>
        <w:t>中选择，</w:t>
      </w:r>
      <w:r>
        <w:rPr>
          <w:rFonts w:hint="eastAsia" w:ascii="宋体" w:hAnsi="宋体" w:eastAsia="宋体" w:cs="宋体"/>
          <w:color w:val="auto"/>
          <w:szCs w:val="21"/>
          <w:highlight w:val="none"/>
        </w:rPr>
        <w:t>其中有效氯（以Cl计）为每次供货货物的批检检验指标</w:t>
      </w:r>
      <w:r>
        <w:rPr>
          <w:rFonts w:hint="eastAsia" w:ascii="宋体" w:hAnsi="宋体" w:eastAsia="宋体" w:cs="宋体"/>
          <w:color w:val="auto"/>
          <w:sz w:val="21"/>
          <w:szCs w:val="21"/>
          <w:highlight w:val="none"/>
        </w:rPr>
        <w:t>，其余指标为甲方根据需要抽检的按需检验指标，货物批检检验指标和按需检验指标由甲方根据甲方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每次货到现场时应由双方共同取样封存。若乙方无正当理由拒绝或未能</w:t>
      </w:r>
      <w:r>
        <w:rPr>
          <w:rFonts w:hint="eastAsia" w:ascii="宋体" w:hAnsi="宋体" w:eastAsia="宋体" w:cs="宋体"/>
          <w:color w:val="auto"/>
          <w:sz w:val="21"/>
          <w:szCs w:val="21"/>
          <w:highlight w:val="none"/>
          <w:lang w:val="en-US" w:eastAsia="zh-CN"/>
        </w:rPr>
        <w:t>按甲方通知</w:t>
      </w:r>
      <w:r>
        <w:rPr>
          <w:rFonts w:hint="eastAsia" w:ascii="宋体" w:hAnsi="宋体" w:eastAsia="宋体" w:cs="宋体"/>
          <w:color w:val="auto"/>
          <w:sz w:val="21"/>
          <w:szCs w:val="21"/>
          <w:highlight w:val="none"/>
        </w:rPr>
        <w:t>派员参与共同取样，则视为乙方授权甲方单独取样，该取样结果及据此进行的检验结果对乙方具有同等约束力。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运营项目验收结果有异议，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应自甲方运营项目书面告知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eastAsia="zh-CN"/>
        </w:rPr>
        <w:t>甲乙</w:t>
      </w:r>
      <w:r>
        <w:rPr>
          <w:rFonts w:hint="eastAsia" w:ascii="宋体" w:hAnsi="宋体" w:eastAsia="宋体" w:cs="宋体"/>
          <w:color w:val="auto"/>
          <w:sz w:val="21"/>
          <w:szCs w:val="21"/>
          <w:highlight w:val="none"/>
        </w:rPr>
        <w:t>双方确认的具有CMA认证资质的第三方单位对留样货物进行检测，最终供货产品质量判定以</w:t>
      </w:r>
      <w:r>
        <w:rPr>
          <w:rFonts w:hint="eastAsia" w:ascii="宋体" w:hAnsi="宋体" w:eastAsia="宋体" w:cs="宋体"/>
          <w:color w:val="auto"/>
          <w:sz w:val="21"/>
          <w:szCs w:val="21"/>
          <w:highlight w:val="none"/>
          <w:lang w:eastAsia="zh-CN"/>
        </w:rPr>
        <w:t>甲乙</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kern w:val="2"/>
          <w:sz w:val="21"/>
          <w:szCs w:val="21"/>
          <w:highlight w:val="none"/>
        </w:rPr>
        <w:t>货物检验方法按《次氯酸钠》（GB</w:t>
      </w:r>
      <w:r>
        <w:rPr>
          <w:rFonts w:hint="eastAsia" w:ascii="宋体" w:hAnsi="宋体" w:eastAsia="宋体" w:cs="宋体"/>
          <w:b/>
          <w:bCs/>
          <w:color w:val="auto"/>
          <w:kern w:val="2"/>
          <w:sz w:val="21"/>
          <w:szCs w:val="21"/>
          <w:highlight w:val="none"/>
          <w:lang w:val="en-US" w:eastAsia="zh-CN"/>
        </w:rPr>
        <w:t xml:space="preserve">/T </w:t>
      </w:r>
      <w:r>
        <w:rPr>
          <w:rFonts w:hint="eastAsia" w:ascii="宋体" w:hAnsi="宋体" w:eastAsia="宋体" w:cs="宋体"/>
          <w:b/>
          <w:bCs/>
          <w:color w:val="auto"/>
          <w:kern w:val="2"/>
          <w:sz w:val="21"/>
          <w:szCs w:val="21"/>
          <w:highlight w:val="none"/>
        </w:rPr>
        <w:t>19106-2013）中的检测方法进行。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bCs/>
          <w:color w:val="auto"/>
          <w:kern w:val="2"/>
          <w:sz w:val="21"/>
          <w:szCs w:val="21"/>
          <w:highlight w:val="none"/>
        </w:rPr>
        <w:t>表1《液</w:t>
      </w:r>
      <w:r>
        <w:rPr>
          <w:rFonts w:hint="eastAsia" w:ascii="宋体" w:hAnsi="宋体" w:eastAsia="宋体" w:cs="宋体"/>
          <w:b/>
          <w:bCs/>
          <w:color w:val="auto"/>
          <w:kern w:val="2"/>
          <w:sz w:val="21"/>
          <w:szCs w:val="21"/>
          <w:highlight w:val="none"/>
          <w:lang w:val="en-US" w:eastAsia="zh-CN"/>
        </w:rPr>
        <w:t>体</w:t>
      </w:r>
      <w:r>
        <w:rPr>
          <w:rFonts w:hint="eastAsia" w:ascii="宋体" w:hAnsi="宋体" w:eastAsia="宋体" w:cs="宋体"/>
          <w:b/>
          <w:bCs/>
          <w:color w:val="auto"/>
          <w:kern w:val="2"/>
          <w:sz w:val="21"/>
          <w:szCs w:val="21"/>
          <w:highlight w:val="none"/>
        </w:rPr>
        <w:t>次氯酸钠主要技术指标》</w:t>
      </w:r>
      <w:r>
        <w:rPr>
          <w:rFonts w:hint="eastAsia" w:ascii="宋体" w:hAnsi="宋体" w:eastAsia="宋体" w:cs="宋体"/>
          <w:color w:val="auto"/>
          <w:sz w:val="21"/>
          <w:szCs w:val="21"/>
          <w:highlight w:val="none"/>
        </w:rPr>
        <w:t>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w:t>
      </w:r>
      <w:r>
        <w:rPr>
          <w:rFonts w:hint="eastAsia" w:ascii="宋体" w:hAnsi="宋体" w:eastAsia="宋体" w:cs="宋体"/>
          <w:color w:val="auto"/>
          <w:kern w:val="2"/>
          <w:sz w:val="21"/>
          <w:szCs w:val="21"/>
          <w:highlight w:val="none"/>
          <w:lang w:val="en-US" w:eastAsia="zh-CN"/>
        </w:rPr>
        <w:t>并由甲</w:t>
      </w:r>
      <w:r>
        <w:rPr>
          <w:rFonts w:hint="eastAsia" w:ascii="宋体" w:hAnsi="宋体" w:eastAsia="宋体" w:cs="宋体"/>
          <w:color w:val="auto"/>
          <w:kern w:val="2"/>
          <w:sz w:val="21"/>
          <w:szCs w:val="21"/>
          <w:highlight w:val="none"/>
        </w:rPr>
        <w:t>乙</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方对验收报告</w:t>
      </w:r>
      <w:r>
        <w:rPr>
          <w:rFonts w:hint="eastAsia" w:ascii="宋体" w:hAnsi="宋体" w:eastAsia="宋体" w:cs="宋体"/>
          <w:color w:val="auto"/>
          <w:kern w:val="2"/>
          <w:sz w:val="21"/>
          <w:szCs w:val="21"/>
          <w:highlight w:val="none"/>
          <w:lang w:val="en-US" w:eastAsia="zh-CN"/>
        </w:rPr>
        <w:t>共同签字确认，乙方需对验收报告加盖公章或业务章确认</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en-US" w:eastAsia="zh-CN"/>
        </w:rPr>
        <w:t>验收报告（模板）见用户需求书附件2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3、甲方运营项目根据本条规定对货物所做出的验收，仅作为起算付款之用，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pPr>
        <w:snapToGrid w:val="0"/>
        <w:spacing w:line="360" w:lineRule="auto"/>
        <w:ind w:firstLine="0" w:firstLineChars="0"/>
        <w:rPr>
          <w:rFonts w:hint="eastAsia" w:ascii="宋体" w:hAnsi="宋体" w:eastAsia="宋体" w:cs="宋体"/>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43" w:name="_Toc32047"/>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bookmarkEnd w:id="343"/>
    </w:p>
    <w:p>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pPr>
        <w:snapToGrid w:val="0"/>
        <w:spacing w:line="360" w:lineRule="auto"/>
        <w:ind w:firstLine="373" w:firstLineChars="177"/>
        <w:outlineLvl w:val="9"/>
        <w:rPr>
          <w:rFonts w:hint="eastAsia" w:ascii="宋体" w:hAnsi="宋体" w:eastAsia="宋体" w:cs="宋体"/>
          <w:b/>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4" w:name="_Toc14228"/>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bookmarkEnd w:id="344"/>
    </w:p>
    <w:p>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、在交货或合同履行过程中，若因所交货物（包括但不限于品种、规格、质量）不符合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val="en-US" w:eastAsia="zh-CN"/>
        </w:rPr>
        <w:t>该些不合格货物损毁灭失的风险及损失由乙方自行承担，</w:t>
      </w:r>
      <w:r>
        <w:rPr>
          <w:rFonts w:hint="eastAsia" w:ascii="宋体" w:hAnsi="宋体" w:eastAsia="宋体" w:cs="宋体"/>
          <w:color w:val="auto"/>
          <w:sz w:val="21"/>
          <w:szCs w:val="21"/>
          <w:highlight w:val="none"/>
        </w:rPr>
        <w:t>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9、如乙方未能按照本合同约定提供质量保证及售后服务，甲方有权自行委托第三方进行处理，相应费用由乙方承担。</w:t>
      </w:r>
    </w:p>
    <w:p>
      <w:pPr>
        <w:rPr>
          <w:rFonts w:hint="eastAsia" w:ascii="宋体" w:hAnsi="宋体" w:eastAsia="宋体" w:cs="宋体"/>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5" w:name="_Toc19928"/>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履约担保</w:t>
      </w:r>
      <w:bookmarkEnd w:id="345"/>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履约保证金（银行转账形式）金额为¥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zh-CN"/>
        </w:rPr>
        <w:t>大写人民币         ）</w:t>
      </w:r>
      <w:r>
        <w:rPr>
          <w:rFonts w:hint="eastAsia" w:ascii="宋体" w:hAnsi="宋体" w:eastAsia="宋体" w:cs="宋体"/>
          <w:color w:val="auto"/>
          <w:sz w:val="21"/>
          <w:szCs w:val="21"/>
          <w:highlight w:val="none"/>
          <w:lang w:val="zh-CN"/>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履约保证保险金额为¥     元（大写人民币     ）</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pPr>
        <w:spacing w:line="360" w:lineRule="auto"/>
        <w:ind w:left="-210" w:firstLine="420" w:firstLineChars="200"/>
        <w:rPr>
          <w:rFonts w:hint="eastAsia" w:ascii="宋体" w:hAnsi="宋体" w:eastAsia="宋体" w:cs="宋体"/>
          <w:color w:val="auto"/>
          <w:kern w:val="2"/>
          <w:sz w:val="21"/>
          <w:szCs w:val="21"/>
          <w:highlight w:val="none"/>
        </w:rPr>
      </w:pPr>
      <w:r>
        <w:rPr>
          <w:rFonts w:hint="eastAsia" w:ascii="宋体" w:hAnsi="宋体" w:eastAsia="宋体" w:cs="宋体"/>
          <w:bCs w:val="0"/>
          <w:color w:val="auto"/>
          <w:kern w:val="2"/>
          <w:sz w:val="21"/>
          <w:szCs w:val="21"/>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给甲方造成的损失超过履约担保数额的，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还应当对超过部分予以赔偿，甲方并依法追究</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的相应责任。</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）在合同履行期间，乙方违约产生的违约金、赔偿、罚款或其他应付费用等项，甲方有权直接从未付货款中扣除或</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履约担保予以支付。</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）合同期内，乙方不能及时完成合同某项义务的，甲方有权使用履约担保用于处理该项工作。</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自合同签订日起满一年后，在乙方所供应全部货物经最终验收合格、甲方对乙方的履约评价合格，经甲方确认，在乙方的履约保证金未被扣除的情况下，乙方可向甲方提交退回履约保证金40%的申请。甲方审核无异议后，办理退回履约保证金40%的手续。假如履约保证金被扣除（无论扣除数额大小），甲方不退回任何履约保证金。</w:t>
      </w:r>
    </w:p>
    <w:p>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剩余的履约保证金，在合同期限届满、全部货物经最终验收合格、甲方对乙方的履约评价合格、甲方支付了全部货款（除质保金）后二十八（28）日后，经甲方确认，乙方可向甲方提交退回剩余履约保证金的申请。甲方审核无异议并在扣除相应的费用（若有）后，办理退回剩余履约保证金的手续。</w:t>
      </w:r>
    </w:p>
    <w:p>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退回时一律以银行转账的形式无息退回到乙方的账户。如履约保证金被扣除，则只退回扣除后的余额，如全部扣除完毕，则甲方不退回履约保证金。</w:t>
      </w:r>
    </w:p>
    <w:p>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采用履约保证金（银行转账形式）的统一由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东莞市石鼓净水有限公司</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收取。存入以下指定银行账户：</w:t>
      </w:r>
    </w:p>
    <w:p>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Cs w:val="21"/>
          <w:highlight w:val="none"/>
        </w:rPr>
        <w:t>东莞市石鼓净水有限公司</w:t>
      </w:r>
    </w:p>
    <w:p>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Cs w:val="21"/>
          <w:highlight w:val="none"/>
        </w:rPr>
        <w:t>944004010000157127</w:t>
      </w:r>
    </w:p>
    <w:p>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Cs w:val="21"/>
          <w:highlight w:val="none"/>
        </w:rPr>
        <w:t>中国邮政储蓄银行股份有限公司东莞市分行</w:t>
      </w:r>
    </w:p>
    <w:p>
      <w:pPr>
        <w:numPr>
          <w:ilvl w:val="-1"/>
          <w:numId w:val="0"/>
        </w:numPr>
        <w:snapToGrid/>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rPr>
        <w:t>，其受益人应为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Cs w:val="21"/>
          <w:highlight w:val="none"/>
          <w:u w:val="single"/>
        </w:rPr>
        <w:t>东莞市石鼓净水有限公司</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w:t>
      </w:r>
      <w:r>
        <w:rPr>
          <w:rFonts w:hint="eastAsia" w:ascii="宋体" w:hAnsi="宋体" w:eastAsia="宋体" w:cs="宋体"/>
          <w:b w:val="0"/>
          <w:bCs/>
          <w:color w:val="auto"/>
          <w:sz w:val="21"/>
          <w:szCs w:val="21"/>
          <w:highlight w:val="none"/>
        </w:rPr>
        <w:t>（或签订合同前）</w:t>
      </w:r>
      <w:r>
        <w:rPr>
          <w:rFonts w:hint="eastAsia" w:ascii="宋体" w:hAnsi="宋体" w:eastAsia="宋体" w:cs="宋体"/>
          <w:color w:val="auto"/>
          <w:sz w:val="21"/>
          <w:szCs w:val="21"/>
          <w:highlight w:val="none"/>
        </w:rPr>
        <w:t>至合同期限届满并全部货物经最终验收合格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费用由乙方自行承担，</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到期后乙方未按甲方要求重新提供的，乙方应向甲方支付【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】元违约金，</w:t>
      </w:r>
      <w:r>
        <w:rPr>
          <w:rFonts w:hint="eastAsia" w:ascii="宋体" w:hAnsi="宋体" w:eastAsia="宋体" w:cs="宋体"/>
          <w:bCs/>
          <w:color w:val="auto"/>
          <w:szCs w:val="21"/>
          <w:highlight w:val="none"/>
          <w:lang w:val="en-US" w:eastAsia="zh-CN"/>
        </w:rPr>
        <w:t>该违约金甲方有权从未付款项中扣除</w:t>
      </w:r>
      <w:r>
        <w:rPr>
          <w:rFonts w:hint="eastAsia" w:ascii="宋体" w:hAnsi="宋体" w:eastAsia="宋体" w:cs="宋体"/>
          <w:color w:val="auto"/>
          <w:sz w:val="21"/>
          <w:szCs w:val="21"/>
          <w:highlight w:val="none"/>
        </w:rPr>
        <w:t>。在乙方重新提供前甲方无需向乙方支付合同款项，且不视为甲方违约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乙方也不得以此为由拒绝或迟延履行合同义务</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限期补足，在乙方补足前甲方无需向乙方支付合同款项，且不视为甲方违约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乙方也不得以此为由拒绝或迟延履行合同义务</w:t>
      </w:r>
      <w:r>
        <w:rPr>
          <w:rFonts w:hint="eastAsia" w:ascii="宋体" w:hAnsi="宋体" w:eastAsia="宋体" w:cs="宋体"/>
          <w:color w:val="auto"/>
          <w:sz w:val="21"/>
          <w:szCs w:val="21"/>
          <w:highlight w:val="none"/>
        </w:rPr>
        <w:t>。</w:t>
      </w:r>
    </w:p>
    <w:p>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特别约定：乙方知悉并同意，在本合同履行期间，一旦发生乙方违反本合同约定义务，无需另行征得乙方同意，各甲方主体均有权就全部的履约担保金额单独或共同进行索赔，索赔方之间的担保金额分配由其内部协商确定，乙方不得以此为由提出任何异议。</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u w:val="single"/>
        </w:rPr>
        <w:t>东莞市石鼓净水有限公司</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rPr>
        <w:t>作为履约担保的收取方或受益人，负责办理履约担保的索赔提取手续，并将相应款项支付给对应索赔方。</w:t>
      </w:r>
    </w:p>
    <w:p>
      <w:pPr>
        <w:snapToGrid w:val="0"/>
        <w:spacing w:line="360" w:lineRule="auto"/>
        <w:ind w:firstLine="373" w:firstLineChars="177"/>
        <w:outlineLvl w:val="9"/>
        <w:rPr>
          <w:rFonts w:hint="eastAsia" w:ascii="宋体" w:hAnsi="宋体" w:eastAsia="宋体" w:cs="宋体"/>
          <w:b/>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6" w:name="_Toc22815"/>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付款方式</w:t>
      </w:r>
      <w:bookmarkEnd w:id="346"/>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1、合同的履约过程中，乙方根据本项目合同书约定需向甲方支付违约金、赔偿金、或其他</w:t>
      </w:r>
      <w:r>
        <w:rPr>
          <w:rFonts w:hint="eastAsia" w:ascii="宋体" w:hAnsi="宋体" w:eastAsia="宋体" w:cs="宋体"/>
          <w:color w:val="auto"/>
          <w:szCs w:val="21"/>
          <w:highlight w:val="none"/>
        </w:rPr>
        <w:t>按法律规定及本合同约定</w:t>
      </w:r>
      <w:r>
        <w:rPr>
          <w:rFonts w:hint="eastAsia" w:ascii="宋体" w:hAnsi="宋体" w:eastAsia="宋体" w:cs="宋体"/>
          <w:color w:val="auto"/>
          <w:kern w:val="2"/>
          <w:sz w:val="21"/>
          <w:szCs w:val="21"/>
          <w:highlight w:val="none"/>
          <w:lang w:val="en-US" w:eastAsia="zh-CN" w:bidi="ar-SA"/>
        </w:rPr>
        <w:t>应付费用等款项的，</w:t>
      </w:r>
      <w:r>
        <w:rPr>
          <w:rFonts w:hint="eastAsia" w:ascii="宋体" w:hAnsi="宋体" w:eastAsia="宋体" w:cs="宋体"/>
          <w:color w:val="auto"/>
          <w:szCs w:val="21"/>
          <w:highlight w:val="none"/>
        </w:rPr>
        <w:t>乙方应在收到甲方通知书之日起【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】日内支付，若乙方对该通知书内容存在异议的，应在收到通知之日起【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】日内向甲方书面提出异议并提供相关证明材料。若乙方逾期未提出异议或提出的异议证据不充分的，视为乙方无异议或异议不成立，</w:t>
      </w:r>
      <w:r>
        <w:rPr>
          <w:rFonts w:hint="eastAsia" w:ascii="宋体" w:hAnsi="宋体" w:eastAsia="宋体" w:cs="宋体"/>
          <w:color w:val="auto"/>
          <w:kern w:val="2"/>
          <w:sz w:val="21"/>
          <w:szCs w:val="21"/>
          <w:highlight w:val="none"/>
          <w:lang w:val="en-US" w:eastAsia="zh-CN" w:bidi="ar-SA"/>
        </w:rPr>
        <w:t>乙方必须向甲方支付完相关款项后，甲方才根据合同书约定向乙方支付对应合同价和对应税额，且不视为甲方违约，</w:t>
      </w:r>
      <w:r>
        <w:rPr>
          <w:rFonts w:hint="eastAsia" w:ascii="宋体" w:hAnsi="宋体" w:eastAsia="宋体" w:cs="宋体"/>
          <w:color w:val="auto"/>
          <w:sz w:val="21"/>
          <w:szCs w:val="21"/>
          <w:highlight w:val="none"/>
          <w:lang w:val="en-US" w:eastAsia="zh-CN"/>
        </w:rPr>
        <w:t>乙方也不得以此为由拒绝或迟延履行合同义务，</w:t>
      </w:r>
      <w:r>
        <w:rPr>
          <w:rFonts w:hint="eastAsia" w:ascii="宋体" w:hAnsi="宋体" w:eastAsia="宋体" w:cs="宋体"/>
          <w:color w:val="auto"/>
          <w:szCs w:val="21"/>
          <w:highlight w:val="none"/>
        </w:rPr>
        <w:t>若乙方未按通知书的要求支付前述款项的，甲方有权按本合同第十一条第2点第（2）款的约定履行，</w:t>
      </w:r>
      <w:r>
        <w:rPr>
          <w:rFonts w:hint="eastAsia" w:ascii="宋体" w:hAnsi="宋体" w:eastAsia="宋体" w:cs="宋体"/>
          <w:color w:val="auto"/>
          <w:kern w:val="2"/>
          <w:sz w:val="21"/>
          <w:szCs w:val="21"/>
          <w:highlight w:val="none"/>
          <w:lang w:val="en-US" w:eastAsia="zh-CN" w:bidi="ar-SA"/>
        </w:rPr>
        <w:t>同时，乙方必须按照扣除前述费用前的合同价（销售额）开具增值税专用发票，保证增值税税额符合法律规定。</w:t>
      </w:r>
    </w:p>
    <w:p>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2、货物供货的款项按甲方</w:t>
      </w:r>
      <w:r>
        <w:rPr>
          <w:rFonts w:hint="eastAsia" w:ascii="宋体" w:hAnsi="宋体" w:eastAsia="宋体" w:cs="宋体"/>
          <w:color w:val="auto"/>
          <w:szCs w:val="21"/>
          <w:highlight w:val="none"/>
        </w:rPr>
        <w:t>单个运营项目按月结算，甲方</w:t>
      </w:r>
      <w:r>
        <w:rPr>
          <w:rFonts w:hint="eastAsia" w:ascii="宋体" w:hAnsi="宋体" w:eastAsia="宋体" w:cs="宋体"/>
          <w:color w:val="auto"/>
          <w:szCs w:val="21"/>
          <w:highlight w:val="none"/>
          <w:lang w:val="en-US" w:eastAsia="zh-CN"/>
        </w:rPr>
        <w:t>2、甲方3、甲方4、甲方5分别按照其各自管理的运营项目</w:t>
      </w:r>
      <w:r>
        <w:rPr>
          <w:rFonts w:hint="eastAsia" w:ascii="宋体" w:hAnsi="宋体" w:eastAsia="宋体" w:cs="宋体"/>
          <w:color w:val="auto"/>
          <w:szCs w:val="21"/>
          <w:highlight w:val="none"/>
        </w:rPr>
        <w:t>支付对应</w:t>
      </w:r>
      <w:r>
        <w:rPr>
          <w:rFonts w:hint="eastAsia" w:ascii="宋体" w:hAnsi="宋体" w:eastAsia="宋体" w:cs="宋体"/>
          <w:color w:val="auto"/>
          <w:szCs w:val="21"/>
          <w:highlight w:val="none"/>
          <w:lang w:val="en-US" w:eastAsia="zh-CN"/>
        </w:rPr>
        <w:t>款项</w:t>
      </w:r>
      <w:r>
        <w:rPr>
          <w:rFonts w:hint="eastAsia" w:ascii="宋体" w:hAnsi="宋体" w:eastAsia="宋体" w:cs="宋体"/>
          <w:color w:val="auto"/>
          <w:kern w:val="2"/>
          <w:sz w:val="21"/>
          <w:szCs w:val="21"/>
          <w:highlight w:val="none"/>
          <w:lang w:val="en-US" w:eastAsia="zh-CN" w:bidi="ar-SA"/>
        </w:rPr>
        <w:t>。甲方对应运营项目收到货物并最终验收合格后，每月中旬办理支付上月经最终验收合格的实际供货量的款项。</w:t>
      </w:r>
    </w:p>
    <w:p>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3、乙方向甲方对应运营项目提交请款报告和请款金额等额的合法、有效的增值税专用发票，甲方对应运营项目在收到前述材料并确认无误后30个工作日内，</w:t>
      </w:r>
      <w:r>
        <w:rPr>
          <w:rFonts w:hint="eastAsia" w:ascii="宋体" w:hAnsi="宋体" w:eastAsia="宋体" w:cs="宋体"/>
          <w:color w:val="auto"/>
          <w:szCs w:val="21"/>
          <w:highlight w:val="none"/>
        </w:rPr>
        <w:t>由管理该运营项目的甲方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3、甲方4</w:t>
      </w:r>
      <w:r>
        <w:rPr>
          <w:rFonts w:hint="eastAsia" w:ascii="宋体" w:hAnsi="宋体" w:eastAsia="宋体" w:cs="宋体"/>
          <w:color w:val="auto"/>
          <w:szCs w:val="21"/>
          <w:highlight w:val="none"/>
        </w:rPr>
        <w:t>或甲方</w:t>
      </w: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2"/>
          <w:sz w:val="21"/>
          <w:szCs w:val="21"/>
          <w:highlight w:val="none"/>
          <w:lang w:val="en-US" w:eastAsia="zh-CN" w:bidi="ar-SA"/>
        </w:rPr>
        <w:t>支付结算上月经最终验收合格的实际供货量的结算货款和该货款对应的税额给乙方。</w:t>
      </w:r>
    </w:p>
    <w:p>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4、支付方式为银行转账或银行承兑汇票，汇票期限不超过三个月，每期款项支付方式由甲方决定。</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迟延提供请款报告及发票或提供的请款报告、发票不符合要求的，甲方的付款时间可相应顺延，且甲方不因此承担任何责任，乙方不得以此为由拒绝或迟延履行合同义务。因支付产生的相关银行手续费用，根据有关银行规定执行。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提供的发票不符合税法规定，给甲方造成的损失由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承担全部的赔偿责任。</w:t>
      </w:r>
    </w:p>
    <w:p>
      <w:pPr>
        <w:snapToGrid w:val="0"/>
        <w:spacing w:line="360" w:lineRule="auto"/>
        <w:ind w:firstLine="373" w:firstLineChars="177"/>
        <w:outlineLvl w:val="9"/>
        <w:rPr>
          <w:rFonts w:hint="eastAsia" w:ascii="宋体" w:hAnsi="宋体" w:eastAsia="宋体" w:cs="宋体"/>
          <w:b/>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7" w:name="_Toc12743"/>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不可抗力</w:t>
      </w:r>
      <w:bookmarkEnd w:id="347"/>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snapToGrid w:val="0"/>
        <w:spacing w:line="360" w:lineRule="auto"/>
        <w:ind w:firstLine="373" w:firstLineChars="177"/>
        <w:outlineLvl w:val="9"/>
        <w:rPr>
          <w:rFonts w:hint="eastAsia" w:ascii="宋体" w:hAnsi="宋体" w:eastAsia="宋体" w:cs="宋体"/>
          <w:b/>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8" w:name="_Toc19019"/>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索赔</w:t>
      </w:r>
      <w:bookmarkEnd w:id="348"/>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w:t>
      </w:r>
      <w:r>
        <w:rPr>
          <w:rFonts w:hint="eastAsia" w:ascii="宋体" w:hAnsi="宋体" w:eastAsia="宋体" w:cs="宋体"/>
          <w:color w:val="auto"/>
          <w:sz w:val="21"/>
          <w:szCs w:val="21"/>
          <w:highlight w:val="none"/>
          <w:lang w:val="en-US" w:eastAsia="zh-CN"/>
        </w:rPr>
        <w:t>额</w:t>
      </w:r>
      <w:r>
        <w:rPr>
          <w:rFonts w:hint="eastAsia" w:ascii="宋体" w:hAnsi="宋体" w:eastAsia="宋体" w:cs="宋体"/>
          <w:color w:val="auto"/>
          <w:sz w:val="21"/>
          <w:szCs w:val="21"/>
          <w:highlight w:val="none"/>
        </w:rPr>
        <w:t>）。如造成甲方其他损失的，由乙方承担赔偿责任。</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pPr>
        <w:snapToGrid w:val="0"/>
        <w:spacing w:line="360" w:lineRule="auto"/>
        <w:ind w:firstLine="373" w:firstLineChars="177"/>
        <w:rPr>
          <w:rFonts w:hint="eastAsia" w:ascii="宋体" w:hAnsi="宋体" w:eastAsia="宋体" w:cs="宋体"/>
          <w:b/>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49" w:name="_Toc9079"/>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违约责任</w:t>
      </w:r>
      <w:bookmarkEnd w:id="349"/>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有权要求乙方按该次货物含税结算货款的1%向甲方支付违约金。乙方逾期超过12小时的，甲方有权要求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额外按该次货物含税结算货款的 5 %向甲方支付违约金</w:t>
      </w:r>
      <w:r>
        <w:rPr>
          <w:rFonts w:hint="eastAsia" w:ascii="宋体" w:hAnsi="宋体" w:eastAsia="宋体" w:cs="宋体"/>
          <w:color w:val="auto"/>
          <w:szCs w:val="21"/>
          <w:highlight w:val="none"/>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甲方损失的，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r>
        <w:rPr>
          <w:rFonts w:hint="eastAsia" w:ascii="宋体" w:hAnsi="宋体" w:eastAsia="宋体" w:cs="宋体"/>
          <w:color w:val="auto"/>
          <w:sz w:val="21"/>
          <w:szCs w:val="21"/>
          <w:highlight w:val="none"/>
          <w:lang w:val="en-US" w:eastAsia="zh-CN"/>
        </w:rPr>
        <w:t>。</w:t>
      </w:r>
    </w:p>
    <w:p>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要求乙方额外按该次货物含税结算货款的20%向甲方支付违约金，</w:t>
      </w:r>
      <w:r>
        <w:rPr>
          <w:rFonts w:hint="eastAsia" w:ascii="宋体" w:hAnsi="宋体" w:eastAsia="宋体" w:cs="宋体"/>
          <w:color w:val="auto"/>
          <w:szCs w:val="21"/>
          <w:highlight w:val="none"/>
        </w:rPr>
        <w:t>以上违约金总额不超过暂定合同价的【0.2】%，违约金不足以弥补甲方损失的，乙方还需足额赔偿</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w:t>
      </w:r>
      <w:r>
        <w:rPr>
          <w:rFonts w:hint="eastAsia" w:ascii="宋体" w:hAnsi="宋体" w:eastAsia="宋体" w:cs="宋体"/>
          <w:color w:val="auto"/>
          <w:szCs w:val="21"/>
          <w:highlight w:val="none"/>
        </w:rPr>
        <w:t>要求乙方一次性支付【25,000.00】元的违约金</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val="en-US" w:eastAsia="zh-CN"/>
        </w:rPr>
        <w:t>乙方提供的</w:t>
      </w:r>
      <w:r>
        <w:rPr>
          <w:rFonts w:hint="eastAsia" w:ascii="宋体" w:hAnsi="宋体" w:eastAsia="宋体" w:cs="宋体"/>
          <w:color w:val="auto"/>
          <w:sz w:val="21"/>
          <w:szCs w:val="21"/>
          <w:highlight w:val="none"/>
        </w:rPr>
        <w:t>药剂问题对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生产、成本造成影响，</w:t>
      </w:r>
      <w:r>
        <w:rPr>
          <w:rFonts w:hint="eastAsia" w:ascii="宋体" w:hAnsi="宋体" w:eastAsia="宋体" w:cs="宋体"/>
          <w:color w:val="auto"/>
          <w:highlight w:val="none"/>
          <w:lang w:val="en-US" w:eastAsia="zh-CN"/>
        </w:rPr>
        <w:t>未</w:t>
      </w:r>
      <w:r>
        <w:rPr>
          <w:rFonts w:hint="eastAsia" w:ascii="宋体" w:hAnsi="宋体" w:eastAsia="宋体" w:cs="宋体"/>
          <w:color w:val="auto"/>
          <w:sz w:val="21"/>
          <w:szCs w:val="21"/>
          <w:highlight w:val="none"/>
        </w:rPr>
        <w:t>造成甲方运营项目出水水质指标超标</w:t>
      </w:r>
      <w:r>
        <w:rPr>
          <w:rFonts w:hint="eastAsia" w:ascii="宋体" w:hAnsi="宋体" w:eastAsia="宋体" w:cs="宋体"/>
          <w:color w:val="auto"/>
          <w:sz w:val="21"/>
          <w:szCs w:val="21"/>
          <w:highlight w:val="none"/>
          <w:lang w:val="en-US" w:eastAsia="zh-CN"/>
        </w:rPr>
        <w:t>等严重影响</w:t>
      </w:r>
      <w:r>
        <w:rPr>
          <w:rFonts w:hint="eastAsia" w:ascii="宋体" w:hAnsi="宋体" w:eastAsia="宋体" w:cs="宋体"/>
          <w:color w:val="auto"/>
          <w:sz w:val="21"/>
          <w:szCs w:val="21"/>
          <w:highlight w:val="none"/>
        </w:rPr>
        <w:t>甲方运营项目生产的情况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按该次货物含税结算货款的20%向甲方支付违约金，</w:t>
      </w:r>
      <w:r>
        <w:rPr>
          <w:rFonts w:hint="eastAsia" w:ascii="宋体" w:hAnsi="宋体" w:eastAsia="宋体" w:cs="宋体"/>
          <w:color w:val="auto"/>
          <w:szCs w:val="21"/>
          <w:highlight w:val="none"/>
        </w:rPr>
        <w:t>前述违约金不足以弥补甲方损失的，乙方还需足额赔偿</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造成甲方运营项目出水水质指标超标</w:t>
      </w:r>
      <w:r>
        <w:rPr>
          <w:rFonts w:hint="eastAsia" w:ascii="宋体" w:hAnsi="宋体" w:eastAsia="宋体" w:cs="宋体"/>
          <w:color w:val="auto"/>
          <w:sz w:val="21"/>
          <w:szCs w:val="21"/>
          <w:highlight w:val="none"/>
          <w:lang w:val="en-US" w:eastAsia="zh-CN"/>
        </w:rPr>
        <w:t>等严重影响</w:t>
      </w:r>
      <w:r>
        <w:rPr>
          <w:rFonts w:hint="eastAsia" w:ascii="宋体" w:hAnsi="宋体" w:eastAsia="宋体" w:cs="宋体"/>
          <w:color w:val="auto"/>
          <w:sz w:val="21"/>
          <w:szCs w:val="21"/>
          <w:highlight w:val="none"/>
        </w:rPr>
        <w:t>甲方运营项目生产的情况，甲方有权追究乙方由此造成的损失，并有权单方面中止或解除合同，暂停或取消其供货资格，</w:t>
      </w:r>
      <w:r>
        <w:rPr>
          <w:rFonts w:hint="eastAsia" w:ascii="宋体" w:hAnsi="宋体" w:eastAsia="宋体" w:cs="宋体"/>
          <w:color w:val="auto"/>
          <w:szCs w:val="21"/>
          <w:highlight w:val="none"/>
        </w:rPr>
        <w:t>并要求乙方一次性支付【100,000.00】元的违约金</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color w:val="auto"/>
          <w:sz w:val="21"/>
          <w:szCs w:val="21"/>
          <w:highlight w:val="none"/>
          <w:lang w:val="en-US" w:eastAsia="zh-CN"/>
        </w:rPr>
        <w:t>单方解除</w:t>
      </w:r>
      <w:r>
        <w:rPr>
          <w:rFonts w:hint="eastAsia" w:ascii="宋体" w:hAnsi="宋体" w:eastAsia="宋体" w:cs="宋体"/>
          <w:color w:val="auto"/>
          <w:sz w:val="21"/>
          <w:szCs w:val="21"/>
          <w:highlight w:val="none"/>
        </w:rPr>
        <w:t>合同。因此给甲方造成损失的，全部由乙方承担。</w:t>
      </w:r>
    </w:p>
    <w:p>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w:t>
      </w:r>
      <w:r>
        <w:rPr>
          <w:rFonts w:hint="eastAsia" w:ascii="宋体" w:hAnsi="宋体" w:eastAsia="宋体" w:cs="宋体"/>
          <w:color w:val="auto"/>
          <w:sz w:val="21"/>
          <w:szCs w:val="21"/>
          <w:highlight w:val="none"/>
          <w:lang w:eastAsia="zh-CN" w:bidi="ar"/>
        </w:rPr>
        <w:t>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的履约情况进行评价，填写《供应商履约评价表》（详见用户需求书 附件3）。考核评分满分为100分，</w:t>
      </w:r>
      <w:r>
        <w:rPr>
          <w:rFonts w:hint="eastAsia" w:ascii="宋体" w:hAnsi="宋体" w:eastAsia="宋体" w:cs="宋体"/>
          <w:color w:val="auto"/>
          <w:sz w:val="21"/>
          <w:szCs w:val="21"/>
          <w:highlight w:val="none"/>
          <w:lang w:val="en-US" w:eastAsia="zh-CN" w:bidi="ar"/>
        </w:rPr>
        <w:t>若某运营项目对乙方的</w:t>
      </w:r>
      <w:r>
        <w:rPr>
          <w:rFonts w:hint="eastAsia" w:ascii="宋体" w:hAnsi="宋体" w:eastAsia="宋体" w:cs="宋体"/>
          <w:color w:val="auto"/>
          <w:sz w:val="21"/>
          <w:szCs w:val="21"/>
          <w:highlight w:val="none"/>
          <w:lang w:bidi="ar"/>
        </w:rPr>
        <w:t>考核评分分数低于80分、达到60分时，乙方应按该月货物含税结算货款的20%向</w:t>
      </w:r>
      <w:r>
        <w:rPr>
          <w:rFonts w:hint="eastAsia" w:ascii="宋体" w:hAnsi="宋体" w:eastAsia="宋体" w:cs="宋体"/>
          <w:color w:val="auto"/>
          <w:sz w:val="21"/>
          <w:szCs w:val="21"/>
          <w:highlight w:val="none"/>
          <w:lang w:val="en-US" w:eastAsia="zh-CN" w:bidi="ar"/>
        </w:rPr>
        <w:t>管理该运营项目的</w:t>
      </w:r>
      <w:r>
        <w:rPr>
          <w:rFonts w:hint="eastAsia" w:ascii="宋体" w:hAnsi="宋体" w:eastAsia="宋体" w:cs="宋体"/>
          <w:color w:val="auto"/>
          <w:sz w:val="21"/>
          <w:szCs w:val="21"/>
          <w:highlight w:val="none"/>
          <w:lang w:bidi="ar"/>
        </w:rPr>
        <w:t>甲方支付违约金；</w:t>
      </w:r>
      <w:r>
        <w:rPr>
          <w:rFonts w:hint="eastAsia" w:ascii="宋体" w:hAnsi="宋体" w:eastAsia="宋体" w:cs="宋体"/>
          <w:color w:val="auto"/>
          <w:sz w:val="21"/>
          <w:szCs w:val="21"/>
          <w:highlight w:val="none"/>
          <w:lang w:val="en-US" w:eastAsia="zh-CN" w:bidi="ar"/>
        </w:rPr>
        <w:t>若某运营项目对乙方的</w:t>
      </w:r>
      <w:r>
        <w:rPr>
          <w:rFonts w:hint="eastAsia" w:ascii="宋体" w:hAnsi="宋体" w:eastAsia="宋体" w:cs="宋体"/>
          <w:color w:val="auto"/>
          <w:sz w:val="21"/>
          <w:szCs w:val="21"/>
          <w:highlight w:val="none"/>
          <w:lang w:bidi="ar"/>
        </w:rPr>
        <w:t>考核评分分数低于60分时，乙方应按该月货物含税结算货款的30%向</w:t>
      </w:r>
      <w:r>
        <w:rPr>
          <w:rFonts w:hint="eastAsia" w:ascii="宋体" w:hAnsi="宋体" w:eastAsia="宋体" w:cs="宋体"/>
          <w:color w:val="auto"/>
          <w:sz w:val="21"/>
          <w:szCs w:val="21"/>
          <w:highlight w:val="none"/>
          <w:lang w:val="en-US" w:eastAsia="zh-CN" w:bidi="ar"/>
        </w:rPr>
        <w:t>管理该运营项目的</w:t>
      </w:r>
      <w:r>
        <w:rPr>
          <w:rFonts w:hint="eastAsia" w:ascii="宋体" w:hAnsi="宋体" w:eastAsia="宋体" w:cs="宋体"/>
          <w:color w:val="auto"/>
          <w:sz w:val="21"/>
          <w:szCs w:val="21"/>
          <w:highlight w:val="none"/>
          <w:lang w:bidi="ar"/>
        </w:rPr>
        <w:t>甲方支付违约金。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若供货期内累计出现3次（含）以上评审结论为不合格的</w:t>
      </w:r>
      <w:r>
        <w:rPr>
          <w:rFonts w:hint="eastAsia" w:ascii="宋体" w:hAnsi="宋体" w:eastAsia="宋体" w:cs="宋体"/>
          <w:color w:val="auto"/>
          <w:szCs w:val="21"/>
          <w:highlight w:val="none"/>
          <w:lang w:bidi="ar"/>
        </w:rPr>
        <w:t>（考核评分分数低于80分）</w:t>
      </w:r>
      <w:r>
        <w:rPr>
          <w:rFonts w:hint="eastAsia" w:ascii="宋体" w:hAnsi="宋体" w:eastAsia="宋体" w:cs="宋体"/>
          <w:color w:val="auto"/>
          <w:sz w:val="21"/>
          <w:szCs w:val="21"/>
          <w:highlight w:val="none"/>
          <w:lang w:bidi="ar"/>
        </w:rPr>
        <w:t>，甲方有权取消乙方的供货资格并单方解除合同、</w:t>
      </w:r>
      <w:r>
        <w:rPr>
          <w:rFonts w:hint="eastAsia" w:ascii="宋体" w:hAnsi="宋体" w:eastAsia="宋体" w:cs="宋体"/>
          <w:color w:val="auto"/>
          <w:szCs w:val="21"/>
          <w:highlight w:val="none"/>
          <w:lang w:bidi="ar"/>
        </w:rPr>
        <w:t>并要求乙方一次性支付【20,000.00】元的违约金</w:t>
      </w:r>
      <w:r>
        <w:rPr>
          <w:rFonts w:hint="eastAsia" w:ascii="宋体" w:hAnsi="宋体" w:eastAsia="宋体" w:cs="宋体"/>
          <w:color w:val="auto"/>
          <w:sz w:val="21"/>
          <w:szCs w:val="21"/>
          <w:highlight w:val="none"/>
          <w:lang w:bidi="ar"/>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Hans"/>
        </w:rPr>
        <w:t>10</w:t>
      </w:r>
      <w:r>
        <w:rPr>
          <w:rFonts w:hint="eastAsia" w:ascii="宋体" w:hAnsi="宋体" w:eastAsia="宋体" w:cs="宋体"/>
          <w:color w:val="auto"/>
          <w:sz w:val="21"/>
          <w:szCs w:val="21"/>
          <w:highlight w:val="none"/>
          <w:u w:val="single"/>
          <w:lang w:eastAsia="zh-Hans"/>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Hans"/>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r>
        <w:rPr>
          <w:rFonts w:hint="eastAsia" w:ascii="宋体" w:hAnsi="宋体" w:eastAsia="宋体" w:cs="宋体"/>
          <w:color w:val="auto"/>
          <w:sz w:val="21"/>
          <w:szCs w:val="21"/>
          <w:highlight w:val="none"/>
          <w:lang w:val="en-US"/>
        </w:rPr>
        <w:t>并</w:t>
      </w:r>
      <w:r>
        <w:rPr>
          <w:rFonts w:hint="eastAsia" w:ascii="宋体" w:hAnsi="宋体" w:eastAsia="宋体" w:cs="宋体"/>
          <w:color w:val="auto"/>
          <w:sz w:val="21"/>
          <w:szCs w:val="21"/>
          <w:highlight w:val="none"/>
        </w:rPr>
        <w:t>有权依法</w:t>
      </w:r>
      <w:r>
        <w:rPr>
          <w:rFonts w:hint="eastAsia" w:ascii="宋体" w:hAnsi="宋体" w:eastAsia="宋体" w:cs="宋体"/>
          <w:color w:val="auto"/>
          <w:sz w:val="21"/>
          <w:szCs w:val="21"/>
          <w:highlight w:val="none"/>
          <w:lang w:val="en-US" w:eastAsia="zh-CN"/>
        </w:rPr>
        <w:t>自行</w:t>
      </w:r>
      <w:r>
        <w:rPr>
          <w:rFonts w:hint="eastAsia" w:ascii="宋体" w:hAnsi="宋体" w:eastAsia="宋体" w:cs="宋体"/>
          <w:color w:val="auto"/>
          <w:sz w:val="21"/>
          <w:szCs w:val="21"/>
          <w:highlight w:val="none"/>
        </w:rPr>
        <w:t>委托有资质的第三方继续履行本合同义务，由此造成的一切损失（包括但不限于重新采购的差价、委托第三方的费用）由乙方全部承担。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】%的违约金，前述违约金不足以弥补甲方损失的，乙方还需足额赔偿。</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w:t>
      </w:r>
      <w:r>
        <w:rPr>
          <w:rFonts w:hint="eastAsia" w:ascii="宋体" w:hAnsi="宋体" w:eastAsia="宋体" w:cs="宋体"/>
          <w:color w:val="auto"/>
          <w:sz w:val="21"/>
          <w:szCs w:val="21"/>
          <w:highlight w:val="none"/>
          <w:lang w:val="en-US" w:eastAsia="zh-CN"/>
        </w:rPr>
        <w:t>保全费、担保费、</w:t>
      </w:r>
      <w:r>
        <w:rPr>
          <w:rFonts w:hint="eastAsia" w:ascii="宋体" w:hAnsi="宋体" w:eastAsia="宋体" w:cs="宋体"/>
          <w:color w:val="auto"/>
          <w:sz w:val="21"/>
          <w:szCs w:val="21"/>
          <w:highlight w:val="none"/>
        </w:rPr>
        <w:t>公证费、交通住宿费等全部费用。</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pPr>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】%作为违约金。违约金不足以弥补甲方因此所受损失的，乙方应予以补足。</w:t>
      </w:r>
    </w:p>
    <w:p>
      <w:pPr>
        <w:outlineLvl w:val="9"/>
        <w:rPr>
          <w:rFonts w:hint="eastAsia" w:hAnsi="宋体" w:cs="宋体"/>
          <w:color w:val="auto"/>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50" w:name="_Toc20792"/>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争议解决</w:t>
      </w:r>
      <w:bookmarkEnd w:id="350"/>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住所地有管辖权的人民法院提起诉讼解决。</w:t>
      </w:r>
    </w:p>
    <w:p>
      <w:pPr>
        <w:snapToGrid w:val="0"/>
        <w:spacing w:line="360" w:lineRule="auto"/>
        <w:ind w:firstLine="371" w:firstLineChars="177"/>
        <w:rPr>
          <w:rFonts w:hint="eastAsia" w:ascii="宋体" w:hAnsi="宋体" w:eastAsia="宋体" w:cs="宋体"/>
          <w:color w:val="auto"/>
          <w:sz w:val="21"/>
          <w:szCs w:val="21"/>
          <w:highlight w:val="none"/>
        </w:rPr>
      </w:pPr>
    </w:p>
    <w:p>
      <w:pPr>
        <w:snapToGrid w:val="0"/>
        <w:spacing w:line="360" w:lineRule="auto"/>
        <w:ind w:firstLine="373" w:firstLineChars="177"/>
        <w:outlineLvl w:val="1"/>
        <w:rPr>
          <w:rFonts w:hint="eastAsia" w:ascii="宋体" w:hAnsi="宋体" w:eastAsia="宋体" w:cs="宋体"/>
          <w:b/>
          <w:color w:val="auto"/>
          <w:sz w:val="21"/>
          <w:szCs w:val="21"/>
          <w:highlight w:val="none"/>
        </w:rPr>
      </w:pPr>
      <w:bookmarkStart w:id="351" w:name="_Toc30682"/>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其他</w:t>
      </w:r>
      <w:bookmarkEnd w:id="351"/>
    </w:p>
    <w:p>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w:t>
      </w:r>
      <w:r>
        <w:rPr>
          <w:rFonts w:hint="eastAsia" w:ascii="宋体" w:hAnsi="宋体" w:eastAsia="宋体" w:cs="宋体"/>
          <w:b/>
          <w:color w:val="auto"/>
          <w:sz w:val="21"/>
          <w:szCs w:val="21"/>
          <w:highlight w:val="none"/>
          <w:lang w:val="en-US" w:eastAsia="zh-CN"/>
        </w:rPr>
        <w:t>次氯酸钠</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4、乙方应提供符合技术指标的药剂，保证供货的药剂在甲方运营项目良好的使用效果。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7、合同履约过程中，若发现</w:t>
      </w:r>
      <w:r>
        <w:rPr>
          <w:rFonts w:hint="eastAsia" w:ascii="宋体" w:hAnsi="宋体" w:eastAsia="宋体" w:cs="宋体"/>
          <w:b/>
          <w:bCs/>
          <w:color w:val="auto"/>
          <w:kern w:val="2"/>
          <w:sz w:val="21"/>
          <w:szCs w:val="21"/>
          <w:highlight w:val="none"/>
          <w:lang w:val="zh-CN"/>
        </w:rPr>
        <w:t>同一种货物或服务存在有选择性的报价或</w:t>
      </w:r>
      <w:r>
        <w:rPr>
          <w:rFonts w:hint="eastAsia" w:ascii="宋体" w:hAnsi="宋体" w:eastAsia="宋体" w:cs="宋体"/>
          <w:b/>
          <w:bCs/>
          <w:color w:val="auto"/>
          <w:sz w:val="21"/>
          <w:szCs w:val="21"/>
          <w:highlight w:val="none"/>
          <w:lang w:val="zh-CN"/>
        </w:rPr>
        <w:t>不是固定的报价的</w:t>
      </w:r>
      <w:r>
        <w:rPr>
          <w:rFonts w:hint="eastAsia" w:ascii="宋体" w:hAnsi="宋体" w:eastAsia="宋体" w:cs="宋体"/>
          <w:b/>
          <w:bCs/>
          <w:color w:val="auto"/>
          <w:kern w:val="2"/>
          <w:sz w:val="21"/>
          <w:szCs w:val="21"/>
          <w:highlight w:val="none"/>
          <w:lang w:val="zh-CN"/>
        </w:rPr>
        <w:t>，或存在</w:t>
      </w:r>
      <w:r>
        <w:rPr>
          <w:rFonts w:hint="eastAsia" w:ascii="宋体" w:hAnsi="宋体" w:eastAsia="宋体" w:cs="宋体"/>
          <w:b/>
          <w:bCs/>
          <w:color w:val="auto"/>
          <w:sz w:val="21"/>
          <w:szCs w:val="21"/>
          <w:highlight w:val="none"/>
        </w:rPr>
        <w:t>多种理解方式的情况发生时，按最有利甲方的方式解释。</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3日内书面告知甲方，否则甲方仍按合同中列明的乙方“地址”发出相关通知、函件等并视为有效送达。</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双方盖章、并经</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法定代表人签字之日起生效。</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、本合同未尽事宜，由双方协商处理。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p>
    <w:p>
      <w:pPr>
        <w:spacing w:line="360" w:lineRule="auto"/>
        <w:ind w:left="317" w:hanging="527"/>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（以下无正文内容为签字盖章页）</w:t>
      </w:r>
    </w:p>
    <w:p>
      <w:pPr>
        <w:ind w:firstLine="420" w:firstLineChars="200"/>
        <w:rPr>
          <w:rFonts w:hint="eastAsia" w:ascii="宋体" w:hAnsi="宋体" w:eastAsia="宋体" w:cs="宋体"/>
          <w:color w:val="auto"/>
          <w:sz w:val="21"/>
          <w:szCs w:val="21"/>
          <w:highlight w:val="none"/>
        </w:rPr>
      </w:pPr>
    </w:p>
    <w:p>
      <w:pPr>
        <w:snapToGrid/>
        <w:spacing w:line="24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甲方2</w:t>
      </w:r>
      <w:r>
        <w:rPr>
          <w:rFonts w:hint="eastAsia" w:ascii="宋体" w:hAnsi="宋体" w:eastAsia="宋体" w:cs="宋体"/>
          <w:b/>
          <w:color w:val="auto"/>
          <w:sz w:val="21"/>
          <w:szCs w:val="21"/>
          <w:highlight w:val="none"/>
        </w:rPr>
        <w:t>：</w:t>
      </w:r>
    </w:p>
    <w:p>
      <w:pPr>
        <w:snapToGrid w:val="0"/>
        <w:spacing w:line="360" w:lineRule="auto"/>
        <w:ind w:firstLine="424" w:firstLineChars="202"/>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甲方4</w:t>
      </w:r>
      <w:r>
        <w:rPr>
          <w:rFonts w:hint="eastAsia" w:ascii="宋体" w:hAnsi="宋体" w:eastAsia="宋体" w:cs="宋体"/>
          <w:b/>
          <w:color w:val="auto"/>
          <w:sz w:val="21"/>
          <w:szCs w:val="21"/>
          <w:highlight w:val="none"/>
        </w:rPr>
        <w:t>：</w:t>
      </w:r>
    </w:p>
    <w:p>
      <w:pPr>
        <w:snapToGrid w:val="0"/>
        <w:spacing w:line="360" w:lineRule="auto"/>
        <w:ind w:firstLine="424" w:firstLineChars="202"/>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napToGrid/>
        <w:spacing w:line="240" w:lineRule="auto"/>
        <w:ind w:firstLine="420" w:firstLineChars="200"/>
        <w:rPr>
          <w:rFonts w:hint="eastAsia" w:ascii="宋体" w:hAnsi="宋体" w:eastAsia="宋体" w:cs="宋体"/>
          <w:color w:val="auto"/>
          <w:sz w:val="21"/>
          <w:szCs w:val="21"/>
          <w:highlight w:val="none"/>
        </w:rPr>
      </w:pPr>
    </w:p>
    <w:p>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乙方</w:t>
      </w:r>
      <w:r>
        <w:rPr>
          <w:rFonts w:hint="eastAsia" w:ascii="宋体" w:hAnsi="宋体" w:eastAsia="宋体" w:cs="宋体"/>
          <w:b/>
          <w:color w:val="auto"/>
          <w:sz w:val="21"/>
          <w:szCs w:val="21"/>
          <w:highlight w:val="none"/>
        </w:rPr>
        <w:t>：</w:t>
      </w:r>
    </w:p>
    <w:p>
      <w:pPr>
        <w:snapToGrid w:val="0"/>
        <w:spacing w:line="360" w:lineRule="auto"/>
        <w:ind w:firstLine="424" w:firstLineChars="202"/>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银行账户：</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签约地点：</w:t>
      </w:r>
    </w:p>
    <w:p>
      <w:pPr>
        <w:pageBreakBefore/>
        <w:spacing w:line="360" w:lineRule="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w:t>
      </w:r>
      <w:r>
        <w:rPr>
          <w:rFonts w:hint="eastAsia" w:ascii="宋体" w:hAnsi="宋体" w:eastAsia="宋体" w:cs="宋体"/>
          <w:b/>
          <w:color w:val="auto"/>
          <w:szCs w:val="22"/>
          <w:highlight w:val="none"/>
          <w:lang w:val="en-US" w:eastAsia="zh-CN"/>
        </w:rPr>
        <w:t>2</w:t>
      </w:r>
      <w:r>
        <w:rPr>
          <w:rFonts w:hint="eastAsia" w:ascii="宋体" w:hAnsi="宋体" w:eastAsia="宋体" w:cs="宋体"/>
          <w:b/>
          <w:color w:val="auto"/>
          <w:szCs w:val="22"/>
          <w:highlight w:val="none"/>
        </w:rPr>
        <w:t>：廉洁协议书</w:t>
      </w:r>
    </w:p>
    <w:p>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东莞市水务环境投资控股集团净水有限公司2026年-2027年生产药剂液体次氯酸钠采购项目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（业主单位）：</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（业主单位）：</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（业主单位）：</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（业主单位）：</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（业主单位）：</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（以下统称为“甲方”）</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spacing w:line="360" w:lineRule="auto"/>
        <w:ind w:firstLine="478" w:firstLineChars="22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szCs w:val="22"/>
          <w:highlight w:val="none"/>
        </w:rPr>
        <w:fldChar w:fldCharType="begin"/>
      </w:r>
      <w:r>
        <w:rPr>
          <w:rFonts w:hint="eastAsia" w:ascii="宋体" w:hAnsi="宋体" w:eastAsia="宋体" w:cs="宋体"/>
          <w:color w:val="auto"/>
          <w:szCs w:val="22"/>
          <w:highlight w:val="none"/>
        </w:rPr>
        <w:instrText xml:space="preserve"> HYPERLINK "mailto:jcsj@dgswjt.cn。" </w:instrText>
      </w:r>
      <w:r>
        <w:rPr>
          <w:rFonts w:hint="eastAsia" w:ascii="宋体" w:hAnsi="宋体" w:eastAsia="宋体" w:cs="宋体"/>
          <w:color w:val="auto"/>
          <w:szCs w:val="22"/>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验收完毕，质保期/供货期满后止。本协议一式   份，甲、乙双方各执   份，甲、乙双方上级主管部门各执   份。</w:t>
      </w:r>
    </w:p>
    <w:p>
      <w:pPr>
        <w:spacing w:line="360" w:lineRule="auto"/>
        <w:ind w:firstLine="478" w:firstLineChars="228"/>
        <w:rPr>
          <w:rFonts w:hint="eastAsia" w:ascii="宋体" w:hAnsi="宋体" w:eastAsia="宋体" w:cs="宋体"/>
          <w:color w:val="auto"/>
          <w:sz w:val="21"/>
          <w:szCs w:val="21"/>
          <w:highlight w:val="none"/>
        </w:rPr>
      </w:pPr>
    </w:p>
    <w:p>
      <w:pPr>
        <w:outlineLvl w:val="9"/>
        <w:rPr>
          <w:rFonts w:hint="eastAsia"/>
          <w:color w:val="auto"/>
          <w:highlight w:val="none"/>
        </w:rPr>
      </w:pP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 xml:space="preserve">（盖章）： </w:t>
      </w:r>
    </w:p>
    <w:p>
      <w:pPr>
        <w:spacing w:line="360" w:lineRule="auto"/>
        <w:ind w:firstLine="478" w:firstLineChars="228"/>
        <w:rPr>
          <w:rFonts w:hint="eastAsia" w:ascii="宋体" w:hAnsi="宋体" w:eastAsia="宋体" w:cs="宋体"/>
          <w:color w:val="auto"/>
          <w:sz w:val="21"/>
          <w:szCs w:val="21"/>
          <w:highlight w:val="none"/>
        </w:rPr>
      </w:pP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代表：</w:t>
      </w:r>
    </w:p>
    <w:p>
      <w:pPr>
        <w:spacing w:line="360" w:lineRule="auto"/>
        <w:ind w:firstLine="478" w:firstLineChars="228"/>
        <w:rPr>
          <w:rFonts w:hint="eastAsia" w:ascii="宋体" w:hAnsi="宋体" w:eastAsia="宋体" w:cs="宋体"/>
          <w:color w:val="auto"/>
          <w:sz w:val="21"/>
          <w:szCs w:val="21"/>
          <w:highlight w:val="none"/>
        </w:rPr>
      </w:pP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甲方4</w:t>
      </w:r>
      <w:r>
        <w:rPr>
          <w:rFonts w:hint="eastAsia" w:ascii="宋体" w:hAnsi="宋体" w:eastAsia="宋体" w:cs="宋体"/>
          <w:color w:val="auto"/>
          <w:sz w:val="21"/>
          <w:szCs w:val="21"/>
          <w:highlight w:val="none"/>
        </w:rPr>
        <w:t xml:space="preserve">（盖章）： </w:t>
      </w:r>
    </w:p>
    <w:p>
      <w:pPr>
        <w:spacing w:line="360" w:lineRule="auto"/>
        <w:ind w:firstLine="478" w:firstLineChars="228"/>
        <w:rPr>
          <w:rFonts w:hint="eastAsia" w:ascii="宋体" w:hAnsi="宋体" w:eastAsia="宋体" w:cs="宋体"/>
          <w:color w:val="auto"/>
          <w:sz w:val="21"/>
          <w:szCs w:val="21"/>
          <w:highlight w:val="none"/>
        </w:rPr>
      </w:pP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甲方4</w:t>
      </w:r>
      <w:r>
        <w:rPr>
          <w:rFonts w:hint="eastAsia" w:ascii="宋体" w:hAnsi="宋体" w:eastAsia="宋体" w:cs="宋体"/>
          <w:color w:val="auto"/>
          <w:sz w:val="21"/>
          <w:szCs w:val="21"/>
          <w:highlight w:val="none"/>
        </w:rPr>
        <w:t>代表：</w:t>
      </w:r>
    </w:p>
    <w:p>
      <w:pPr>
        <w:spacing w:line="360" w:lineRule="auto"/>
        <w:ind w:firstLine="478" w:firstLineChars="228"/>
        <w:rPr>
          <w:rFonts w:hint="eastAsia" w:ascii="宋体" w:hAnsi="宋体" w:eastAsia="宋体" w:cs="宋体"/>
          <w:color w:val="auto"/>
          <w:sz w:val="21"/>
          <w:szCs w:val="21"/>
          <w:highlight w:val="none"/>
        </w:rPr>
      </w:pP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（盖章）： </w:t>
      </w:r>
    </w:p>
    <w:p>
      <w:pPr>
        <w:spacing w:line="360" w:lineRule="auto"/>
        <w:ind w:firstLine="478" w:firstLineChars="228"/>
        <w:rPr>
          <w:rFonts w:hint="eastAsia" w:ascii="宋体" w:hAnsi="宋体" w:eastAsia="宋体" w:cs="宋体"/>
          <w:color w:val="auto"/>
          <w:sz w:val="21"/>
          <w:szCs w:val="21"/>
          <w:highlight w:val="none"/>
        </w:rPr>
      </w:pP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代表：                             </w:t>
      </w:r>
      <w:r>
        <w:rPr>
          <w:rFonts w:hint="eastAsia" w:ascii="宋体" w:hAnsi="宋体" w:eastAsia="宋体" w:cs="宋体"/>
          <w:color w:val="auto"/>
          <w:sz w:val="21"/>
          <w:szCs w:val="21"/>
          <w:highlight w:val="none"/>
          <w:lang w:val="en-US" w:eastAsia="zh-CN"/>
        </w:rPr>
        <w:t xml:space="preserve"> 乙方</w:t>
      </w:r>
      <w:r>
        <w:rPr>
          <w:rFonts w:hint="eastAsia" w:ascii="宋体" w:hAnsi="宋体" w:eastAsia="宋体" w:cs="宋体"/>
          <w:color w:val="auto"/>
          <w:sz w:val="21"/>
          <w:szCs w:val="21"/>
          <w:highlight w:val="none"/>
        </w:rPr>
        <w:t>代表：</w:t>
      </w:r>
    </w:p>
    <w:p>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pPr>
        <w:ind w:firstLine="478" w:firstLineChars="228"/>
        <w:rPr>
          <w:rFonts w:hint="eastAsia" w:ascii="宋体" w:hAnsi="宋体" w:eastAsia="宋体" w:cs="宋体"/>
          <w:color w:val="auto"/>
          <w:sz w:val="21"/>
          <w:szCs w:val="21"/>
          <w:highlight w:val="none"/>
        </w:rPr>
      </w:pPr>
    </w:p>
    <w:p>
      <w:pPr>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pageBreakBefore/>
        <w:outlineLvl w:val="9"/>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附件</w:t>
      </w:r>
      <w:r>
        <w:rPr>
          <w:rFonts w:hint="eastAsia" w:ascii="宋体" w:hAnsi="宋体" w:eastAsia="宋体" w:cs="宋体"/>
          <w:b/>
          <w:color w:val="auto"/>
          <w:szCs w:val="22"/>
          <w:highlight w:val="none"/>
          <w:lang w:val="en-US" w:eastAsia="zh-CN"/>
        </w:rPr>
        <w:t>3</w:t>
      </w:r>
      <w:r>
        <w:rPr>
          <w:rFonts w:hint="eastAsia" w:ascii="宋体" w:hAnsi="宋体" w:eastAsia="宋体" w:cs="宋体"/>
          <w:b/>
          <w:color w:val="auto"/>
          <w:szCs w:val="22"/>
          <w:highlight w:val="none"/>
        </w:rPr>
        <w:t>：安全生产管理协议</w:t>
      </w:r>
    </w:p>
    <w:p>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安全生产管理协议</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lang w:val="en-US" w:eastAsia="zh-CN"/>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（以下统称为“甲方”）</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u w:val="single"/>
        </w:rPr>
        <w:t xml:space="preserve">                                   </w:t>
      </w:r>
    </w:p>
    <w:p>
      <w:pPr>
        <w:spacing w:line="360" w:lineRule="auto"/>
        <w:rPr>
          <w:rFonts w:ascii="仿宋_GB2312" w:hAnsi="仿宋" w:eastAsia="仿宋_GB2312" w:cs="仿宋"/>
          <w:color w:val="auto"/>
          <w:sz w:val="28"/>
          <w:szCs w:val="28"/>
          <w:highlight w:val="none"/>
        </w:rPr>
      </w:pPr>
    </w:p>
    <w:p>
      <w:pPr>
        <w:spacing w:line="276" w:lineRule="auto"/>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pPr>
        <w:pStyle w:val="21"/>
        <w:keepNext w:val="0"/>
        <w:keepLines w:val="0"/>
        <w:pageBreakBefore w:val="0"/>
        <w:widowControl w:val="0"/>
        <w:kinsoku/>
        <w:wordWrap/>
        <w:overflowPunct/>
        <w:topLinePunct w:val="0"/>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根据《中华人民共和国安全生产法》和《建设工程安全生产管理条例》等法规要求，为加强作业现场的安全管理，落实各自</w:t>
      </w:r>
      <w:r>
        <w:rPr>
          <w:rFonts w:hint="eastAsia" w:ascii="宋体" w:hAnsi="宋体" w:eastAsia="宋体" w:cs="宋体"/>
          <w:color w:val="auto"/>
          <w:sz w:val="21"/>
          <w:szCs w:val="21"/>
          <w:highlight w:val="none"/>
        </w:rPr>
        <w:t>的安全生产职责，进一步加强作业的安全管理，杜绝作业人员因安全管理不善而引发的各类安全事故，保证甲、乙双方的财产和员工的人身安全不受侵害，经甲乙双方协商一致，签订协议如下：</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至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一、污水处理厂风险辨识</w:t>
      </w:r>
    </w:p>
    <w:p>
      <w:pPr>
        <w:keepNext w:val="0"/>
        <w:keepLines w:val="0"/>
        <w:pageBreakBefore w:val="0"/>
        <w:widowControl w:val="0"/>
        <w:kinsoku/>
        <w:wordWrap/>
        <w:overflowPunct/>
        <w:topLinePunct w:val="0"/>
        <w:bidi w:val="0"/>
        <w:spacing w:line="360" w:lineRule="auto"/>
        <w:ind w:left="100" w:right="99"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keepNext w:val="0"/>
        <w:keepLines w:val="0"/>
        <w:pageBreakBefore w:val="0"/>
        <w:widowControl w:val="0"/>
        <w:kinsoku/>
        <w:wordWrap/>
        <w:overflowPunct/>
        <w:topLinePunct w:val="0"/>
        <w:bidi w:val="0"/>
        <w:spacing w:line="360" w:lineRule="auto"/>
        <w:ind w:left="100" w:right="99"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2、其他有限空间辨识，如:建筑施工未完工的地下暗室、管道及管道井等封闭、半封闭的设施及场所（地下隐蔽工程、密闭容器、长期不用的设施或通风不畅的场所等）等。</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二、危害因素分析</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三、协议实施条款</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“相关方”是指：在公司从事与公司生产经营活动有关的、在公司内从事各种公务活动和进行业务往来的外部单位和个人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以下简称“相关方”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。主要包括： </w:t>
      </w:r>
    </w:p>
    <w:p>
      <w:pPr>
        <w:keepNext w:val="0"/>
        <w:keepLines w:val="0"/>
        <w:pageBreakBefore w:val="0"/>
        <w:widowControl w:val="0"/>
        <w:numPr>
          <w:ilvl w:val="-1"/>
          <w:numId w:val="0"/>
        </w:numPr>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（1）依照与公司订立的有关合同，在公司内从事基建、设备安装、维修保养、运输、后勤服务、劳务输出以及其他承包各种项目的外来单位或个人。 </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进入单位内进行商务洽谈、参观访问、工作检查、学习交流及其他各类公务活动的外来单位或个人。</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目前我司相关方包括但不限于保安人员、绿化环卫人员、安装施工人员、配送人员、参观人员等。</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危险作业包括但不限于以下内容：临水作业、进入受限空间作业、临时用电作业、高处作业、断路作业、破土作业、吊装作业、盲板抽堵作业。（以下简称：危险作业）</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安全交底。每次进行危险作业等其他可能存在危险的作业前需由乙方的带班人员对作业人员进行安全交底。</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乙方需完善并加强对</w:t>
      </w:r>
      <w:r>
        <w:rPr>
          <w:rFonts w:hint="eastAsia" w:ascii="宋体" w:hAnsi="宋体" w:eastAsia="宋体" w:cs="宋体"/>
          <w:color w:val="auto"/>
          <w:sz w:val="21"/>
          <w:szCs w:val="21"/>
          <w:highlight w:val="none"/>
          <w:lang w:val="en-US" w:eastAsia="zh-CN"/>
        </w:rPr>
        <w:t>相关方的的日常考勤管理，严格遵守厂区对进出人员的管理要求。</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作业场所配备</w:t>
      </w:r>
      <w:r>
        <w:rPr>
          <w:rFonts w:hint="eastAsia" w:ascii="宋体" w:hAnsi="宋体" w:eastAsia="宋体" w:cs="宋体"/>
          <w:color w:val="auto"/>
          <w:sz w:val="21"/>
          <w:szCs w:val="21"/>
          <w:highlight w:val="none"/>
          <w:lang w:val="en-US" w:eastAsia="zh-CN"/>
        </w:rPr>
        <w:t>专职或兼职</w:t>
      </w:r>
      <w:r>
        <w:rPr>
          <w:rFonts w:hint="eastAsia" w:ascii="宋体" w:hAnsi="宋体" w:eastAsia="宋体" w:cs="宋体"/>
          <w:color w:val="auto"/>
          <w:sz w:val="21"/>
          <w:szCs w:val="21"/>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auto"/>
          <w:sz w:val="21"/>
          <w:szCs w:val="21"/>
          <w:highlight w:val="none"/>
          <w:lang w:val="en-US" w:eastAsia="zh-CN"/>
        </w:rPr>
        <w:t>进行维修作业</w:t>
      </w:r>
      <w:r>
        <w:rPr>
          <w:rFonts w:hint="eastAsia" w:ascii="宋体" w:hAnsi="宋体" w:eastAsia="宋体" w:cs="宋体"/>
          <w:color w:val="auto"/>
          <w:sz w:val="21"/>
          <w:szCs w:val="21"/>
          <w:highlight w:val="none"/>
        </w:rPr>
        <w:t>等其他可能存在危险的作业前需由</w:t>
      </w:r>
      <w:r>
        <w:rPr>
          <w:rFonts w:hint="eastAsia" w:ascii="宋体" w:hAnsi="宋体" w:eastAsia="宋体" w:cs="宋体"/>
          <w:color w:val="auto"/>
          <w:sz w:val="21"/>
          <w:szCs w:val="21"/>
          <w:highlight w:val="none"/>
          <w:lang w:val="en-US" w:eastAsia="zh-CN"/>
        </w:rPr>
        <w:t>乙方的</w:t>
      </w:r>
      <w:r>
        <w:rPr>
          <w:rFonts w:hint="eastAsia" w:ascii="宋体" w:hAnsi="宋体" w:eastAsia="宋体" w:cs="宋体"/>
          <w:color w:val="auto"/>
          <w:sz w:val="21"/>
          <w:szCs w:val="21"/>
          <w:highlight w:val="none"/>
        </w:rPr>
        <w:t>带班</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对作业人员进行安全交底。</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乙方使用被派遣劳动者的，应当将被派遣劳动者纳入本单位从业人员统一管理，对被派遣劳动者进行岗位安全操作规程和安全操作技能的教育和培训。</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乙方应制定与作业范围相适应的应急处置预案，并定期组织演练或者参加甲方组织的演练。</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乙方依法参加工伤保险，为从业人员缴纳保险费，并应当为从事危险作业的人员办理意外伤害保险。</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乙方应严格遵守国家、地方政府有关安全生产及劳动保护的法律法规、标准、规定，贯彻执行甲方的各项安全管理规章制度，严格按照生产场所操作规程制度。</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解除合同，并要求乙方清退出场。</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作业人员在甲方区域内</w:t>
      </w:r>
      <w:r>
        <w:rPr>
          <w:rFonts w:hint="eastAsia" w:ascii="宋体" w:hAnsi="宋体" w:eastAsia="宋体" w:cs="宋体"/>
          <w:color w:val="auto"/>
          <w:sz w:val="21"/>
          <w:szCs w:val="21"/>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w:t>
      </w:r>
      <w:r>
        <w:rPr>
          <w:rFonts w:hint="eastAsia" w:ascii="宋体" w:hAnsi="宋体" w:eastAsia="宋体" w:cs="宋体"/>
          <w:color w:val="auto"/>
          <w:sz w:val="21"/>
          <w:szCs w:val="21"/>
          <w:highlight w:val="none"/>
          <w:lang w:val="en-US" w:eastAsia="zh-CN"/>
        </w:rPr>
        <w:t>并要求乙方承担违约责任</w:t>
      </w:r>
      <w:r>
        <w:rPr>
          <w:rFonts w:hint="eastAsia" w:ascii="宋体" w:hAnsi="宋体" w:eastAsia="宋体" w:cs="宋体"/>
          <w:color w:val="auto"/>
          <w:sz w:val="21"/>
          <w:szCs w:val="21"/>
          <w:highlight w:val="none"/>
        </w:rPr>
        <w:t>。</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因乙方原因，造成乙方损失，由乙方自负，给甲方造成财产损失和人员伤害，乙方要负全部责任，并全额赔偿甲方。</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非因甲方原因，造成乙方损失的，甲方不承担任何责任，由乙方自行承担全部责任。</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乙方应严格遵守法律法规以及甲方的安全管理要求，并接受甲方的安全生产工作协调和监督，积极消除安全隐患。安全管理的基本要求包括但不限于以下条款：</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③严禁</w:t>
      </w:r>
      <w:r>
        <w:rPr>
          <w:rFonts w:hint="eastAsia" w:ascii="宋体" w:hAnsi="宋体" w:eastAsia="宋体" w:cs="宋体"/>
          <w:color w:val="auto"/>
          <w:sz w:val="21"/>
          <w:szCs w:val="21"/>
          <w:highlight w:val="none"/>
          <w:lang w:val="en-US"/>
        </w:rPr>
        <w:t>在厂内道路、消防通道内搭建临时建筑或堆放物资</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严禁</w:t>
      </w:r>
      <w:r>
        <w:rPr>
          <w:rFonts w:hint="eastAsia" w:ascii="宋体" w:hAnsi="宋体" w:eastAsia="宋体" w:cs="宋体"/>
          <w:color w:val="auto"/>
          <w:sz w:val="21"/>
          <w:szCs w:val="21"/>
          <w:highlight w:val="none"/>
        </w:rPr>
        <w:t>占用、堵塞、遮掩、挪用、损毁、破坏</w:t>
      </w:r>
      <w:r>
        <w:rPr>
          <w:rFonts w:hint="eastAsia" w:ascii="宋体" w:hAnsi="宋体" w:eastAsia="宋体" w:cs="宋体"/>
          <w:color w:val="auto"/>
          <w:sz w:val="21"/>
          <w:szCs w:val="21"/>
          <w:highlight w:val="none"/>
          <w:lang w:val="en-US" w:eastAsia="zh-CN"/>
        </w:rPr>
        <w:t>或因装修作业等工作或其他原因导致消防设施设备损坏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④作业场所的电动工具、电焊机等须有漏电保护器和相应的安全防护装置。</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⑤作业现场及居住室、办公室内的用电设施必须符合要求，严禁电线乱接、乱拉，刀闸和开关无盖，在电器设施上堆放物品。</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⑦作业现场的危险区域，如临边、深坑、土方堆填区等，必须设置围栏和危险标志，夜间要设信号灯。</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乙方必须接受甲方的检查与监督，并应主动配合，做好安全工作。乙方若有出现违反本协议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第三条，</w:t>
      </w:r>
      <w:r>
        <w:rPr>
          <w:rFonts w:hint="eastAsia" w:ascii="宋体" w:hAnsi="宋体" w:eastAsia="宋体" w:cs="宋体"/>
          <w:color w:val="auto"/>
          <w:sz w:val="21"/>
          <w:szCs w:val="21"/>
          <w:highlight w:val="none"/>
        </w:rPr>
        <w:t>协议实施条款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任一情形的，甲方有权要求乙方立即整改，且甲方有权视情况从工程结算款/服务价款中扣除（1000-2000）元/次作为违约金。</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若乙方有下列情形之一的或在整改后仍违反协议的，甲方有权单方解除合同，</w:t>
      </w:r>
      <w:r>
        <w:rPr>
          <w:rFonts w:hint="eastAsia" w:ascii="宋体" w:hAnsi="宋体" w:eastAsia="宋体" w:cs="宋体"/>
          <w:color w:val="auto"/>
          <w:sz w:val="21"/>
          <w:szCs w:val="21"/>
          <w:highlight w:val="none"/>
          <w:lang w:val="en-US" w:eastAsia="zh-CN"/>
        </w:rPr>
        <w:t>甲方有权要求</w:t>
      </w:r>
      <w:r>
        <w:rPr>
          <w:rFonts w:hint="eastAsia" w:ascii="宋体" w:hAnsi="宋体" w:eastAsia="宋体" w:cs="宋体"/>
          <w:color w:val="auto"/>
          <w:sz w:val="21"/>
          <w:szCs w:val="21"/>
          <w:highlight w:val="none"/>
        </w:rPr>
        <w:t>乙方向甲方支付</w:t>
      </w:r>
      <w:r>
        <w:rPr>
          <w:rFonts w:hint="eastAsia" w:ascii="宋体" w:hAnsi="宋体" w:eastAsia="宋体" w:cs="宋体"/>
          <w:color w:val="auto"/>
          <w:sz w:val="21"/>
          <w:szCs w:val="21"/>
          <w:highlight w:val="none"/>
          <w:lang w:val="en-US" w:eastAsia="zh-CN"/>
        </w:rPr>
        <w:t>本合同总金额的10%</w:t>
      </w:r>
      <w:r>
        <w:rPr>
          <w:rFonts w:hint="eastAsia" w:ascii="宋体" w:hAnsi="宋体" w:eastAsia="宋体" w:cs="宋体"/>
          <w:color w:val="auto"/>
          <w:sz w:val="21"/>
          <w:szCs w:val="21"/>
          <w:highlight w:val="none"/>
        </w:rPr>
        <w:t>作为违约金，同时甲方有权要求乙方承担第</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条的违约金。造成甲方损失的，乙方需另行赔偿：</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①乙方不能提供与项目相匹配的营业执照、施工资质、安全生产许可证、技术人员、特种作业人员、安全员和设备设施的；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②乙方未对作业人员进行岗位安全操作规程和安全操作技能的教育和培训的；没有向作业人员提供劳动防护用品的；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③乙方未对所属员工定期开展安全教育培训的；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④在开展涉及危险性较高的作业时，乙方未在作业前报甲方的；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⑤乙方违章作业或违章指挥作业的；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⑥乙方现场安全管理不到位或不服从甲方安全管理的；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⑦发生事故后，乙方未及时开展应急救援工作的；</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⑨未制定与作业范围相适应的应急处置预案；</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⑩乙方不履行协议义务或者未按协议约定履行义务的其他情况。</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乙方需</w:t>
      </w:r>
      <w:r>
        <w:rPr>
          <w:rFonts w:hint="eastAsia" w:ascii="宋体" w:hAnsi="宋体" w:eastAsia="宋体" w:cs="宋体"/>
          <w:color w:val="auto"/>
          <w:sz w:val="21"/>
          <w:szCs w:val="21"/>
          <w:highlight w:val="none"/>
        </w:rPr>
        <w:t>做好</w:t>
      </w:r>
      <w:r>
        <w:rPr>
          <w:rFonts w:hint="eastAsia" w:ascii="宋体" w:hAnsi="宋体" w:eastAsia="宋体" w:cs="宋体"/>
          <w:color w:val="auto"/>
          <w:sz w:val="21"/>
          <w:szCs w:val="21"/>
          <w:highlight w:val="none"/>
          <w:lang w:val="en-US" w:eastAsia="zh-CN"/>
        </w:rPr>
        <w:t>临水</w:t>
      </w:r>
      <w:r>
        <w:rPr>
          <w:rFonts w:hint="eastAsia" w:ascii="宋体" w:hAnsi="宋体" w:eastAsia="宋体" w:cs="宋体"/>
          <w:color w:val="auto"/>
          <w:sz w:val="21"/>
          <w:szCs w:val="21"/>
          <w:highlight w:val="none"/>
        </w:rPr>
        <w:t>作业安全保障工作，</w:t>
      </w:r>
      <w:r>
        <w:rPr>
          <w:rFonts w:hint="eastAsia" w:ascii="宋体" w:hAnsi="宋体" w:eastAsia="宋体" w:cs="宋体"/>
          <w:color w:val="auto"/>
          <w:sz w:val="21"/>
          <w:szCs w:val="21"/>
          <w:highlight w:val="none"/>
          <w:lang w:val="en-US" w:eastAsia="zh-CN"/>
        </w:rPr>
        <w:t>临水</w:t>
      </w:r>
      <w:r>
        <w:rPr>
          <w:rFonts w:hint="eastAsia" w:ascii="宋体" w:hAnsi="宋体" w:eastAsia="宋体" w:cs="宋体"/>
          <w:color w:val="auto"/>
          <w:sz w:val="21"/>
          <w:szCs w:val="21"/>
          <w:highlight w:val="none"/>
        </w:rPr>
        <w:t>作业的范围包括但不限于：构筑物水面垃圾的打捞（含粗格栅、细格栅、生化池、沉淀池/二沉池；生化池、二沉池、滤布滤池、出水明渠、硝化池、反硝化池等构筑物）的池内清洗等。具体要求如下：</w:t>
      </w:r>
    </w:p>
    <w:p>
      <w:pPr>
        <w:keepNext w:val="0"/>
        <w:keepLines w:val="0"/>
        <w:pageBreakBefore w:val="0"/>
        <w:widowControl w:val="0"/>
        <w:numPr>
          <w:ilvl w:val="0"/>
          <w:numId w:val="4"/>
        </w:num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乙方在实施</w:t>
      </w:r>
      <w:r>
        <w:rPr>
          <w:rFonts w:hint="eastAsia" w:ascii="宋体" w:hAnsi="宋体" w:eastAsia="宋体" w:cs="宋体"/>
          <w:color w:val="auto"/>
          <w:sz w:val="21"/>
          <w:szCs w:val="21"/>
          <w:highlight w:val="none"/>
          <w:lang w:val="en-US" w:eastAsia="zh-CN"/>
        </w:rPr>
        <w:t>临水</w:t>
      </w:r>
      <w:r>
        <w:rPr>
          <w:rFonts w:hint="eastAsia" w:ascii="宋体" w:hAnsi="宋体" w:eastAsia="宋体" w:cs="宋体"/>
          <w:color w:val="auto"/>
          <w:sz w:val="21"/>
          <w:szCs w:val="21"/>
          <w:highlight w:val="none"/>
        </w:rPr>
        <w:t>作业时，需设一名或以上监护人员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存在</w:t>
      </w:r>
      <w:r>
        <w:rPr>
          <w:rFonts w:hint="eastAsia" w:ascii="宋体" w:hAnsi="宋体" w:eastAsia="宋体" w:cs="宋体"/>
          <w:color w:val="auto"/>
          <w:sz w:val="21"/>
          <w:szCs w:val="21"/>
          <w:highlight w:val="none"/>
          <w:lang w:val="en-US" w:eastAsia="zh-CN"/>
        </w:rPr>
        <w:t>多种</w:t>
      </w:r>
      <w:r>
        <w:rPr>
          <w:rFonts w:hint="eastAsia" w:ascii="宋体" w:hAnsi="宋体" w:eastAsia="宋体" w:cs="宋体"/>
          <w:color w:val="auto"/>
          <w:sz w:val="21"/>
          <w:szCs w:val="21"/>
          <w:highlight w:val="none"/>
        </w:rPr>
        <w:t>危险作业</w:t>
      </w:r>
      <w:r>
        <w:rPr>
          <w:rFonts w:hint="eastAsia" w:ascii="宋体" w:hAnsi="宋体" w:eastAsia="宋体" w:cs="宋体"/>
          <w:color w:val="auto"/>
          <w:sz w:val="21"/>
          <w:szCs w:val="21"/>
          <w:highlight w:val="none"/>
          <w:lang w:val="en-US" w:eastAsia="zh-CN"/>
        </w:rPr>
        <w:t>情况下，</w:t>
      </w:r>
      <w:r>
        <w:rPr>
          <w:rFonts w:hint="eastAsia" w:ascii="宋体" w:hAnsi="宋体" w:eastAsia="宋体" w:cs="宋体"/>
          <w:color w:val="auto"/>
          <w:sz w:val="21"/>
          <w:szCs w:val="21"/>
          <w:highlight w:val="none"/>
        </w:rPr>
        <w:t>需严格落实2人或2人以上为一组协同作业</w:t>
      </w:r>
      <w:r>
        <w:rPr>
          <w:rFonts w:hint="eastAsia" w:ascii="宋体" w:hAnsi="宋体" w:eastAsia="宋体" w:cs="宋体"/>
          <w:color w:val="auto"/>
          <w:sz w:val="21"/>
          <w:szCs w:val="21"/>
          <w:highlight w:val="none"/>
          <w:lang w:val="en-US" w:eastAsia="zh-CN"/>
        </w:rPr>
        <w:t>或交替作业</w:t>
      </w:r>
      <w:r>
        <w:rPr>
          <w:rFonts w:hint="eastAsia" w:ascii="宋体" w:hAnsi="宋体" w:eastAsia="宋体" w:cs="宋体"/>
          <w:color w:val="auto"/>
          <w:sz w:val="21"/>
          <w:szCs w:val="21"/>
          <w:highlight w:val="none"/>
        </w:rPr>
        <w:t>，不能单独作业。</w:t>
      </w:r>
    </w:p>
    <w:p>
      <w:pPr>
        <w:keepNext w:val="0"/>
        <w:keepLines w:val="0"/>
        <w:pageBreakBefore w:val="0"/>
        <w:widowControl w:val="0"/>
        <w:numPr>
          <w:ilvl w:val="0"/>
          <w:numId w:val="4"/>
        </w:num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危险作业前，必须检查作业工具是否完好，做好交底工作。</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）危险作业时，必须做好安全防护措施（穿戴救生衣、安全绳（带）、水鞋、手套、不得穿拖鞋或凉鞋等），严格落实2人或2人以上为一组进行协同作业，不得单独作业。</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）如遇阴雨及大雾、雷暴雨、台风等恶劣天气，禁止危险作业。</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乙方对作业过程中潜在的安全风险不明确的，不可盲目作业，否则，造成的后果由乙方独自承担。</w:t>
      </w:r>
    </w:p>
    <w:p>
      <w:pPr>
        <w:keepNext w:val="0"/>
        <w:keepLines w:val="0"/>
        <w:pageBreakBefore w:val="0"/>
        <w:widowControl w:val="0"/>
        <w:numPr>
          <w:ilvl w:val="0"/>
          <w:numId w:val="2"/>
        </w:numPr>
        <w:kinsoku/>
        <w:wordWrap/>
        <w:overflowPunct/>
        <w:topLinePunct w:val="0"/>
        <w:bidi w:val="0"/>
        <w:spacing w:line="360" w:lineRule="auto"/>
        <w:ind w:firstLine="4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份，自双方</w:t>
      </w:r>
      <w:r>
        <w:rPr>
          <w:rFonts w:hint="eastAsia" w:ascii="宋体" w:hAnsi="宋体" w:eastAsia="宋体" w:cs="宋体"/>
          <w:color w:val="auto"/>
          <w:sz w:val="21"/>
          <w:szCs w:val="21"/>
          <w:highlight w:val="none"/>
          <w:lang w:val="en-US" w:eastAsia="zh-CN"/>
        </w:rPr>
        <w:t>盖章并经双方</w:t>
      </w:r>
      <w:r>
        <w:rPr>
          <w:rFonts w:hint="eastAsia" w:ascii="宋体" w:hAnsi="宋体" w:eastAsia="宋体" w:cs="宋体"/>
          <w:color w:val="auto"/>
          <w:sz w:val="21"/>
          <w:szCs w:val="21"/>
          <w:highlight w:val="none"/>
        </w:rPr>
        <w:t>法定代表人签字后生效。</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360" w:lineRule="auto"/>
        <w:ind w:firstLine="426" w:firstLineChars="20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pPr>
        <w:keepNext w:val="0"/>
        <w:keepLines w:val="0"/>
        <w:pageBreakBefore w:val="0"/>
        <w:widowControl w:val="0"/>
        <w:kinsoku/>
        <w:wordWrap/>
        <w:overflowPunct/>
        <w:topLinePunct w:val="0"/>
        <w:bidi w:val="0"/>
        <w:spacing w:line="360" w:lineRule="auto"/>
        <w:ind w:firstLine="426" w:firstLineChars="20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乙方已认真阅读协议内容，对协议条款、现场的安全管理要求、安全风险充分理解，并自愿承担因违约造成的一切后果。</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 xml:space="preserve">（盖章）：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甲方4</w:t>
      </w:r>
      <w:r>
        <w:rPr>
          <w:rFonts w:hint="eastAsia" w:ascii="宋体" w:hAnsi="宋体" w:eastAsia="宋体" w:cs="宋体"/>
          <w:color w:val="auto"/>
          <w:sz w:val="21"/>
          <w:szCs w:val="21"/>
          <w:highlight w:val="none"/>
        </w:rPr>
        <w:t xml:space="preserve">（盖章）：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 xml:space="preserve"> 乙方</w:t>
      </w:r>
      <w:r>
        <w:rPr>
          <w:rFonts w:hint="eastAsia" w:ascii="宋体" w:hAnsi="宋体" w:eastAsia="宋体" w:cs="宋体"/>
          <w:color w:val="auto"/>
          <w:sz w:val="21"/>
          <w:szCs w:val="21"/>
          <w:highlight w:val="none"/>
        </w:rPr>
        <w:t xml:space="preserve">（盖章）：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日期：</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签订地点：广东省东莞市</w:t>
      </w:r>
    </w:p>
    <w:p>
      <w:pPr>
        <w:pageBreakBefore/>
        <w:spacing w:before="120" w:beforeLines="50" w:after="120" w:afterLines="50" w:line="360" w:lineRule="auto"/>
        <w:jc w:val="center"/>
        <w:outlineLvl w:val="0"/>
        <w:rPr>
          <w:rFonts w:ascii="宋体" w:hAnsi="宋体" w:eastAsia="宋体" w:cs="Times New Roman"/>
          <w:b/>
          <w:bCs/>
          <w:color w:val="auto"/>
          <w:sz w:val="32"/>
          <w:szCs w:val="32"/>
          <w:highlight w:val="none"/>
          <w:lang w:val="zh-CN"/>
        </w:rPr>
      </w:pPr>
      <w:bookmarkStart w:id="352" w:name="_Toc849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52"/>
    </w:p>
    <w:p>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val="en-US" w:eastAsia="zh-CN"/>
        </w:rPr>
        <w:t>保函</w:t>
      </w:r>
      <w:r>
        <w:rPr>
          <w:rFonts w:ascii="宋体" w:hAnsi="宋体" w:eastAsia="宋体" w:cs="Times New Roman"/>
          <w:color w:val="auto"/>
          <w:kern w:val="0"/>
          <w:szCs w:val="21"/>
          <w:highlight w:val="none"/>
        </w:rPr>
        <w:t>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4" w:type="first"/>
          <w:footerReference r:id="rId5" w:type="first"/>
          <w:pgSz w:w="12240" w:h="15840"/>
          <w:pgMar w:top="1191" w:right="1043" w:bottom="1191" w:left="1043" w:header="720" w:footer="720" w:gutter="0"/>
          <w:pgNumType w:fmt="decimal"/>
          <w:cols w:space="720" w:num="1"/>
          <w:titlePg/>
          <w:docGrid w:linePitch="326" w:charSpace="0"/>
        </w:sectPr>
      </w:pPr>
    </w:p>
    <w:p>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widowControl/>
        <w:autoSpaceDE w:val="0"/>
        <w:autoSpaceDN w:val="0"/>
        <w:adjustRightInd w:val="0"/>
        <w:spacing w:line="360" w:lineRule="auto"/>
        <w:ind w:firstLine="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pPr>
        <w:numPr>
          <w:ilvl w:val="0"/>
          <w:numId w:val="0"/>
        </w:numPr>
        <w:outlineLvl w:val="9"/>
        <w:rPr>
          <w:rFonts w:hint="default" w:ascii="等线" w:hAnsi="等线" w:eastAsia="等线" w:cs="Times New Roman"/>
          <w:color w:val="auto"/>
          <w:szCs w:val="22"/>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widowControl/>
        <w:ind w:firstLine="3990" w:firstLineChars="1900"/>
        <w:jc w:val="left"/>
        <w:rPr>
          <w:rFonts w:hint="eastAsia" w:ascii="宋体" w:hAnsi="宋体" w:eastAsia="宋体" w:cs="宋体"/>
          <w:color w:val="auto"/>
          <w:szCs w:val="24"/>
          <w:highlight w:val="none"/>
          <w:lang w:val="zh-CN"/>
        </w:rPr>
      </w:pPr>
      <w:r>
        <w:rPr>
          <w:rFonts w:hint="eastAsia" w:ascii="宋体" w:hAnsi="宋体" w:eastAsia="宋体" w:cs="Times New Roman"/>
          <w:color w:val="auto"/>
          <w:kern w:val="0"/>
          <w:szCs w:val="21"/>
          <w:highlight w:val="none"/>
        </w:rPr>
        <w:t>日期：    年   月   日</w:t>
      </w:r>
    </w:p>
    <w:bookmarkEnd w:id="322"/>
    <w:bookmarkEnd w:id="323"/>
    <w:bookmarkEnd w:id="324"/>
    <w:bookmarkEnd w:id="325"/>
    <w:bookmarkEnd w:id="326"/>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53" w:name="_Toc142508361"/>
      <w:bookmarkStart w:id="354" w:name="_Toc486167708"/>
      <w:bookmarkStart w:id="355" w:name="_Toc450662895"/>
      <w:bookmarkStart w:id="356" w:name="_Toc1705"/>
      <w:bookmarkStart w:id="357" w:name="_Toc32761_WPSOffice_Level1"/>
      <w:bookmarkStart w:id="358" w:name="_Toc12794"/>
      <w:r>
        <w:rPr>
          <w:rFonts w:hint="eastAsia" w:ascii="宋体" w:hAnsi="宋体" w:eastAsia="宋体" w:cs="宋体"/>
          <w:b/>
          <w:bCs/>
          <w:color w:val="auto"/>
          <w:kern w:val="44"/>
          <w:sz w:val="32"/>
          <w:szCs w:val="32"/>
          <w:highlight w:val="none"/>
          <w:lang w:val="zh-CN"/>
        </w:rPr>
        <w:t>第六篇 投标文件格式</w:t>
      </w:r>
      <w:bookmarkEnd w:id="353"/>
      <w:bookmarkEnd w:id="354"/>
      <w:bookmarkEnd w:id="355"/>
      <w:bookmarkEnd w:id="356"/>
      <w:bookmarkEnd w:id="357"/>
      <w:bookmarkEnd w:id="358"/>
    </w:p>
    <w:p>
      <w:pPr>
        <w:pStyle w:val="21"/>
        <w:spacing w:line="360" w:lineRule="auto"/>
        <w:jc w:val="center"/>
        <w:rPr>
          <w:rFonts w:hint="eastAsia" w:ascii="宋体" w:hAnsi="宋体" w:eastAsia="宋体" w:cs="宋体"/>
          <w:b/>
          <w:color w:val="auto"/>
          <w:kern w:val="0"/>
          <w:sz w:val="32"/>
          <w:szCs w:val="32"/>
          <w:highlight w:val="none"/>
        </w:rPr>
      </w:pPr>
      <w:bookmarkStart w:id="359" w:name="_Toc533708121"/>
      <w:bookmarkStart w:id="360" w:name="_Toc142508362"/>
      <w:bookmarkStart w:id="361" w:name="_Toc94107202"/>
      <w:bookmarkStart w:id="362" w:name="_Toc140596921"/>
      <w:bookmarkStart w:id="363" w:name="_Toc102860067"/>
      <w:bookmarkStart w:id="364" w:name="_Toc21133_WPSOffice_Level2"/>
      <w:bookmarkStart w:id="365" w:name="_Toc486167709"/>
      <w:bookmarkStart w:id="366" w:name="_Toc1977721"/>
      <w:bookmarkStart w:id="367" w:name="_Toc102860411"/>
      <w:bookmarkStart w:id="368" w:name="_Toc104991868"/>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3"/>
        <w:tblW w:w="996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25"/>
        <w:gridCol w:w="2664"/>
        <w:gridCol w:w="1715"/>
        <w:gridCol w:w="42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25"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664"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15"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256"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2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664"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1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25" w:type="dxa"/>
            <w:vAlign w:val="center"/>
          </w:tcPr>
          <w:p>
            <w:pPr>
              <w:rPr>
                <w:rFonts w:hint="eastAsia" w:ascii="宋体" w:hAnsi="宋体" w:eastAsia="宋体" w:cs="宋体"/>
                <w:bCs/>
                <w:color w:val="auto"/>
                <w:szCs w:val="21"/>
                <w:highlight w:val="none"/>
              </w:rPr>
            </w:pPr>
          </w:p>
        </w:tc>
        <w:tc>
          <w:tcPr>
            <w:tcW w:w="2664" w:type="dxa"/>
            <w:vAlign w:val="center"/>
          </w:tcPr>
          <w:p>
            <w:pPr>
              <w:rPr>
                <w:rFonts w:hint="eastAsia" w:ascii="宋体" w:hAnsi="宋体" w:eastAsia="宋体" w:cs="宋体"/>
                <w:bCs/>
                <w:color w:val="auto"/>
                <w:szCs w:val="21"/>
                <w:highlight w:val="none"/>
              </w:rPr>
            </w:pPr>
          </w:p>
        </w:tc>
        <w:tc>
          <w:tcPr>
            <w:tcW w:w="1715" w:type="dxa"/>
            <w:vAlign w:val="center"/>
          </w:tcPr>
          <w:p>
            <w:pPr>
              <w:rPr>
                <w:rFonts w:hint="eastAsia" w:ascii="宋体" w:hAnsi="宋体" w:eastAsia="宋体" w:cs="宋体"/>
                <w:bCs/>
                <w:color w:val="auto"/>
                <w:szCs w:val="21"/>
                <w:highlight w:val="none"/>
              </w:rPr>
            </w:pPr>
          </w:p>
        </w:tc>
        <w:tc>
          <w:tcPr>
            <w:tcW w:w="4256"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2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664"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1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25"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664"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15"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3989"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15"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69" w:name="_Toc3923"/>
      <w:bookmarkStart w:id="370" w:name="_Toc14478"/>
      <w:bookmarkStart w:id="371" w:name="_Toc18706"/>
      <w:bookmarkStart w:id="372" w:name="_Toc13331"/>
      <w:bookmarkStart w:id="373" w:name="_Toc17985"/>
      <w:r>
        <w:rPr>
          <w:rFonts w:hint="eastAsia" w:ascii="宋体" w:hAnsi="宋体" w:eastAsia="宋体" w:cs="宋体"/>
          <w:b/>
          <w:color w:val="auto"/>
          <w:kern w:val="0"/>
          <w:sz w:val="32"/>
          <w:szCs w:val="32"/>
          <w:highlight w:val="none"/>
        </w:rPr>
        <w:t>一、投标函格式</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374" w:name="_Toc16695_WPSOffice_Level3"/>
      <w:r>
        <w:rPr>
          <w:rFonts w:hint="eastAsia" w:ascii="宋体" w:hAnsi="宋体" w:eastAsia="宋体" w:cs="宋体"/>
          <w:b/>
          <w:bCs/>
          <w:color w:val="auto"/>
          <w:sz w:val="30"/>
          <w:szCs w:val="30"/>
          <w:highlight w:val="none"/>
          <w:lang w:val="zh-CN"/>
        </w:rPr>
        <w:t>投 标 函</w:t>
      </w:r>
      <w:bookmarkEnd w:id="374"/>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东莞市水务环境投资控股集团净水有限公司2026年-2027年生产药剂液体次氯酸钠采购项目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GXTZ-ZB-2026第（76）号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GXTZ-ZB-2026第（76）号</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销</w:t>
      </w:r>
      <w:r>
        <w:rPr>
          <w:rFonts w:hint="eastAsia" w:ascii="宋体" w:hAnsi="宋体" w:eastAsia="宋体" w:cs="宋体"/>
          <w:color w:val="auto"/>
          <w:szCs w:val="21"/>
          <w:highlight w:val="none"/>
          <w:lang w:val="zh-CN"/>
        </w:rPr>
        <w:t>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75" w:name="_Toc1977722"/>
      <w:bookmarkStart w:id="376" w:name="_Toc533708122"/>
      <w:bookmarkStart w:id="377" w:name="_Toc28613_WPSOffice_Level2"/>
      <w:bookmarkStart w:id="378" w:name="_Toc26795"/>
      <w:bookmarkStart w:id="379" w:name="_Toc486167710"/>
      <w:bookmarkStart w:id="380" w:name="_Toc14886"/>
      <w:bookmarkStart w:id="381" w:name="_Toc102860412"/>
      <w:bookmarkStart w:id="382" w:name="_Toc102860068"/>
      <w:bookmarkStart w:id="383" w:name="_Toc94107203"/>
      <w:bookmarkStart w:id="384" w:name="_Toc7885"/>
      <w:bookmarkStart w:id="385" w:name="_Toc8696"/>
      <w:bookmarkStart w:id="386" w:name="_Toc140596922"/>
      <w:bookmarkStart w:id="387" w:name="_Toc3162"/>
      <w:bookmarkStart w:id="388" w:name="_Toc142508363"/>
      <w:bookmarkStart w:id="389" w:name="_Toc104991869"/>
      <w:r>
        <w:rPr>
          <w:rFonts w:hint="eastAsia" w:ascii="宋体" w:hAnsi="宋体" w:eastAsia="宋体" w:cs="宋体"/>
          <w:b/>
          <w:color w:val="auto"/>
          <w:kern w:val="0"/>
          <w:sz w:val="32"/>
          <w:szCs w:val="32"/>
          <w:highlight w:val="none"/>
        </w:rPr>
        <w:t>二、投标承诺书格式</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东莞市水务环境投资控股集团净水有限公司2026年-2027年生产药剂液体次氯酸钠采购项目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GXTZ-ZB-2026第（76）号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390" w:name="_Toc326768876"/>
      <w:bookmarkStart w:id="391" w:name="_Toc316896755"/>
      <w:bookmarkStart w:id="392" w:name="_Toc311032584"/>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93" w:name="_Toc140596923"/>
      <w:bookmarkStart w:id="394" w:name="_Toc142508364"/>
      <w:bookmarkStart w:id="395" w:name="_Toc82182546"/>
      <w:bookmarkStart w:id="396" w:name="_Toc9778"/>
      <w:bookmarkStart w:id="397" w:name="_Toc102860069"/>
      <w:bookmarkStart w:id="398" w:name="_Toc21532"/>
      <w:bookmarkStart w:id="399" w:name="_Toc102860413"/>
      <w:bookmarkStart w:id="400" w:name="_Toc11934"/>
      <w:bookmarkStart w:id="401" w:name="_Toc86764083"/>
      <w:bookmarkStart w:id="402" w:name="_Toc104991870"/>
      <w:bookmarkStart w:id="403" w:name="_Toc32350"/>
      <w:bookmarkStart w:id="404" w:name="_Toc12590"/>
      <w:bookmarkStart w:id="405" w:name="_Toc94107204"/>
      <w:bookmarkStart w:id="406" w:name="_Toc1977723"/>
      <w:bookmarkStart w:id="407" w:name="_Toc486167711"/>
      <w:bookmarkStart w:id="408" w:name="_Toc7024_WPSOffice_Level2"/>
      <w:bookmarkStart w:id="409" w:name="_Toc533708123"/>
      <w:r>
        <w:rPr>
          <w:rFonts w:hint="eastAsia" w:ascii="宋体" w:hAnsi="宋体" w:eastAsia="宋体" w:cs="宋体"/>
          <w:b/>
          <w:color w:val="auto"/>
          <w:kern w:val="44"/>
          <w:sz w:val="32"/>
          <w:szCs w:val="32"/>
          <w:highlight w:val="none"/>
        </w:rPr>
        <w:t>三、供货及/或提供服务过程承诺函格式</w:t>
      </w:r>
      <w:bookmarkEnd w:id="393"/>
      <w:bookmarkEnd w:id="394"/>
      <w:bookmarkEnd w:id="395"/>
      <w:bookmarkEnd w:id="396"/>
      <w:bookmarkEnd w:id="397"/>
      <w:bookmarkEnd w:id="398"/>
      <w:bookmarkEnd w:id="399"/>
      <w:bookmarkEnd w:id="400"/>
      <w:bookmarkEnd w:id="401"/>
      <w:bookmarkEnd w:id="402"/>
      <w:bookmarkEnd w:id="403"/>
      <w:bookmarkEnd w:id="404"/>
      <w:bookmarkEnd w:id="405"/>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东莞市水务环境投资控股集团净水有限公司2026年-2027年生产药剂液体次氯酸钠采购项目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GXTZ-ZB-2026第（76）号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10" w:name="_Toc102860414"/>
      <w:bookmarkStart w:id="411" w:name="_Toc102860070"/>
      <w:bookmarkStart w:id="412" w:name="_Toc140596924"/>
      <w:bookmarkStart w:id="413" w:name="_Toc94107205"/>
      <w:bookmarkStart w:id="414" w:name="_Toc82182547"/>
      <w:bookmarkStart w:id="415" w:name="_Toc142508365"/>
      <w:bookmarkStart w:id="416" w:name="_Toc104991871"/>
      <w:bookmarkStart w:id="417" w:name="_Toc86764084"/>
      <w:bookmarkStart w:id="418" w:name="_Toc1541"/>
      <w:bookmarkStart w:id="419" w:name="_Toc3121"/>
      <w:bookmarkStart w:id="420" w:name="_Toc27181"/>
      <w:bookmarkStart w:id="421" w:name="_Toc3993"/>
      <w:bookmarkStart w:id="422" w:name="_Toc6287"/>
      <w:r>
        <w:rPr>
          <w:rFonts w:hint="eastAsia" w:ascii="宋体" w:hAnsi="宋体" w:eastAsia="宋体" w:cs="宋体"/>
          <w:b/>
          <w:color w:val="auto"/>
          <w:kern w:val="44"/>
          <w:sz w:val="32"/>
          <w:szCs w:val="32"/>
          <w:highlight w:val="none"/>
        </w:rPr>
        <w:t>四</w:t>
      </w:r>
      <w:bookmarkEnd w:id="410"/>
      <w:bookmarkEnd w:id="411"/>
      <w:bookmarkEnd w:id="412"/>
      <w:bookmarkEnd w:id="413"/>
      <w:bookmarkEnd w:id="414"/>
      <w:bookmarkEnd w:id="415"/>
      <w:bookmarkEnd w:id="416"/>
      <w:bookmarkEnd w:id="417"/>
      <w:bookmarkStart w:id="423" w:name="_Toc102860071"/>
      <w:bookmarkStart w:id="424" w:name="_Toc140596925"/>
      <w:bookmarkStart w:id="425" w:name="_Toc104991872"/>
      <w:bookmarkStart w:id="426" w:name="_Toc94107206"/>
      <w:bookmarkStart w:id="427" w:name="_Toc102860415"/>
      <w:bookmarkStart w:id="428" w:name="_Toc142508366"/>
      <w:r>
        <w:rPr>
          <w:rFonts w:hint="eastAsia" w:ascii="宋体" w:hAnsi="宋体" w:eastAsia="宋体" w:cs="宋体"/>
          <w:b/>
          <w:color w:val="auto"/>
          <w:kern w:val="0"/>
          <w:sz w:val="32"/>
          <w:szCs w:val="32"/>
          <w:highlight w:val="none"/>
        </w:rPr>
        <w:t>、投标报价表格式</w:t>
      </w:r>
      <w:bookmarkEnd w:id="406"/>
      <w:bookmarkEnd w:id="407"/>
      <w:bookmarkEnd w:id="408"/>
      <w:bookmarkEnd w:id="409"/>
      <w:bookmarkEnd w:id="418"/>
      <w:bookmarkEnd w:id="419"/>
      <w:bookmarkEnd w:id="420"/>
      <w:bookmarkEnd w:id="421"/>
      <w:bookmarkEnd w:id="422"/>
      <w:bookmarkEnd w:id="423"/>
      <w:bookmarkEnd w:id="424"/>
      <w:bookmarkEnd w:id="425"/>
      <w:bookmarkEnd w:id="426"/>
      <w:bookmarkEnd w:id="427"/>
      <w:bookmarkEnd w:id="428"/>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29" w:name="_Toc94107207"/>
      <w:bookmarkStart w:id="430" w:name="_Toc2395_WPSOffice_Level3"/>
      <w:bookmarkStart w:id="431" w:name="_Toc140596926"/>
      <w:bookmarkStart w:id="432" w:name="_Toc17326"/>
      <w:bookmarkStart w:id="433" w:name="_Toc102860072"/>
      <w:bookmarkStart w:id="434" w:name="_Toc102860416"/>
      <w:bookmarkStart w:id="435" w:name="_Toc142508367"/>
      <w:bookmarkStart w:id="436" w:name="_Toc3666"/>
      <w:bookmarkStart w:id="437" w:name="_Toc1105"/>
      <w:bookmarkStart w:id="438" w:name="_Toc18589"/>
      <w:bookmarkStart w:id="439" w:name="_Toc104991873"/>
      <w:bookmarkStart w:id="440" w:name="_Toc29899"/>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29"/>
      <w:bookmarkEnd w:id="430"/>
      <w:bookmarkEnd w:id="431"/>
      <w:bookmarkEnd w:id="432"/>
      <w:bookmarkEnd w:id="433"/>
      <w:bookmarkEnd w:id="434"/>
      <w:bookmarkEnd w:id="435"/>
      <w:bookmarkEnd w:id="436"/>
      <w:bookmarkEnd w:id="437"/>
      <w:bookmarkEnd w:id="438"/>
      <w:bookmarkEnd w:id="439"/>
      <w:bookmarkEnd w:id="440"/>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东莞市水务环境投资控股集团净水有限公司2026年-2027年生产药剂液体次氯酸钠采购项目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GXTZ-ZB-2026第（76）号</w:t>
      </w:r>
    </w:p>
    <w:tbl>
      <w:tblPr>
        <w:tblStyle w:val="43"/>
        <w:tblW w:w="9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02"/>
        <w:gridCol w:w="888"/>
        <w:gridCol w:w="1084"/>
        <w:gridCol w:w="807"/>
        <w:gridCol w:w="1307"/>
        <w:gridCol w:w="2159"/>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868"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888"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2159"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29" w:hRule="atLeast"/>
          <w:jc w:val="center"/>
        </w:trPr>
        <w:tc>
          <w:tcPr>
            <w:tcW w:w="1502"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eastAsia="zh-CN"/>
              </w:rPr>
            </w:pPr>
            <w:r>
              <w:rPr>
                <w:rFonts w:hint="eastAsia" w:hAnsi="宋体" w:cs="宋体"/>
                <w:color w:val="auto"/>
                <w:szCs w:val="21"/>
                <w:highlight w:val="none"/>
              </w:rPr>
              <w:t>液体</w:t>
            </w:r>
            <w:r>
              <w:rPr>
                <w:rFonts w:hint="eastAsia" w:ascii="宋体" w:hAnsi="宋体" w:eastAsia="宋体" w:cs="宋体"/>
                <w:color w:val="auto"/>
                <w:kern w:val="0"/>
                <w:szCs w:val="21"/>
                <w:highlight w:val="none"/>
                <w:u w:val="single"/>
                <w:lang w:eastAsia="zh-CN"/>
              </w:rPr>
              <w:t>次氯酸钠</w:t>
            </w:r>
          </w:p>
        </w:tc>
        <w:tc>
          <w:tcPr>
            <w:tcW w:w="888" w:type="dxa"/>
            <w:tcBorders>
              <w:top w:val="single" w:color="auto" w:sz="4" w:space="0"/>
              <w:left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1084" w:type="dxa"/>
            <w:tcBorders>
              <w:top w:val="single" w:color="auto" w:sz="4" w:space="0"/>
              <w:left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807" w:type="dxa"/>
            <w:tcBorders>
              <w:top w:val="single" w:color="auto" w:sz="4" w:space="0"/>
              <w:left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default" w:ascii="宋体" w:hAnsi="宋体" w:eastAsia="宋体" w:cs="宋体"/>
                <w:color w:val="auto"/>
                <w:sz w:val="21"/>
                <w:szCs w:val="21"/>
                <w:highlight w:val="none"/>
                <w:lang w:val="en-US" w:eastAsia="zh-CN"/>
              </w:rPr>
              <w:t>9978.678</w:t>
            </w:r>
          </w:p>
        </w:tc>
        <w:tc>
          <w:tcPr>
            <w:tcW w:w="2159" w:type="dxa"/>
            <w:tcBorders>
              <w:top w:val="single" w:color="auto" w:sz="4" w:space="0"/>
              <w:left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w:t>
      </w:r>
      <w:r>
        <w:rPr>
          <w:rFonts w:hint="eastAsia" w:ascii="宋体" w:hAnsi="宋体" w:eastAsia="宋体" w:cs="Times New Roman"/>
          <w:b/>
          <w:color w:val="auto"/>
          <w:kern w:val="0"/>
          <w:szCs w:val="21"/>
          <w:highlight w:val="none"/>
          <w:u w:val="single"/>
          <w:lang w:eastAsia="zh-CN"/>
        </w:rPr>
        <w:t>《中华人民共和国增值税法》及其实施条例</w:t>
      </w:r>
      <w:r>
        <w:rPr>
          <w:rFonts w:hint="eastAsia" w:ascii="宋体" w:hAnsi="宋体" w:eastAsia="宋体" w:cs="Times New Roman"/>
          <w:b/>
          <w:color w:val="auto"/>
          <w:kern w:val="0"/>
          <w:szCs w:val="21"/>
          <w:highlight w:val="none"/>
          <w:u w:val="single"/>
        </w:rPr>
        <w:t>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本表的投标报价为不含税综合单价乘以暂定</w:t>
      </w:r>
      <w:r>
        <w:rPr>
          <w:rFonts w:hint="eastAsia" w:ascii="宋体" w:hAnsi="宋体" w:eastAsia="宋体" w:cs="宋体"/>
          <w:b/>
          <w:color w:val="auto"/>
          <w:sz w:val="21"/>
          <w:szCs w:val="21"/>
          <w:highlight w:val="none"/>
          <w:u w:val="single"/>
          <w:lang w:val="en-US" w:eastAsia="zh-CN"/>
        </w:rPr>
        <w:t>采购</w:t>
      </w:r>
      <w:r>
        <w:rPr>
          <w:rFonts w:hint="eastAsia" w:ascii="宋体" w:hAnsi="宋体" w:eastAsia="宋体" w:cs="宋体"/>
          <w:b/>
          <w:color w:val="auto"/>
          <w:sz w:val="21"/>
          <w:szCs w:val="21"/>
          <w:highlight w:val="none"/>
          <w:u w:val="single"/>
        </w:rPr>
        <w:t>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w:t>
      </w:r>
      <w:r>
        <w:rPr>
          <w:rFonts w:hint="eastAsia" w:ascii="宋体" w:hAnsi="宋体" w:eastAsia="宋体" w:cs="Times New Roman"/>
          <w:color w:val="auto"/>
          <w:kern w:val="0"/>
          <w:szCs w:val="21"/>
          <w:highlight w:val="none"/>
        </w:rPr>
        <w:t>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上述暂定采购数量仅为方便合计投标报价使用，不作为招标人最终购买数量的保证，我方承诺不因实际采购数量的减少或增加而要求招标人提供任何形式的补偿或赔偿。</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2"/>
          <w:highlight w:val="none"/>
          <w:lang w:val="zh-CN"/>
        </w:rPr>
        <w:t>综合单价、投标报价(总价)</w:t>
      </w:r>
      <w:r>
        <w:rPr>
          <w:rFonts w:hint="eastAsia" w:ascii="宋体" w:hAnsi="宋体" w:eastAsia="宋体" w:cs="宋体"/>
          <w:color w:val="auto"/>
          <w:kern w:val="2"/>
          <w:highlight w:val="none"/>
          <w:lang w:val="en-US" w:eastAsia="zh-CN"/>
        </w:rPr>
        <w:t>最多</w:t>
      </w:r>
      <w:r>
        <w:rPr>
          <w:rFonts w:hint="eastAsia" w:ascii="宋体" w:hAnsi="宋体" w:eastAsia="宋体" w:cs="宋体"/>
          <w:color w:val="auto"/>
          <w:kern w:val="2"/>
          <w:highlight w:val="none"/>
          <w:lang w:val="zh-CN"/>
        </w:rPr>
        <w:t>保留小数点后两位</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41" w:name="_Toc18828"/>
      <w:bookmarkStart w:id="442" w:name="_Toc24015"/>
      <w:bookmarkStart w:id="443" w:name="_Toc140596928"/>
      <w:bookmarkStart w:id="444" w:name="_Toc104991875"/>
      <w:bookmarkStart w:id="445" w:name="_Toc102860418"/>
      <w:bookmarkStart w:id="446" w:name="_Toc1977725"/>
      <w:bookmarkStart w:id="447" w:name="_Toc953"/>
      <w:bookmarkStart w:id="448" w:name="_Toc17536"/>
      <w:bookmarkStart w:id="449" w:name="_Toc102860074"/>
      <w:bookmarkStart w:id="450" w:name="_Toc142508369"/>
      <w:bookmarkStart w:id="451" w:name="_Toc12691"/>
      <w:bookmarkStart w:id="452" w:name="_Toc94107209"/>
      <w:bookmarkStart w:id="453" w:name="_Toc486167712"/>
      <w:bookmarkStart w:id="454" w:name="_Toc533708124"/>
      <w:bookmarkStart w:id="455"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41"/>
      <w:bookmarkEnd w:id="442"/>
      <w:bookmarkEnd w:id="443"/>
      <w:bookmarkEnd w:id="444"/>
      <w:bookmarkEnd w:id="445"/>
      <w:bookmarkEnd w:id="446"/>
      <w:bookmarkEnd w:id="447"/>
      <w:bookmarkEnd w:id="448"/>
      <w:bookmarkEnd w:id="449"/>
      <w:bookmarkEnd w:id="450"/>
      <w:bookmarkEnd w:id="451"/>
      <w:bookmarkEnd w:id="452"/>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56" w:name="_Toc16117"/>
      <w:bookmarkStart w:id="457" w:name="_Toc31420"/>
      <w:bookmarkStart w:id="458" w:name="_Toc142508370"/>
      <w:bookmarkStart w:id="459" w:name="_Toc14753"/>
      <w:bookmarkStart w:id="460" w:name="_Toc28382"/>
      <w:bookmarkStart w:id="461" w:name="_Toc140596929"/>
      <w:bookmarkStart w:id="462" w:name="_Toc102860419"/>
      <w:bookmarkStart w:id="463" w:name="_Toc104991876"/>
      <w:bookmarkStart w:id="464" w:name="_Toc102860075"/>
      <w:bookmarkStart w:id="465" w:name="_Toc94107210"/>
      <w:bookmarkStart w:id="466" w:name="_Toc7248"/>
      <w:bookmarkStart w:id="46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56"/>
      <w:bookmarkEnd w:id="457"/>
      <w:bookmarkEnd w:id="458"/>
      <w:bookmarkEnd w:id="459"/>
      <w:bookmarkEnd w:id="460"/>
      <w:bookmarkEnd w:id="461"/>
      <w:bookmarkEnd w:id="462"/>
      <w:bookmarkEnd w:id="463"/>
      <w:bookmarkEnd w:id="464"/>
      <w:bookmarkEnd w:id="465"/>
      <w:bookmarkEnd w:id="466"/>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headerReference r:id="rId6" w:type="first"/>
          <w:footerReference r:id="rId7" w:type="first"/>
          <w:pgSz w:w="11906" w:h="16838"/>
          <w:pgMar w:top="1440" w:right="1080" w:bottom="1440" w:left="1080" w:header="720" w:footer="720" w:gutter="0"/>
          <w:pgNumType w:fmt="decimal"/>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68" w:name="_Toc140596930"/>
      <w:bookmarkStart w:id="469" w:name="_Toc9489"/>
      <w:bookmarkStart w:id="470" w:name="_Toc21679"/>
      <w:bookmarkStart w:id="471" w:name="_Toc10828"/>
      <w:bookmarkStart w:id="472" w:name="_Toc104991877"/>
      <w:bookmarkStart w:id="473" w:name="_Toc142508371"/>
      <w:bookmarkStart w:id="474" w:name="_Toc94107211"/>
      <w:bookmarkStart w:id="475" w:name="_Toc102860076"/>
      <w:bookmarkStart w:id="476" w:name="_Toc102860420"/>
      <w:bookmarkStart w:id="477" w:name="_Toc26345"/>
      <w:bookmarkStart w:id="478" w:name="_Toc1020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68"/>
      <w:bookmarkEnd w:id="469"/>
      <w:bookmarkEnd w:id="470"/>
      <w:bookmarkEnd w:id="471"/>
      <w:bookmarkEnd w:id="472"/>
      <w:bookmarkEnd w:id="473"/>
      <w:bookmarkEnd w:id="474"/>
      <w:bookmarkEnd w:id="475"/>
      <w:bookmarkEnd w:id="476"/>
      <w:bookmarkEnd w:id="477"/>
      <w:bookmarkEnd w:id="478"/>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79" w:name="_Toc94107212"/>
      <w:bookmarkStart w:id="480" w:name="_Toc104991878"/>
      <w:bookmarkStart w:id="481" w:name="_Toc644"/>
      <w:bookmarkStart w:id="482" w:name="_Toc14137"/>
      <w:bookmarkStart w:id="483" w:name="_Toc102860077"/>
      <w:bookmarkStart w:id="484" w:name="_Toc102860421"/>
      <w:bookmarkStart w:id="485" w:name="_Toc142508372"/>
      <w:bookmarkStart w:id="486" w:name="_Toc21657"/>
      <w:bookmarkStart w:id="487" w:name="_Toc140596931"/>
      <w:bookmarkStart w:id="488" w:name="_Toc29359"/>
      <w:bookmarkStart w:id="489" w:name="_Toc242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79"/>
      <w:bookmarkEnd w:id="480"/>
      <w:bookmarkEnd w:id="481"/>
      <w:bookmarkEnd w:id="482"/>
      <w:bookmarkEnd w:id="483"/>
      <w:bookmarkEnd w:id="484"/>
      <w:bookmarkEnd w:id="485"/>
      <w:bookmarkEnd w:id="486"/>
      <w:bookmarkEnd w:id="487"/>
      <w:bookmarkEnd w:id="488"/>
      <w:bookmarkEnd w:id="489"/>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53"/>
      <w:bookmarkEnd w:id="454"/>
      <w:bookmarkEnd w:id="455"/>
      <w:bookmarkEnd w:id="467"/>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490" w:name="_Toc11033_WPSOffice_Level3"/>
      <w:r>
        <w:rPr>
          <w:rFonts w:hint="eastAsia" w:ascii="宋体" w:hAnsi="宋体" w:eastAsia="宋体" w:cs="宋体"/>
          <w:b/>
          <w:color w:val="auto"/>
          <w:sz w:val="30"/>
          <w:szCs w:val="30"/>
          <w:highlight w:val="none"/>
        </w:rPr>
        <w:t>法定代</w:t>
      </w:r>
      <w:bookmarkStart w:id="491" w:name="_Toc36971359"/>
      <w:bookmarkStart w:id="492" w:name="_Toc45995270"/>
      <w:r>
        <w:rPr>
          <w:rFonts w:hint="eastAsia" w:ascii="宋体" w:hAnsi="宋体" w:eastAsia="宋体" w:cs="宋体"/>
          <w:b/>
          <w:color w:val="auto"/>
          <w:sz w:val="30"/>
          <w:szCs w:val="30"/>
          <w:highlight w:val="none"/>
        </w:rPr>
        <w:t>表人身份证明书</w:t>
      </w:r>
      <w:bookmarkEnd w:id="490"/>
    </w:p>
    <w:bookmarkEnd w:id="491"/>
    <w:bookmarkEnd w:id="492"/>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0XSaOyQCAAA6BAAADgAAAAAAAAABACAAAAAnAQAAZHJzL2Uyb0RvYy54bWxQSwUGAAAAAAYA&#10;BgBZAQAAvQ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233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Fk0dkAAAAKAQAADwAAAAAAAAABACAAAAAiAAAAZHJzL2Rvd25yZXYueG1sUEsBAhQAFAAAAAgA&#10;h07iQCYiJY4kAgAAOgQAAA4AAAAAAAAAAQAgAAAAKA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ft+ViyQCAAA6BAAADgAAAAAAAAABACAAAAAnAQAAZHJzL2Uyb0RvYy54bWxQSwUGAAAAAAYA&#10;BgBZAQAAvQU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90"/>
      <w:bookmarkEnd w:id="391"/>
      <w:bookmarkEnd w:id="392"/>
      <w:bookmarkStart w:id="493" w:name="_Toc1977727"/>
      <w:bookmarkStart w:id="494" w:name="_Toc533708125"/>
      <w:bookmarkStart w:id="495" w:name="_Toc6240_WPSOffice_Level2"/>
      <w:bookmarkStart w:id="496" w:name="_Toc486167713"/>
      <w:r>
        <w:rPr>
          <w:rFonts w:hint="eastAsia" w:ascii="宋体" w:hAnsi="宋体" w:eastAsia="宋体" w:cs="宋体"/>
          <w:b/>
          <w:color w:val="auto"/>
          <w:szCs w:val="24"/>
          <w:highlight w:val="none"/>
        </w:rPr>
        <w:t>（2）法定代表人授权书格式</w:t>
      </w:r>
      <w:bookmarkEnd w:id="493"/>
      <w:bookmarkEnd w:id="494"/>
      <w:bookmarkEnd w:id="495"/>
      <w:bookmarkEnd w:id="496"/>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97" w:name="_Toc29146_WPSOffice_Level3"/>
      <w:r>
        <w:rPr>
          <w:rFonts w:hint="eastAsia" w:ascii="宋体" w:hAnsi="宋体" w:eastAsia="宋体" w:cs="宋体"/>
          <w:b/>
          <w:bCs/>
          <w:color w:val="auto"/>
          <w:sz w:val="30"/>
          <w:szCs w:val="30"/>
          <w:highlight w:val="none"/>
          <w:lang w:val="zh-CN"/>
        </w:rPr>
        <w:t>法定代表人授权书</w:t>
      </w:r>
      <w:bookmarkEnd w:id="497"/>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东莞市水务环境投资控股集团净水有限公司2026年-2027年生产药剂液体次氯酸钠采购项目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GXTZ-ZB-2026第（76）号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643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hE&#10;D3nZAAAACgEAAA8AAAAAAAAAAQAgAAAAIgAAAGRycy9kb3ducmV2LnhtbFBLAQIUABQAAAAIAIdO&#10;4kAnDRSjIgIAADoEAAAOAAAAAAAAAAEAIAAAACgBAABkcnMvZTJvRG9jLnhtbFBLBQYAAAAABgAG&#10;AFkBAAC8BQ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438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7&#10;5djYAAAACQEAAA8AAAAAAAAAAQAgAAAAIgAAAGRycy9kb3ducmV2LnhtbFBLAQIUABQAAAAIAIdO&#10;4kBgocodIwIAADoEAAAOAAAAAAAAAAEAIAAAACcBAABkcnMvZTJvRG9jLnhtbFBLBQYAAAAABgAG&#10;AFkBAAC8BQ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745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2B8iPZAAAACgEAAA8AAAAAAAAAAQAgAAAAIgAAAGRycy9kb3ducmV2LnhtbFBLAQIUABQAAAAI&#10;AIdO4kATZE6eJQIAADoEAAAOAAAAAAAAAAEAIAAAACgBAABkcnMvZTJvRG9jLnhtbFBLBQYAAAAA&#10;BgAGAFkBAA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540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xUQJ9gAAAAJAQAADwAAAAAAAAABACAAAAAiAAAAZHJzL2Rvd25yZXYueG1sUEsBAhQAFAAA&#10;AAgAh07iQEuZ/psoAgAAOgQAAA4AAAAAAAAAAQAgAAAAJwEAAGRycy9lMm9Eb2MueG1sUEsFBgAA&#10;AAAGAAYAWQEAAME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pgSz w:w="11906" w:h="16838"/>
          <w:pgMar w:top="1440" w:right="1080" w:bottom="1440" w:left="1080"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ageBreakBefore/>
        <w:widowControl w:val="0"/>
        <w:autoSpaceDE w:val="0"/>
        <w:autoSpaceDN w:val="0"/>
        <w:adjustRightInd w:val="0"/>
        <w:spacing w:line="360" w:lineRule="auto"/>
        <w:jc w:val="left"/>
        <w:outlineLvl w:val="2"/>
        <w:rPr>
          <w:rFonts w:hint="eastAsia" w:ascii="宋体" w:hAnsi="宋体" w:eastAsia="宋体" w:cs="宋体"/>
          <w:b/>
          <w:bCs/>
          <w:color w:val="auto"/>
          <w:kern w:val="2"/>
          <w:sz w:val="32"/>
          <w:szCs w:val="32"/>
          <w:highlight w:val="none"/>
          <w:lang w:val="zh-CN" w:eastAsia="zh-CN" w:bidi="ar-SA"/>
        </w:rPr>
      </w:pPr>
      <w:bookmarkStart w:id="498" w:name="_Toc4110"/>
      <w:bookmarkStart w:id="499" w:name="_Toc14862"/>
      <w:bookmarkStart w:id="500" w:name="_Toc27566"/>
      <w:bookmarkStart w:id="501" w:name="_Toc22381"/>
      <w:bookmarkStart w:id="502" w:name="_Toc7443"/>
      <w:bookmarkStart w:id="503" w:name="_Toc30070"/>
      <w:bookmarkStart w:id="504" w:name="_Toc8338"/>
      <w:bookmarkStart w:id="505" w:name="_Toc94107214"/>
      <w:bookmarkStart w:id="506" w:name="_Toc1977730"/>
      <w:bookmarkStart w:id="507" w:name="_Toc140596933"/>
      <w:bookmarkStart w:id="508" w:name="_Toc104991880"/>
      <w:bookmarkStart w:id="509" w:name="_Toc142508373"/>
      <w:r>
        <w:rPr>
          <w:rFonts w:hint="eastAsia" w:ascii="宋体" w:hAnsi="宋体" w:eastAsia="宋体" w:cs="宋体"/>
          <w:b/>
          <w:color w:val="auto"/>
          <w:kern w:val="0"/>
          <w:sz w:val="30"/>
          <w:szCs w:val="30"/>
          <w:highlight w:val="none"/>
          <w:lang w:val="en-US" w:eastAsia="zh-CN" w:bidi="ar-SA"/>
        </w:rPr>
        <w:t>5.4</w:t>
      </w:r>
      <w:r>
        <w:rPr>
          <w:rFonts w:ascii="宋体" w:hAnsi="宋体" w:eastAsia="宋体" w:cs="宋体"/>
          <w:b/>
          <w:color w:val="auto"/>
          <w:kern w:val="0"/>
          <w:sz w:val="30"/>
          <w:szCs w:val="30"/>
          <w:highlight w:val="none"/>
          <w:lang w:val="en-US" w:eastAsia="zh-CN" w:bidi="ar-SA"/>
        </w:rPr>
        <w:t xml:space="preserve"> </w:t>
      </w:r>
      <w:r>
        <w:rPr>
          <w:rFonts w:hint="eastAsia" w:ascii="宋体" w:hAnsi="宋体" w:eastAsia="宋体" w:cs="宋体"/>
          <w:b/>
          <w:bCs/>
          <w:color w:val="auto"/>
          <w:kern w:val="2"/>
          <w:sz w:val="32"/>
          <w:szCs w:val="32"/>
          <w:highlight w:val="none"/>
          <w:lang w:val="zh-CN" w:eastAsia="zh-CN" w:bidi="ar-SA"/>
        </w:rPr>
        <w:t>制造商资格声明</w:t>
      </w:r>
      <w:bookmarkEnd w:id="498"/>
      <w:bookmarkEnd w:id="499"/>
      <w:bookmarkEnd w:id="500"/>
      <w:bookmarkEnd w:id="501"/>
      <w:bookmarkEnd w:id="502"/>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pPr>
        <w:snapToGrid w:val="0"/>
        <w:spacing w:line="360" w:lineRule="auto"/>
        <w:rPr>
          <w:rFonts w:hint="eastAsia" w:ascii="宋体" w:hAnsi="宋体" w:eastAsia="宋体" w:cs="宋体"/>
          <w:color w:val="auto"/>
          <w:sz w:val="21"/>
          <w:szCs w:val="21"/>
          <w:highlight w:val="none"/>
        </w:rPr>
      </w:pPr>
      <w:bookmarkStart w:id="510" w:name="_Toc31194"/>
      <w:r>
        <w:rPr>
          <w:rFonts w:hint="eastAsia" w:ascii="宋体" w:hAnsi="宋体" w:eastAsia="宋体" w:cs="宋体"/>
          <w:color w:val="auto"/>
          <w:sz w:val="21"/>
          <w:szCs w:val="21"/>
          <w:highlight w:val="none"/>
        </w:rPr>
        <w:t>1、名称及概况：</w:t>
      </w:r>
      <w:bookmarkEnd w:id="510"/>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pPr>
        <w:snapToGrid w:val="0"/>
        <w:spacing w:line="360" w:lineRule="auto"/>
        <w:rPr>
          <w:rFonts w:hint="eastAsia" w:ascii="宋体" w:hAnsi="宋体" w:eastAsia="宋体" w:cs="宋体"/>
          <w:color w:val="auto"/>
          <w:sz w:val="21"/>
          <w:szCs w:val="21"/>
          <w:highlight w:val="none"/>
        </w:rPr>
      </w:pPr>
      <w:bookmarkStart w:id="511" w:name="_Toc22703"/>
      <w:r>
        <w:rPr>
          <w:rFonts w:hint="eastAsia" w:ascii="宋体" w:hAnsi="宋体" w:eastAsia="宋体" w:cs="宋体"/>
          <w:color w:val="auto"/>
          <w:sz w:val="21"/>
          <w:szCs w:val="21"/>
          <w:highlight w:val="none"/>
        </w:rPr>
        <w:t>2、制造投标货物的主要设备、设施及有关情况：</w:t>
      </w:r>
      <w:bookmarkEnd w:id="511"/>
    </w:p>
    <w:tbl>
      <w:tblPr>
        <w:tblStyle w:val="4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4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4" w:hRule="atLeast"/>
          <w:jc w:val="center"/>
        </w:trPr>
        <w:tc>
          <w:tcPr>
            <w:tcW w:w="281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019"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019"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019"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4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666"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666"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66"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pPr>
        <w:widowControl w:val="0"/>
        <w:snapToGrid w:val="0"/>
        <w:spacing w:line="360" w:lineRule="auto"/>
        <w:ind w:left="0" w:leftChars="0"/>
        <w:jc w:val="both"/>
        <w:rPr>
          <w:rFonts w:hint="eastAsia" w:ascii="宋体" w:hAnsi="宋体" w:eastAsia="宋体" w:cs="宋体"/>
          <w:color w:val="auto"/>
          <w:kern w:val="2"/>
          <w:sz w:val="21"/>
          <w:szCs w:val="21"/>
          <w:highlight w:val="none"/>
          <w:lang w:val="en-US" w:eastAsia="zh-CN" w:bidi="ar-SA"/>
        </w:rPr>
      </w:pPr>
    </w:p>
    <w:p>
      <w:pPr>
        <w:widowControl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兹证明上述声明是真实的、正确的，并提供了全部能提供的资料和数据，我们同意遵照贵方要求出示有关证明文件。</w:t>
      </w:r>
    </w:p>
    <w:p>
      <w:pPr>
        <w:widowControl w:val="0"/>
        <w:snapToGrid w:val="0"/>
        <w:spacing w:line="360" w:lineRule="auto"/>
        <w:ind w:left="0" w:leftChars="0"/>
        <w:jc w:val="both"/>
        <w:rPr>
          <w:rFonts w:hint="eastAsia" w:ascii="宋体" w:hAnsi="宋体" w:eastAsia="宋体" w:cs="宋体"/>
          <w:color w:val="auto"/>
          <w:kern w:val="2"/>
          <w:sz w:val="21"/>
          <w:szCs w:val="21"/>
          <w:highlight w:val="none"/>
          <w:lang w:val="en-US" w:eastAsia="zh-CN" w:bidi="ar-SA"/>
        </w:rPr>
      </w:pP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制造商名称：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（同时加盖制造商法人公章）</w:t>
      </w:r>
    </w:p>
    <w:p>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签署人职务：</w:t>
      </w:r>
      <w:r>
        <w:rPr>
          <w:rFonts w:hint="eastAsia" w:ascii="宋体" w:hAnsi="宋体" w:eastAsia="宋体" w:cs="宋体"/>
          <w:color w:val="auto"/>
          <w:kern w:val="2"/>
          <w:sz w:val="21"/>
          <w:szCs w:val="21"/>
          <w:highlight w:val="none"/>
          <w:u w:val="single"/>
          <w:lang w:val="en-US" w:eastAsia="zh-CN" w:bidi="ar-SA"/>
        </w:rPr>
        <w:t xml:space="preserve">                                     </w:t>
      </w: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传真：</w:t>
      </w:r>
      <w:r>
        <w:rPr>
          <w:rFonts w:hint="eastAsia" w:ascii="宋体" w:hAnsi="宋体" w:eastAsia="宋体" w:cs="宋体"/>
          <w:color w:val="auto"/>
          <w:kern w:val="2"/>
          <w:sz w:val="21"/>
          <w:szCs w:val="21"/>
          <w:highlight w:val="none"/>
          <w:u w:val="single"/>
          <w:lang w:val="en-US" w:eastAsia="zh-CN" w:bidi="ar-SA"/>
        </w:rPr>
        <w:t xml:space="preserve">                                           </w:t>
      </w: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网址：</w:t>
      </w:r>
      <w:r>
        <w:rPr>
          <w:rFonts w:hint="eastAsia" w:ascii="宋体" w:hAnsi="宋体" w:eastAsia="宋体" w:cs="宋体"/>
          <w:color w:val="auto"/>
          <w:kern w:val="2"/>
          <w:sz w:val="21"/>
          <w:szCs w:val="21"/>
          <w:highlight w:val="none"/>
          <w:u w:val="single"/>
          <w:lang w:val="en-US" w:eastAsia="zh-CN" w:bidi="ar-SA"/>
        </w:rPr>
        <w:t xml:space="preserve">                                           </w:t>
      </w: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电子邮箱：</w:t>
      </w:r>
      <w:r>
        <w:rPr>
          <w:rFonts w:hint="eastAsia" w:ascii="宋体" w:hAnsi="宋体" w:eastAsia="宋体" w:cs="宋体"/>
          <w:color w:val="auto"/>
          <w:kern w:val="2"/>
          <w:sz w:val="21"/>
          <w:szCs w:val="21"/>
          <w:highlight w:val="none"/>
          <w:u w:val="single"/>
          <w:lang w:val="en-US" w:eastAsia="zh-CN" w:bidi="ar-SA"/>
        </w:rPr>
        <w:t xml:space="preserve">                                       </w:t>
      </w:r>
    </w:p>
    <w:p>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联系地址：</w:t>
      </w:r>
      <w:r>
        <w:rPr>
          <w:rFonts w:hint="eastAsia" w:ascii="宋体" w:hAnsi="宋体" w:eastAsia="宋体" w:cs="宋体"/>
          <w:color w:val="auto"/>
          <w:kern w:val="2"/>
          <w:sz w:val="21"/>
          <w:szCs w:val="21"/>
          <w:highlight w:val="none"/>
          <w:u w:val="single"/>
          <w:lang w:val="en-US" w:eastAsia="zh-CN" w:bidi="ar-SA"/>
        </w:rPr>
        <w:t xml:space="preserve">                                       </w:t>
      </w:r>
    </w:p>
    <w:p>
      <w:pPr>
        <w:widowControl w:val="0"/>
        <w:autoSpaceDE/>
        <w:autoSpaceDN/>
        <w:adjustRightInd/>
        <w:snapToGrid w:val="0"/>
        <w:spacing w:line="360" w:lineRule="auto"/>
        <w:ind w:firstLine="525" w:firstLineChars="250"/>
        <w:jc w:val="both"/>
        <w:rPr>
          <w:rFonts w:hint="eastAsia" w:ascii="宋体" w:hAnsi="宋体" w:eastAsia="宋体"/>
          <w:b/>
          <w:color w:val="auto"/>
          <w:szCs w:val="21"/>
          <w:highlight w:val="none"/>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 xml:space="preserve">                                           </w:t>
      </w:r>
    </w:p>
    <w:p>
      <w:pPr>
        <w:rPr>
          <w:rFonts w:hint="eastAsia" w:ascii="宋体" w:hAnsi="宋体" w:eastAsia="宋体" w:cs="宋体"/>
          <w:b/>
          <w:bCs/>
          <w:color w:val="auto"/>
          <w:kern w:val="2"/>
          <w:sz w:val="30"/>
          <w:szCs w:val="30"/>
          <w:highlight w:val="none"/>
          <w:lang w:val="zh-CN"/>
        </w:rPr>
      </w:pPr>
      <w:bookmarkStart w:id="512" w:name="_Toc20148"/>
      <w:r>
        <w:rPr>
          <w:rFonts w:hint="eastAsia" w:ascii="宋体" w:hAnsi="宋体" w:eastAsia="宋体" w:cs="宋体"/>
          <w:b/>
          <w:bCs/>
          <w:color w:val="auto"/>
          <w:kern w:val="2"/>
          <w:sz w:val="30"/>
          <w:szCs w:val="30"/>
          <w:highlight w:val="none"/>
          <w:lang w:val="zh-CN"/>
        </w:rPr>
        <w:br w:type="page"/>
      </w:r>
    </w:p>
    <w:bookmarkEnd w:id="512"/>
    <w:p>
      <w:pPr>
        <w:pStyle w:val="2"/>
        <w:pageBreakBefore/>
        <w:spacing w:line="360" w:lineRule="auto"/>
        <w:rPr>
          <w:rFonts w:hint="eastAsia" w:hAnsi="宋体" w:cs="宋体"/>
          <w:b/>
          <w:bCs/>
          <w:color w:val="auto"/>
          <w:kern w:val="2"/>
          <w:sz w:val="32"/>
          <w:szCs w:val="32"/>
          <w:highlight w:val="none"/>
          <w:lang w:val="en-US" w:eastAsia="zh-CN"/>
        </w:rPr>
      </w:pPr>
      <w:bookmarkStart w:id="513" w:name="_Toc10213"/>
      <w:bookmarkStart w:id="514" w:name="_Toc6452"/>
      <w:bookmarkStart w:id="515" w:name="_Toc20418"/>
      <w:bookmarkStart w:id="516" w:name="_Toc78709783"/>
      <w:bookmarkStart w:id="517" w:name="_Toc32340"/>
      <w:bookmarkStart w:id="518" w:name="_Toc20140"/>
      <w:bookmarkStart w:id="519" w:name="_Toc11227"/>
      <w:r>
        <w:rPr>
          <w:rFonts w:hint="eastAsia" w:ascii="宋体" w:hAnsi="宋体" w:eastAsia="宋体" w:cs="宋体"/>
          <w:b/>
          <w:bCs/>
          <w:color w:val="auto"/>
          <w:kern w:val="2"/>
          <w:sz w:val="32"/>
          <w:szCs w:val="32"/>
          <w:highlight w:val="none"/>
        </w:rPr>
        <w:t>5</w:t>
      </w:r>
      <w:r>
        <w:rPr>
          <w:rFonts w:hint="eastAsia" w:hAnsi="宋体" w:cs="宋体"/>
          <w:b/>
          <w:bCs/>
          <w:color w:val="auto"/>
          <w:kern w:val="2"/>
          <w:sz w:val="32"/>
          <w:szCs w:val="32"/>
          <w:highlight w:val="none"/>
          <w:lang w:val="en-US" w:eastAsia="zh-CN"/>
        </w:rPr>
        <w:t xml:space="preserve">.5 </w:t>
      </w:r>
      <w:bookmarkEnd w:id="513"/>
      <w:bookmarkEnd w:id="514"/>
      <w:bookmarkEnd w:id="515"/>
      <w:bookmarkEnd w:id="516"/>
      <w:bookmarkEnd w:id="517"/>
      <w:bookmarkEnd w:id="518"/>
      <w:r>
        <w:rPr>
          <w:rFonts w:hint="eastAsia" w:hAnsi="宋体" w:cs="宋体"/>
          <w:b/>
          <w:bCs/>
          <w:color w:val="auto"/>
          <w:kern w:val="2"/>
          <w:sz w:val="32"/>
          <w:szCs w:val="32"/>
          <w:highlight w:val="none"/>
          <w:lang w:val="en-US" w:eastAsia="zh-CN"/>
        </w:rPr>
        <w:t>所投产品制造商须具有安全生产监督管理部门核发的合法有效的安全生产许可证（许可范围含次氯酸钠或次氯酸钠溶液）及全国工业产品生产许可证（许可范围含次氯酸钠或次氯酸钠溶液）</w:t>
      </w:r>
      <w:bookmarkEnd w:id="519"/>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hAnsi="宋体" w:cs="宋体"/>
          <w:b/>
          <w:bCs/>
          <w:color w:val="auto"/>
          <w:kern w:val="2"/>
          <w:sz w:val="32"/>
          <w:szCs w:val="32"/>
          <w:highlight w:val="none"/>
          <w:lang w:val="en-US" w:eastAsia="zh-CN"/>
        </w:rPr>
      </w:pPr>
    </w:p>
    <w:p>
      <w:pPr>
        <w:outlineLvl w:val="9"/>
        <w:rPr>
          <w:rFonts w:hint="eastAsia"/>
          <w:color w:val="auto"/>
          <w:highlight w:val="none"/>
          <w:lang w:val="en-US" w:eastAsia="zh-CN"/>
        </w:rPr>
      </w:pPr>
    </w:p>
    <w:p>
      <w:pPr>
        <w:pStyle w:val="2"/>
        <w:pageBreakBefore/>
        <w:spacing w:line="360" w:lineRule="auto"/>
        <w:rPr>
          <w:rFonts w:hAnsi="宋体"/>
          <w:b/>
          <w:color w:val="auto"/>
          <w:sz w:val="30"/>
          <w:szCs w:val="30"/>
          <w:highlight w:val="none"/>
          <w:lang w:val="zh-CN"/>
        </w:rPr>
      </w:pPr>
      <w:bookmarkStart w:id="520" w:name="_Toc11929"/>
      <w:bookmarkStart w:id="521" w:name="_Toc8057"/>
      <w:bookmarkStart w:id="522" w:name="_Toc1188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w:t>
      </w:r>
      <w:r>
        <w:rPr>
          <w:rFonts w:hint="eastAsia" w:hAnsi="宋体" w:cs="宋体"/>
          <w:b/>
          <w:bCs/>
          <w:color w:val="auto"/>
          <w:kern w:val="2"/>
          <w:sz w:val="32"/>
          <w:szCs w:val="32"/>
          <w:highlight w:val="none"/>
          <w:lang w:val="en-US" w:eastAsia="zh-CN"/>
        </w:rPr>
        <w:t>3</w:t>
      </w:r>
      <w:r>
        <w:rPr>
          <w:rFonts w:hint="eastAsia" w:ascii="宋体" w:hAnsi="宋体" w:eastAsia="宋体" w:cs="宋体"/>
          <w:b/>
          <w:bCs/>
          <w:color w:val="auto"/>
          <w:kern w:val="2"/>
          <w:sz w:val="32"/>
          <w:szCs w:val="32"/>
          <w:highlight w:val="none"/>
          <w:lang w:val="zh-CN" w:eastAsia="zh-CN"/>
        </w:rPr>
        <w:t>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投标品牌</w:t>
      </w:r>
      <w:r>
        <w:rPr>
          <w:rFonts w:hint="eastAsia" w:hAnsi="宋体" w:cs="宋体"/>
          <w:b/>
          <w:bCs/>
          <w:color w:val="auto"/>
          <w:kern w:val="2"/>
          <w:sz w:val="32"/>
          <w:szCs w:val="32"/>
          <w:highlight w:val="none"/>
          <w:lang w:val="en-US" w:eastAsia="zh-CN"/>
        </w:rPr>
        <w:t>液体次氯酸钠</w:t>
      </w:r>
      <w:r>
        <w:rPr>
          <w:rFonts w:hint="eastAsia" w:ascii="宋体" w:hAnsi="宋体" w:eastAsia="宋体" w:cs="宋体"/>
          <w:b/>
          <w:bCs/>
          <w:color w:val="auto"/>
          <w:kern w:val="2"/>
          <w:sz w:val="32"/>
          <w:szCs w:val="32"/>
          <w:highlight w:val="none"/>
          <w:lang w:val="zh-CN" w:eastAsia="zh-CN"/>
        </w:rPr>
        <w:t>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w:t>
      </w:r>
      <w:r>
        <w:rPr>
          <w:rFonts w:hint="eastAsia" w:hAnsi="宋体" w:cs="宋体"/>
          <w:b/>
          <w:bCs/>
          <w:color w:val="auto"/>
          <w:kern w:val="2"/>
          <w:sz w:val="32"/>
          <w:szCs w:val="32"/>
          <w:highlight w:val="none"/>
          <w:lang w:val="en-US" w:eastAsia="zh-CN"/>
        </w:rPr>
        <w:t>3</w:t>
      </w:r>
      <w:r>
        <w:rPr>
          <w:rFonts w:hint="eastAsia" w:ascii="宋体" w:hAnsi="宋体" w:eastAsia="宋体" w:cs="宋体"/>
          <w:b/>
          <w:bCs/>
          <w:color w:val="auto"/>
          <w:kern w:val="2"/>
          <w:sz w:val="32"/>
          <w:szCs w:val="32"/>
          <w:highlight w:val="none"/>
          <w:lang w:val="zh-CN" w:eastAsia="zh-CN"/>
        </w:rPr>
        <w:t>年1月1日或以后）</w:t>
      </w:r>
      <w:r>
        <w:rPr>
          <w:rFonts w:hint="eastAsia" w:ascii="宋体" w:hAnsi="宋体" w:eastAsia="宋体" w:cs="宋体"/>
          <w:b/>
          <w:bCs/>
          <w:color w:val="auto"/>
          <w:sz w:val="32"/>
          <w:szCs w:val="32"/>
          <w:highlight w:val="none"/>
        </w:rPr>
        <w:t>】</w:t>
      </w:r>
      <w:bookmarkEnd w:id="503"/>
      <w:bookmarkEnd w:id="504"/>
      <w:bookmarkEnd w:id="520"/>
      <w:bookmarkEnd w:id="521"/>
      <w:bookmarkEnd w:id="522"/>
    </w:p>
    <w:p>
      <w:pPr>
        <w:spacing w:line="360" w:lineRule="auto"/>
        <w:rPr>
          <w:rFonts w:hAnsi="宋体"/>
          <w:color w:val="auto"/>
          <w:szCs w:val="21"/>
          <w:highlight w:val="none"/>
          <w:lang w:val="zh-CN"/>
        </w:rPr>
      </w:pPr>
    </w:p>
    <w:tbl>
      <w:tblPr>
        <w:tblStyle w:val="43"/>
        <w:tblW w:w="980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876"/>
        <w:gridCol w:w="1609"/>
        <w:gridCol w:w="1331"/>
        <w:gridCol w:w="1126"/>
        <w:gridCol w:w="893"/>
        <w:gridCol w:w="1405"/>
        <w:gridCol w:w="8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4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1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1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1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18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b/>
          <w:color w:val="auto"/>
          <w:kern w:val="2"/>
          <w:sz w:val="21"/>
          <w:szCs w:val="21"/>
          <w:highlight w:val="none"/>
          <w:lang w:val="zh-CN"/>
        </w:rPr>
        <w:t>业绩须同时提供①合同复印件（合同卖方为投标人），②已供货产品任意一张发票复印件（发票开具日期须在本项目招标公告发布之日前）</w:t>
      </w:r>
      <w:r>
        <w:rPr>
          <w:rFonts w:hint="eastAsia" w:ascii="宋体" w:hAnsi="宋体" w:eastAsia="宋体" w:cs="宋体"/>
          <w:b/>
          <w:color w:val="auto"/>
          <w:kern w:val="2"/>
          <w:sz w:val="21"/>
          <w:szCs w:val="21"/>
          <w:highlight w:val="none"/>
          <w:lang w:val="zh-CN" w:eastAsia="zh-CN"/>
        </w:rPr>
        <w:t>；</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年1月1日或以后、合同标的必须包含投标品牌</w:t>
      </w:r>
      <w:r>
        <w:rPr>
          <w:rFonts w:hint="eastAsia" w:ascii="宋体" w:hAnsi="宋体" w:eastAsia="宋体" w:cs="宋体"/>
          <w:color w:val="auto"/>
          <w:szCs w:val="21"/>
          <w:highlight w:val="none"/>
          <w:lang w:val="en-US" w:eastAsia="zh-CN"/>
        </w:rPr>
        <w:t>液体次氯酸钠</w:t>
      </w:r>
      <w:r>
        <w:rPr>
          <w:rFonts w:hint="eastAsia" w:ascii="宋体" w:hAnsi="宋体" w:eastAsia="宋体" w:cs="宋体"/>
          <w:color w:val="auto"/>
          <w:szCs w:val="21"/>
          <w:highlight w:val="none"/>
          <w:lang w:val="zh-CN"/>
        </w:rPr>
        <w:t>）的，还需提供产品购买方出具的书面补充说明文件复印件作为辅助证明（补充说明文件复印件能显示购买方公章）；</w:t>
      </w:r>
    </w:p>
    <w:p>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23" w:name="_Toc6253"/>
      <w:bookmarkStart w:id="524" w:name="_Toc14967"/>
      <w:bookmarkStart w:id="525" w:name="_Toc23794"/>
      <w:r>
        <w:rPr>
          <w:rFonts w:hint="eastAsia" w:ascii="宋体" w:hAnsi="宋体" w:eastAsia="宋体" w:cs="宋体"/>
          <w:b/>
          <w:color w:val="auto"/>
          <w:szCs w:val="21"/>
          <w:highlight w:val="none"/>
          <w:lang w:val="zh-CN"/>
        </w:rPr>
        <w:t>（3）</w:t>
      </w:r>
      <w:bookmarkEnd w:id="523"/>
      <w:bookmarkEnd w:id="524"/>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25"/>
    </w:p>
    <w:p>
      <w:pPr>
        <w:spacing w:line="360" w:lineRule="auto"/>
        <w:ind w:right="368" w:rightChars="175" w:firstLine="5120" w:firstLineChars="1700"/>
        <w:jc w:val="left"/>
        <w:rPr>
          <w:rFonts w:ascii="宋体" w:hAnsi="宋体" w:eastAsia="宋体" w:cs="宋体"/>
          <w:b/>
          <w:color w:val="auto"/>
          <w:kern w:val="0"/>
          <w:sz w:val="30"/>
          <w:szCs w:val="30"/>
          <w:highlight w:val="none"/>
        </w:rPr>
      </w:pPr>
    </w:p>
    <w:p>
      <w:pPr>
        <w:spacing w:line="360" w:lineRule="auto"/>
        <w:ind w:right="368" w:rightChars="175" w:firstLine="5120" w:firstLineChars="1700"/>
        <w:jc w:val="left"/>
        <w:rPr>
          <w:rFonts w:ascii="宋体" w:hAnsi="宋体" w:eastAsia="宋体" w:cs="宋体"/>
          <w:b/>
          <w:color w:val="auto"/>
          <w:kern w:val="0"/>
          <w:sz w:val="30"/>
          <w:szCs w:val="30"/>
          <w:highlight w:val="none"/>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rPr>
          <w:rFonts w:ascii="宋体" w:hAnsi="宋体" w:eastAsia="宋体" w:cs="宋体"/>
          <w:b/>
          <w:color w:val="auto"/>
          <w:kern w:val="0"/>
          <w:sz w:val="30"/>
          <w:szCs w:val="30"/>
          <w:highlight w:val="none"/>
        </w:rPr>
      </w:pPr>
    </w:p>
    <w:p>
      <w:pPr>
        <w:pStyle w:val="19"/>
        <w:rPr>
          <w:color w:val="auto"/>
          <w:highlight w:val="none"/>
        </w:rPr>
      </w:pPr>
    </w:p>
    <w:p>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526" w:name="_Toc8979"/>
      <w:bookmarkStart w:id="527" w:name="_Toc31879"/>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pStyle w:val="19"/>
        <w:rPr>
          <w:rFonts w:hint="eastAsia"/>
          <w:color w:val="auto"/>
          <w:highlight w:val="none"/>
          <w:lang w:val="en-US" w:eastAsia="zh-CN"/>
        </w:rPr>
      </w:pP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28" w:name="_Toc12640"/>
      <w:bookmarkStart w:id="529" w:name="_Toc20897"/>
      <w:bookmarkStart w:id="530" w:name="_Toc28737"/>
      <w:r>
        <w:rPr>
          <w:rFonts w:hint="eastAsia" w:ascii="宋体" w:hAnsi="宋体" w:eastAsia="宋体" w:cs="宋体"/>
          <w:b/>
          <w:color w:val="auto"/>
          <w:kern w:val="0"/>
          <w:sz w:val="30"/>
          <w:szCs w:val="30"/>
          <w:highlight w:val="none"/>
          <w:lang w:val="en-US" w:eastAsia="zh-CN"/>
        </w:rPr>
        <w:t xml:space="preserve">5.7 </w:t>
      </w:r>
      <w:r>
        <w:rPr>
          <w:rFonts w:hint="eastAsia" w:ascii="宋体" w:hAnsi="宋体" w:eastAsia="宋体" w:cs="宋体"/>
          <w:b/>
          <w:color w:val="auto"/>
          <w:kern w:val="0"/>
          <w:sz w:val="30"/>
          <w:szCs w:val="30"/>
          <w:highlight w:val="none"/>
        </w:rPr>
        <w:t>最近3年投标人牵涉的其他（失信和违法）处罚说明格式</w:t>
      </w:r>
      <w:bookmarkEnd w:id="505"/>
      <w:bookmarkEnd w:id="506"/>
      <w:bookmarkEnd w:id="507"/>
      <w:bookmarkEnd w:id="508"/>
      <w:bookmarkEnd w:id="509"/>
      <w:bookmarkEnd w:id="526"/>
      <w:bookmarkEnd w:id="527"/>
      <w:bookmarkEnd w:id="528"/>
      <w:bookmarkEnd w:id="529"/>
      <w:bookmarkEnd w:id="530"/>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3"/>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1" w:name="_Toc102860079"/>
      <w:bookmarkStart w:id="532" w:name="_Toc1977731"/>
      <w:bookmarkStart w:id="533" w:name="_Toc102860423"/>
      <w:bookmarkStart w:id="534" w:name="_Toc104991881"/>
      <w:bookmarkStart w:id="535" w:name="_Toc142508374"/>
      <w:bookmarkStart w:id="536" w:name="_Toc94107215"/>
      <w:bookmarkStart w:id="537" w:name="_Toc13237"/>
      <w:bookmarkStart w:id="538" w:name="_Toc140596934"/>
      <w:bookmarkStart w:id="539" w:name="_Toc486167714"/>
      <w:bookmarkStart w:id="540" w:name="_Toc533708126"/>
      <w:bookmarkStart w:id="541" w:name="_Toc2031_WPSOffice_Level2"/>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42" w:name="_Toc11148"/>
      <w:bookmarkStart w:id="543" w:name="_Toc3445"/>
      <w:bookmarkStart w:id="544" w:name="_Toc283"/>
      <w:bookmarkStart w:id="545" w:name="_Toc811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46" w:name="_Toc2773_WPSOffice_Level3"/>
      <w:r>
        <w:rPr>
          <w:rFonts w:hint="eastAsia" w:ascii="宋体" w:hAnsi="宋体" w:eastAsia="宋体" w:cs="宋体"/>
          <w:b/>
          <w:bCs/>
          <w:color w:val="auto"/>
          <w:sz w:val="30"/>
          <w:szCs w:val="30"/>
          <w:highlight w:val="none"/>
          <w:lang w:val="zh-CN"/>
        </w:rPr>
        <w:t>投标人基本情况一览表</w:t>
      </w:r>
      <w:bookmarkEnd w:id="546"/>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7" w:name="_Toc102860080"/>
      <w:bookmarkStart w:id="548" w:name="_Toc27046"/>
      <w:bookmarkStart w:id="549" w:name="_Toc3711"/>
      <w:bookmarkStart w:id="550" w:name="_Toc4495"/>
      <w:bookmarkStart w:id="551" w:name="_Toc142508375"/>
      <w:bookmarkStart w:id="552" w:name="_Toc16259"/>
      <w:bookmarkStart w:id="553" w:name="_Toc94107216"/>
      <w:bookmarkStart w:id="554" w:name="_Toc14312"/>
      <w:bookmarkStart w:id="555" w:name="_Toc140596935"/>
      <w:bookmarkStart w:id="556" w:name="_Toc104991882"/>
      <w:bookmarkStart w:id="557" w:name="_Toc102860424"/>
      <w:bookmarkStart w:id="558" w:name="_Toc1977733"/>
      <w:bookmarkStart w:id="559" w:name="_Toc9051_WPSOffice_Level2"/>
      <w:bookmarkStart w:id="560" w:name="_Toc486167715"/>
      <w:bookmarkStart w:id="561"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7"/>
      <w:bookmarkEnd w:id="548"/>
      <w:bookmarkEnd w:id="549"/>
      <w:bookmarkEnd w:id="550"/>
      <w:bookmarkEnd w:id="551"/>
      <w:bookmarkEnd w:id="552"/>
      <w:bookmarkEnd w:id="553"/>
      <w:bookmarkEnd w:id="554"/>
      <w:bookmarkEnd w:id="555"/>
      <w:bookmarkEnd w:id="556"/>
      <w:bookmarkEnd w:id="557"/>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3"/>
        <w:tblW w:w="98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pgSz w:w="11907" w:h="16840"/>
          <w:pgMar w:top="1440" w:right="1080" w:bottom="1440" w:left="1080"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8"/>
    <w:bookmarkEnd w:id="559"/>
    <w:bookmarkEnd w:id="560"/>
    <w:bookmarkEnd w:id="561"/>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62" w:name="_Toc739_WPSOffice_Level2"/>
      <w:bookmarkStart w:id="563" w:name="_Toc533708130"/>
      <w:bookmarkStart w:id="564" w:name="_Toc140596936"/>
      <w:bookmarkStart w:id="565" w:name="_Toc14941"/>
      <w:bookmarkStart w:id="566" w:name="_Toc486167716"/>
      <w:bookmarkStart w:id="567" w:name="_Toc104991883"/>
      <w:bookmarkStart w:id="568" w:name="_Toc142508376"/>
      <w:bookmarkStart w:id="569" w:name="_Toc20034"/>
      <w:bookmarkStart w:id="570" w:name="_Toc15551"/>
      <w:bookmarkStart w:id="571" w:name="_Toc102860425"/>
      <w:bookmarkStart w:id="572" w:name="_Toc102860081"/>
      <w:bookmarkStart w:id="573" w:name="_Toc8749"/>
      <w:bookmarkStart w:id="574" w:name="_Toc9063"/>
      <w:bookmarkStart w:id="575" w:name="_Toc1977736"/>
      <w:bookmarkStart w:id="576"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7" w:name="_Toc26412_WPSOffice_Level3"/>
      <w:r>
        <w:rPr>
          <w:rFonts w:hint="eastAsia" w:ascii="宋体" w:hAnsi="宋体" w:eastAsia="宋体" w:cs="宋体"/>
          <w:b/>
          <w:bCs/>
          <w:color w:val="auto"/>
          <w:kern w:val="0"/>
          <w:sz w:val="28"/>
          <w:szCs w:val="30"/>
          <w:highlight w:val="none"/>
          <w:lang w:val="zh-CN"/>
        </w:rPr>
        <w:t>东莞市水务环境投资控股集团净水有限公司2026年-2027年生产药剂液体次氯酸钠采购项目合同条款偏离表</w:t>
      </w:r>
      <w:bookmarkEnd w:id="577"/>
    </w:p>
    <w:tbl>
      <w:tblPr>
        <w:tblStyle w:val="43"/>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第一条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合同项目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第二条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合同价款及销项税价</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第三条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合同组成</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第六条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储存</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第八条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验收要求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第九条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质量保证及售后服务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第十一条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第十二条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第十三条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第十四条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索赔</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第十五条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shd w:val="clear" w:color="auto" w:fill="auto"/>
            <w:vAlign w:val="center"/>
          </w:tcPr>
          <w:p>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shd w:val="clear" w:color="auto" w:fill="auto"/>
            <w:vAlign w:val="center"/>
          </w:tcPr>
          <w:p>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shd w:val="clear" w:color="auto" w:fill="auto"/>
            <w:vAlign w:val="center"/>
          </w:tcPr>
          <w:p>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shd w:val="clear" w:color="auto" w:fill="auto"/>
            <w:vAlign w:val="center"/>
          </w:tcPr>
          <w:p>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shd w:val="clear" w:color="auto" w:fill="auto"/>
            <w:vAlign w:val="center"/>
          </w:tcPr>
          <w:p>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一</w:t>
            </w:r>
          </w:p>
        </w:tc>
        <w:tc>
          <w:tcPr>
            <w:tcW w:w="3055" w:type="dxa"/>
            <w:shd w:val="clear" w:color="auto" w:fill="auto"/>
            <w:vAlign w:val="center"/>
          </w:tcPr>
          <w:p>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shd w:val="clear" w:color="auto" w:fill="auto"/>
            <w:vAlign w:val="center"/>
          </w:tcPr>
          <w:p>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二</w:t>
            </w:r>
          </w:p>
        </w:tc>
        <w:tc>
          <w:tcPr>
            <w:tcW w:w="3055" w:type="dxa"/>
            <w:shd w:val="clear" w:color="auto" w:fill="auto"/>
            <w:vAlign w:val="center"/>
          </w:tcPr>
          <w:p>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kern w:val="0"/>
                <w:sz w:val="21"/>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shd w:val="clear" w:color="auto" w:fill="auto"/>
            <w:vAlign w:val="center"/>
          </w:tcPr>
          <w:p>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三</w:t>
            </w:r>
          </w:p>
        </w:tc>
        <w:tc>
          <w:tcPr>
            <w:tcW w:w="3055" w:type="dxa"/>
            <w:shd w:val="clear" w:color="auto" w:fill="auto"/>
            <w:vAlign w:val="center"/>
          </w:tcPr>
          <w:p>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kern w:val="0"/>
                <w:sz w:val="21"/>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8" w:name="_Toc104991884"/>
      <w:bookmarkStart w:id="579" w:name="_Toc102860426"/>
      <w:bookmarkStart w:id="580" w:name="_Toc102860082"/>
      <w:bookmarkStart w:id="581" w:name="_Toc21915"/>
      <w:bookmarkStart w:id="582" w:name="_Toc94107218"/>
      <w:bookmarkStart w:id="583" w:name="_Toc142508377"/>
      <w:bookmarkStart w:id="584" w:name="_Toc18813"/>
      <w:bookmarkStart w:id="585" w:name="_Toc140596937"/>
      <w:bookmarkStart w:id="586" w:name="_Toc2075"/>
      <w:bookmarkStart w:id="587" w:name="_Toc13348"/>
      <w:bookmarkStart w:id="588" w:name="_Toc30216"/>
      <w:bookmarkStart w:id="589" w:name="_Toc27980_WPSOffice_Level2"/>
      <w:bookmarkStart w:id="590"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78"/>
      <w:bookmarkEnd w:id="579"/>
      <w:bookmarkEnd w:id="580"/>
      <w:bookmarkEnd w:id="581"/>
      <w:bookmarkEnd w:id="582"/>
      <w:bookmarkEnd w:id="583"/>
      <w:bookmarkEnd w:id="584"/>
      <w:bookmarkEnd w:id="585"/>
      <w:bookmarkEnd w:id="586"/>
      <w:bookmarkEnd w:id="587"/>
      <w:bookmarkEnd w:id="588"/>
    </w:p>
    <w:p>
      <w:pPr>
        <w:autoSpaceDE w:val="0"/>
        <w:autoSpaceDN w:val="0"/>
        <w:adjustRightInd w:val="0"/>
        <w:spacing w:line="360" w:lineRule="auto"/>
        <w:jc w:val="center"/>
        <w:rPr>
          <w:rFonts w:hint="eastAsia" w:ascii="宋体" w:hAnsi="宋体" w:eastAsia="宋体" w:cs="Times New Roman"/>
          <w:b/>
          <w:bCs/>
          <w:color w:val="auto"/>
          <w:sz w:val="30"/>
          <w:szCs w:val="30"/>
          <w:highlight w:val="none"/>
          <w:lang w:val="zh-CN"/>
        </w:rPr>
      </w:pPr>
      <w:r>
        <w:rPr>
          <w:rFonts w:hint="eastAsia" w:ascii="宋体" w:hAnsi="宋体" w:eastAsia="宋体" w:cs="宋体"/>
          <w:b/>
          <w:bCs/>
          <w:color w:val="auto"/>
          <w:kern w:val="0"/>
          <w:sz w:val="30"/>
          <w:szCs w:val="30"/>
          <w:highlight w:val="none"/>
          <w:lang w:val="zh-CN"/>
        </w:rPr>
        <w:t>投标人202</w:t>
      </w:r>
      <w:r>
        <w:rPr>
          <w:rFonts w:hint="eastAsia" w:ascii="宋体" w:hAnsi="宋体" w:eastAsia="宋体" w:cs="宋体"/>
          <w:b/>
          <w:bCs/>
          <w:color w:val="auto"/>
          <w:kern w:val="0"/>
          <w:sz w:val="30"/>
          <w:szCs w:val="30"/>
          <w:highlight w:val="none"/>
          <w:lang w:val="en-US" w:eastAsia="zh-CN"/>
        </w:rPr>
        <w:t>3</w:t>
      </w:r>
      <w:r>
        <w:rPr>
          <w:rFonts w:hint="eastAsia" w:ascii="宋体" w:hAnsi="宋体" w:eastAsia="宋体" w:cs="宋体"/>
          <w:b/>
          <w:bCs/>
          <w:color w:val="auto"/>
          <w:kern w:val="0"/>
          <w:sz w:val="30"/>
          <w:szCs w:val="30"/>
          <w:highlight w:val="none"/>
          <w:lang w:val="zh-CN"/>
        </w:rPr>
        <w:t>年</w:t>
      </w:r>
      <w:r>
        <w:rPr>
          <w:rFonts w:hint="eastAsia" w:ascii="宋体" w:hAnsi="宋体" w:eastAsia="宋体" w:cs="宋体"/>
          <w:b/>
          <w:bCs/>
          <w:color w:val="auto"/>
          <w:kern w:val="0"/>
          <w:sz w:val="30"/>
          <w:szCs w:val="30"/>
          <w:highlight w:val="none"/>
          <w:lang w:val="en-US" w:eastAsia="zh-CN"/>
        </w:rPr>
        <w:t>1月1日</w:t>
      </w:r>
      <w:r>
        <w:rPr>
          <w:rFonts w:hint="eastAsia" w:ascii="宋体" w:hAnsi="宋体" w:eastAsia="宋体" w:cs="宋体"/>
          <w:b/>
          <w:bCs/>
          <w:color w:val="auto"/>
          <w:kern w:val="0"/>
          <w:sz w:val="30"/>
          <w:szCs w:val="30"/>
          <w:highlight w:val="none"/>
          <w:lang w:val="zh-CN"/>
        </w:rPr>
        <w:t>以来具有的</w:t>
      </w:r>
      <w:r>
        <w:rPr>
          <w:rFonts w:hint="eastAsia" w:ascii="宋体" w:hAnsi="宋体" w:eastAsia="宋体" w:cs="宋体"/>
          <w:b/>
          <w:bCs/>
          <w:color w:val="auto"/>
          <w:kern w:val="0"/>
          <w:sz w:val="30"/>
          <w:szCs w:val="30"/>
          <w:highlight w:val="none"/>
          <w:lang w:val="en-US" w:eastAsia="zh-CN"/>
        </w:rPr>
        <w:t>投标品牌液体次氯酸钠</w:t>
      </w:r>
      <w:r>
        <w:rPr>
          <w:rFonts w:hint="eastAsia" w:ascii="宋体" w:hAnsi="宋体" w:eastAsia="宋体" w:cs="宋体"/>
          <w:b/>
          <w:bCs/>
          <w:color w:val="auto"/>
          <w:kern w:val="0"/>
          <w:sz w:val="30"/>
          <w:szCs w:val="30"/>
          <w:highlight w:val="none"/>
          <w:lang w:val="zh-CN"/>
        </w:rPr>
        <w:t>供货业绩</w:t>
      </w:r>
      <w:r>
        <w:rPr>
          <w:rFonts w:hint="eastAsia" w:ascii="宋体" w:hAnsi="宋体" w:eastAsia="宋体" w:cs="Times New Roman"/>
          <w:b/>
          <w:bCs/>
          <w:color w:val="auto"/>
          <w:sz w:val="30"/>
          <w:szCs w:val="30"/>
          <w:highlight w:val="none"/>
          <w:lang w:val="zh-CN"/>
        </w:rPr>
        <w:t>表</w:t>
      </w:r>
    </w:p>
    <w:p>
      <w:pPr>
        <w:pStyle w:val="23"/>
        <w:spacing w:line="360" w:lineRule="auto"/>
        <w:ind w:left="4" w:leftChars="2" w:firstLine="420" w:firstLineChars="200"/>
        <w:rPr>
          <w:rFonts w:hint="eastAsia"/>
          <w:color w:val="auto"/>
          <w:highlight w:val="none"/>
          <w:lang w:val="zh-CN"/>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hAnsi="宋体" w:cs="宋体"/>
          <w:color w:val="auto"/>
          <w:sz w:val="21"/>
          <w:szCs w:val="21"/>
          <w:highlight w:val="none"/>
          <w:lang w:val="en-US" w:eastAsia="zh-CN"/>
        </w:rPr>
        <w:t>液体次氯酸钠</w:t>
      </w:r>
      <w:r>
        <w:rPr>
          <w:rFonts w:hint="eastAsia" w:ascii="宋体" w:hAnsi="宋体" w:eastAsia="宋体" w:cs="宋体"/>
          <w:color w:val="auto"/>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43"/>
        <w:tblW w:w="977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4"/>
        <w:gridCol w:w="893"/>
        <w:gridCol w:w="1063"/>
        <w:gridCol w:w="1063"/>
        <w:gridCol w:w="1063"/>
        <w:gridCol w:w="1372"/>
        <w:gridCol w:w="854"/>
        <w:gridCol w:w="758"/>
        <w:gridCol w:w="1382"/>
        <w:gridCol w:w="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5"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合同标的货物名称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合同标的货物品牌</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合同标的货物数量</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591" w:name="_Toc11061"/>
      <w:r>
        <w:rPr>
          <w:rFonts w:hint="eastAsia" w:ascii="宋体" w:hAnsi="宋体" w:eastAsia="宋体" w:cs="宋体"/>
          <w:color w:val="auto"/>
          <w:kern w:val="2"/>
          <w:sz w:val="21"/>
          <w:szCs w:val="21"/>
          <w:highlight w:val="none"/>
        </w:rPr>
        <w:t>（2）业绩按以下条款作为考评依据：</w:t>
      </w:r>
      <w:bookmarkEnd w:id="591"/>
    </w:p>
    <w:p>
      <w:pPr>
        <w:snapToGrid w:val="0"/>
        <w:spacing w:line="360" w:lineRule="auto"/>
        <w:ind w:left="655" w:leftChars="178" w:hanging="281" w:hangingChars="134"/>
        <w:rPr>
          <w:rFonts w:hint="eastAsia" w:ascii="宋体" w:hAnsi="宋体" w:eastAsia="宋体" w:cs="宋体"/>
          <w:b/>
          <w:bCs/>
          <w:color w:val="auto"/>
          <w:szCs w:val="21"/>
          <w:highlight w:val="none"/>
        </w:rPr>
      </w:pPr>
      <w:bookmarkStart w:id="592"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b w:val="0"/>
          <w:bCs w:val="0"/>
          <w:color w:val="auto"/>
          <w:szCs w:val="21"/>
          <w:highlight w:val="none"/>
        </w:rPr>
        <w:t>业绩须同时提供</w:t>
      </w:r>
      <w:r>
        <w:rPr>
          <w:rFonts w:hint="eastAsia" w:ascii="宋体" w:hAnsi="宋体" w:eastAsia="宋体" w:cs="宋体"/>
          <w:b w:val="0"/>
          <w:bCs w:val="0"/>
          <w:color w:val="auto"/>
          <w:szCs w:val="21"/>
          <w:highlight w:val="none"/>
          <w:lang w:eastAsia="zh-CN"/>
        </w:rPr>
        <w:t>①</w:t>
      </w:r>
      <w:r>
        <w:rPr>
          <w:rFonts w:hint="eastAsia" w:ascii="宋体" w:hAnsi="宋体" w:eastAsia="宋体" w:cs="宋体"/>
          <w:b w:val="0"/>
          <w:bCs w:val="0"/>
          <w:color w:val="auto"/>
          <w:szCs w:val="21"/>
          <w:highlight w:val="none"/>
        </w:rPr>
        <w:t>合同</w:t>
      </w:r>
      <w:r>
        <w:rPr>
          <w:rFonts w:hint="eastAsia" w:ascii="宋体" w:hAnsi="宋体" w:eastAsia="宋体" w:cs="宋体"/>
          <w:b w:val="0"/>
          <w:bCs w:val="0"/>
          <w:color w:val="auto"/>
          <w:szCs w:val="21"/>
          <w:highlight w:val="none"/>
          <w:lang w:val="en-US" w:eastAsia="zh-CN"/>
        </w:rPr>
        <w:t>复印件</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kern w:val="2"/>
          <w:szCs w:val="21"/>
          <w:highlight w:val="none"/>
        </w:rPr>
        <w:t>合同卖方为</w:t>
      </w:r>
      <w:r>
        <w:rPr>
          <w:rFonts w:hint="eastAsia" w:ascii="宋体" w:hAnsi="宋体" w:eastAsia="宋体" w:cs="宋体"/>
          <w:b w:val="0"/>
          <w:bCs w:val="0"/>
          <w:color w:val="auto"/>
          <w:kern w:val="2"/>
          <w:szCs w:val="21"/>
          <w:highlight w:val="none"/>
          <w:lang w:val="en-US" w:eastAsia="zh-CN"/>
        </w:rPr>
        <w:t>投标人</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②</w:t>
      </w:r>
      <w:r>
        <w:rPr>
          <w:rFonts w:hint="eastAsia" w:ascii="宋体" w:hAnsi="宋体" w:eastAsia="宋体" w:cs="宋体"/>
          <w:b w:val="0"/>
          <w:bCs w:val="0"/>
          <w:color w:val="auto"/>
          <w:szCs w:val="21"/>
          <w:highlight w:val="none"/>
        </w:rPr>
        <w:t>已供货产品任意一张发票</w:t>
      </w:r>
      <w:r>
        <w:rPr>
          <w:rFonts w:hint="eastAsia" w:ascii="宋体" w:hAnsi="宋体" w:eastAsia="宋体" w:cs="宋体"/>
          <w:b w:val="0"/>
          <w:bCs w:val="0"/>
          <w:color w:val="auto"/>
          <w:szCs w:val="21"/>
          <w:highlight w:val="none"/>
          <w:lang w:val="zh-CN"/>
        </w:rPr>
        <w:t>复印件</w:t>
      </w:r>
      <w:r>
        <w:rPr>
          <w:rFonts w:hint="eastAsia" w:ascii="宋体" w:hAnsi="宋体" w:eastAsia="宋体" w:cs="宋体"/>
          <w:b w:val="0"/>
          <w:bCs w:val="0"/>
          <w:color w:val="auto"/>
          <w:szCs w:val="21"/>
          <w:highlight w:val="none"/>
        </w:rPr>
        <w:t>（发票开具日期须在本项目招标公告发布之日前），否则不得分；</w:t>
      </w:r>
    </w:p>
    <w:p>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无明确金额的合同，必须同时提供合同期限内已供货产品发票金额统计表和供货发票复印件，否则，视为无效业绩；</w:t>
      </w:r>
    </w:p>
    <w:p>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年1月1日或以后、金额、合同标的必须包含投标品牌</w:t>
      </w:r>
      <w:r>
        <w:rPr>
          <w:rFonts w:hint="eastAsia" w:ascii="宋体" w:hAnsi="宋体" w:eastAsia="宋体" w:cs="宋体"/>
          <w:color w:val="auto"/>
          <w:szCs w:val="21"/>
          <w:highlight w:val="none"/>
          <w:lang w:val="en-US" w:eastAsia="zh-CN"/>
        </w:rPr>
        <w:t>液体次氯酸钠</w:t>
      </w:r>
      <w:r>
        <w:rPr>
          <w:rFonts w:hint="eastAsia" w:ascii="宋体" w:hAnsi="宋体" w:eastAsia="宋体" w:cs="宋体"/>
          <w:color w:val="auto"/>
          <w:szCs w:val="21"/>
          <w:highlight w:val="none"/>
        </w:rPr>
        <w:t>）的，还需提供产品购买方出具的书面补充说明文件复印件作为辅助证明（补充说明文件复印件能显示购买方公章），否则不得分</w:t>
      </w:r>
      <w:bookmarkEnd w:id="592"/>
      <w:r>
        <w:rPr>
          <w:rFonts w:hint="eastAsia" w:ascii="宋体" w:hAnsi="宋体" w:eastAsia="宋体" w:cs="宋体"/>
          <w:color w:val="auto"/>
          <w:sz w:val="21"/>
          <w:szCs w:val="21"/>
          <w:highlight w:val="none"/>
        </w:rPr>
        <w:t>；</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pageBreakBefore w:val="0"/>
        <w:snapToGrid/>
        <w:spacing w:line="240" w:lineRule="auto"/>
        <w:ind w:left="0" w:leftChars="0" w:firstLine="0" w:firstLineChars="0"/>
        <w:outlineLvl w:val="9"/>
        <w:rPr>
          <w:rFonts w:hint="eastAsia" w:ascii="宋体" w:hAnsi="宋体" w:eastAsia="宋体" w:cs="宋体"/>
          <w:b/>
          <w:color w:val="auto"/>
          <w:kern w:val="2"/>
          <w:sz w:val="32"/>
          <w:szCs w:val="32"/>
          <w:highlight w:val="none"/>
          <w:lang w:val="zh-CN"/>
        </w:rPr>
      </w:pPr>
      <w:bookmarkStart w:id="593" w:name="_Toc5759"/>
      <w:bookmarkStart w:id="594" w:name="_Toc17693"/>
      <w:bookmarkStart w:id="595" w:name="_Toc30532"/>
      <w:r>
        <w:rPr>
          <w:rFonts w:hint="eastAsia" w:ascii="宋体" w:hAnsi="宋体" w:eastAsia="宋体" w:cs="宋体"/>
          <w:b/>
          <w:color w:val="auto"/>
          <w:kern w:val="2"/>
          <w:sz w:val="32"/>
          <w:szCs w:val="32"/>
          <w:highlight w:val="none"/>
          <w:lang w:val="zh-CN"/>
        </w:rPr>
        <w:br w:type="page"/>
      </w:r>
    </w:p>
    <w:p>
      <w:pPr>
        <w:pageBreakBefore w:val="0"/>
        <w:tabs>
          <w:tab w:val="left" w:pos="567"/>
        </w:tabs>
        <w:autoSpaceDE w:val="0"/>
        <w:autoSpaceDN w:val="0"/>
        <w:adjustRightInd w:val="0"/>
        <w:snapToGrid/>
        <w:spacing w:line="360" w:lineRule="auto"/>
        <w:ind w:left="0" w:leftChars="0" w:firstLine="0" w:firstLineChars="0"/>
        <w:jc w:val="left"/>
        <w:outlineLvl w:val="2"/>
        <w:rPr>
          <w:rFonts w:hint="eastAsia" w:ascii="宋体" w:hAnsi="宋体" w:eastAsia="宋体" w:cs="宋体"/>
          <w:b/>
          <w:color w:val="auto"/>
          <w:kern w:val="2"/>
          <w:sz w:val="32"/>
          <w:szCs w:val="32"/>
          <w:highlight w:val="none"/>
          <w:lang w:val="zh-CN"/>
        </w:rPr>
      </w:pPr>
      <w:bookmarkStart w:id="596" w:name="_Toc214"/>
      <w:bookmarkStart w:id="597" w:name="_Toc25124"/>
      <w:r>
        <w:rPr>
          <w:rFonts w:hint="eastAsia" w:ascii="宋体" w:hAnsi="宋体" w:eastAsia="宋体" w:cs="宋体"/>
          <w:b/>
          <w:color w:val="auto"/>
          <w:kern w:val="2"/>
          <w:sz w:val="32"/>
          <w:szCs w:val="32"/>
          <w:highlight w:val="none"/>
          <w:lang w:val="zh-CN"/>
        </w:rPr>
        <w:t>附表：已</w:t>
      </w:r>
      <w:r>
        <w:rPr>
          <w:rFonts w:hint="eastAsia" w:ascii="宋体" w:hAnsi="宋体" w:eastAsia="宋体" w:cs="宋体"/>
          <w:b/>
          <w:bCs/>
          <w:color w:val="auto"/>
          <w:kern w:val="0"/>
          <w:sz w:val="30"/>
          <w:szCs w:val="30"/>
          <w:highlight w:val="none"/>
          <w:lang w:val="zh-CN"/>
        </w:rPr>
        <w:t>供货</w:t>
      </w:r>
      <w:r>
        <w:rPr>
          <w:rFonts w:hint="eastAsia" w:ascii="宋体" w:hAnsi="宋体" w:eastAsia="宋体" w:cs="宋体"/>
          <w:b/>
          <w:color w:val="auto"/>
          <w:kern w:val="2"/>
          <w:sz w:val="32"/>
          <w:szCs w:val="32"/>
          <w:highlight w:val="none"/>
          <w:lang w:val="zh-CN"/>
        </w:rPr>
        <w:t>产品发票金额统计表</w:t>
      </w:r>
      <w:bookmarkEnd w:id="593"/>
      <w:bookmarkEnd w:id="594"/>
      <w:bookmarkEnd w:id="595"/>
      <w:bookmarkEnd w:id="596"/>
      <w:bookmarkEnd w:id="597"/>
    </w:p>
    <w:tbl>
      <w:tblPr>
        <w:tblStyle w:val="43"/>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79" w:type="dxa"/>
            <w:gridSpan w:val="2"/>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79" w:type="dxa"/>
            <w:gridSpan w:val="2"/>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79" w:type="dxa"/>
            <w:gridSpan w:val="2"/>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jc w:val="center"/>
        </w:trPr>
        <w:tc>
          <w:tcPr>
            <w:tcW w:w="877"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jc w:val="center"/>
        </w:trPr>
        <w:tc>
          <w:tcPr>
            <w:tcW w:w="877"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jc w:val="center"/>
        </w:trPr>
        <w:tc>
          <w:tcPr>
            <w:tcW w:w="877"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jc w:val="center"/>
        </w:trPr>
        <w:tc>
          <w:tcPr>
            <w:tcW w:w="877"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jc w:val="center"/>
        </w:trPr>
        <w:tc>
          <w:tcPr>
            <w:tcW w:w="877"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pPr>
              <w:pStyle w:val="21"/>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pPr>
        <w:snapToGrid w:val="0"/>
        <w:spacing w:line="360" w:lineRule="auto"/>
        <w:ind w:left="491" w:leftChars="-57" w:hanging="611" w:hangingChars="291"/>
        <w:rPr>
          <w:rFonts w:hint="eastAsia" w:ascii="宋体" w:hAnsi="宋体" w:eastAsia="宋体" w:cs="宋体"/>
          <w:color w:val="auto"/>
          <w:kern w:val="2"/>
          <w:sz w:val="21"/>
          <w:highlight w:val="none"/>
        </w:rPr>
      </w:pPr>
    </w:p>
    <w:p>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pPr>
        <w:snapToGrid w:val="0"/>
        <w:spacing w:line="360" w:lineRule="auto"/>
        <w:ind w:left="396" w:leftChars="-58" w:hanging="518" w:hangingChars="247"/>
        <w:rPr>
          <w:rFonts w:hint="eastAsia" w:ascii="宋体" w:hAnsi="宋体" w:eastAsia="宋体" w:cs="宋体"/>
          <w:color w:val="auto"/>
          <w:kern w:val="2"/>
          <w:sz w:val="21"/>
          <w:highlight w:val="none"/>
        </w:rPr>
      </w:pPr>
      <w:bookmarkStart w:id="598" w:name="_Toc19437"/>
      <w:r>
        <w:rPr>
          <w:rFonts w:hint="eastAsia" w:ascii="宋体" w:hAnsi="宋体" w:eastAsia="宋体" w:cs="宋体"/>
          <w:color w:val="auto"/>
          <w:kern w:val="2"/>
          <w:sz w:val="21"/>
          <w:highlight w:val="none"/>
        </w:rPr>
        <w:t>（1）本统计表及供货发票复印件应后附于合同复印件；</w:t>
      </w:r>
      <w:bookmarkEnd w:id="598"/>
    </w:p>
    <w:p>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bookmarkStart w:id="599" w:name="_Toc27820"/>
      <w:bookmarkStart w:id="600" w:name="_Toc23207"/>
      <w:r>
        <w:rPr>
          <w:rFonts w:hint="eastAsia" w:ascii="宋体" w:hAnsi="宋体" w:eastAsia="宋体" w:cs="宋体"/>
          <w:b/>
          <w:color w:val="auto"/>
          <w:kern w:val="0"/>
          <w:sz w:val="32"/>
          <w:szCs w:val="32"/>
          <w:highlight w:val="none"/>
          <w:lang w:val="zh-CN" w:eastAsia="zh-CN" w:bidi="ar-SA"/>
        </w:rPr>
        <w:br w:type="page"/>
      </w:r>
      <w:bookmarkEnd w:id="599"/>
      <w:bookmarkEnd w:id="600"/>
    </w:p>
    <w:bookmarkEnd w:id="589"/>
    <w:bookmarkEnd w:id="590"/>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1" w:name="_Toc142508378"/>
      <w:bookmarkStart w:id="602" w:name="_Toc486167719"/>
      <w:bookmarkStart w:id="603" w:name="_Toc13822"/>
      <w:bookmarkStart w:id="604" w:name="_Toc11745"/>
      <w:bookmarkStart w:id="605" w:name="_Toc533708132"/>
      <w:bookmarkStart w:id="606" w:name="_Toc1977737"/>
      <w:bookmarkStart w:id="607" w:name="_Toc104991885"/>
      <w:bookmarkStart w:id="608" w:name="_Toc94107220"/>
      <w:bookmarkStart w:id="609" w:name="_Toc18175_WPSOffice_Level2"/>
      <w:bookmarkStart w:id="610" w:name="_Toc16849"/>
      <w:bookmarkStart w:id="611" w:name="_Toc140596938"/>
      <w:bookmarkStart w:id="612" w:name="_Toc24119"/>
      <w:bookmarkStart w:id="613" w:name="_Toc28037"/>
      <w:bookmarkStart w:id="614" w:name="_Toc102860427"/>
      <w:bookmarkStart w:id="615" w:name="_Toc102860083"/>
      <w:r>
        <w:rPr>
          <w:rFonts w:hint="eastAsia" w:ascii="宋体" w:hAnsi="宋体" w:eastAsia="宋体" w:cs="宋体"/>
          <w:b/>
          <w:bCs/>
          <w:color w:val="auto"/>
          <w:kern w:val="0"/>
          <w:sz w:val="32"/>
          <w:szCs w:val="32"/>
          <w:highlight w:val="none"/>
          <w:lang w:val="zh-CN"/>
        </w:rPr>
        <w:t>十、投标保证金汇入情况说明</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16" w:name="_Toc31832_WPSOffice_Level3"/>
      <w:r>
        <w:rPr>
          <w:rFonts w:hint="eastAsia" w:ascii="宋体" w:hAnsi="宋体" w:eastAsia="宋体" w:cs="宋体"/>
          <w:b/>
          <w:bCs/>
          <w:color w:val="auto"/>
          <w:kern w:val="0"/>
          <w:sz w:val="24"/>
          <w:szCs w:val="24"/>
          <w:highlight w:val="none"/>
        </w:rPr>
        <w:t>投标保证金汇入情况说明</w:t>
      </w:r>
      <w:bookmarkEnd w:id="616"/>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东莞市水务环境投资控股集团净水有限公司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东莞市水务环境投资控股集团净水有限公司2026年-2027年生产药剂液体次氯酸钠采购项目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GXTZ-ZB-2026第（76）号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17" w:name="_Toc26208_WPSOffice_Level3"/>
      <w:r>
        <w:rPr>
          <w:rFonts w:hint="eastAsia" w:ascii="宋体" w:hAnsi="宋体" w:eastAsia="宋体" w:cs="宋体"/>
          <w:b/>
          <w:bCs/>
          <w:color w:val="auto"/>
          <w:szCs w:val="21"/>
          <w:highlight w:val="none"/>
        </w:rPr>
        <w:t>附：1、我方投标保证金汇款凭证（复印件）</w:t>
      </w:r>
      <w:bookmarkEnd w:id="617"/>
    </w:p>
    <w:p>
      <w:pPr>
        <w:spacing w:line="360" w:lineRule="auto"/>
        <w:ind w:left="340" w:leftChars="162" w:firstLine="839" w:firstLineChars="398"/>
        <w:rPr>
          <w:rFonts w:ascii="宋体" w:hAnsi="宋体" w:eastAsia="宋体" w:cs="宋体"/>
          <w:b/>
          <w:bCs/>
          <w:color w:val="auto"/>
          <w:szCs w:val="21"/>
          <w:highlight w:val="none"/>
        </w:rPr>
      </w:pPr>
      <w:bookmarkStart w:id="618" w:name="_Toc12992_WPSOffice_Level3"/>
      <w:r>
        <w:rPr>
          <w:rFonts w:hint="eastAsia" w:ascii="宋体" w:hAnsi="宋体" w:eastAsia="宋体" w:cs="宋体"/>
          <w:b/>
          <w:bCs/>
          <w:color w:val="auto"/>
          <w:szCs w:val="21"/>
          <w:highlight w:val="none"/>
        </w:rPr>
        <w:t>2、我方基本账户开户许可证（复印件）</w:t>
      </w:r>
      <w:bookmarkEnd w:id="618"/>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19" w:name="_Toc486167721"/>
    </w:p>
    <w:p>
      <w:pPr>
        <w:spacing w:line="360" w:lineRule="auto"/>
        <w:ind w:firstLine="424" w:firstLineChars="202"/>
        <w:rPr>
          <w:rFonts w:ascii="宋体" w:hAnsi="宋体" w:eastAsia="宋体" w:cs="宋体"/>
          <w:color w:val="auto"/>
          <w:szCs w:val="24"/>
          <w:highlight w:val="none"/>
        </w:rPr>
      </w:pPr>
      <w:bookmarkStart w:id="620"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1906" w:h="16838"/>
          <w:pgMar w:top="1440" w:right="1080" w:bottom="1440" w:left="1080" w:header="720" w:footer="720" w:gutter="0"/>
          <w:pgNumType w:fmt="decimal"/>
          <w:cols w:space="720" w:num="1"/>
          <w:titlePg/>
          <w:docGrid w:linePitch="326" w:charSpace="0"/>
        </w:sectPr>
      </w:pPr>
      <w:bookmarkStart w:id="621" w:name="_Toc18032"/>
      <w:bookmarkStart w:id="622" w:name="_Toc102860428"/>
      <w:bookmarkStart w:id="623" w:name="_Toc102860084"/>
      <w:bookmarkStart w:id="624" w:name="_Toc140596939"/>
      <w:bookmarkStart w:id="625" w:name="_Toc142508379"/>
      <w:bookmarkStart w:id="626" w:name="_Toc104991886"/>
      <w:bookmarkStart w:id="627" w:name="_Toc28215"/>
      <w:bookmarkStart w:id="628" w:name="_Toc14090"/>
      <w:bookmarkStart w:id="629" w:name="_Toc94107221"/>
      <w:bookmarkStart w:id="630" w:name="_Toc12922"/>
      <w:bookmarkStart w:id="631" w:name="_Toc16292"/>
      <w:bookmarkStart w:id="632" w:name="_Toc19777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1"/>
      <w:bookmarkEnd w:id="622"/>
      <w:bookmarkEnd w:id="623"/>
      <w:bookmarkEnd w:id="624"/>
      <w:bookmarkEnd w:id="625"/>
      <w:bookmarkEnd w:id="626"/>
      <w:bookmarkEnd w:id="627"/>
      <w:bookmarkEnd w:id="628"/>
      <w:bookmarkEnd w:id="629"/>
      <w:bookmarkEnd w:id="630"/>
      <w:bookmarkEnd w:id="631"/>
      <w:bookmarkEnd w:id="632"/>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3" w:name="_Toc102860429"/>
      <w:bookmarkStart w:id="634" w:name="_Toc94107222"/>
      <w:bookmarkStart w:id="635" w:name="_Toc140596940"/>
      <w:bookmarkStart w:id="636" w:name="_Toc104991887"/>
      <w:bookmarkStart w:id="637" w:name="_Toc14341"/>
      <w:bookmarkStart w:id="638" w:name="_Toc1977739"/>
      <w:bookmarkStart w:id="639" w:name="_Toc17462"/>
      <w:bookmarkStart w:id="640" w:name="_Toc102860085"/>
      <w:bookmarkStart w:id="641" w:name="_Toc13241"/>
      <w:bookmarkStart w:id="642" w:name="_Toc15051"/>
      <w:bookmarkStart w:id="643" w:name="_Toc26162"/>
      <w:bookmarkStart w:id="644" w:name="_Toc1425083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20"/>
      <w:bookmarkEnd w:id="633"/>
      <w:bookmarkEnd w:id="634"/>
      <w:bookmarkEnd w:id="635"/>
      <w:bookmarkEnd w:id="636"/>
      <w:bookmarkEnd w:id="637"/>
      <w:bookmarkEnd w:id="638"/>
      <w:bookmarkEnd w:id="639"/>
      <w:bookmarkEnd w:id="640"/>
      <w:bookmarkEnd w:id="641"/>
      <w:bookmarkEnd w:id="642"/>
      <w:bookmarkEnd w:id="643"/>
      <w:bookmarkEnd w:id="644"/>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r>
        <w:rPr>
          <w:rFonts w:hint="eastAsia" w:ascii="宋体" w:hAnsi="宋体" w:eastAsia="宋体" w:cs="宋体"/>
          <w:color w:val="auto"/>
          <w:kern w:val="0"/>
          <w:szCs w:val="21"/>
          <w:highlight w:val="none"/>
        </w:rPr>
        <w:t>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w:t>
      </w:r>
      <w:r>
        <w:rPr>
          <w:rFonts w:hint="eastAsia" w:ascii="宋体" w:hAnsi="宋体" w:eastAsia="宋体" w:cs="宋体"/>
          <w:color w:val="auto"/>
          <w:kern w:val="0"/>
          <w:szCs w:val="21"/>
          <w:highlight w:val="none"/>
        </w:rPr>
        <w:t>户需求偏离表格式）；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w:t>
      </w:r>
      <w:r>
        <w:rPr>
          <w:rFonts w:hint="eastAsia" w:ascii="宋体" w:hAnsi="宋体" w:eastAsia="宋体" w:cs="宋体"/>
          <w:color w:val="auto"/>
          <w:kern w:val="0"/>
          <w:szCs w:val="21"/>
          <w:highlight w:val="none"/>
          <w:lang w:val="zh-CN"/>
        </w:rPr>
        <w:t>格式见1</w:t>
      </w:r>
      <w:r>
        <w:rPr>
          <w:rFonts w:hint="eastAsia" w:ascii="宋体" w:hAnsi="宋体" w:eastAsia="宋体" w:cs="宋体"/>
          <w:color w:val="auto"/>
          <w:kern w:val="0"/>
          <w:szCs w:val="21"/>
          <w:highlight w:val="none"/>
          <w:lang w:val="en-US" w:eastAsia="zh-CN"/>
        </w:rPr>
        <w:t>2.2</w:t>
      </w:r>
      <w:r>
        <w:rPr>
          <w:rFonts w:hint="eastAsia" w:ascii="宋体" w:hAnsi="宋体" w:eastAsia="宋体" w:cs="宋体"/>
          <w:color w:val="auto"/>
          <w:kern w:val="0"/>
          <w:szCs w:val="21"/>
          <w:highlight w:val="none"/>
          <w:lang w:val="zh-CN"/>
        </w:rPr>
        <w:t>投标产品技术指标承诺书格式）；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、生产工艺（投标人自行编写，其中应包含生产工艺流程图）；</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 w:val="21"/>
          <w:szCs w:val="21"/>
          <w:highlight w:val="none"/>
          <w:lang w:val="zh-CN" w:eastAsia="zh-CN"/>
        </w:rPr>
        <w:t>6、</w:t>
      </w:r>
      <w:r>
        <w:rPr>
          <w:rFonts w:hint="eastAsia" w:ascii="宋体" w:hAnsi="宋体" w:eastAsia="宋体" w:cs="宋体"/>
          <w:color w:val="auto"/>
          <w:kern w:val="0"/>
          <w:szCs w:val="21"/>
          <w:highlight w:val="none"/>
          <w:lang w:val="zh-CN"/>
        </w:rPr>
        <w:t>企业运输能力；</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43"/>
        <w:tblW w:w="996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25"/>
        <w:gridCol w:w="2664"/>
        <w:gridCol w:w="1715"/>
        <w:gridCol w:w="42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25"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664"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15"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256"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2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664"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1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25" w:type="dxa"/>
            <w:vAlign w:val="center"/>
          </w:tcPr>
          <w:p>
            <w:pPr>
              <w:rPr>
                <w:rFonts w:hint="eastAsia" w:ascii="宋体" w:hAnsi="宋体" w:eastAsia="宋体" w:cs="宋体"/>
                <w:bCs/>
                <w:color w:val="auto"/>
                <w:szCs w:val="21"/>
                <w:highlight w:val="none"/>
              </w:rPr>
            </w:pPr>
          </w:p>
        </w:tc>
        <w:tc>
          <w:tcPr>
            <w:tcW w:w="2664" w:type="dxa"/>
            <w:vAlign w:val="center"/>
          </w:tcPr>
          <w:p>
            <w:pPr>
              <w:rPr>
                <w:rFonts w:hint="eastAsia" w:ascii="宋体" w:hAnsi="宋体" w:eastAsia="宋体" w:cs="宋体"/>
                <w:bCs/>
                <w:color w:val="auto"/>
                <w:szCs w:val="21"/>
                <w:highlight w:val="none"/>
              </w:rPr>
            </w:pPr>
          </w:p>
        </w:tc>
        <w:tc>
          <w:tcPr>
            <w:tcW w:w="1715" w:type="dxa"/>
            <w:vAlign w:val="center"/>
          </w:tcPr>
          <w:p>
            <w:pPr>
              <w:rPr>
                <w:rFonts w:hint="eastAsia" w:ascii="宋体" w:hAnsi="宋体" w:eastAsia="宋体" w:cs="宋体"/>
                <w:bCs/>
                <w:color w:val="auto"/>
                <w:szCs w:val="21"/>
                <w:highlight w:val="none"/>
              </w:rPr>
            </w:pPr>
          </w:p>
        </w:tc>
        <w:tc>
          <w:tcPr>
            <w:tcW w:w="4256"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2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664"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15"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25"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664"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15"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3989"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15"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256"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19"/>
      <w:bookmarkStart w:id="645" w:name="_Toc12178"/>
      <w:bookmarkStart w:id="646" w:name="_Toc142508381"/>
      <w:bookmarkStart w:id="647" w:name="_Toc102860086"/>
      <w:bookmarkStart w:id="648" w:name="_Toc1977740"/>
      <w:bookmarkStart w:id="649" w:name="_Toc14754"/>
      <w:bookmarkStart w:id="650" w:name="_Toc102860430"/>
      <w:bookmarkStart w:id="651" w:name="_Toc19443"/>
      <w:bookmarkStart w:id="652" w:name="_Toc104991888"/>
      <w:bookmarkStart w:id="653" w:name="_Toc1558"/>
      <w:bookmarkStart w:id="654" w:name="_Toc533708135"/>
      <w:bookmarkStart w:id="655" w:name="_Toc20630"/>
      <w:bookmarkStart w:id="656" w:name="_Toc140596941"/>
      <w:bookmarkStart w:id="657" w:name="_Toc94107223"/>
      <w:r>
        <w:rPr>
          <w:rFonts w:hint="eastAsia" w:ascii="宋体" w:hAnsi="宋体" w:eastAsia="宋体" w:cs="宋体"/>
          <w:b/>
          <w:color w:val="auto"/>
          <w:kern w:val="0"/>
          <w:sz w:val="30"/>
          <w:szCs w:val="30"/>
          <w:highlight w:val="none"/>
          <w:lang w:val="en-US" w:eastAsia="zh-CN"/>
        </w:rPr>
        <w:t>12</w:t>
      </w:r>
      <w:r>
        <w:rPr>
          <w:rFonts w:hint="eastAsia" w:ascii="宋体" w:hAnsi="宋体" w:eastAsia="宋体" w:cs="宋体"/>
          <w:b/>
          <w:color w:val="auto"/>
          <w:kern w:val="0"/>
          <w:sz w:val="30"/>
          <w:szCs w:val="30"/>
          <w:highlight w:val="none"/>
        </w:rPr>
        <w:t>.1 用户需求偏离表格式</w:t>
      </w:r>
      <w:bookmarkEnd w:id="645"/>
      <w:bookmarkEnd w:id="646"/>
      <w:bookmarkEnd w:id="647"/>
      <w:bookmarkEnd w:id="648"/>
      <w:bookmarkEnd w:id="649"/>
      <w:bookmarkEnd w:id="650"/>
      <w:bookmarkEnd w:id="651"/>
      <w:bookmarkEnd w:id="652"/>
      <w:bookmarkEnd w:id="653"/>
      <w:bookmarkEnd w:id="654"/>
      <w:bookmarkEnd w:id="655"/>
      <w:bookmarkEnd w:id="656"/>
      <w:bookmarkEnd w:id="657"/>
    </w:p>
    <w:p>
      <w:pPr>
        <w:spacing w:before="120" w:after="120" w:line="360" w:lineRule="auto"/>
        <w:jc w:val="center"/>
        <w:rPr>
          <w:rFonts w:ascii="宋体" w:hAnsi="宋体" w:eastAsia="宋体" w:cs="Times New Roman"/>
          <w:color w:val="auto"/>
          <w:kern w:val="0"/>
          <w:szCs w:val="21"/>
          <w:highlight w:val="none"/>
        </w:rPr>
      </w:pPr>
      <w:bookmarkStart w:id="658" w:name="_Toc17449_WPSOffice_Level3"/>
      <w:r>
        <w:rPr>
          <w:rFonts w:hint="eastAsia" w:ascii="宋体" w:hAnsi="宋体" w:eastAsia="宋体" w:cs="宋体"/>
          <w:b/>
          <w:color w:val="auto"/>
          <w:kern w:val="0"/>
          <w:sz w:val="30"/>
          <w:szCs w:val="30"/>
          <w:highlight w:val="none"/>
          <w:lang w:val="zh-CN"/>
        </w:rPr>
        <w:t>用户需求偏离表</w:t>
      </w:r>
      <w:bookmarkEnd w:id="658"/>
    </w:p>
    <w:tbl>
      <w:tblPr>
        <w:tblStyle w:val="43"/>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02"/>
        <w:gridCol w:w="6148"/>
        <w:gridCol w:w="678"/>
        <w:gridCol w:w="82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Merge w:val="restart"/>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050" w:type="dxa"/>
            <w:gridSpan w:val="2"/>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276" w:type="dxa"/>
            <w:gridSpan w:val="3"/>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Merge w:val="continue"/>
            <w:vAlign w:val="center"/>
          </w:tcPr>
          <w:p>
            <w:pPr>
              <w:keepNext/>
              <w:keepLines/>
              <w:spacing w:line="360" w:lineRule="auto"/>
              <w:jc w:val="center"/>
              <w:outlineLvl w:val="0"/>
              <w:rPr>
                <w:rFonts w:hint="eastAsia" w:ascii="宋体" w:hAnsi="宋体" w:eastAsia="宋体" w:cs="宋体"/>
                <w:color w:val="auto"/>
                <w:kern w:val="0"/>
                <w:sz w:val="21"/>
                <w:szCs w:val="21"/>
                <w:highlight w:val="none"/>
              </w:rPr>
            </w:pPr>
          </w:p>
        </w:tc>
        <w:tc>
          <w:tcPr>
            <w:tcW w:w="902"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148"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678"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20"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778"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一</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基本招标要求</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二</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标的物</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lang w:val="en-US" w:eastAsia="zh-CN"/>
              </w:rPr>
              <w:t>三</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交货要求</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lang w:val="en-US" w:eastAsia="zh-CN"/>
              </w:rPr>
              <w:t>四</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验收要求</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资料要求</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六</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质量保证及售后要求</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七</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货物的结算</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八</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其它要求</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902"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附件1</w:t>
            </w:r>
          </w:p>
        </w:tc>
        <w:tc>
          <w:tcPr>
            <w:tcW w:w="614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招标人运营项目相关信息</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902"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w:t>
            </w:r>
          </w:p>
        </w:tc>
        <w:tc>
          <w:tcPr>
            <w:tcW w:w="61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验收报告（模板）</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902"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附件3</w:t>
            </w:r>
          </w:p>
        </w:tc>
        <w:tc>
          <w:tcPr>
            <w:tcW w:w="61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供应商履约评价表</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62" w:type="dxa"/>
            <w:gridSpan w:val="6"/>
            <w:vAlign w:val="center"/>
          </w:tcPr>
          <w:p>
            <w:pPr>
              <w:keepNext/>
              <w:keepLines/>
              <w:spacing w:line="360" w:lineRule="auto"/>
              <w:jc w:val="both"/>
              <w:outlineLvl w:val="2"/>
              <w:rPr>
                <w:rFonts w:hint="eastAsia" w:ascii="宋体" w:hAnsi="宋体" w:eastAsia="宋体" w:cs="宋体"/>
                <w:color w:val="auto"/>
                <w:kern w:val="0"/>
                <w:sz w:val="21"/>
                <w:szCs w:val="21"/>
                <w:highlight w:val="none"/>
              </w:rPr>
            </w:pPr>
            <w:bookmarkStart w:id="659" w:name="_Toc8353"/>
            <w:bookmarkStart w:id="660" w:name="_Toc26793"/>
            <w:bookmarkStart w:id="661" w:name="_Toc23801"/>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bookmarkEnd w:id="659"/>
            <w:bookmarkEnd w:id="660"/>
            <w:bookmarkEnd w:id="6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902"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6148" w:type="dxa"/>
            <w:vAlign w:val="center"/>
          </w:tcPr>
          <w:p>
            <w:pPr>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本次采购涉及招标人运营项目及采购数量为暂定，仅为便于计算暂定合同价使用，不作为招标人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eastAsia="zh-CN"/>
              </w:rPr>
              <w:t>尚源公司</w:t>
            </w:r>
            <w:r>
              <w:rPr>
                <w:rFonts w:hint="eastAsia" w:ascii="宋体" w:hAnsi="宋体" w:eastAsia="宋体" w:cs="宋体"/>
                <w:b/>
                <w:color w:val="auto"/>
                <w:sz w:val="21"/>
                <w:szCs w:val="21"/>
                <w:highlight w:val="none"/>
              </w:rPr>
              <w:t>最终采购数量的保证，招标人保留根据运营项目实际情况，对采购数量进行灵活调整的权利。实际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rPr>
              <w:t>尚源公司的实际需求数量以招标人运营项目每次的供货通知为准，在供货期内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w:t>
            </w:r>
            <w:r>
              <w:rPr>
                <w:rFonts w:hint="eastAsia" w:ascii="宋体" w:hAnsi="宋体" w:eastAsia="宋体" w:cs="宋体"/>
                <w:b/>
                <w:color w:val="auto"/>
                <w:sz w:val="21"/>
                <w:szCs w:val="21"/>
                <w:highlight w:val="none"/>
                <w:lang w:eastAsia="zh-CN"/>
              </w:rPr>
              <w:t>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eastAsia="zh-CN"/>
              </w:rPr>
              <w:t>尚源公司</w:t>
            </w:r>
            <w:r>
              <w:rPr>
                <w:rFonts w:hint="eastAsia" w:ascii="宋体" w:hAnsi="宋体" w:eastAsia="宋体" w:cs="宋体"/>
                <w:b/>
                <w:color w:val="auto"/>
                <w:sz w:val="21"/>
                <w:szCs w:val="21"/>
                <w:highlight w:val="none"/>
              </w:rPr>
              <w:t>实际采购数量的减少或增加而要求提供任何形式的补偿或赔偿，或要求招标人权属子公司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rPr>
              <w:t>尚源公司按暂定采购数量采购相应货物</w:t>
            </w:r>
            <w:r>
              <w:rPr>
                <w:rFonts w:hint="eastAsia" w:ascii="宋体" w:hAnsi="宋体" w:eastAsia="宋体" w:cs="宋体"/>
                <w:b/>
                <w:bCs/>
                <w:color w:val="auto"/>
                <w:kern w:val="2"/>
                <w:sz w:val="21"/>
                <w:szCs w:val="21"/>
                <w:highlight w:val="none"/>
                <w:lang w:val="en-US" w:eastAsia="zh-CN" w:bidi="ar"/>
              </w:rPr>
              <w:t>。</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63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902"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6148" w:type="dxa"/>
            <w:vAlign w:val="center"/>
          </w:tcPr>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pPr>
              <w:spacing w:line="360" w:lineRule="auto"/>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次氯酸钠产品外观为浅黄色透明液体，无沉淀，无悬浮异物。</w:t>
            </w:r>
          </w:p>
          <w:p>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次氯酸钠必须符合《次氯酸钠》（GB</w:t>
            </w:r>
            <w:r>
              <w:rPr>
                <w:rFonts w:hint="eastAsia" w:ascii="宋体" w:hAnsi="宋体" w:eastAsia="宋体" w:cs="宋体"/>
                <w:b/>
                <w:bCs/>
                <w:color w:val="auto"/>
                <w:szCs w:val="21"/>
                <w:highlight w:val="none"/>
                <w:lang w:val="en-US" w:eastAsia="zh-CN"/>
              </w:rPr>
              <w:t>/T</w:t>
            </w:r>
            <w:r>
              <w:rPr>
                <w:rFonts w:hint="eastAsia" w:ascii="宋体" w:hAnsi="宋体" w:eastAsia="宋体" w:cs="宋体"/>
                <w:b/>
                <w:bCs/>
                <w:color w:val="auto"/>
                <w:szCs w:val="21"/>
                <w:highlight w:val="none"/>
              </w:rPr>
              <w:t xml:space="preserve"> 19106—2013）A型Ⅱ类产品质量及检测标准，包括下表技术指标：</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bCs/>
                <w:color w:val="auto"/>
                <w:szCs w:val="21"/>
                <w:highlight w:val="none"/>
              </w:rPr>
              <w:t>液</w:t>
            </w:r>
            <w:r>
              <w:rPr>
                <w:rFonts w:hint="eastAsia" w:ascii="宋体" w:hAnsi="宋体" w:eastAsia="宋体" w:cs="宋体"/>
                <w:b/>
                <w:bCs/>
                <w:color w:val="auto"/>
                <w:szCs w:val="21"/>
                <w:highlight w:val="none"/>
                <w:lang w:val="en-US" w:eastAsia="zh-CN"/>
              </w:rPr>
              <w:t>体</w:t>
            </w:r>
            <w:r>
              <w:rPr>
                <w:rFonts w:hint="eastAsia" w:ascii="宋体" w:hAnsi="宋体" w:eastAsia="宋体" w:cs="宋体"/>
                <w:b/>
                <w:bCs/>
                <w:color w:val="auto"/>
                <w:szCs w:val="21"/>
                <w:highlight w:val="none"/>
              </w:rPr>
              <w:t>次氯酸钠主要技术指标</w:t>
            </w:r>
          </w:p>
          <w:tbl>
            <w:tblPr>
              <w:tblStyle w:val="43"/>
              <w:tblW w:w="5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2"/>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3332"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指标项目</w:t>
                  </w:r>
                </w:p>
              </w:tc>
              <w:tc>
                <w:tcPr>
                  <w:tcW w:w="2590"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32"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有效氯（以Cl计）  ω/% </w:t>
                  </w:r>
                </w:p>
              </w:tc>
              <w:tc>
                <w:tcPr>
                  <w:tcW w:w="259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32"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游离碱（以NaOH计）ω/% </w:t>
                  </w:r>
                </w:p>
              </w:tc>
              <w:tc>
                <w:tcPr>
                  <w:tcW w:w="259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32"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铁（Fe）           ω/% </w:t>
                  </w:r>
                </w:p>
              </w:tc>
              <w:tc>
                <w:tcPr>
                  <w:tcW w:w="259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32"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重金属（以Pb计）  ω/% </w:t>
                  </w:r>
                </w:p>
              </w:tc>
              <w:tc>
                <w:tcPr>
                  <w:tcW w:w="259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32" w:type="dxa"/>
                  <w:vAlign w:val="center"/>
                </w:tcPr>
                <w:p>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砷（As）           ω/% </w:t>
                  </w:r>
                </w:p>
              </w:tc>
              <w:tc>
                <w:tcPr>
                  <w:tcW w:w="2590" w:type="dxa"/>
                  <w:vAlign w:val="center"/>
                </w:tcPr>
                <w:p>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≤0.0001</w:t>
                  </w:r>
                </w:p>
              </w:tc>
            </w:tr>
          </w:tbl>
          <w:p>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（3）供货期间，如有发布最新的行业标准或国家标准，招标人</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bCs/>
                <w:color w:val="auto"/>
                <w:szCs w:val="21"/>
                <w:highlight w:val="none"/>
                <w:lang w:val="en-US" w:eastAsia="zh-CN"/>
              </w:rPr>
              <w:t>招标人权属子公司</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bCs/>
                <w:color w:val="auto"/>
                <w:szCs w:val="21"/>
                <w:highlight w:val="none"/>
                <w:lang w:val="en-US" w:eastAsia="zh-CN"/>
              </w:rPr>
              <w:t>尚源公司有权根据项目实际情况及有关行业标准或国家标准对合同的主要技术指标进行变更调整，</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Cs w:val="21"/>
                <w:highlight w:val="none"/>
                <w:lang w:val="en-US" w:eastAsia="zh-CN"/>
              </w:rPr>
              <w:t>应无条件接受。</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人所供产品的真实质量，必须满足本用户需求书的所有技术指标。</w:t>
            </w:r>
          </w:p>
        </w:tc>
        <w:tc>
          <w:tcPr>
            <w:tcW w:w="6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820"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778"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662" w:name="_Toc22884"/>
      <w:bookmarkStart w:id="663" w:name="_Toc14005"/>
      <w:bookmarkStart w:id="664" w:name="_Toc16978"/>
      <w:bookmarkStart w:id="665" w:name="_Toc31571"/>
      <w:bookmarkStart w:id="666" w:name="_Toc6388"/>
      <w:bookmarkStart w:id="667" w:name="_Toc142508389"/>
      <w:bookmarkStart w:id="668" w:name="_Toc102860438"/>
      <w:bookmarkStart w:id="669" w:name="_Toc102860094"/>
      <w:bookmarkStart w:id="670" w:name="_Toc140596949"/>
      <w:bookmarkStart w:id="671" w:name="_Toc104991896"/>
      <w:bookmarkStart w:id="672" w:name="_Toc533708139"/>
      <w:r>
        <w:rPr>
          <w:rFonts w:hint="eastAsia" w:ascii="宋体" w:hAnsi="宋体" w:eastAsia="宋体" w:cs="宋体"/>
          <w:b/>
          <w:color w:val="auto"/>
          <w:kern w:val="0"/>
          <w:sz w:val="30"/>
          <w:szCs w:val="30"/>
          <w:highlight w:val="none"/>
          <w:lang w:val="en-US" w:eastAsia="zh-CN"/>
        </w:rPr>
        <w:t xml:space="preserve">12.2 </w:t>
      </w:r>
      <w:bookmarkStart w:id="673" w:name="_Toc12490"/>
      <w:bookmarkStart w:id="674" w:name="_Toc78709794"/>
      <w:r>
        <w:rPr>
          <w:rFonts w:hint="eastAsia" w:ascii="宋体" w:hAnsi="宋体" w:eastAsia="宋体" w:cs="宋体"/>
          <w:b/>
          <w:color w:val="auto"/>
          <w:kern w:val="0"/>
          <w:sz w:val="30"/>
          <w:szCs w:val="30"/>
          <w:highlight w:val="none"/>
          <w:lang w:val="zh-CN"/>
        </w:rPr>
        <w:t>投标产品技术指标承诺书格式</w:t>
      </w:r>
      <w:bookmarkEnd w:id="662"/>
      <w:bookmarkEnd w:id="663"/>
      <w:bookmarkEnd w:id="664"/>
      <w:bookmarkEnd w:id="665"/>
      <w:bookmarkEnd w:id="666"/>
      <w:bookmarkEnd w:id="673"/>
      <w:bookmarkEnd w:id="674"/>
    </w:p>
    <w:p>
      <w:pPr>
        <w:spacing w:line="360" w:lineRule="auto"/>
        <w:jc w:val="center"/>
        <w:rPr>
          <w:rFonts w:hint="eastAsia" w:ascii="宋体" w:hAnsi="宋体" w:eastAsia="宋体" w:cs="宋体"/>
          <w:b/>
          <w:bCs/>
          <w:color w:val="auto"/>
          <w:kern w:val="2"/>
          <w:sz w:val="32"/>
          <w:szCs w:val="32"/>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东莞市水务环境投资控股集团净水有限公司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pPr>
        <w:snapToGrid w:val="0"/>
        <w:spacing w:line="360" w:lineRule="auto"/>
        <w:ind w:left="399" w:leftChars="-58" w:hanging="521" w:hangingChars="247"/>
        <w:rPr>
          <w:rFonts w:hint="eastAsia" w:ascii="宋体" w:hAnsi="宋体" w:eastAsia="宋体" w:cs="宋体"/>
          <w:b/>
          <w:color w:val="auto"/>
          <w:sz w:val="21"/>
          <w:szCs w:val="21"/>
          <w:highlight w:val="none"/>
        </w:rPr>
      </w:pPr>
    </w:p>
    <w:p>
      <w:pPr>
        <w:snapToGrid w:val="0"/>
        <w:spacing w:line="360" w:lineRule="auto"/>
        <w:ind w:left="380" w:hanging="519"/>
        <w:rPr>
          <w:rFonts w:hint="eastAsia" w:ascii="宋体" w:hAnsi="宋体" w:eastAsia="宋体" w:cs="宋体"/>
          <w:b/>
          <w:color w:val="auto"/>
          <w:sz w:val="21"/>
          <w:szCs w:val="21"/>
          <w:highlight w:val="none"/>
        </w:rPr>
      </w:pPr>
    </w:p>
    <w:p>
      <w:pPr>
        <w:rPr>
          <w:rFonts w:hint="eastAsia"/>
          <w:color w:val="auto"/>
          <w:highlight w:val="none"/>
        </w:rPr>
      </w:pPr>
    </w:p>
    <w:p>
      <w:pPr>
        <w:widowControl w:val="0"/>
        <w:spacing w:line="360" w:lineRule="auto"/>
        <w:ind w:firstLine="4200" w:firstLineChars="2000"/>
        <w:jc w:val="both"/>
        <w:rPr>
          <w:rFonts w:hint="eastAsia" w:ascii="宋体" w:hAnsi="宋体" w:eastAsia="宋体" w:cs="宋体"/>
          <w:color w:val="auto"/>
          <w:kern w:val="3"/>
          <w:sz w:val="21"/>
          <w:szCs w:val="21"/>
          <w:highlight w:val="none"/>
          <w:lang w:val="en-US" w:eastAsia="zh-CN" w:bidi="ar-SA"/>
        </w:rPr>
      </w:pPr>
    </w:p>
    <w:p>
      <w:pPr>
        <w:widowControl w:val="0"/>
        <w:spacing w:line="360" w:lineRule="auto"/>
        <w:ind w:firstLine="4200" w:firstLineChars="20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3"/>
          <w:sz w:val="21"/>
          <w:szCs w:val="21"/>
          <w:highlight w:val="none"/>
          <w:lang w:val="en-US" w:eastAsia="zh-CN" w:bidi="ar-SA"/>
        </w:rPr>
        <w:t>投 标 人（加盖投标人法人公章）：</w:t>
      </w:r>
      <w:r>
        <w:rPr>
          <w:rFonts w:hint="eastAsia" w:ascii="宋体" w:hAnsi="宋体" w:eastAsia="宋体" w:cs="宋体"/>
          <w:color w:val="auto"/>
          <w:kern w:val="3"/>
          <w:sz w:val="21"/>
          <w:szCs w:val="21"/>
          <w:highlight w:val="none"/>
          <w:u w:val="single"/>
          <w:lang w:val="en-US" w:eastAsia="zh-CN" w:bidi="ar-SA"/>
        </w:rPr>
        <w:t xml:space="preserve">               </w:t>
      </w:r>
    </w:p>
    <w:p>
      <w:pPr>
        <w:widowControl w:val="0"/>
        <w:spacing w:line="360" w:lineRule="auto"/>
        <w:ind w:firstLine="4200" w:firstLineChars="20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outlineLvl w:val="2"/>
        <w:rPr>
          <w:rFonts w:hint="eastAsia" w:ascii="宋体" w:hAnsi="宋体" w:eastAsia="宋体" w:cs="宋体"/>
          <w:b/>
          <w:color w:val="auto"/>
          <w:sz w:val="32"/>
          <w:szCs w:val="32"/>
          <w:highlight w:val="none"/>
        </w:rPr>
      </w:pPr>
      <w:bookmarkStart w:id="675" w:name="_Toc18661"/>
      <w:bookmarkStart w:id="676" w:name="_Toc8467"/>
      <w:bookmarkStart w:id="677" w:name="_Toc827"/>
      <w:bookmarkStart w:id="678" w:name="_Toc1616"/>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675"/>
      <w:bookmarkEnd w:id="676"/>
      <w:bookmarkEnd w:id="677"/>
      <w:bookmarkEnd w:id="678"/>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679" w:name="_Toc25455"/>
      <w:bookmarkStart w:id="680" w:name="_Toc5202"/>
      <w:bookmarkStart w:id="681" w:name="_Toc17834"/>
      <w:bookmarkStart w:id="682" w:name="_Toc202"/>
      <w:bookmarkStart w:id="683" w:name="_Toc14187"/>
      <w:bookmarkStart w:id="684" w:name="_Toc1222"/>
      <w:bookmarkStart w:id="685" w:name="_Toc770"/>
      <w:r>
        <w:rPr>
          <w:rFonts w:hint="eastAsia" w:ascii="宋体" w:hAnsi="宋体" w:eastAsia="宋体" w:cs="宋体"/>
          <w:b/>
          <w:color w:val="auto"/>
          <w:kern w:val="0"/>
          <w:sz w:val="30"/>
          <w:szCs w:val="30"/>
          <w:highlight w:val="none"/>
          <w:lang w:val="en-US" w:eastAsia="zh-CN"/>
        </w:rPr>
        <w:t>12.4 生产</w:t>
      </w:r>
      <w:r>
        <w:rPr>
          <w:rFonts w:hint="eastAsia" w:ascii="宋体" w:hAnsi="宋体" w:eastAsia="宋体" w:cs="宋体"/>
          <w:b/>
          <w:color w:val="auto"/>
          <w:sz w:val="32"/>
          <w:szCs w:val="32"/>
          <w:highlight w:val="none"/>
          <w:lang w:eastAsia="zh-CN"/>
        </w:rPr>
        <w:t>供货保障能力</w:t>
      </w:r>
      <w:r>
        <w:rPr>
          <w:rFonts w:hint="eastAsia" w:ascii="宋体" w:hAnsi="宋体" w:eastAsia="宋体" w:cs="宋体"/>
          <w:b/>
          <w:color w:val="auto"/>
          <w:sz w:val="32"/>
          <w:szCs w:val="32"/>
          <w:highlight w:val="none"/>
        </w:rPr>
        <w:t>（投标人自行编写）</w:t>
      </w:r>
      <w:bookmarkEnd w:id="679"/>
      <w:bookmarkEnd w:id="680"/>
      <w:bookmarkEnd w:id="681"/>
      <w:bookmarkEnd w:id="682"/>
      <w:bookmarkEnd w:id="683"/>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686" w:name="_Toc1028"/>
      <w:bookmarkStart w:id="687" w:name="_Toc2411"/>
      <w:bookmarkStart w:id="688" w:name="_Toc27375"/>
      <w:bookmarkStart w:id="689" w:name="_Toc30570"/>
      <w:bookmarkStart w:id="690" w:name="_Toc1762"/>
      <w:r>
        <w:rPr>
          <w:rFonts w:hint="eastAsia" w:ascii="宋体" w:hAnsi="宋体" w:eastAsia="宋体" w:cs="宋体"/>
          <w:b/>
          <w:color w:val="auto"/>
          <w:sz w:val="32"/>
          <w:szCs w:val="32"/>
          <w:highlight w:val="none"/>
          <w:lang w:val="en-US" w:eastAsia="zh-CN"/>
        </w:rPr>
        <w:t xml:space="preserve">12.5 </w:t>
      </w:r>
      <w:r>
        <w:rPr>
          <w:rFonts w:hint="eastAsia" w:ascii="宋体" w:hAnsi="宋体" w:eastAsia="宋体" w:cs="宋体"/>
          <w:b/>
          <w:color w:val="auto"/>
          <w:sz w:val="32"/>
          <w:szCs w:val="32"/>
          <w:highlight w:val="none"/>
        </w:rPr>
        <w:t>质量保证体系和措施（投标人自行编写）</w:t>
      </w:r>
      <w:bookmarkEnd w:id="686"/>
      <w:bookmarkEnd w:id="687"/>
      <w:bookmarkEnd w:id="688"/>
      <w:bookmarkEnd w:id="689"/>
      <w:bookmarkEnd w:id="690"/>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keepNext w:val="0"/>
        <w:keepLines w:val="0"/>
        <w:pageBreakBefore w:val="0"/>
        <w:widowControl/>
        <w:numPr>
          <w:ilvl w:val="-1"/>
          <w:numId w:val="0"/>
        </w:numPr>
        <w:kinsoku/>
        <w:wordWrap/>
        <w:overflowPunct/>
        <w:topLinePunct w:val="0"/>
        <w:autoSpaceDE w:val="0"/>
        <w:autoSpaceDN w:val="0"/>
        <w:bidi w:val="0"/>
        <w:adjustRightInd w:val="0"/>
        <w:snapToGrid/>
        <w:spacing w:line="360" w:lineRule="auto"/>
        <w:ind w:left="0" w:leftChars="0" w:firstLine="0" w:firstLineChars="0"/>
        <w:jc w:val="left"/>
        <w:textAlignment w:val="auto"/>
        <w:outlineLvl w:val="2"/>
        <w:rPr>
          <w:rFonts w:hint="eastAsia" w:ascii="宋体" w:hAnsi="宋体" w:eastAsia="宋体" w:cs="宋体"/>
          <w:b/>
          <w:color w:val="auto"/>
          <w:kern w:val="0"/>
          <w:sz w:val="32"/>
          <w:szCs w:val="32"/>
          <w:highlight w:val="none"/>
          <w:lang w:val="zh-CN"/>
        </w:rPr>
      </w:pPr>
      <w:bookmarkStart w:id="691" w:name="_Toc21796"/>
      <w:bookmarkStart w:id="692" w:name="_Toc32616"/>
      <w:bookmarkStart w:id="693" w:name="_Toc25865"/>
      <w:r>
        <w:rPr>
          <w:rFonts w:hint="eastAsia" w:ascii="宋体" w:hAnsi="宋体" w:eastAsia="宋体" w:cs="宋体"/>
          <w:b/>
          <w:color w:val="auto"/>
          <w:sz w:val="32"/>
          <w:szCs w:val="32"/>
          <w:highlight w:val="none"/>
          <w:lang w:val="en-US" w:eastAsia="zh-CN"/>
        </w:rPr>
        <w:t xml:space="preserve">12.6 </w:t>
      </w:r>
      <w:r>
        <w:rPr>
          <w:rFonts w:hint="eastAsia" w:ascii="宋体" w:hAnsi="宋体" w:eastAsia="宋体" w:cs="宋体"/>
          <w:b/>
          <w:color w:val="auto"/>
          <w:kern w:val="0"/>
          <w:sz w:val="32"/>
          <w:szCs w:val="32"/>
          <w:highlight w:val="none"/>
          <w:lang w:val="zh-CN" w:eastAsia="zh-CN" w:bidi="ar-SA"/>
        </w:rPr>
        <w:t>企业运输能力</w:t>
      </w:r>
    </w:p>
    <w:p>
      <w:pPr>
        <w:spacing w:line="360" w:lineRule="auto"/>
        <w:jc w:val="left"/>
        <w:rPr>
          <w:rFonts w:ascii="宋体" w:hAnsi="宋体" w:eastAsia="宋体" w:cs="宋体"/>
          <w:color w:val="auto"/>
          <w:kern w:val="0"/>
          <w:szCs w:val="24"/>
          <w:highlight w:val="none"/>
        </w:rPr>
      </w:pPr>
      <w:r>
        <w:rPr>
          <w:rFonts w:hint="default" w:ascii="宋体" w:hAnsi="宋体" w:eastAsia="宋体" w:cs="宋体"/>
          <w:b w:val="0"/>
          <w:bCs w:val="0"/>
          <w:color w:val="auto"/>
          <w:kern w:val="0"/>
          <w:sz w:val="21"/>
          <w:szCs w:val="24"/>
          <w:highlight w:val="none"/>
          <w:lang w:val="en-US" w:eastAsia="zh-CN"/>
        </w:rPr>
        <w:t>注：</w:t>
      </w:r>
      <w:r>
        <w:rPr>
          <w:rFonts w:hint="eastAsia" w:ascii="宋体" w:hAnsi="宋体" w:eastAsia="宋体" w:cs="宋体"/>
          <w:color w:val="auto"/>
          <w:kern w:val="0"/>
          <w:szCs w:val="24"/>
          <w:highlight w:val="none"/>
        </w:rPr>
        <w:t>投标人的运输车</w:t>
      </w:r>
      <w:r>
        <w:rPr>
          <w:rFonts w:hint="default" w:hAnsi="宋体" w:cs="宋体"/>
          <w:color w:val="auto"/>
          <w:szCs w:val="21"/>
          <w:highlight w:val="none"/>
        </w:rPr>
        <w:t>（</w:t>
      </w:r>
      <w:r>
        <w:rPr>
          <w:rFonts w:hint="eastAsia" w:hAnsi="宋体" w:cs="宋体"/>
          <w:color w:val="auto"/>
          <w:szCs w:val="21"/>
          <w:highlight w:val="none"/>
        </w:rPr>
        <w:t>可用运输</w:t>
      </w:r>
      <w:r>
        <w:rPr>
          <w:rFonts w:hint="eastAsia" w:hAnsi="宋体" w:cs="宋体"/>
          <w:color w:val="auto"/>
          <w:szCs w:val="21"/>
          <w:highlight w:val="none"/>
          <w:lang w:val="en-US" w:eastAsia="zh-CN"/>
        </w:rPr>
        <w:t>液体次氯酸钠</w:t>
      </w:r>
      <w:r>
        <w:rPr>
          <w:rFonts w:hint="eastAsia" w:hAnsi="宋体" w:cs="宋体"/>
          <w:color w:val="auto"/>
          <w:szCs w:val="21"/>
          <w:highlight w:val="none"/>
        </w:rPr>
        <w:t>的车辆</w:t>
      </w:r>
      <w:r>
        <w:rPr>
          <w:rFonts w:hint="default" w:hAnsi="宋体" w:cs="宋体"/>
          <w:color w:val="auto"/>
          <w:szCs w:val="21"/>
          <w:highlight w:val="none"/>
        </w:rPr>
        <w:t>）</w:t>
      </w:r>
      <w:r>
        <w:rPr>
          <w:rFonts w:hint="eastAsia" w:ascii="宋体" w:hAnsi="宋体" w:eastAsia="宋体" w:cs="宋体"/>
          <w:color w:val="auto"/>
          <w:szCs w:val="21"/>
          <w:highlight w:val="none"/>
        </w:rPr>
        <w:t>的相关资料。</w:t>
      </w: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667"/>
      <w:bookmarkEnd w:id="668"/>
      <w:bookmarkEnd w:id="669"/>
      <w:bookmarkEnd w:id="670"/>
      <w:bookmarkEnd w:id="671"/>
      <w:bookmarkEnd w:id="684"/>
      <w:bookmarkEnd w:id="685"/>
      <w:bookmarkEnd w:id="691"/>
      <w:bookmarkEnd w:id="692"/>
      <w:bookmarkEnd w:id="693"/>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4" w:name="_Toc28845"/>
      <w:bookmarkStart w:id="695" w:name="_Toc142508390"/>
      <w:bookmarkStart w:id="696" w:name="_Toc17757"/>
      <w:bookmarkStart w:id="697" w:name="_Toc522047402"/>
      <w:bookmarkStart w:id="698" w:name="_Toc521918141"/>
      <w:bookmarkStart w:id="699" w:name="_Toc22601_WPSOffice_Level1"/>
      <w:r>
        <w:rPr>
          <w:rFonts w:hint="eastAsia" w:ascii="宋体" w:hAnsi="宋体" w:eastAsia="宋体" w:cs="宋体"/>
          <w:b/>
          <w:bCs/>
          <w:color w:val="auto"/>
          <w:kern w:val="44"/>
          <w:sz w:val="32"/>
          <w:szCs w:val="32"/>
          <w:highlight w:val="none"/>
          <w:lang w:val="zh-CN"/>
        </w:rPr>
        <w:t>附件一：评标工作大纲</w:t>
      </w:r>
      <w:bookmarkEnd w:id="694"/>
      <w:bookmarkEnd w:id="695"/>
      <w:bookmarkEnd w:id="696"/>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东莞市水务环境投资控股集团净水有限公司2026年-2027年生产药剂液体次氯酸钠采购项目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00" w:name="_Toc14752_WPSOffice_Level1"/>
      <w:r>
        <w:rPr>
          <w:rFonts w:hint="eastAsia" w:ascii="宋体" w:hAnsi="宋体" w:eastAsia="宋体" w:cs="宋体"/>
          <w:b/>
          <w:bCs/>
          <w:color w:val="auto"/>
          <w:sz w:val="36"/>
          <w:szCs w:val="36"/>
          <w:highlight w:val="none"/>
          <w:lang w:val="zh-CN"/>
        </w:rPr>
        <w:t>（招标编号：GXTZ-ZB-2026第（76）号）</w:t>
      </w:r>
      <w:bookmarkEnd w:id="700"/>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01" w:name="_Toc18947_WPSOffice_Level2"/>
      <w:r>
        <w:rPr>
          <w:rFonts w:hint="eastAsia" w:ascii="宋体" w:hAnsi="宋体" w:eastAsia="宋体" w:cs="宋体"/>
          <w:b/>
          <w:bCs/>
          <w:color w:val="auto"/>
          <w:sz w:val="72"/>
          <w:szCs w:val="72"/>
          <w:highlight w:val="none"/>
          <w:lang w:val="zh-CN"/>
        </w:rPr>
        <w:t>评标工作大纲</w:t>
      </w:r>
      <w:bookmarkEnd w:id="701"/>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广西同泽工程项目管理股份有限公司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2" w:name="_Toc32395_WPSOffice_Level1"/>
      <w:r>
        <w:rPr>
          <w:rFonts w:hint="eastAsia" w:ascii="宋体" w:hAnsi="宋体" w:eastAsia="宋体" w:cs="宋体"/>
          <w:b/>
          <w:bCs/>
          <w:color w:val="auto"/>
          <w:sz w:val="36"/>
          <w:szCs w:val="36"/>
          <w:highlight w:val="none"/>
          <w:lang w:val="zh-CN"/>
        </w:rPr>
        <w:t>目录</w:t>
      </w:r>
      <w:bookmarkEnd w:id="702"/>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0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3"/>
    </w:p>
    <w:p>
      <w:pPr>
        <w:autoSpaceDE w:val="0"/>
        <w:autoSpaceDN w:val="0"/>
        <w:adjustRightInd w:val="0"/>
        <w:spacing w:line="360" w:lineRule="auto"/>
        <w:ind w:left="567" w:hanging="567"/>
        <w:rPr>
          <w:rFonts w:ascii="宋体" w:hAnsi="宋体" w:eastAsia="宋体" w:cs="宋体"/>
          <w:color w:val="auto"/>
          <w:szCs w:val="30"/>
          <w:highlight w:val="none"/>
        </w:rPr>
      </w:pPr>
      <w:bookmarkStart w:id="70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4"/>
    </w:p>
    <w:p>
      <w:pPr>
        <w:autoSpaceDE w:val="0"/>
        <w:autoSpaceDN w:val="0"/>
        <w:adjustRightInd w:val="0"/>
        <w:spacing w:line="360" w:lineRule="auto"/>
        <w:ind w:left="567" w:hanging="567"/>
        <w:rPr>
          <w:rFonts w:ascii="宋体" w:hAnsi="宋体" w:eastAsia="宋体" w:cs="宋体"/>
          <w:color w:val="auto"/>
          <w:szCs w:val="30"/>
          <w:highlight w:val="none"/>
        </w:rPr>
      </w:pPr>
      <w:bookmarkStart w:id="70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5"/>
    </w:p>
    <w:p>
      <w:pPr>
        <w:autoSpaceDE w:val="0"/>
        <w:autoSpaceDN w:val="0"/>
        <w:adjustRightInd w:val="0"/>
        <w:spacing w:line="360" w:lineRule="auto"/>
        <w:ind w:left="567" w:hanging="567"/>
        <w:rPr>
          <w:rFonts w:ascii="宋体" w:hAnsi="宋体" w:eastAsia="宋体" w:cs="宋体"/>
          <w:color w:val="auto"/>
          <w:szCs w:val="30"/>
          <w:highlight w:val="none"/>
        </w:rPr>
      </w:pPr>
      <w:bookmarkStart w:id="706" w:name="_Toc1206_WPSOffice_Level1"/>
      <w:r>
        <w:rPr>
          <w:rFonts w:hint="eastAsia" w:ascii="宋体" w:hAnsi="宋体" w:eastAsia="宋体" w:cs="宋体"/>
          <w:color w:val="auto"/>
          <w:szCs w:val="30"/>
          <w:highlight w:val="none"/>
        </w:rPr>
        <w:t>四、 比较和评价</w:t>
      </w:r>
      <w:bookmarkEnd w:id="706"/>
    </w:p>
    <w:p>
      <w:pPr>
        <w:autoSpaceDE w:val="0"/>
        <w:autoSpaceDN w:val="0"/>
        <w:adjustRightInd w:val="0"/>
        <w:spacing w:line="360" w:lineRule="auto"/>
        <w:ind w:left="567" w:hanging="567"/>
        <w:rPr>
          <w:rFonts w:ascii="宋体" w:hAnsi="宋体" w:eastAsia="宋体" w:cs="宋体"/>
          <w:color w:val="auto"/>
          <w:szCs w:val="30"/>
          <w:highlight w:val="none"/>
        </w:rPr>
      </w:pPr>
      <w:bookmarkStart w:id="70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7"/>
    </w:p>
    <w:p>
      <w:pPr>
        <w:autoSpaceDE w:val="0"/>
        <w:autoSpaceDN w:val="0"/>
        <w:adjustRightInd w:val="0"/>
        <w:spacing w:line="360" w:lineRule="auto"/>
        <w:ind w:left="567" w:hanging="567"/>
        <w:rPr>
          <w:rFonts w:ascii="宋体" w:hAnsi="宋体" w:eastAsia="宋体" w:cs="宋体"/>
          <w:color w:val="auto"/>
          <w:szCs w:val="30"/>
          <w:highlight w:val="none"/>
        </w:rPr>
      </w:pPr>
      <w:bookmarkStart w:id="70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8"/>
    </w:p>
    <w:p>
      <w:pPr>
        <w:autoSpaceDE w:val="0"/>
        <w:autoSpaceDN w:val="0"/>
        <w:adjustRightInd w:val="0"/>
        <w:spacing w:line="360" w:lineRule="auto"/>
        <w:ind w:left="567" w:hanging="567"/>
        <w:rPr>
          <w:rFonts w:ascii="宋体" w:hAnsi="宋体" w:eastAsia="宋体" w:cs="宋体"/>
          <w:color w:val="auto"/>
          <w:szCs w:val="30"/>
          <w:highlight w:val="none"/>
        </w:rPr>
      </w:pPr>
      <w:bookmarkStart w:id="70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9"/>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1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10"/>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东莞市水务环境投资控股集团净水有限公司2026年-2027年生产药剂液体次氯酸钠采购项目</w:t>
      </w:r>
      <w:r>
        <w:rPr>
          <w:rFonts w:hint="eastAsia" w:ascii="宋体" w:hAnsi="宋体" w:eastAsia="宋体" w:cs="宋体"/>
          <w:color w:val="auto"/>
          <w:szCs w:val="21"/>
          <w:highlight w:val="none"/>
          <w:lang w:val="zh-CN"/>
        </w:rPr>
        <w:t>(招标编号：GXTZ-ZB-2026第（76）号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广西同泽工程项目管理股份有限公司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11" w:name="_Toc19435_WPSOffice_Level1"/>
      <w:r>
        <w:rPr>
          <w:rFonts w:hint="eastAsia" w:ascii="宋体" w:hAnsi="宋体" w:eastAsia="宋体" w:cs="宋体"/>
          <w:b/>
          <w:bCs/>
          <w:color w:val="auto"/>
          <w:sz w:val="28"/>
          <w:szCs w:val="28"/>
          <w:highlight w:val="none"/>
          <w:lang w:val="zh-CN"/>
        </w:rPr>
        <w:t>二、投标文件的初审</w:t>
      </w:r>
      <w:bookmarkEnd w:id="711"/>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358" w:hanging="358" w:hangingChars="170"/>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宋体"/>
          <w:b/>
          <w:color w:val="auto"/>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2" w:name="_Toc4109_WPSOffice_Level1"/>
      <w:r>
        <w:rPr>
          <w:rFonts w:hint="eastAsia" w:ascii="宋体" w:hAnsi="宋体" w:eastAsia="宋体" w:cs="宋体"/>
          <w:b/>
          <w:bCs/>
          <w:color w:val="auto"/>
          <w:sz w:val="28"/>
          <w:szCs w:val="28"/>
          <w:highlight w:val="none"/>
          <w:lang w:val="zh-CN"/>
        </w:rPr>
        <w:t>三、澄清有关问题</w:t>
      </w:r>
      <w:bookmarkEnd w:id="712"/>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outlineLvl w:val="9"/>
        <w:rPr>
          <w:color w:val="auto"/>
          <w:highlight w:val="none"/>
          <w:lang w:val="zh-CN"/>
        </w:rPr>
      </w:pPr>
    </w:p>
    <w:p>
      <w:pPr>
        <w:spacing w:line="360" w:lineRule="auto"/>
        <w:ind w:left="567" w:hanging="567" w:hangingChars="270"/>
        <w:rPr>
          <w:rFonts w:hint="eastAsia" w:ascii="宋体" w:hAnsi="宋体" w:eastAsia="宋体" w:cs="宋体"/>
          <w:b/>
          <w:color w:val="auto"/>
          <w:szCs w:val="21"/>
          <w:highlight w:val="none"/>
          <w:lang w:val="zh-CN"/>
        </w:rPr>
      </w:pPr>
      <w:r>
        <w:rPr>
          <w:rFonts w:hint="eastAsia" w:ascii="宋体" w:hAnsi="宋体" w:eastAsia="宋体" w:cs="宋体"/>
          <w:color w:val="auto"/>
          <w:kern w:val="0"/>
          <w:szCs w:val="21"/>
          <w:highlight w:val="none"/>
          <w:lang w:val="zh-CN"/>
        </w:rPr>
        <w:t>9.5  若投标人出现超低报价，</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报价平均值50%的；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w:t>
      </w:r>
      <w:r>
        <w:rPr>
          <w:rFonts w:hint="eastAsia" w:ascii="宋体" w:hAnsi="宋体" w:eastAsia="宋体" w:cs="宋体"/>
          <w:b/>
          <w:color w:val="auto"/>
          <w:kern w:val="2"/>
          <w:sz w:val="21"/>
          <w:szCs w:val="21"/>
          <w:highlight w:val="none"/>
          <w:lang w:val="zh-CN"/>
        </w:rPr>
        <w:t>投标人</w:t>
      </w:r>
      <w:r>
        <w:rPr>
          <w:rFonts w:hint="eastAsia" w:ascii="宋体" w:hAnsi="宋体" w:eastAsia="宋体" w:cs="宋体"/>
          <w:b/>
          <w:color w:val="auto"/>
          <w:szCs w:val="21"/>
          <w:highlight w:val="none"/>
          <w:lang w:val="zh-CN"/>
        </w:rPr>
        <w:t>报价50%的；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pPr>
        <w:tabs>
          <w:tab w:val="left" w:pos="567"/>
        </w:tabs>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（4）评审委员会认为投标</w:t>
      </w:r>
      <w:r>
        <w:rPr>
          <w:rFonts w:hint="eastAsia" w:ascii="宋体" w:hAnsi="宋体" w:eastAsia="宋体" w:cs="宋体"/>
          <w:b/>
          <w:color w:val="auto"/>
          <w:szCs w:val="21"/>
          <w:highlight w:val="none"/>
          <w:lang w:val="en-US" w:eastAsia="zh-CN"/>
        </w:rPr>
        <w:t>人</w:t>
      </w:r>
      <w:r>
        <w:rPr>
          <w:rFonts w:hint="eastAsia" w:ascii="宋体" w:hAnsi="宋体" w:eastAsia="宋体" w:cs="宋体"/>
          <w:b/>
          <w:color w:val="auto"/>
          <w:szCs w:val="21"/>
          <w:highlight w:val="none"/>
          <w:lang w:val="zh-CN"/>
        </w:rPr>
        <w:t>报价过低，有可能影响产品质量或者不能诚信履约的。</w:t>
      </w:r>
    </w:p>
    <w:p>
      <w:pPr>
        <w:autoSpaceDE w:val="0"/>
        <w:autoSpaceDN w:val="0"/>
        <w:adjustRightInd w:val="0"/>
        <w:spacing w:line="360" w:lineRule="auto"/>
        <w:jc w:val="both"/>
        <w:rPr>
          <w:rFonts w:ascii="宋体" w:hAnsi="宋体" w:eastAsia="宋体" w:cs="宋体"/>
          <w:b/>
          <w:bCs/>
          <w:color w:val="auto"/>
          <w:sz w:val="28"/>
          <w:szCs w:val="28"/>
          <w:highlight w:val="none"/>
          <w:lang w:val="zh-CN"/>
        </w:rPr>
      </w:pPr>
      <w:bookmarkStart w:id="713"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3"/>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bookmarkStart w:id="714" w:name="_Toc27628"/>
      <w:r>
        <w:rPr>
          <w:rFonts w:hint="eastAsia" w:ascii="宋体" w:hAnsi="宋体" w:eastAsia="宋体" w:cs="宋体"/>
          <w:b/>
          <w:color w:val="auto"/>
          <w:szCs w:val="24"/>
          <w:highlight w:val="none"/>
          <w:lang w:val="zh-CN"/>
        </w:rPr>
        <w:t>12、评分因素及分值</w:t>
      </w:r>
      <w:bookmarkEnd w:id="714"/>
    </w:p>
    <w:tbl>
      <w:tblPr>
        <w:tblStyle w:val="43"/>
        <w:tblW w:w="996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93"/>
        <w:gridCol w:w="49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49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4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4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4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4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15"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5"/>
    </w:p>
    <w:tbl>
      <w:tblPr>
        <w:tblStyle w:val="43"/>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90"/>
        <w:gridCol w:w="735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4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090"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35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87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10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leftChars="0" w:right="0" w:rightChars="0"/>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3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pPr>
              <w:keepNext w:val="0"/>
              <w:keepLines w:val="0"/>
              <w:suppressLineNumbers w:val="0"/>
              <w:autoSpaceDE w:val="0"/>
              <w:autoSpaceDN w:val="0"/>
              <w:spacing w:before="0" w:beforeAutospacing="0" w:after="0" w:afterAutospacing="0" w:line="360" w:lineRule="auto"/>
              <w:ind w:left="0" w:leftChars="0" w:right="0" w:rightChars="0"/>
              <w:jc w:val="left"/>
              <w:rPr>
                <w:rFonts w:ascii="宋体" w:hAnsi="宋体" w:eastAsia="宋体" w:cs="Times New Roman"/>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8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2</w:t>
            </w:r>
          </w:p>
        </w:tc>
        <w:tc>
          <w:tcPr>
            <w:tcW w:w="1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2"/>
                <w:sz w:val="21"/>
                <w:szCs w:val="21"/>
                <w:highlight w:val="none"/>
              </w:rPr>
              <w:t>业绩</w:t>
            </w:r>
          </w:p>
        </w:tc>
        <w:tc>
          <w:tcPr>
            <w:tcW w:w="735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2023年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hAnsi="宋体" w:cs="宋体"/>
                <w:color w:val="auto"/>
                <w:kern w:val="2"/>
                <w:sz w:val="21"/>
                <w:szCs w:val="21"/>
                <w:highlight w:val="none"/>
                <w:lang w:val="en-US" w:eastAsia="zh-CN"/>
              </w:rPr>
              <w:t>液体次氯酸钠</w:t>
            </w:r>
            <w:r>
              <w:rPr>
                <w:rFonts w:hint="eastAsia" w:ascii="宋体" w:hAnsi="宋体" w:eastAsia="宋体" w:cs="宋体"/>
                <w:color w:val="auto"/>
                <w:kern w:val="2"/>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年1月1日或以后），按下列情况评分：</w:t>
            </w:r>
          </w:p>
          <w:p>
            <w:pPr>
              <w:pStyle w:val="23"/>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350</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pPr>
              <w:pStyle w:val="23"/>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150</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350</w:t>
            </w:r>
            <w:r>
              <w:rPr>
                <w:rFonts w:hint="eastAsia" w:ascii="宋体" w:hAnsi="宋体" w:eastAsia="宋体" w:cs="宋体"/>
                <w:color w:val="auto"/>
                <w:kern w:val="2"/>
                <w:sz w:val="21"/>
                <w:szCs w:val="21"/>
                <w:highlight w:val="none"/>
              </w:rPr>
              <w:t>万元的前述业绩的，每项得2分</w:t>
            </w:r>
            <w:r>
              <w:rPr>
                <w:rFonts w:hint="eastAsia" w:ascii="宋体" w:hAnsi="宋体" w:eastAsia="宋体" w:cs="宋体"/>
                <w:color w:val="auto"/>
                <w:kern w:val="2"/>
                <w:sz w:val="21"/>
                <w:szCs w:val="21"/>
                <w:highlight w:val="none"/>
                <w:lang w:eastAsia="zh-CN"/>
              </w:rPr>
              <w:t>。</w:t>
            </w:r>
          </w:p>
          <w:p>
            <w:pPr>
              <w:pStyle w:val="23"/>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150</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pPr>
              <w:pStyle w:val="23"/>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pPr>
              <w:pStyle w:val="23"/>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1）业绩须同时提供</w:t>
            </w:r>
            <w:r>
              <w:rPr>
                <w:rFonts w:hint="eastAsia" w:ascii="宋体" w:hAnsi="宋体" w:eastAsia="宋体" w:cs="宋体"/>
                <w:b/>
                <w:bCs/>
                <w:color w:val="auto"/>
                <w:szCs w:val="21"/>
                <w:highlight w:val="none"/>
                <w:lang w:eastAsia="zh-CN"/>
              </w:rPr>
              <w:t>①</w:t>
            </w:r>
            <w:r>
              <w:rPr>
                <w:rFonts w:hint="eastAsia" w:ascii="宋体" w:hAnsi="宋体" w:eastAsia="宋体" w:cs="宋体"/>
                <w:b/>
                <w:bCs/>
                <w:color w:val="auto"/>
                <w:szCs w:val="21"/>
                <w:highlight w:val="none"/>
              </w:rPr>
              <w:t>合同</w:t>
            </w:r>
            <w:r>
              <w:rPr>
                <w:rFonts w:hint="eastAsia" w:ascii="宋体" w:hAnsi="宋体" w:eastAsia="宋体" w:cs="宋体"/>
                <w:b/>
                <w:color w:val="auto"/>
                <w:kern w:val="2"/>
                <w:sz w:val="21"/>
                <w:szCs w:val="21"/>
                <w:highlight w:val="none"/>
                <w:lang w:val="zh-CN"/>
              </w:rPr>
              <w:t>复印件</w:t>
            </w:r>
            <w:r>
              <w:rPr>
                <w:rFonts w:hint="eastAsia" w:ascii="宋体" w:hAnsi="宋体" w:eastAsia="宋体" w:cs="宋体"/>
                <w:b/>
                <w:bCs/>
                <w:color w:val="auto"/>
                <w:szCs w:val="21"/>
                <w:highlight w:val="none"/>
              </w:rPr>
              <w:t>（</w:t>
            </w:r>
            <w:r>
              <w:rPr>
                <w:rFonts w:hint="eastAsia" w:ascii="宋体" w:hAnsi="宋体" w:eastAsia="宋体" w:cs="宋体"/>
                <w:b/>
                <w:bCs/>
                <w:color w:val="auto"/>
                <w:kern w:val="0"/>
                <w:szCs w:val="21"/>
                <w:highlight w:val="none"/>
              </w:rPr>
              <w:t>合同卖方为</w:t>
            </w:r>
            <w:r>
              <w:rPr>
                <w:rFonts w:hint="eastAsia" w:ascii="宋体" w:hAnsi="宋体" w:eastAsia="宋体" w:cs="宋体"/>
                <w:b/>
                <w:bCs/>
                <w:color w:val="auto"/>
                <w:kern w:val="0"/>
                <w:szCs w:val="21"/>
                <w:highlight w:val="none"/>
                <w:lang w:val="en-US" w:eastAsia="zh-CN"/>
              </w:rPr>
              <w:t>投标人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②</w:t>
            </w:r>
            <w:r>
              <w:rPr>
                <w:rFonts w:hint="eastAsia" w:ascii="宋体" w:hAnsi="宋体" w:eastAsia="宋体" w:cs="宋体"/>
                <w:b/>
                <w:bCs/>
                <w:color w:val="auto"/>
                <w:szCs w:val="21"/>
                <w:highlight w:val="none"/>
              </w:rPr>
              <w:t>已供货产品任意一张发票</w:t>
            </w:r>
            <w:r>
              <w:rPr>
                <w:rFonts w:hint="eastAsia" w:ascii="宋体" w:hAnsi="宋体" w:eastAsia="宋体" w:cs="宋体"/>
                <w:b/>
                <w:color w:val="auto"/>
                <w:kern w:val="2"/>
                <w:sz w:val="21"/>
                <w:szCs w:val="21"/>
                <w:highlight w:val="none"/>
                <w:lang w:val="zh-CN"/>
              </w:rPr>
              <w:t>复印件</w:t>
            </w:r>
            <w:r>
              <w:rPr>
                <w:rFonts w:hint="eastAsia" w:ascii="宋体" w:hAnsi="宋体" w:eastAsia="宋体" w:cs="宋体"/>
                <w:b/>
                <w:bCs/>
                <w:color w:val="auto"/>
                <w:szCs w:val="21"/>
                <w:highlight w:val="none"/>
              </w:rPr>
              <w:t>（发票开具日期须在本项目招标公告发布之日前），否则不得分；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年1月1日或以后、金额、合同标的必须包含投标品牌</w:t>
            </w:r>
            <w:r>
              <w:rPr>
                <w:rFonts w:hint="eastAsia" w:ascii="宋体" w:hAnsi="宋体" w:eastAsia="宋体" w:cs="宋体"/>
                <w:b/>
                <w:bCs/>
                <w:color w:val="auto"/>
                <w:szCs w:val="21"/>
                <w:highlight w:val="none"/>
                <w:lang w:val="en-US" w:eastAsia="zh-CN"/>
              </w:rPr>
              <w:t>液体次氯酸钠</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）的，还需提供产品购买方出具的书面补充说明文件复印件作为辅助证明（补充说明文件复印件能显示购买方公章），否则不得分；</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color w:val="auto"/>
                <w:kern w:val="0"/>
                <w:sz w:val="24"/>
                <w:szCs w:val="24"/>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17</w:t>
            </w:r>
            <w:r>
              <w:rPr>
                <w:rFonts w:hint="eastAsia" w:ascii="宋体" w:hAnsi="宋体" w:eastAsia="宋体" w:cs="宋体"/>
                <w:color w:val="auto"/>
                <w:kern w:val="2"/>
                <w:sz w:val="21"/>
                <w:szCs w:val="21"/>
                <w:highlight w:val="none"/>
              </w:rPr>
              <w:t>分</w:t>
            </w:r>
          </w:p>
        </w:tc>
      </w:tr>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6"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6"/>
    </w:p>
    <w:tbl>
      <w:tblPr>
        <w:tblStyle w:val="43"/>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88"/>
        <w:gridCol w:w="735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17" w:name="_Hlk104987779"/>
            <w:r>
              <w:rPr>
                <w:rFonts w:hint="eastAsia" w:ascii="宋体" w:hAnsi="宋体" w:eastAsia="宋体" w:cs="宋体"/>
                <w:b/>
                <w:color w:val="auto"/>
                <w:kern w:val="0"/>
                <w:szCs w:val="21"/>
                <w:highlight w:val="none"/>
              </w:rPr>
              <w:t>序号</w:t>
            </w:r>
          </w:p>
        </w:tc>
        <w:tc>
          <w:tcPr>
            <w:tcW w:w="10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3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8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用户需求的响应程度</w:t>
            </w:r>
          </w:p>
        </w:tc>
        <w:tc>
          <w:tcPr>
            <w:tcW w:w="7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auto"/>
                <w:szCs w:val="21"/>
                <w:highlight w:val="none"/>
                <w:lang w:val="zh-CN"/>
              </w:rPr>
              <w:t>生产工艺</w:t>
            </w:r>
          </w:p>
        </w:tc>
        <w:tc>
          <w:tcPr>
            <w:tcW w:w="7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rPr>
              <w:t>分；</w:t>
            </w:r>
          </w:p>
          <w:p>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0，1)</w:t>
            </w:r>
            <w:r>
              <w:rPr>
                <w:rFonts w:hint="eastAsia" w:ascii="宋体" w:hAnsi="宋体" w:eastAsia="宋体" w:cs="宋体"/>
                <w:color w:val="auto"/>
                <w:szCs w:val="21"/>
                <w:highlight w:val="none"/>
              </w:rPr>
              <w:t>分。</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rPr>
              <w:t>生产</w:t>
            </w:r>
            <w:r>
              <w:rPr>
                <w:rFonts w:hint="eastAsia" w:ascii="宋体" w:hAnsi="宋体" w:eastAsia="宋体" w:cs="宋体"/>
                <w:color w:val="auto"/>
                <w:kern w:val="2"/>
                <w:sz w:val="21"/>
                <w:szCs w:val="21"/>
                <w:highlight w:val="none"/>
                <w:lang w:val="zh-CN"/>
              </w:rPr>
              <w:t>供货保障能力</w:t>
            </w:r>
          </w:p>
        </w:tc>
        <w:tc>
          <w:tcPr>
            <w:tcW w:w="7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w:t>
            </w:r>
            <w:r>
              <w:rPr>
                <w:rFonts w:hint="eastAsia" w:ascii="宋体" w:hAnsi="宋体" w:eastAsia="宋体" w:cs="宋体"/>
                <w:color w:val="auto"/>
                <w:szCs w:val="21"/>
                <w:highlight w:val="none"/>
                <w:lang w:val="en-US" w:eastAsia="zh-CN"/>
              </w:rPr>
              <w:t>液体次氯酸钠</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w:t>
            </w:r>
            <w:r>
              <w:rPr>
                <w:rFonts w:hint="eastAsia" w:ascii="宋体" w:hAnsi="宋体" w:eastAsia="宋体" w:cs="宋体"/>
                <w:color w:val="auto"/>
                <w:szCs w:val="21"/>
                <w:highlight w:val="none"/>
                <w:lang w:val="zh-CN"/>
              </w:rPr>
              <w:t>、产能证明资料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w:t>
            </w:r>
            <w:r>
              <w:rPr>
                <w:rFonts w:hint="eastAsia" w:ascii="宋体" w:hAnsi="宋体" w:eastAsia="宋体" w:cs="宋体"/>
                <w:bCs/>
                <w:color w:val="auto"/>
                <w:szCs w:val="21"/>
                <w:highlight w:val="none"/>
                <w:lang w:val="zh-CN"/>
              </w:rPr>
              <w:t>产能证明资料充分且可靠、</w:t>
            </w:r>
            <w:r>
              <w:rPr>
                <w:rFonts w:hint="eastAsia" w:ascii="宋体" w:hAnsi="宋体" w:eastAsia="宋体" w:cs="宋体"/>
                <w:bCs/>
                <w:color w:val="auto"/>
                <w:szCs w:val="21"/>
                <w:highlight w:val="none"/>
                <w:lang w:val="zh-CN"/>
              </w:rPr>
              <w:t>服务团队人员充足、具备丰富的行业经验和专业能力的，得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rPr>
              <w:t>]</w:t>
            </w:r>
            <w:r>
              <w:rPr>
                <w:rFonts w:hint="eastAsia" w:ascii="宋体" w:hAnsi="宋体" w:eastAsia="宋体" w:cs="宋体"/>
                <w:bCs/>
                <w:color w:val="auto"/>
                <w:szCs w:val="21"/>
                <w:highlight w:val="none"/>
                <w:lang w:val="zh-CN"/>
              </w:rPr>
              <w:t>分；</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w:t>
            </w:r>
            <w:r>
              <w:rPr>
                <w:rFonts w:hint="eastAsia" w:ascii="宋体" w:hAnsi="宋体" w:eastAsia="宋体" w:cs="宋体"/>
                <w:bCs/>
                <w:color w:val="auto"/>
                <w:szCs w:val="21"/>
                <w:highlight w:val="none"/>
                <w:lang w:val="zh-CN"/>
              </w:rPr>
              <w:t>产能证明资料基本能反映生产能力、</w:t>
            </w:r>
            <w:r>
              <w:rPr>
                <w:rFonts w:hint="eastAsia" w:ascii="宋体" w:hAnsi="宋体" w:eastAsia="宋体" w:cs="宋体"/>
                <w:bCs/>
                <w:color w:val="auto"/>
                <w:szCs w:val="21"/>
                <w:highlight w:val="none"/>
                <w:lang w:val="zh-CN"/>
              </w:rPr>
              <w:t>服务团队人员较少、行业经验和专业能力一般的，得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Cs/>
                <w:color w:val="auto"/>
                <w:szCs w:val="21"/>
                <w:highlight w:val="none"/>
                <w:lang w:val="zh-CN"/>
              </w:rPr>
              <w:t>分；</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w:t>
            </w:r>
            <w:r>
              <w:rPr>
                <w:rFonts w:hint="eastAsia" w:ascii="宋体" w:hAnsi="宋体" w:eastAsia="宋体" w:cs="宋体"/>
                <w:bCs/>
                <w:color w:val="auto"/>
                <w:szCs w:val="21"/>
                <w:highlight w:val="none"/>
                <w:lang w:val="zh-CN"/>
              </w:rPr>
              <w:t>产能证明资料不足、</w:t>
            </w:r>
            <w:r>
              <w:rPr>
                <w:rFonts w:hint="eastAsia" w:ascii="宋体" w:hAnsi="宋体" w:eastAsia="宋体" w:cs="宋体"/>
                <w:bCs/>
                <w:color w:val="auto"/>
                <w:szCs w:val="21"/>
                <w:highlight w:val="none"/>
                <w:lang w:val="zh-CN"/>
              </w:rPr>
              <w:t>服务团队人员少、行业经验和专业能力不足的，得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0，1)</w:t>
            </w:r>
            <w:r>
              <w:rPr>
                <w:rFonts w:hint="eastAsia" w:ascii="宋体" w:hAnsi="宋体" w:eastAsia="宋体" w:cs="宋体"/>
                <w:bCs/>
                <w:color w:val="auto"/>
                <w:szCs w:val="21"/>
                <w:highlight w:val="none"/>
                <w:lang w:val="zh-CN"/>
              </w:rPr>
              <w:t>分。</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w:t>
            </w:r>
            <w:r>
              <w:rPr>
                <w:rFonts w:hint="eastAsia" w:ascii="宋体" w:hAnsi="宋体" w:eastAsia="宋体" w:cs="宋体"/>
                <w:b/>
                <w:bCs w:val="0"/>
                <w:color w:val="auto"/>
                <w:szCs w:val="21"/>
                <w:highlight w:val="none"/>
                <w:lang w:val="zh-CN"/>
              </w:rPr>
              <w:t>制造商</w:t>
            </w:r>
            <w:r>
              <w:rPr>
                <w:rFonts w:hint="eastAsia" w:ascii="宋体" w:hAnsi="宋体" w:eastAsia="宋体" w:cs="宋体"/>
                <w:b/>
                <w:bCs w:val="0"/>
                <w:color w:val="auto"/>
                <w:szCs w:val="21"/>
                <w:highlight w:val="none"/>
                <w:lang w:val="zh-CN"/>
              </w:rPr>
              <w:t>场地自有产权证明复印件（或非自有产权时提供承租人为</w:t>
            </w:r>
            <w:r>
              <w:rPr>
                <w:rFonts w:hint="eastAsia" w:ascii="宋体" w:hAnsi="宋体" w:eastAsia="宋体" w:cs="宋体"/>
                <w:b/>
                <w:bCs w:val="0"/>
                <w:color w:val="auto"/>
                <w:szCs w:val="21"/>
                <w:highlight w:val="none"/>
                <w:lang w:val="zh-CN"/>
              </w:rPr>
              <w:t>制造商</w:t>
            </w:r>
            <w:r>
              <w:rPr>
                <w:rFonts w:hint="eastAsia" w:ascii="宋体" w:hAnsi="宋体" w:eastAsia="宋体" w:cs="宋体"/>
                <w:b/>
                <w:bCs w:val="0"/>
                <w:color w:val="auto"/>
                <w:szCs w:val="21"/>
                <w:highlight w:val="none"/>
                <w:lang w:val="zh-CN"/>
              </w:rPr>
              <w:t>的租赁合同复印件），产权证明或租赁合同的有效期须至202</w:t>
            </w: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年</w:t>
            </w:r>
            <w:r>
              <w:rPr>
                <w:rFonts w:hint="eastAsia" w:ascii="宋体" w:hAnsi="宋体" w:eastAsia="宋体" w:cs="宋体"/>
                <w:b/>
                <w:bCs w:val="0"/>
                <w:color w:val="auto"/>
                <w:szCs w:val="21"/>
                <w:highlight w:val="none"/>
                <w:lang w:val="en-US" w:eastAsia="zh-CN"/>
              </w:rPr>
              <w:t>12</w:t>
            </w:r>
            <w:r>
              <w:rPr>
                <w:rFonts w:hint="eastAsia" w:ascii="宋体" w:hAnsi="宋体" w:eastAsia="宋体" w:cs="宋体"/>
                <w:b/>
                <w:bCs w:val="0"/>
                <w:color w:val="auto"/>
                <w:szCs w:val="21"/>
                <w:highlight w:val="none"/>
                <w:lang w:val="zh-CN"/>
              </w:rPr>
              <w:t>月</w:t>
            </w:r>
            <w:r>
              <w:rPr>
                <w:rFonts w:hint="eastAsia" w:ascii="宋体" w:hAnsi="宋体" w:eastAsia="宋体" w:cs="宋体"/>
                <w:b/>
                <w:bCs w:val="0"/>
                <w:color w:val="auto"/>
                <w:szCs w:val="21"/>
                <w:highlight w:val="none"/>
                <w:lang w:val="en-US" w:eastAsia="zh-CN"/>
              </w:rPr>
              <w:t>31</w:t>
            </w:r>
            <w:r>
              <w:rPr>
                <w:rFonts w:hint="eastAsia" w:ascii="宋体" w:hAnsi="宋体" w:eastAsia="宋体" w:cs="宋体"/>
                <w:b/>
                <w:bCs w:val="0"/>
                <w:color w:val="auto"/>
                <w:szCs w:val="21"/>
                <w:highlight w:val="none"/>
                <w:lang w:val="zh-CN"/>
              </w:rPr>
              <w:t>日或以后；</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w:t>
            </w:r>
            <w:r>
              <w:rPr>
                <w:rFonts w:hint="eastAsia" w:ascii="宋体" w:hAnsi="宋体" w:eastAsia="宋体" w:cs="宋体"/>
                <w:b/>
                <w:bCs w:val="0"/>
                <w:color w:val="auto"/>
                <w:szCs w:val="21"/>
                <w:highlight w:val="none"/>
                <w:lang w:val="zh-CN"/>
              </w:rPr>
              <w:t>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lang w:val="zh-CN"/>
              </w:rPr>
              <w:t>年</w:t>
            </w:r>
            <w:r>
              <w:rPr>
                <w:rFonts w:hint="eastAsia" w:ascii="宋体" w:hAnsi="宋体" w:eastAsia="宋体" w:cs="宋体"/>
                <w:b/>
                <w:bCs w:val="0"/>
                <w:color w:val="auto"/>
                <w:szCs w:val="21"/>
                <w:highlight w:val="none"/>
                <w:lang w:val="en-US" w:eastAsia="zh-CN"/>
              </w:rPr>
              <w:t>11</w:t>
            </w:r>
            <w:r>
              <w:rPr>
                <w:rFonts w:hint="eastAsia" w:ascii="宋体" w:hAnsi="宋体" w:eastAsia="宋体" w:cs="宋体"/>
                <w:b/>
                <w:bCs w:val="0"/>
                <w:color w:val="auto"/>
                <w:szCs w:val="21"/>
                <w:highlight w:val="none"/>
                <w:lang w:val="zh-CN"/>
              </w:rPr>
              <w:t>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w:t>
            </w:r>
            <w:r>
              <w:rPr>
                <w:rFonts w:hint="eastAsia" w:ascii="宋体" w:hAnsi="宋体" w:eastAsia="宋体" w:cs="宋体"/>
                <w:b/>
                <w:bCs w:val="0"/>
                <w:color w:val="auto"/>
                <w:szCs w:val="21"/>
                <w:highlight w:val="none"/>
                <w:lang w:val="zh-CN"/>
              </w:rPr>
              <w:t>（付款单位/购买方为制造商的）</w:t>
            </w:r>
            <w:r>
              <w:rPr>
                <w:rFonts w:hint="eastAsia" w:ascii="宋体" w:hAnsi="宋体" w:eastAsia="宋体" w:cs="宋体"/>
                <w:b/>
                <w:bCs w:val="0"/>
                <w:color w:val="auto"/>
                <w:szCs w:val="21"/>
                <w:highlight w:val="none"/>
                <w:lang w:val="zh-CN"/>
              </w:rPr>
              <w:t>购置发票复印件等</w:t>
            </w:r>
            <w:r>
              <w:rPr>
                <w:rFonts w:hint="eastAsia" w:ascii="宋体" w:hAnsi="宋体" w:eastAsia="宋体" w:cs="宋体"/>
                <w:b/>
                <w:bCs w:val="0"/>
                <w:color w:val="auto"/>
                <w:szCs w:val="21"/>
                <w:highlight w:val="none"/>
                <w:lang w:val="zh-CN"/>
              </w:rPr>
              <w:t>，并提供能证明其生产能力的环评报告或其他生产能力</w:t>
            </w:r>
            <w:r>
              <w:rPr>
                <w:rFonts w:hint="eastAsia" w:ascii="宋体" w:hAnsi="宋体" w:eastAsia="宋体" w:cs="宋体"/>
                <w:b/>
                <w:bCs w:val="0"/>
                <w:color w:val="auto"/>
                <w:szCs w:val="21"/>
                <w:highlight w:val="none"/>
                <w:lang w:val="zh-CN"/>
              </w:rPr>
              <w:t>证明资料；</w:t>
            </w:r>
          </w:p>
          <w:p>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w:t>
            </w:r>
            <w:r>
              <w:rPr>
                <w:rFonts w:hint="eastAsia" w:ascii="宋体" w:hAnsi="宋体" w:eastAsia="宋体" w:cs="宋体"/>
                <w:b/>
                <w:bCs w:val="0"/>
                <w:color w:val="auto"/>
                <w:szCs w:val="21"/>
                <w:highlight w:val="none"/>
                <w:lang w:val="zh-CN"/>
              </w:rPr>
              <w:t>提供制造商生产及管理人员清单及人力资源和社会保障部门（或税务部门）出具的</w:t>
            </w: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025年</w:t>
            </w:r>
            <w:r>
              <w:rPr>
                <w:rFonts w:hint="eastAsia" w:ascii="宋体" w:hAnsi="宋体" w:eastAsia="宋体" w:cs="宋体"/>
                <w:b/>
                <w:color w:val="auto"/>
                <w:szCs w:val="21"/>
                <w:highlight w:val="none"/>
                <w:lang w:val="en-US" w:eastAsia="zh-CN"/>
              </w:rPr>
              <w:t>11</w:t>
            </w:r>
            <w:r>
              <w:rPr>
                <w:rFonts w:ascii="宋体" w:hAnsi="宋体" w:eastAsia="宋体" w:cs="宋体"/>
                <w:b/>
                <w:color w:val="auto"/>
                <w:szCs w:val="21"/>
                <w:highlight w:val="none"/>
              </w:rPr>
              <w:t>月至</w:t>
            </w:r>
            <w:r>
              <w:rPr>
                <w:rFonts w:hint="eastAsia" w:ascii="宋体" w:hAnsi="宋体" w:eastAsia="宋体" w:cs="宋体"/>
                <w:b/>
                <w:color w:val="auto"/>
                <w:szCs w:val="21"/>
                <w:highlight w:val="none"/>
                <w:lang w:val="en-US" w:eastAsia="zh-CN"/>
              </w:rPr>
              <w:t>2026年</w:t>
            </w:r>
            <w:r>
              <w:rPr>
                <w:rFonts w:ascii="宋体" w:hAnsi="宋体" w:eastAsia="宋体" w:cs="宋体"/>
                <w:b/>
                <w:color w:val="auto"/>
                <w:szCs w:val="21"/>
                <w:highlight w:val="none"/>
              </w:rPr>
              <w:t>1月</w:t>
            </w:r>
            <w:r>
              <w:rPr>
                <w:rFonts w:hint="eastAsia" w:ascii="宋体" w:hAnsi="宋体" w:eastAsia="宋体" w:cs="宋体"/>
                <w:b/>
                <w:bCs w:val="0"/>
                <w:color w:val="auto"/>
                <w:szCs w:val="21"/>
                <w:highlight w:val="none"/>
                <w:lang w:val="zh-CN"/>
              </w:rPr>
              <w:t>制造商为其缴纳的社保证明复印件；</w:t>
            </w:r>
          </w:p>
          <w:p>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hint="default" w:ascii="宋体" w:hAnsi="宋体" w:eastAsia="宋体" w:cs="宋体"/>
                <w:color w:val="auto"/>
                <w:kern w:val="2"/>
                <w:sz w:val="21"/>
                <w:szCs w:val="21"/>
                <w:highlight w:val="none"/>
                <w:lang w:val="zh-CN" w:eastAsia="zh-CN" w:bidi="ar-SA"/>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4</w:t>
            </w:r>
          </w:p>
          <w:p>
            <w:pPr>
              <w:autoSpaceDE w:val="0"/>
              <w:autoSpaceDN w:val="0"/>
              <w:adjustRightInd w:val="0"/>
              <w:spacing w:line="400" w:lineRule="exact"/>
              <w:jc w:val="center"/>
              <w:rPr>
                <w:rFonts w:ascii="宋体" w:hAnsi="宋体" w:eastAsia="宋体" w:cs="宋体"/>
                <w:color w:val="auto"/>
                <w:kern w:val="0"/>
                <w:szCs w:val="21"/>
                <w:highlight w:val="none"/>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质量保证体系和措施</w:t>
            </w:r>
          </w:p>
          <w:p>
            <w:pPr>
              <w:autoSpaceDE w:val="0"/>
              <w:autoSpaceDN w:val="0"/>
              <w:adjustRightInd w:val="0"/>
              <w:spacing w:line="400" w:lineRule="exact"/>
              <w:jc w:val="center"/>
              <w:rPr>
                <w:rFonts w:ascii="宋体" w:hAnsi="宋体" w:eastAsia="宋体" w:cs="宋体"/>
                <w:color w:val="auto"/>
                <w:kern w:val="0"/>
                <w:szCs w:val="21"/>
                <w:highlight w:val="none"/>
              </w:rPr>
            </w:pPr>
          </w:p>
        </w:tc>
        <w:tc>
          <w:tcPr>
            <w:tcW w:w="7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投标人针对投标产品的测试、验收、质量保证实施计划和对招标人的水质、设备状况及运营情况</w:t>
            </w:r>
            <w:r>
              <w:rPr>
                <w:rFonts w:hint="default" w:ascii="宋体" w:hAnsi="宋体" w:cs="宋体"/>
                <w:color w:val="auto"/>
                <w:szCs w:val="21"/>
                <w:highlight w:val="none"/>
                <w:lang w:val="en-US"/>
              </w:rPr>
              <w:t>进行</w:t>
            </w:r>
            <w:r>
              <w:rPr>
                <w:rFonts w:hint="default" w:ascii="宋体" w:hAnsi="宋体" w:cs="宋体"/>
                <w:color w:val="auto"/>
                <w:szCs w:val="21"/>
                <w:highlight w:val="none"/>
                <w:lang w:val="en-US" w:eastAsia="zh-CN"/>
              </w:rPr>
              <w:t>液体液体次氯酸钠</w:t>
            </w:r>
            <w:r>
              <w:rPr>
                <w:rFonts w:hint="default" w:ascii="宋体" w:hAnsi="宋体" w:cs="宋体"/>
                <w:color w:val="auto"/>
                <w:szCs w:val="21"/>
                <w:highlight w:val="none"/>
                <w:lang w:val="en-US"/>
              </w:rPr>
              <w:t>小试、中试具体</w:t>
            </w:r>
            <w:r>
              <w:rPr>
                <w:rFonts w:hint="eastAsia" w:ascii="宋体" w:hAnsi="宋体" w:cs="宋体"/>
                <w:color w:val="auto"/>
                <w:szCs w:val="21"/>
                <w:highlight w:val="none"/>
              </w:rPr>
              <w:t>方案情况进行评审</w:t>
            </w:r>
            <w:r>
              <w:rPr>
                <w:rFonts w:hint="eastAsia" w:ascii="宋体" w:hAnsi="宋体" w:cs="宋体"/>
                <w:color w:val="auto"/>
                <w:szCs w:val="21"/>
                <w:highlight w:val="none"/>
              </w:rPr>
              <w:t>：</w:t>
            </w:r>
          </w:p>
          <w:p>
            <w:pPr>
              <w:pStyle w:val="193"/>
              <w:keepNext w:val="0"/>
              <w:keepLines w:val="0"/>
              <w:suppressLineNumbers w:val="0"/>
              <w:tabs>
                <w:tab w:val="left" w:pos="585"/>
                <w:tab w:val="left" w:pos="680"/>
              </w:tabs>
              <w:spacing w:before="0" w:beforeAutospacing="0" w:after="0" w:afterAutospacing="0" w:line="360" w:lineRule="auto"/>
              <w:ind w:left="0"/>
              <w:rPr>
                <w:rFonts w:hint="eastAsia"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优：提供的测试、验收实施计划详细；质量保证体系完善、科学；小试、中试方案充分考虑了招标人的水质、设备状况及运营情况，方案针对性和可操作性强的，得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rPr>
              <w:t>]</w:t>
            </w:r>
            <w:r>
              <w:rPr>
                <w:rFonts w:hint="eastAsia" w:ascii="宋体" w:hAnsi="宋体" w:cs="宋体"/>
                <w:color w:val="auto"/>
                <w:szCs w:val="21"/>
                <w:highlight w:val="none"/>
              </w:rPr>
              <w:t>分；</w:t>
            </w:r>
          </w:p>
          <w:p>
            <w:pPr>
              <w:pStyle w:val="193"/>
              <w:keepNext w:val="0"/>
              <w:keepLines w:val="0"/>
              <w:suppressLineNumbers w:val="0"/>
              <w:tabs>
                <w:tab w:val="left" w:pos="585"/>
                <w:tab w:val="left" w:pos="680"/>
              </w:tabs>
              <w:spacing w:before="0" w:beforeAutospacing="0" w:after="0" w:afterAutospacing="0" w:line="360" w:lineRule="auto"/>
              <w:ind w:left="0"/>
              <w:rPr>
                <w:rFonts w:hint="eastAsia"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中：提供的测试、验收实施计划一般；质量保证体系一般；小试、中试方案基本考虑了招标人的水质、设备状况及运营情况，方案针对性和可操作性一般的，得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w:t>
            </w:r>
            <w:r>
              <w:rPr>
                <w:rFonts w:hint="eastAsia" w:ascii="宋体" w:hAnsi="宋体" w:cs="宋体"/>
                <w:color w:val="auto"/>
                <w:szCs w:val="21"/>
                <w:highlight w:val="none"/>
              </w:rPr>
              <w:t>分；</w:t>
            </w:r>
          </w:p>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差：提供的测试、验收实施计划存在一定缺失或不够详细；质量保证体系不完整或未提供；小试、中试方案未能考虑招标人的水质、设备状况及运营情况，方案针对性和可操作性差的，得</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0，1</w:t>
            </w:r>
            <w:r>
              <w:rPr>
                <w:rFonts w:hint="eastAsia" w:ascii="宋体" w:hAnsi="宋体" w:cs="宋体"/>
                <w:b w:val="0"/>
                <w:bCs w:val="0"/>
                <w:color w:val="auto"/>
                <w:sz w:val="21"/>
                <w:szCs w:val="21"/>
                <w:highlight w:val="none"/>
                <w:lang w:val="en-US" w:eastAsia="zh-CN"/>
              </w:rPr>
              <w:t>)</w:t>
            </w:r>
            <w:r>
              <w:rPr>
                <w:rFonts w:hint="eastAsia" w:ascii="宋体" w:hAnsi="宋体" w:cs="宋体"/>
                <w:color w:val="auto"/>
                <w:szCs w:val="21"/>
                <w:highlight w:val="none"/>
              </w:rPr>
              <w:t>分。</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5</w:t>
            </w:r>
          </w:p>
        </w:tc>
        <w:tc>
          <w:tcPr>
            <w:tcW w:w="108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en-US" w:eastAsia="zh-CN"/>
              </w:rPr>
              <w:t>能力</w:t>
            </w:r>
          </w:p>
        </w:tc>
        <w:tc>
          <w:tcPr>
            <w:tcW w:w="7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keepNext w:val="0"/>
              <w:keepLines w:val="0"/>
              <w:suppressLineNumbers w:val="0"/>
              <w:spacing w:before="0" w:beforeAutospacing="0" w:after="0" w:afterAutospacing="0" w:line="360" w:lineRule="auto"/>
              <w:ind w:left="0" w:right="0"/>
              <w:rPr>
                <w:rFonts w:hint="eastAsia" w:hAnsi="宋体" w:cs="宋体"/>
                <w:color w:val="auto"/>
                <w:szCs w:val="21"/>
                <w:highlight w:val="none"/>
                <w:lang w:val="en-US" w:eastAsia="zh-CN"/>
              </w:rPr>
            </w:pPr>
            <w:r>
              <w:rPr>
                <w:rFonts w:hint="eastAsia" w:hAnsi="宋体" w:cs="宋体"/>
                <w:color w:val="auto"/>
                <w:szCs w:val="21"/>
                <w:highlight w:val="none"/>
                <w:lang w:val="en-US" w:eastAsia="zh-CN"/>
              </w:rPr>
              <w:t>根据投标人的运</w:t>
            </w:r>
            <w:r>
              <w:rPr>
                <w:rFonts w:hint="eastAsia" w:ascii="宋体" w:hAnsi="宋体" w:eastAsia="宋体" w:cs="宋体"/>
                <w:color w:val="auto"/>
                <w:szCs w:val="21"/>
                <w:highlight w:val="none"/>
              </w:rPr>
              <w:t>输</w:t>
            </w:r>
            <w:r>
              <w:rPr>
                <w:rFonts w:hint="eastAsia" w:hAnsi="宋体" w:cs="宋体"/>
                <w:color w:val="auto"/>
                <w:szCs w:val="21"/>
                <w:highlight w:val="none"/>
                <w:lang w:val="en-US" w:eastAsia="zh-CN"/>
              </w:rPr>
              <w:t>能力进行评审：</w:t>
            </w:r>
          </w:p>
          <w:p>
            <w:pPr>
              <w:pStyle w:val="23"/>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hAnsi="宋体" w:cs="宋体"/>
                <w:color w:val="auto"/>
                <w:szCs w:val="21"/>
                <w:highlight w:val="none"/>
                <w:lang w:val="en-US" w:eastAsia="zh-CN"/>
              </w:rPr>
              <w:t>投标人</w:t>
            </w:r>
            <w:r>
              <w:rPr>
                <w:rFonts w:hint="default" w:hAnsi="宋体" w:cs="宋体"/>
                <w:color w:val="auto"/>
                <w:szCs w:val="21"/>
                <w:highlight w:val="none"/>
              </w:rPr>
              <w:t>的运输车（</w:t>
            </w:r>
            <w:r>
              <w:rPr>
                <w:rFonts w:hint="eastAsia" w:hAnsi="宋体" w:cs="宋体"/>
                <w:color w:val="auto"/>
                <w:szCs w:val="21"/>
                <w:highlight w:val="none"/>
              </w:rPr>
              <w:t>可用运输</w:t>
            </w:r>
            <w:r>
              <w:rPr>
                <w:rFonts w:hint="eastAsia" w:hAnsi="宋体" w:cs="宋体"/>
                <w:color w:val="auto"/>
                <w:szCs w:val="21"/>
                <w:highlight w:val="none"/>
                <w:lang w:val="en-US" w:eastAsia="zh-CN"/>
              </w:rPr>
              <w:t>液体次氯酸钠</w:t>
            </w:r>
            <w:r>
              <w:rPr>
                <w:rFonts w:hint="eastAsia" w:hAnsi="宋体" w:cs="宋体"/>
                <w:color w:val="auto"/>
                <w:szCs w:val="21"/>
                <w:highlight w:val="none"/>
              </w:rPr>
              <w:t>的车辆</w:t>
            </w:r>
            <w:r>
              <w:rPr>
                <w:rFonts w:hint="default" w:hAnsi="宋体" w:cs="宋体"/>
                <w:color w:val="auto"/>
                <w:szCs w:val="21"/>
                <w:highlight w:val="none"/>
              </w:rPr>
              <w:t>）数量累计达到5台的，得1分；在上述基础上，运输车每增加投入1台的加1分，本项满分</w:t>
            </w:r>
            <w:r>
              <w:rPr>
                <w:rFonts w:hint="eastAsia" w:hAnsi="宋体" w:cs="宋体"/>
                <w:color w:val="auto"/>
                <w:szCs w:val="21"/>
                <w:highlight w:val="none"/>
                <w:lang w:val="en-US" w:eastAsia="zh-CN"/>
              </w:rPr>
              <w:t>3</w:t>
            </w:r>
            <w:r>
              <w:rPr>
                <w:rFonts w:hint="default" w:hAnsi="宋体" w:cs="宋体"/>
                <w:color w:val="auto"/>
                <w:szCs w:val="21"/>
                <w:highlight w:val="none"/>
              </w:rPr>
              <w:t>分</w:t>
            </w:r>
            <w:r>
              <w:rPr>
                <w:rFonts w:hint="default" w:ascii="宋体" w:hAnsi="宋体" w:eastAsia="宋体" w:cs="宋体"/>
                <w:color w:val="auto"/>
                <w:szCs w:val="21"/>
                <w:highlight w:val="none"/>
              </w:rPr>
              <w:t>。</w:t>
            </w:r>
          </w:p>
          <w:p>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(1)自有的运输车的须提供:①有效期内的车辆行驶证</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②有效期内的《中华人民共和国道路运输经营许可证》(许可范围包含危险货物运输(8类或腐蚀性物质))</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件或《道路危险货物运输许可证》(许可范围包含危险货物运输(8类或腐蚀性物质))</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③有效期内的车辆道路运输证</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④车辆照片/图片(照片/图片须清晰显示拍摄时间为2025年11月1日或以后)。</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(2)委托第三方运输的须提供:①运输合同</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件;②受托方有效期内的《中华人民共和国道路运输经营许可证》(许可范围包含危险货物运输(8类或腐蚀性物质))</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件或《道路危险货物运输许可证》(许可范围包含危险货物运输(8类或腐蚀性物质))</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件;③有效期内的车辆道路运输证</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件;④有效期内的车辆行驶证</w:t>
            </w:r>
            <w:r>
              <w:rPr>
                <w:rFonts w:hint="eastAsia" w:ascii="宋体" w:hAnsi="宋体" w:eastAsia="宋体" w:cs="宋体"/>
                <w:b/>
                <w:bCs/>
                <w:color w:val="auto"/>
                <w:szCs w:val="21"/>
                <w:highlight w:val="none"/>
                <w:lang w:val="en-US" w:eastAsia="zh-CN"/>
              </w:rPr>
              <w:t>复印</w:t>
            </w:r>
            <w:r>
              <w:rPr>
                <w:rFonts w:hint="eastAsia" w:ascii="宋体" w:hAnsi="宋体" w:eastAsia="宋体" w:cs="宋体"/>
                <w:b/>
                <w:bCs/>
                <w:color w:val="auto"/>
                <w:szCs w:val="21"/>
                <w:highlight w:val="none"/>
                <w:lang w:eastAsia="zh-CN"/>
              </w:rPr>
              <w:t>件;⑤车辆照片/图片(照片/图片须清晰显示拍摄时间为2025年11月1日或以后)。</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cs="宋体"/>
                <w:color w:val="auto"/>
                <w:szCs w:val="21"/>
                <w:highlight w:val="none"/>
              </w:rPr>
            </w:pPr>
            <w:r>
              <w:rPr>
                <w:rFonts w:hint="eastAsia" w:ascii="宋体" w:hAnsi="宋体" w:eastAsia="宋体" w:cs="宋体"/>
                <w:b/>
                <w:bCs/>
                <w:color w:val="auto"/>
                <w:szCs w:val="21"/>
                <w:highlight w:val="none"/>
                <w:lang w:eastAsia="zh-CN"/>
              </w:rPr>
              <w:t>(3)未提供或者提供信息不全或证件无效的相应车辆不得分。</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3分</w:t>
            </w:r>
          </w:p>
        </w:tc>
      </w:tr>
      <w:bookmarkEnd w:id="717"/>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18" w:name="_Toc31624_WPSOffice_Level2"/>
      <w:r>
        <w:rPr>
          <w:rFonts w:hint="eastAsia" w:ascii="宋体" w:hAnsi="宋体" w:eastAsia="宋体" w:cs="宋体"/>
          <w:color w:val="auto"/>
          <w:kern w:val="0"/>
          <w:szCs w:val="28"/>
          <w:highlight w:val="none"/>
          <w:lang w:val="zh-CN"/>
        </w:rPr>
        <w:t>评标总得分=F1＋F2＋……+Fn</w:t>
      </w:r>
      <w:bookmarkEnd w:id="718"/>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9" w:name="_Toc13236_WPSOffice_Level2"/>
      <w:r>
        <w:rPr>
          <w:rFonts w:hint="eastAsia" w:ascii="宋体" w:hAnsi="宋体" w:eastAsia="宋体" w:cs="宋体"/>
          <w:color w:val="auto"/>
          <w:kern w:val="0"/>
          <w:szCs w:val="21"/>
          <w:highlight w:val="none"/>
        </w:rPr>
        <w:t>F1、F2、……Fn分别为各项评分因素的得分</w:t>
      </w:r>
      <w:bookmarkEnd w:id="719"/>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20" w:name="_Toc518_WPSOffice_Level1"/>
      <w:r>
        <w:rPr>
          <w:rFonts w:hint="eastAsia" w:ascii="宋体" w:hAnsi="宋体" w:eastAsia="宋体" w:cs="宋体"/>
          <w:b/>
          <w:bCs/>
          <w:color w:val="auto"/>
          <w:sz w:val="28"/>
          <w:szCs w:val="28"/>
          <w:highlight w:val="none"/>
          <w:lang w:val="zh-CN"/>
        </w:rPr>
        <w:t>五、推荐中标人</w:t>
      </w:r>
      <w:bookmarkEnd w:id="720"/>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21" w:name="_Toc22724_WPSOffice_Level1"/>
      <w:r>
        <w:rPr>
          <w:rFonts w:hint="eastAsia" w:ascii="宋体" w:hAnsi="宋体" w:eastAsia="宋体" w:cs="宋体"/>
          <w:b/>
          <w:bCs/>
          <w:color w:val="auto"/>
          <w:sz w:val="28"/>
          <w:szCs w:val="28"/>
          <w:highlight w:val="none"/>
          <w:lang w:val="zh-CN"/>
        </w:rPr>
        <w:t>六、编写评标报告</w:t>
      </w:r>
      <w:bookmarkEnd w:id="721"/>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bookmarkStart w:id="723" w:name="_GoBack"/>
      <w:bookmarkEnd w:id="723"/>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2" w:name="_Toc23773_WPSOffice_Level1"/>
      <w:r>
        <w:rPr>
          <w:rFonts w:hint="eastAsia" w:ascii="宋体" w:hAnsi="宋体" w:eastAsia="宋体" w:cs="宋体"/>
          <w:b/>
          <w:bCs/>
          <w:color w:val="auto"/>
          <w:sz w:val="28"/>
          <w:szCs w:val="28"/>
          <w:highlight w:val="none"/>
          <w:lang w:val="zh-CN"/>
        </w:rPr>
        <w:t>七、注意事项</w:t>
      </w:r>
      <w:bookmarkEnd w:id="722"/>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72"/>
      <w:bookmarkEnd w:id="697"/>
      <w:bookmarkEnd w:id="698"/>
      <w:bookmarkEnd w:id="699"/>
    </w:p>
    <w:sectPr>
      <w:pgSz w:w="11906" w:h="16838"/>
      <w:pgMar w:top="1440" w:right="1080" w:bottom="1440" w:left="1080"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07E974-8086-4657-8A28-C401EF845D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71E0FFE-EDBD-46BC-AC58-6135FCFF5D5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66CFB89-661E-47AF-8CFD-289B0F79D59D}"/>
  </w:font>
  <w:font w:name="仿宋">
    <w:panose1 w:val="02010609060101010101"/>
    <w:charset w:val="86"/>
    <w:family w:val="modern"/>
    <w:pitch w:val="default"/>
    <w:sig w:usb0="800002BF" w:usb1="38CF7CFA" w:usb2="00000016" w:usb3="00000000" w:csb0="00040001" w:csb1="00000000"/>
    <w:embedRegular r:id="rId4" w:fontKey="{E4E2FA4E-AD7F-4167-9DD8-BBE20A201BCD}"/>
  </w:font>
  <w:font w:name="等线 Light">
    <w:panose1 w:val="02010600030101010101"/>
    <w:charset w:val="86"/>
    <w:family w:val="auto"/>
    <w:pitch w:val="default"/>
    <w:sig w:usb0="A00002BF" w:usb1="38CF7CFA" w:usb2="00000016" w:usb3="00000000" w:csb0="0004000F" w:csb1="00000000"/>
    <w:embedRegular r:id="rId5" w:fontKey="{73AAED97-FE41-4445-9F39-73204D5121DE}"/>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6" w:fontKey="{90CA9C0B-A269-4ABE-8389-1AC314FD1E8D}"/>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embedRegular r:id="rId7" w:fontKey="{B7F861E2-A885-4AD3-8270-55E82BA7B6B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rPr>
        <w:rFonts w:ascii="宋体" w:hAnsi="等线"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等线" w:hAnsi="等线" w:eastAsia="等线"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等线" w:hAnsi="等线" w:eastAsia="等线" w:cs="Times New Roman"/>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3D27"/>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4E91"/>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2F"/>
    <w:rsid w:val="016C2D4F"/>
    <w:rsid w:val="01B12E58"/>
    <w:rsid w:val="01F64D0F"/>
    <w:rsid w:val="01FE03AC"/>
    <w:rsid w:val="0250441F"/>
    <w:rsid w:val="02FE5AC7"/>
    <w:rsid w:val="03F80608"/>
    <w:rsid w:val="03FB485E"/>
    <w:rsid w:val="04051239"/>
    <w:rsid w:val="054D733B"/>
    <w:rsid w:val="05706B86"/>
    <w:rsid w:val="058F7720"/>
    <w:rsid w:val="05900FD6"/>
    <w:rsid w:val="05C3315A"/>
    <w:rsid w:val="05F94DCD"/>
    <w:rsid w:val="05FD48BE"/>
    <w:rsid w:val="06447858"/>
    <w:rsid w:val="06A75D00"/>
    <w:rsid w:val="06F37A6F"/>
    <w:rsid w:val="078F59E9"/>
    <w:rsid w:val="08451EB2"/>
    <w:rsid w:val="08774259"/>
    <w:rsid w:val="08FB0871"/>
    <w:rsid w:val="09012917"/>
    <w:rsid w:val="09242161"/>
    <w:rsid w:val="094822F4"/>
    <w:rsid w:val="09B647A7"/>
    <w:rsid w:val="09D21BBD"/>
    <w:rsid w:val="0A0F7F0B"/>
    <w:rsid w:val="0A3463D4"/>
    <w:rsid w:val="0A544CC8"/>
    <w:rsid w:val="0A944EE8"/>
    <w:rsid w:val="0AA37085"/>
    <w:rsid w:val="0BD0037E"/>
    <w:rsid w:val="0BD55995"/>
    <w:rsid w:val="0BDA2FAB"/>
    <w:rsid w:val="0C563C78"/>
    <w:rsid w:val="0C590374"/>
    <w:rsid w:val="0C992AD3"/>
    <w:rsid w:val="0CF103CF"/>
    <w:rsid w:val="0D8A20F3"/>
    <w:rsid w:val="0DF26CD2"/>
    <w:rsid w:val="0E07644F"/>
    <w:rsid w:val="0E411AF2"/>
    <w:rsid w:val="0E572004"/>
    <w:rsid w:val="0E8D2557"/>
    <w:rsid w:val="0EE87AAA"/>
    <w:rsid w:val="0F241091"/>
    <w:rsid w:val="0F3B1FB3"/>
    <w:rsid w:val="0F696B20"/>
    <w:rsid w:val="0FDD12BC"/>
    <w:rsid w:val="101C3B92"/>
    <w:rsid w:val="10666866"/>
    <w:rsid w:val="107E56EB"/>
    <w:rsid w:val="108B5869"/>
    <w:rsid w:val="10FB40F0"/>
    <w:rsid w:val="111E2997"/>
    <w:rsid w:val="113D64B6"/>
    <w:rsid w:val="11791AD9"/>
    <w:rsid w:val="117B0A90"/>
    <w:rsid w:val="117D1EF9"/>
    <w:rsid w:val="11A402E3"/>
    <w:rsid w:val="11A77DD3"/>
    <w:rsid w:val="11BF336F"/>
    <w:rsid w:val="121A67F7"/>
    <w:rsid w:val="123F490D"/>
    <w:rsid w:val="12635217"/>
    <w:rsid w:val="12750936"/>
    <w:rsid w:val="128819B3"/>
    <w:rsid w:val="130F4A87"/>
    <w:rsid w:val="13370CE3"/>
    <w:rsid w:val="13735432"/>
    <w:rsid w:val="13894B56"/>
    <w:rsid w:val="139127F7"/>
    <w:rsid w:val="13BB79E5"/>
    <w:rsid w:val="13C92283"/>
    <w:rsid w:val="13FF6561"/>
    <w:rsid w:val="14847F58"/>
    <w:rsid w:val="14DC1B42"/>
    <w:rsid w:val="152534E9"/>
    <w:rsid w:val="153F7762"/>
    <w:rsid w:val="155A19C1"/>
    <w:rsid w:val="157F78DA"/>
    <w:rsid w:val="164B2B10"/>
    <w:rsid w:val="17020856"/>
    <w:rsid w:val="17643773"/>
    <w:rsid w:val="1941466A"/>
    <w:rsid w:val="19C67556"/>
    <w:rsid w:val="19E15771"/>
    <w:rsid w:val="19EA5CF9"/>
    <w:rsid w:val="1A9D7FC6"/>
    <w:rsid w:val="1AE6196C"/>
    <w:rsid w:val="1B0940FF"/>
    <w:rsid w:val="1C1F427D"/>
    <w:rsid w:val="1C6568C1"/>
    <w:rsid w:val="1CB11B06"/>
    <w:rsid w:val="1CE4012E"/>
    <w:rsid w:val="1CEE2D5A"/>
    <w:rsid w:val="1D19713F"/>
    <w:rsid w:val="1D2A297F"/>
    <w:rsid w:val="1D85546D"/>
    <w:rsid w:val="1D894883"/>
    <w:rsid w:val="1DC13FCB"/>
    <w:rsid w:val="1DDE1862"/>
    <w:rsid w:val="1DE241E1"/>
    <w:rsid w:val="1DFB74DD"/>
    <w:rsid w:val="1E0A7720"/>
    <w:rsid w:val="1E2471AC"/>
    <w:rsid w:val="1F50684D"/>
    <w:rsid w:val="1FED554B"/>
    <w:rsid w:val="1FF97C68"/>
    <w:rsid w:val="20097C80"/>
    <w:rsid w:val="207A1985"/>
    <w:rsid w:val="208F03B0"/>
    <w:rsid w:val="209E05F3"/>
    <w:rsid w:val="21132F04"/>
    <w:rsid w:val="211C7E96"/>
    <w:rsid w:val="217D46AD"/>
    <w:rsid w:val="21B027D1"/>
    <w:rsid w:val="242B61B1"/>
    <w:rsid w:val="247450D6"/>
    <w:rsid w:val="24916582"/>
    <w:rsid w:val="24A1404B"/>
    <w:rsid w:val="24F17F58"/>
    <w:rsid w:val="24F45147"/>
    <w:rsid w:val="2502613B"/>
    <w:rsid w:val="252C2D73"/>
    <w:rsid w:val="25D4327F"/>
    <w:rsid w:val="26057D67"/>
    <w:rsid w:val="26307F40"/>
    <w:rsid w:val="264E5027"/>
    <w:rsid w:val="2654497E"/>
    <w:rsid w:val="26B20955"/>
    <w:rsid w:val="26DE5BEE"/>
    <w:rsid w:val="26FC7246"/>
    <w:rsid w:val="27231678"/>
    <w:rsid w:val="27947CEE"/>
    <w:rsid w:val="27D668C5"/>
    <w:rsid w:val="286E02B3"/>
    <w:rsid w:val="28976054"/>
    <w:rsid w:val="28AC5FA3"/>
    <w:rsid w:val="28CD7B64"/>
    <w:rsid w:val="28DA73F5"/>
    <w:rsid w:val="290C07F0"/>
    <w:rsid w:val="291F1B43"/>
    <w:rsid w:val="29B07975"/>
    <w:rsid w:val="29DB4666"/>
    <w:rsid w:val="2A2F6C0B"/>
    <w:rsid w:val="2BB37649"/>
    <w:rsid w:val="2BD26D3D"/>
    <w:rsid w:val="2BEE3514"/>
    <w:rsid w:val="2C22032B"/>
    <w:rsid w:val="2C362090"/>
    <w:rsid w:val="2C637D8A"/>
    <w:rsid w:val="2C6F395B"/>
    <w:rsid w:val="2C85114F"/>
    <w:rsid w:val="2C964A0F"/>
    <w:rsid w:val="2CFC2BFE"/>
    <w:rsid w:val="2CFD7B57"/>
    <w:rsid w:val="2D17796B"/>
    <w:rsid w:val="2D247D83"/>
    <w:rsid w:val="2D2B1461"/>
    <w:rsid w:val="2D525BC3"/>
    <w:rsid w:val="2D5D6246"/>
    <w:rsid w:val="2D852262"/>
    <w:rsid w:val="2DB11966"/>
    <w:rsid w:val="2DDD2772"/>
    <w:rsid w:val="2E2B44BD"/>
    <w:rsid w:val="2E31752A"/>
    <w:rsid w:val="2F8F217B"/>
    <w:rsid w:val="308710A4"/>
    <w:rsid w:val="30A15470"/>
    <w:rsid w:val="30AA0B59"/>
    <w:rsid w:val="314D028A"/>
    <w:rsid w:val="316A1E7D"/>
    <w:rsid w:val="31B71DFB"/>
    <w:rsid w:val="31D9605A"/>
    <w:rsid w:val="31FD7870"/>
    <w:rsid w:val="32165152"/>
    <w:rsid w:val="322F6555"/>
    <w:rsid w:val="32737B32"/>
    <w:rsid w:val="32C72463"/>
    <w:rsid w:val="32D04EE7"/>
    <w:rsid w:val="32DC4AF5"/>
    <w:rsid w:val="32EC5E34"/>
    <w:rsid w:val="331A1D5C"/>
    <w:rsid w:val="334119DE"/>
    <w:rsid w:val="33680D19"/>
    <w:rsid w:val="33B43F5E"/>
    <w:rsid w:val="342B5F2F"/>
    <w:rsid w:val="35213875"/>
    <w:rsid w:val="355530AA"/>
    <w:rsid w:val="35977DB1"/>
    <w:rsid w:val="35A87AF3"/>
    <w:rsid w:val="35C97A69"/>
    <w:rsid w:val="35D33384"/>
    <w:rsid w:val="361D3679"/>
    <w:rsid w:val="364631D7"/>
    <w:rsid w:val="367F5E2B"/>
    <w:rsid w:val="368928C2"/>
    <w:rsid w:val="375901EA"/>
    <w:rsid w:val="37863E63"/>
    <w:rsid w:val="37B502A5"/>
    <w:rsid w:val="37C80C1D"/>
    <w:rsid w:val="37F83D4F"/>
    <w:rsid w:val="385555E4"/>
    <w:rsid w:val="385E26EA"/>
    <w:rsid w:val="38E43446"/>
    <w:rsid w:val="394144E6"/>
    <w:rsid w:val="395D6E46"/>
    <w:rsid w:val="397A6507"/>
    <w:rsid w:val="39AE42A9"/>
    <w:rsid w:val="39CD7B28"/>
    <w:rsid w:val="3A01794F"/>
    <w:rsid w:val="3A105C66"/>
    <w:rsid w:val="3AD44EE6"/>
    <w:rsid w:val="3AF37A62"/>
    <w:rsid w:val="3B1F29B6"/>
    <w:rsid w:val="3B5F0C53"/>
    <w:rsid w:val="3B8E088C"/>
    <w:rsid w:val="3B9971A7"/>
    <w:rsid w:val="3BB41B2C"/>
    <w:rsid w:val="3CE90610"/>
    <w:rsid w:val="3CFD6976"/>
    <w:rsid w:val="3D2F0AF9"/>
    <w:rsid w:val="3D581DFE"/>
    <w:rsid w:val="3D826E7B"/>
    <w:rsid w:val="3D8810B1"/>
    <w:rsid w:val="3E021D6A"/>
    <w:rsid w:val="3E565C0B"/>
    <w:rsid w:val="3E7C7D6E"/>
    <w:rsid w:val="3E823CCF"/>
    <w:rsid w:val="3F11495A"/>
    <w:rsid w:val="3F363F24"/>
    <w:rsid w:val="3F4C0AAE"/>
    <w:rsid w:val="3F566811"/>
    <w:rsid w:val="3F5B255F"/>
    <w:rsid w:val="3FAC01DF"/>
    <w:rsid w:val="3FDE5A59"/>
    <w:rsid w:val="40792EE3"/>
    <w:rsid w:val="40B85E5D"/>
    <w:rsid w:val="40E6078B"/>
    <w:rsid w:val="40EB4D37"/>
    <w:rsid w:val="410A340F"/>
    <w:rsid w:val="41314E40"/>
    <w:rsid w:val="4186530E"/>
    <w:rsid w:val="41984EBF"/>
    <w:rsid w:val="41AA074E"/>
    <w:rsid w:val="424566C9"/>
    <w:rsid w:val="429F2E1F"/>
    <w:rsid w:val="42B530EB"/>
    <w:rsid w:val="430A3B9B"/>
    <w:rsid w:val="432602A9"/>
    <w:rsid w:val="43A318F9"/>
    <w:rsid w:val="43AF701F"/>
    <w:rsid w:val="43B50E83"/>
    <w:rsid w:val="43E75C8A"/>
    <w:rsid w:val="445350CD"/>
    <w:rsid w:val="447C2876"/>
    <w:rsid w:val="44A02DC8"/>
    <w:rsid w:val="4523496E"/>
    <w:rsid w:val="459373B7"/>
    <w:rsid w:val="45CA4FDD"/>
    <w:rsid w:val="45CC759A"/>
    <w:rsid w:val="45DF26B5"/>
    <w:rsid w:val="461D5993"/>
    <w:rsid w:val="462358F3"/>
    <w:rsid w:val="46387C82"/>
    <w:rsid w:val="464253F9"/>
    <w:rsid w:val="46D06EA9"/>
    <w:rsid w:val="46F81F5C"/>
    <w:rsid w:val="474A6C5C"/>
    <w:rsid w:val="47A82162"/>
    <w:rsid w:val="47D34BBC"/>
    <w:rsid w:val="485D476D"/>
    <w:rsid w:val="48E87716"/>
    <w:rsid w:val="4A2C089A"/>
    <w:rsid w:val="4BB86E3D"/>
    <w:rsid w:val="4C160AFB"/>
    <w:rsid w:val="4D4664E5"/>
    <w:rsid w:val="4E630603"/>
    <w:rsid w:val="4EBA71BC"/>
    <w:rsid w:val="4EE8751E"/>
    <w:rsid w:val="4F0A4599"/>
    <w:rsid w:val="4F2F5931"/>
    <w:rsid w:val="4F3B50DC"/>
    <w:rsid w:val="4FCD1AFA"/>
    <w:rsid w:val="505B3C87"/>
    <w:rsid w:val="505E043D"/>
    <w:rsid w:val="50661461"/>
    <w:rsid w:val="50A20D13"/>
    <w:rsid w:val="514E10F6"/>
    <w:rsid w:val="51B64EEE"/>
    <w:rsid w:val="51C94C21"/>
    <w:rsid w:val="51D64A50"/>
    <w:rsid w:val="520E7401"/>
    <w:rsid w:val="52117CD6"/>
    <w:rsid w:val="521C7446"/>
    <w:rsid w:val="52632D2E"/>
    <w:rsid w:val="52DA3931"/>
    <w:rsid w:val="52DB4C0C"/>
    <w:rsid w:val="52F80915"/>
    <w:rsid w:val="537D5CC3"/>
    <w:rsid w:val="53893F2B"/>
    <w:rsid w:val="53BB67EB"/>
    <w:rsid w:val="5449428A"/>
    <w:rsid w:val="54BD0DFB"/>
    <w:rsid w:val="54C47921"/>
    <w:rsid w:val="54E87AB4"/>
    <w:rsid w:val="54FB1595"/>
    <w:rsid w:val="55790567"/>
    <w:rsid w:val="557B26D6"/>
    <w:rsid w:val="55D23E73"/>
    <w:rsid w:val="563D14D1"/>
    <w:rsid w:val="568802DB"/>
    <w:rsid w:val="568D48D7"/>
    <w:rsid w:val="56981066"/>
    <w:rsid w:val="569E48CE"/>
    <w:rsid w:val="56B37004"/>
    <w:rsid w:val="56EB73E7"/>
    <w:rsid w:val="57295295"/>
    <w:rsid w:val="574F5BC8"/>
    <w:rsid w:val="577362CE"/>
    <w:rsid w:val="57E86688"/>
    <w:rsid w:val="582B13C9"/>
    <w:rsid w:val="58A65901"/>
    <w:rsid w:val="59633BAD"/>
    <w:rsid w:val="59981AA8"/>
    <w:rsid w:val="59B1212E"/>
    <w:rsid w:val="5A137381"/>
    <w:rsid w:val="5A1522A3"/>
    <w:rsid w:val="5A63555E"/>
    <w:rsid w:val="5AF80E2D"/>
    <w:rsid w:val="5BE12FA3"/>
    <w:rsid w:val="5CBD1826"/>
    <w:rsid w:val="5CE04331"/>
    <w:rsid w:val="5D350B48"/>
    <w:rsid w:val="5D3F66DF"/>
    <w:rsid w:val="5D8866EC"/>
    <w:rsid w:val="5E897C12"/>
    <w:rsid w:val="5EBF421E"/>
    <w:rsid w:val="5EC46E9C"/>
    <w:rsid w:val="5F122193"/>
    <w:rsid w:val="5F1C3E11"/>
    <w:rsid w:val="5F683CCB"/>
    <w:rsid w:val="5FD276B3"/>
    <w:rsid w:val="604E6CC3"/>
    <w:rsid w:val="60A305BA"/>
    <w:rsid w:val="60F03F78"/>
    <w:rsid w:val="615C33BC"/>
    <w:rsid w:val="617E2507"/>
    <w:rsid w:val="61D05B58"/>
    <w:rsid w:val="61E138C1"/>
    <w:rsid w:val="61F16ABA"/>
    <w:rsid w:val="62175534"/>
    <w:rsid w:val="62542745"/>
    <w:rsid w:val="62B13874"/>
    <w:rsid w:val="62C90F25"/>
    <w:rsid w:val="62DD41FF"/>
    <w:rsid w:val="63196982"/>
    <w:rsid w:val="631B2E02"/>
    <w:rsid w:val="6326781B"/>
    <w:rsid w:val="63672753"/>
    <w:rsid w:val="636C7B02"/>
    <w:rsid w:val="645779AB"/>
    <w:rsid w:val="64933ABF"/>
    <w:rsid w:val="64CF3D12"/>
    <w:rsid w:val="651A5A67"/>
    <w:rsid w:val="65883BF7"/>
    <w:rsid w:val="65E62E7A"/>
    <w:rsid w:val="66014531"/>
    <w:rsid w:val="66415276"/>
    <w:rsid w:val="666A657B"/>
    <w:rsid w:val="669B6734"/>
    <w:rsid w:val="67092D92"/>
    <w:rsid w:val="672A2F2F"/>
    <w:rsid w:val="67931555"/>
    <w:rsid w:val="67BB5990"/>
    <w:rsid w:val="67F105D6"/>
    <w:rsid w:val="67F65BEC"/>
    <w:rsid w:val="68150768"/>
    <w:rsid w:val="68822DC9"/>
    <w:rsid w:val="69F140F6"/>
    <w:rsid w:val="6A114F5F"/>
    <w:rsid w:val="6A1A2066"/>
    <w:rsid w:val="6AAD178D"/>
    <w:rsid w:val="6AE606B8"/>
    <w:rsid w:val="6B376C47"/>
    <w:rsid w:val="6B4F3F91"/>
    <w:rsid w:val="6C3F5DB4"/>
    <w:rsid w:val="6C615D2A"/>
    <w:rsid w:val="6CB71DEE"/>
    <w:rsid w:val="6CC649E7"/>
    <w:rsid w:val="6D136866"/>
    <w:rsid w:val="6D5C0E3F"/>
    <w:rsid w:val="6E096679"/>
    <w:rsid w:val="6E182D60"/>
    <w:rsid w:val="6E6828A9"/>
    <w:rsid w:val="6E6C6C08"/>
    <w:rsid w:val="6EC46D82"/>
    <w:rsid w:val="6F40631D"/>
    <w:rsid w:val="6F5F71DE"/>
    <w:rsid w:val="6F6F261D"/>
    <w:rsid w:val="6FBC5841"/>
    <w:rsid w:val="6FF31D43"/>
    <w:rsid w:val="7019691C"/>
    <w:rsid w:val="702C664F"/>
    <w:rsid w:val="70930D7D"/>
    <w:rsid w:val="71033854"/>
    <w:rsid w:val="71333014"/>
    <w:rsid w:val="716C3313"/>
    <w:rsid w:val="71826CB0"/>
    <w:rsid w:val="71863042"/>
    <w:rsid w:val="718E0A27"/>
    <w:rsid w:val="71924BD7"/>
    <w:rsid w:val="71BE76A6"/>
    <w:rsid w:val="722271DB"/>
    <w:rsid w:val="7278201F"/>
    <w:rsid w:val="72A03F09"/>
    <w:rsid w:val="72BB3CBA"/>
    <w:rsid w:val="72D32F00"/>
    <w:rsid w:val="73555EBD"/>
    <w:rsid w:val="743D7CF2"/>
    <w:rsid w:val="74510D7A"/>
    <w:rsid w:val="745A4EB9"/>
    <w:rsid w:val="74F11DAB"/>
    <w:rsid w:val="7503531D"/>
    <w:rsid w:val="752C70F1"/>
    <w:rsid w:val="754352B2"/>
    <w:rsid w:val="756A7D5E"/>
    <w:rsid w:val="76396CBC"/>
    <w:rsid w:val="764010A6"/>
    <w:rsid w:val="764E1F9B"/>
    <w:rsid w:val="765608C9"/>
    <w:rsid w:val="765C57B4"/>
    <w:rsid w:val="76C375E1"/>
    <w:rsid w:val="77447586"/>
    <w:rsid w:val="77493F8A"/>
    <w:rsid w:val="777D3C34"/>
    <w:rsid w:val="78446FFC"/>
    <w:rsid w:val="78462278"/>
    <w:rsid w:val="788039DC"/>
    <w:rsid w:val="78862FB0"/>
    <w:rsid w:val="78B81351"/>
    <w:rsid w:val="799247FE"/>
    <w:rsid w:val="79B17BC5"/>
    <w:rsid w:val="79B853F7"/>
    <w:rsid w:val="79CC5057"/>
    <w:rsid w:val="7A1A2380"/>
    <w:rsid w:val="7A434120"/>
    <w:rsid w:val="7A4874AD"/>
    <w:rsid w:val="7A643B21"/>
    <w:rsid w:val="7A8C2B0C"/>
    <w:rsid w:val="7B316707"/>
    <w:rsid w:val="7B5B428C"/>
    <w:rsid w:val="7B95779E"/>
    <w:rsid w:val="7BB74B3B"/>
    <w:rsid w:val="7C045812"/>
    <w:rsid w:val="7C964D0D"/>
    <w:rsid w:val="7CDE6F23"/>
    <w:rsid w:val="7CFA640D"/>
    <w:rsid w:val="7D2F777E"/>
    <w:rsid w:val="7D6457E7"/>
    <w:rsid w:val="7E132BFC"/>
    <w:rsid w:val="7E9A50CB"/>
    <w:rsid w:val="7F0337CB"/>
    <w:rsid w:val="7F820039"/>
    <w:rsid w:val="7F923FF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7">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annotation subject"/>
    <w:basedOn w:val="13"/>
    <w:next w:val="13"/>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13">
    <w:name w:val="annotation text"/>
    <w:basedOn w:val="1"/>
    <w:link w:val="162"/>
    <w:unhideWhenUsed/>
    <w:qFormat/>
    <w:uiPriority w:val="99"/>
    <w:pPr>
      <w:jc w:val="left"/>
    </w:pPr>
  </w:style>
  <w:style w:type="paragraph" w:styleId="14">
    <w:name w:val="Body Text First Indent"/>
    <w:basedOn w:val="15"/>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15">
    <w:name w:val="Body Text"/>
    <w:basedOn w:val="1"/>
    <w:next w:val="14"/>
    <w:link w:val="117"/>
    <w:qFormat/>
    <w:uiPriority w:val="99"/>
    <w:pPr>
      <w:autoSpaceDE w:val="0"/>
      <w:autoSpaceDN w:val="0"/>
      <w:adjustRightInd w:val="0"/>
      <w:ind w:right="-26"/>
      <w:jc w:val="center"/>
    </w:pPr>
    <w:rPr>
      <w:rFonts w:ascii="宋体" w:eastAsia="宋体"/>
      <w:b/>
      <w:bCs/>
      <w:sz w:val="84"/>
      <w:szCs w:val="84"/>
      <w:lang w:val="zh-CN"/>
    </w:rPr>
  </w:style>
  <w:style w:type="paragraph" w:styleId="16">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7">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8">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99"/>
    <w:qFormat/>
    <w:uiPriority w:val="0"/>
    <w:rPr>
      <w:rFonts w:ascii="宋体" w:hAnsi="Courier New" w:eastAsia="宋体"/>
    </w:rPr>
  </w:style>
  <w:style w:type="paragraph" w:styleId="24">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character" w:styleId="38">
    <w:name w:val="Strong"/>
    <w:qFormat/>
    <w:uiPriority w:val="0"/>
    <w:rPr>
      <w:b/>
      <w:bCs/>
    </w:rPr>
  </w:style>
  <w:style w:type="character" w:styleId="39">
    <w:name w:val="FollowedHyperlink"/>
    <w:unhideWhenUsed/>
    <w:qFormat/>
    <w:uiPriority w:val="99"/>
    <w:rPr>
      <w:color w:val="954F72"/>
      <w:u w:val="single"/>
    </w:rPr>
  </w:style>
  <w:style w:type="character" w:styleId="40">
    <w:name w:val="Emphasis"/>
    <w:qFormat/>
    <w:uiPriority w:val="0"/>
    <w:rPr>
      <w:i/>
      <w:iCs/>
    </w:rPr>
  </w:style>
  <w:style w:type="character" w:styleId="41">
    <w:name w:val="Hyperlink"/>
    <w:qFormat/>
    <w:uiPriority w:val="99"/>
    <w:rPr>
      <w:rFonts w:hint="default" w:ascii="Arial" w:hAnsi="Arial" w:cs="Arial"/>
      <w:color w:val="000000"/>
      <w:sz w:val="20"/>
      <w:szCs w:val="20"/>
      <w:u w:val="none"/>
    </w:rPr>
  </w:style>
  <w:style w:type="character" w:styleId="42">
    <w:name w:val="annotation reference"/>
    <w:qFormat/>
    <w:uiPriority w:val="99"/>
    <w:rPr>
      <w:sz w:val="21"/>
      <w:szCs w:val="21"/>
    </w:rPr>
  </w:style>
  <w:style w:type="table" w:styleId="44">
    <w:name w:val="Table Grid"/>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7"/>
    <w:qFormat/>
    <w:uiPriority w:val="0"/>
    <w:rPr>
      <w:b/>
      <w:bCs/>
      <w:kern w:val="44"/>
      <w:sz w:val="44"/>
      <w:szCs w:val="44"/>
    </w:rPr>
  </w:style>
  <w:style w:type="character" w:customStyle="1" w:styleId="47">
    <w:name w:val="标题 2 Char"/>
    <w:basedOn w:val="37"/>
    <w:link w:val="4"/>
    <w:qFormat/>
    <w:uiPriority w:val="0"/>
    <w:rPr>
      <w:rFonts w:ascii="宋体" w:hAnsi="Calibri" w:eastAsia="宋体" w:cs="Times New Roman"/>
      <w:kern w:val="0"/>
      <w:sz w:val="24"/>
      <w:szCs w:val="24"/>
    </w:rPr>
  </w:style>
  <w:style w:type="character" w:customStyle="1" w:styleId="48">
    <w:name w:val="标题 3 字符"/>
    <w:basedOn w:val="37"/>
    <w:qFormat/>
    <w:uiPriority w:val="0"/>
    <w:rPr>
      <w:b/>
      <w:bCs/>
      <w:sz w:val="32"/>
      <w:szCs w:val="32"/>
    </w:rPr>
  </w:style>
  <w:style w:type="character" w:customStyle="1" w:styleId="49">
    <w:name w:val="标题 4 Char1"/>
    <w:basedOn w:val="37"/>
    <w:link w:val="5"/>
    <w:qFormat/>
    <w:uiPriority w:val="9"/>
    <w:rPr>
      <w:rFonts w:ascii="Arial" w:hAnsi="Arial" w:eastAsia="黑体" w:cs="Times New Roman"/>
      <w:b/>
      <w:bCs/>
      <w:kern w:val="0"/>
      <w:sz w:val="28"/>
      <w:szCs w:val="28"/>
    </w:rPr>
  </w:style>
  <w:style w:type="character" w:customStyle="1" w:styleId="50">
    <w:name w:val="标题 5 字符"/>
    <w:basedOn w:val="37"/>
    <w:qFormat/>
    <w:uiPriority w:val="9"/>
    <w:rPr>
      <w:b/>
      <w:bCs/>
      <w:sz w:val="28"/>
      <w:szCs w:val="28"/>
    </w:rPr>
  </w:style>
  <w:style w:type="character" w:customStyle="1" w:styleId="51">
    <w:name w:val="标题 6 字符"/>
    <w:basedOn w:val="37"/>
    <w:qFormat/>
    <w:uiPriority w:val="0"/>
    <w:rPr>
      <w:rFonts w:asciiTheme="majorHAnsi" w:hAnsiTheme="majorHAnsi" w:eastAsiaTheme="majorEastAsia" w:cstheme="majorBidi"/>
      <w:b/>
      <w:bCs/>
      <w:sz w:val="24"/>
      <w:szCs w:val="24"/>
    </w:rPr>
  </w:style>
  <w:style w:type="character" w:customStyle="1" w:styleId="52">
    <w:name w:val="标题 7 Char"/>
    <w:basedOn w:val="37"/>
    <w:link w:val="9"/>
    <w:qFormat/>
    <w:uiPriority w:val="9"/>
    <w:rPr>
      <w:rFonts w:ascii="Times New Roman" w:hAnsi="Calibri" w:eastAsia="黑体" w:cs="Times New Roman"/>
      <w:b/>
      <w:bCs/>
      <w:kern w:val="0"/>
      <w:sz w:val="28"/>
      <w:szCs w:val="24"/>
    </w:rPr>
  </w:style>
  <w:style w:type="character" w:customStyle="1" w:styleId="53">
    <w:name w:val="标题 8 Char"/>
    <w:basedOn w:val="37"/>
    <w:link w:val="10"/>
    <w:qFormat/>
    <w:uiPriority w:val="9"/>
    <w:rPr>
      <w:rFonts w:ascii="Times New Roman" w:hAnsi="Calibri" w:eastAsia="黑体" w:cs="Times New Roman"/>
      <w:b/>
      <w:kern w:val="0"/>
      <w:sz w:val="28"/>
      <w:szCs w:val="24"/>
    </w:rPr>
  </w:style>
  <w:style w:type="character" w:customStyle="1" w:styleId="54">
    <w:name w:val="标题 9 Char"/>
    <w:basedOn w:val="37"/>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6"/>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6"/>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7"/>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7"/>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4"/>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2"/>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1"/>
    <w:qFormat/>
    <w:uiPriority w:val="0"/>
    <w:rPr>
      <w:rFonts w:ascii="Times New Roman" w:hAnsi="Times New Roman" w:eastAsia="宋体" w:cs="Times New Roman"/>
      <w:szCs w:val="20"/>
    </w:rPr>
  </w:style>
  <w:style w:type="character" w:customStyle="1" w:styleId="92">
    <w:name w:val="普通(网站) Char1"/>
    <w:link w:val="35"/>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3"/>
    <w:qFormat/>
    <w:uiPriority w:val="0"/>
    <w:rPr>
      <w:rFonts w:ascii="宋体" w:hAnsi="Courier New" w:eastAsia="宋体"/>
    </w:rPr>
  </w:style>
  <w:style w:type="character" w:customStyle="1" w:styleId="100">
    <w:name w:val="正文文本缩进 2 Char"/>
    <w:link w:val="25"/>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4"/>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12"/>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8"/>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5"/>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8"/>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3"/>
    <w:qFormat/>
    <w:uiPriority w:val="0"/>
    <w:rPr>
      <w:rFonts w:ascii="Arial" w:hAnsi="Arial" w:eastAsia="宋体" w:cs="Times New Roman"/>
      <w:color w:val="000000"/>
      <w:szCs w:val="24"/>
    </w:rPr>
  </w:style>
  <w:style w:type="character" w:customStyle="1" w:styleId="143">
    <w:name w:val="标题 3 Char"/>
    <w:link w:val="2"/>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1"/>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20"/>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7"/>
    <w:semiHidden/>
    <w:qFormat/>
    <w:uiPriority w:val="99"/>
    <w:rPr>
      <w:rFonts w:hAnsi="Courier New" w:cs="Courier New" w:asciiTheme="minorEastAsia"/>
    </w:rPr>
  </w:style>
  <w:style w:type="character" w:customStyle="1" w:styleId="162">
    <w:name w:val="批注文字 Char2"/>
    <w:basedOn w:val="37"/>
    <w:link w:val="13"/>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7"/>
    <w:qFormat/>
    <w:uiPriority w:val="10"/>
    <w:rPr>
      <w:rFonts w:asciiTheme="majorHAnsi" w:hAnsiTheme="majorHAnsi" w:eastAsiaTheme="majorEastAsia" w:cstheme="majorBidi"/>
      <w:b/>
      <w:bCs/>
      <w:sz w:val="32"/>
      <w:szCs w:val="32"/>
    </w:rPr>
  </w:style>
  <w:style w:type="character" w:customStyle="1" w:styleId="165">
    <w:name w:val="正文文本缩进 字符3"/>
    <w:basedOn w:val="37"/>
    <w:semiHidden/>
    <w:qFormat/>
    <w:uiPriority w:val="99"/>
  </w:style>
  <w:style w:type="character" w:customStyle="1" w:styleId="166">
    <w:name w:val="正文文本 字符4"/>
    <w:basedOn w:val="37"/>
    <w:semiHidden/>
    <w:qFormat/>
    <w:uiPriority w:val="99"/>
  </w:style>
  <w:style w:type="character" w:customStyle="1" w:styleId="167">
    <w:name w:val="正文文本缩进 3 字符2"/>
    <w:basedOn w:val="37"/>
    <w:semiHidden/>
    <w:qFormat/>
    <w:uiPriority w:val="99"/>
    <w:rPr>
      <w:sz w:val="16"/>
      <w:szCs w:val="16"/>
    </w:rPr>
  </w:style>
  <w:style w:type="character" w:customStyle="1" w:styleId="168">
    <w:name w:val="页眉 字符2"/>
    <w:basedOn w:val="37"/>
    <w:semiHidden/>
    <w:qFormat/>
    <w:uiPriority w:val="99"/>
    <w:rPr>
      <w:sz w:val="18"/>
      <w:szCs w:val="18"/>
    </w:rPr>
  </w:style>
  <w:style w:type="character" w:customStyle="1" w:styleId="169">
    <w:name w:val="批注框文本 字符2"/>
    <w:basedOn w:val="37"/>
    <w:semiHidden/>
    <w:qFormat/>
    <w:uiPriority w:val="99"/>
    <w:rPr>
      <w:sz w:val="18"/>
      <w:szCs w:val="18"/>
    </w:rPr>
  </w:style>
  <w:style w:type="character" w:customStyle="1" w:styleId="170">
    <w:name w:val="HTML 预设格式 字符2"/>
    <w:basedOn w:val="37"/>
    <w:semiHidden/>
    <w:qFormat/>
    <w:uiPriority w:val="99"/>
    <w:rPr>
      <w:rFonts w:ascii="Courier New" w:hAnsi="Courier New" w:cs="Courier New"/>
      <w:sz w:val="20"/>
      <w:szCs w:val="20"/>
    </w:rPr>
  </w:style>
  <w:style w:type="character" w:customStyle="1" w:styleId="171">
    <w:name w:val="页脚 字符2"/>
    <w:basedOn w:val="37"/>
    <w:semiHidden/>
    <w:qFormat/>
    <w:uiPriority w:val="99"/>
    <w:rPr>
      <w:sz w:val="18"/>
      <w:szCs w:val="18"/>
    </w:rPr>
  </w:style>
  <w:style w:type="character" w:customStyle="1" w:styleId="172">
    <w:name w:val="正文文本缩进 2 字符2"/>
    <w:basedOn w:val="37"/>
    <w:semiHidden/>
    <w:qFormat/>
    <w:uiPriority w:val="99"/>
  </w:style>
  <w:style w:type="character" w:customStyle="1" w:styleId="173">
    <w:name w:val="正文文本 3 字符2"/>
    <w:basedOn w:val="37"/>
    <w:semiHidden/>
    <w:qFormat/>
    <w:uiPriority w:val="99"/>
    <w:rPr>
      <w:sz w:val="16"/>
      <w:szCs w:val="16"/>
    </w:rPr>
  </w:style>
  <w:style w:type="character" w:customStyle="1" w:styleId="174">
    <w:name w:val="正文文本 2 字符2"/>
    <w:basedOn w:val="37"/>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7"/>
    <w:semiHidden/>
    <w:qFormat/>
    <w:uiPriority w:val="99"/>
    <w:rPr>
      <w:rFonts w:ascii="Microsoft YaHei UI" w:eastAsia="Microsoft YaHei UI"/>
      <w:sz w:val="18"/>
      <w:szCs w:val="18"/>
    </w:rPr>
  </w:style>
  <w:style w:type="character" w:customStyle="1" w:styleId="178">
    <w:name w:val="日期 字符2"/>
    <w:basedOn w:val="37"/>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5"/>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4"/>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12814</Words>
  <Characters>13637</Characters>
  <Lines>314</Lines>
  <Paragraphs>88</Paragraphs>
  <TotalTime>16</TotalTime>
  <ScaleCrop>false</ScaleCrop>
  <LinksUpToDate>false</LinksUpToDate>
  <CharactersWithSpaces>13968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张晓彬</cp:lastModifiedBy>
  <dcterms:modified xsi:type="dcterms:W3CDTF">2026-03-05T01:52:00Z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1DEEF09334984FD09BEB46EA7D948C7E_13</vt:lpwstr>
  </property>
  <property fmtid="{D5CDD505-2E9C-101B-9397-08002B2CF9AE}" pid="4" name="KSOTemplateDocerSaveRecord">
    <vt:lpwstr>eyJoZGlkIjoiMTA2OWRkZWY0Y2IzMzdkNjZiNWIyZWQ2ZjZjMmRkMmQiLCJ1c2VySWQiOiIxNjA2MDI0ODY0In0=</vt:lpwstr>
  </property>
</Properties>
</file>