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2"/>
          <w:szCs w:val="32"/>
          <w:highlight w:val="none"/>
        </w:rPr>
      </w:pPr>
      <w:r>
        <w:rPr>
          <w:rFonts w:hint="eastAsia" w:ascii="宋体" w:hAnsi="宋体"/>
          <w:b/>
          <w:sz w:val="32"/>
          <w:szCs w:val="32"/>
          <w:highlight w:val="none"/>
        </w:rPr>
        <w:t>东莞农村商业银行</w:t>
      </w:r>
      <w:r>
        <w:rPr>
          <w:rFonts w:hint="eastAsia" w:ascii="宋体" w:hAnsi="宋体"/>
          <w:b/>
          <w:sz w:val="32"/>
          <w:szCs w:val="32"/>
          <w:highlight w:val="none"/>
          <w:lang w:val="en-US" w:eastAsia="zh-CN"/>
        </w:rPr>
        <w:t>产业生态互联平台（二期）</w:t>
      </w:r>
      <w:r>
        <w:rPr>
          <w:rFonts w:hint="eastAsia" w:ascii="宋体" w:hAnsi="宋体"/>
          <w:b/>
          <w:sz w:val="32"/>
          <w:szCs w:val="32"/>
          <w:highlight w:val="none"/>
        </w:rPr>
        <w:t>项目</w:t>
      </w:r>
    </w:p>
    <w:p>
      <w:pPr>
        <w:spacing w:line="360" w:lineRule="auto"/>
        <w:jc w:val="center"/>
        <w:rPr>
          <w:rFonts w:ascii="宋体" w:hAnsi="宋体"/>
          <w:b/>
          <w:sz w:val="32"/>
          <w:szCs w:val="32"/>
          <w:highlight w:val="none"/>
        </w:rPr>
      </w:pPr>
      <w:r>
        <w:rPr>
          <w:rFonts w:hint="eastAsia" w:ascii="宋体" w:hAnsi="宋体"/>
          <w:b/>
          <w:sz w:val="32"/>
          <w:szCs w:val="32"/>
          <w:highlight w:val="none"/>
        </w:rPr>
        <w:t>市场调研需求</w:t>
      </w:r>
    </w:p>
    <w:p>
      <w:pPr>
        <w:spacing w:line="360" w:lineRule="auto"/>
        <w:rPr>
          <w:rFonts w:ascii="宋体" w:hAnsi="宋体"/>
          <w:b/>
          <w:szCs w:val="21"/>
          <w:highlight w:val="none"/>
        </w:rPr>
      </w:pPr>
    </w:p>
    <w:p>
      <w:pPr>
        <w:spacing w:line="360" w:lineRule="auto"/>
        <w:outlineLvl w:val="0"/>
        <w:rPr>
          <w:rFonts w:ascii="宋体" w:hAnsi="宋体"/>
          <w:b/>
          <w:szCs w:val="21"/>
          <w:highlight w:val="none"/>
        </w:rPr>
      </w:pPr>
      <w:r>
        <w:rPr>
          <w:rFonts w:hint="eastAsia" w:ascii="宋体" w:hAnsi="宋体"/>
          <w:b/>
          <w:szCs w:val="21"/>
          <w:highlight w:val="none"/>
        </w:rPr>
        <w:t>一、项目信息</w:t>
      </w:r>
    </w:p>
    <w:p>
      <w:pPr>
        <w:widowControl/>
        <w:spacing w:line="360" w:lineRule="auto"/>
        <w:ind w:firstLine="420" w:firstLineChars="200"/>
        <w:rPr>
          <w:rFonts w:cs="仿宋_GB2312" w:asciiTheme="minorEastAsia" w:hAnsiTheme="minorEastAsia" w:eastAsiaTheme="minorEastAsia"/>
          <w:bCs/>
          <w:szCs w:val="21"/>
          <w:highlight w:val="none"/>
        </w:rPr>
      </w:pPr>
      <w:r>
        <w:rPr>
          <w:rFonts w:cs="仿宋_GB2312" w:asciiTheme="minorEastAsia" w:hAnsiTheme="minorEastAsia" w:eastAsiaTheme="minorEastAsia"/>
          <w:bCs/>
          <w:szCs w:val="21"/>
          <w:highlight w:val="none"/>
        </w:rPr>
        <w:t>项目名称：</w:t>
      </w:r>
      <w:r>
        <w:rPr>
          <w:rFonts w:hint="eastAsia" w:cs="仿宋_GB2312" w:asciiTheme="minorEastAsia" w:hAnsiTheme="minorEastAsia" w:eastAsiaTheme="minorEastAsia"/>
          <w:bCs/>
          <w:szCs w:val="21"/>
          <w:highlight w:val="none"/>
        </w:rPr>
        <w:t>东莞农村商业银行</w:t>
      </w:r>
      <w:r>
        <w:rPr>
          <w:rFonts w:hint="eastAsia" w:cs="仿宋_GB2312" w:asciiTheme="minorEastAsia" w:hAnsiTheme="minorEastAsia" w:eastAsiaTheme="minorEastAsia"/>
          <w:bCs/>
          <w:szCs w:val="21"/>
          <w:highlight w:val="none"/>
          <w:lang w:val="en-US" w:eastAsia="zh-CN"/>
        </w:rPr>
        <w:t>产业生态互联平台（二期）</w:t>
      </w:r>
      <w:r>
        <w:rPr>
          <w:rFonts w:hint="eastAsia" w:cs="仿宋_GB2312" w:asciiTheme="minorEastAsia" w:hAnsiTheme="minorEastAsia" w:eastAsiaTheme="minorEastAsia"/>
          <w:bCs/>
          <w:szCs w:val="21"/>
          <w:highlight w:val="none"/>
        </w:rPr>
        <w:t>项目</w:t>
      </w:r>
    </w:p>
    <w:p>
      <w:pPr>
        <w:widowControl/>
        <w:spacing w:line="360" w:lineRule="auto"/>
        <w:ind w:firstLine="420" w:firstLineChars="200"/>
        <w:rPr>
          <w:rFonts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采购人</w:t>
      </w:r>
      <w:r>
        <w:rPr>
          <w:rFonts w:hint="eastAsia" w:cs="仿宋_GB2312" w:asciiTheme="minorEastAsia" w:hAnsiTheme="minorEastAsia" w:eastAsiaTheme="minorEastAsia"/>
          <w:bCs/>
          <w:szCs w:val="21"/>
          <w:highlight w:val="none"/>
        </w:rPr>
        <w:t>：东莞农村商业银行股份有限公司</w:t>
      </w:r>
    </w:p>
    <w:p>
      <w:pPr>
        <w:widowControl/>
        <w:spacing w:line="360" w:lineRule="auto"/>
        <w:ind w:firstLine="420" w:firstLineChars="200"/>
        <w:rPr>
          <w:rFonts w:hint="eastAsia" w:cs="仿宋_GB2312" w:asciiTheme="minorEastAsia" w:hAnsiTheme="minorEastAsia" w:eastAsiaTheme="minorEastAsia"/>
          <w:bCs/>
          <w:szCs w:val="21"/>
          <w:highlight w:val="none"/>
        </w:rPr>
      </w:pPr>
      <w:r>
        <w:rPr>
          <w:rFonts w:hint="eastAsia" w:cs="仿宋_GB2312" w:asciiTheme="minorEastAsia" w:hAnsiTheme="minorEastAsia" w:eastAsiaTheme="minorEastAsia"/>
          <w:bCs/>
          <w:szCs w:val="21"/>
          <w:highlight w:val="none"/>
          <w:lang w:val="en-US" w:eastAsia="zh-CN"/>
        </w:rPr>
        <w:t>项目概况</w:t>
      </w:r>
      <w:r>
        <w:rPr>
          <w:rFonts w:hint="eastAsia" w:cs="仿宋_GB2312" w:asciiTheme="minorEastAsia" w:hAnsiTheme="minorEastAsia" w:eastAsiaTheme="minorEastAsia"/>
          <w:bCs/>
          <w:szCs w:val="21"/>
          <w:highlight w:val="none"/>
        </w:rPr>
        <w:t>：</w:t>
      </w:r>
      <w:r>
        <w:rPr>
          <w:rFonts w:hint="eastAsia" w:cs="仿宋_GB2312" w:asciiTheme="minorEastAsia" w:hAnsiTheme="minorEastAsia" w:eastAsiaTheme="minorEastAsia"/>
          <w:bCs/>
          <w:szCs w:val="21"/>
          <w:highlight w:val="none"/>
          <w:lang w:val="en-US" w:eastAsia="zh-CN"/>
        </w:rPr>
        <w:t>东莞农村商业银行为满足企业业务、财务、人事管理需求，搭建业财一体化平台</w:t>
      </w:r>
      <w:r>
        <w:rPr>
          <w:rFonts w:hint="eastAsia" w:cs="仿宋_GB2312" w:asciiTheme="minorEastAsia" w:hAnsiTheme="minorEastAsia" w:eastAsiaTheme="minorEastAsia"/>
          <w:bCs/>
          <w:szCs w:val="21"/>
          <w:highlight w:val="none"/>
        </w:rPr>
        <w:t>。</w:t>
      </w:r>
    </w:p>
    <w:p>
      <w:pPr>
        <w:widowControl/>
        <w:spacing w:line="360" w:lineRule="auto"/>
        <w:ind w:firstLine="420" w:firstLineChars="200"/>
        <w:rPr>
          <w:rFonts w:hint="eastAsia" w:cs="仿宋_GB2312" w:asciiTheme="minorEastAsia" w:hAnsiTheme="minorEastAsia" w:eastAsiaTheme="minorEastAsia"/>
          <w:bCs/>
          <w:szCs w:val="21"/>
          <w:highlight w:val="none"/>
          <w:lang w:eastAsia="zh-CN"/>
        </w:rPr>
      </w:pPr>
      <w:r>
        <w:rPr>
          <w:rFonts w:hint="eastAsia" w:cs="仿宋_GB2312" w:asciiTheme="minorEastAsia" w:hAnsiTheme="minorEastAsia" w:eastAsiaTheme="minorEastAsia"/>
          <w:bCs/>
          <w:szCs w:val="21"/>
          <w:highlight w:val="none"/>
        </w:rPr>
        <w:t>注意：本次公告属于项目市场调研需求，上述预计采购时间</w:t>
      </w:r>
      <w:r>
        <w:rPr>
          <w:rFonts w:hint="eastAsia" w:cs="仿宋_GB2312" w:asciiTheme="minorEastAsia" w:hAnsiTheme="minorEastAsia" w:eastAsiaTheme="minorEastAsia"/>
          <w:bCs/>
          <w:szCs w:val="21"/>
          <w:highlight w:val="none"/>
          <w:lang w:val="en-US" w:eastAsia="zh-CN"/>
        </w:rPr>
        <w:t>和项目工期要求</w:t>
      </w:r>
      <w:r>
        <w:rPr>
          <w:rFonts w:hint="eastAsia" w:cs="仿宋_GB2312" w:asciiTheme="minorEastAsia" w:hAnsiTheme="minorEastAsia" w:eastAsiaTheme="minorEastAsia"/>
          <w:bCs/>
          <w:szCs w:val="21"/>
          <w:highlight w:val="none"/>
        </w:rPr>
        <w:t>只是公告方根据自身计划所作估计，并不代表后续任何实质性承诺；另外，本次项目需求调研，属于公告方对外寻找相关符合要求的供应商进行交流的意向，并不代表公告方对报名供应商的任何承诺，后续公告方将根据自身计划进行项目采购。报名供应商或后续参与交流的供应商并不代表已获得公告方的认可或获得任何参与后续项目投标、合同方面的承诺。本次项目调研公告方将根据报名供应商提交的资料情况，择优选择供应商进行现场或线上交流。</w:t>
      </w:r>
    </w:p>
    <w:p>
      <w:pPr>
        <w:pStyle w:val="9"/>
        <w:rPr>
          <w:highlight w:val="none"/>
        </w:rPr>
      </w:pPr>
    </w:p>
    <w:p>
      <w:pPr>
        <w:spacing w:line="360" w:lineRule="auto"/>
        <w:outlineLvl w:val="0"/>
        <w:rPr>
          <w:rFonts w:ascii="宋体" w:hAnsi="宋体"/>
          <w:b/>
          <w:szCs w:val="21"/>
          <w:highlight w:val="none"/>
        </w:rPr>
      </w:pPr>
      <w:r>
        <w:rPr>
          <w:rFonts w:hint="eastAsia" w:ascii="宋体" w:hAnsi="宋体"/>
          <w:b/>
          <w:szCs w:val="21"/>
          <w:highlight w:val="none"/>
        </w:rPr>
        <w:t>二</w:t>
      </w:r>
      <w:r>
        <w:rPr>
          <w:rFonts w:ascii="宋体" w:hAnsi="宋体"/>
          <w:b/>
          <w:szCs w:val="21"/>
          <w:highlight w:val="none"/>
        </w:rPr>
        <w:t>、</w:t>
      </w:r>
      <w:r>
        <w:rPr>
          <w:rFonts w:hint="eastAsia" w:ascii="宋体" w:hAnsi="宋体"/>
          <w:b/>
          <w:szCs w:val="21"/>
          <w:highlight w:val="none"/>
        </w:rPr>
        <w:t>项目背景</w:t>
      </w:r>
    </w:p>
    <w:p>
      <w:pPr>
        <w:spacing w:line="360" w:lineRule="auto"/>
        <w:ind w:firstLine="420" w:firstLineChars="200"/>
        <w:rPr>
          <w:rFonts w:hint="eastAsia" w:ascii="宋体" w:hAnsi="宋体" w:cs="宋体"/>
          <w:szCs w:val="21"/>
          <w:highlight w:val="none"/>
        </w:rPr>
      </w:pPr>
      <w:r>
        <w:rPr>
          <w:rFonts w:hint="eastAsia" w:cs="仿宋_GB2312" w:asciiTheme="minorEastAsia" w:hAnsiTheme="minorEastAsia" w:eastAsiaTheme="minorEastAsia"/>
          <w:bCs/>
          <w:szCs w:val="21"/>
          <w:highlight w:val="none"/>
          <w:lang w:val="en-US" w:eastAsia="zh-CN"/>
        </w:rPr>
        <w:t>东莞农村商业银行是一家具有独立法人资格的总行</w:t>
      </w:r>
      <w:bookmarkStart w:id="0" w:name="_GoBack"/>
      <w:bookmarkEnd w:id="0"/>
      <w:r>
        <w:rPr>
          <w:rFonts w:hint="eastAsia" w:cs="仿宋_GB2312" w:asciiTheme="minorEastAsia" w:hAnsiTheme="minorEastAsia" w:eastAsiaTheme="minorEastAsia"/>
          <w:bCs/>
          <w:szCs w:val="21"/>
          <w:highlight w:val="none"/>
          <w:lang w:val="en-US" w:eastAsia="zh-CN"/>
        </w:rPr>
        <w:t>级地方性股份制商业银行，截至2025年12月底共设有39个一级分支机构，414个网点。为满足日常会议要求，2026年计划采购一批会议设备，包括显示设备、扩音设备、发言设备、中控系统设备等</w:t>
      </w:r>
      <w:r>
        <w:rPr>
          <w:rFonts w:hint="eastAsia" w:cs="仿宋_GB2312" w:asciiTheme="minorEastAsia" w:hAnsiTheme="minorEastAsia" w:eastAsiaTheme="minorEastAsia"/>
          <w:bCs/>
          <w:szCs w:val="21"/>
          <w:highlight w:val="none"/>
        </w:rPr>
        <w:t>。</w:t>
      </w:r>
      <w:r>
        <w:rPr>
          <w:rFonts w:hint="eastAsia" w:ascii="宋体" w:hAnsi="宋体" w:cs="宋体"/>
          <w:szCs w:val="21"/>
          <w:highlight w:val="none"/>
        </w:rPr>
        <w:t>现开展项目</w:t>
      </w:r>
      <w:r>
        <w:rPr>
          <w:rFonts w:hint="eastAsia" w:ascii="宋体" w:hAnsi="宋体"/>
          <w:szCs w:val="21"/>
          <w:highlight w:val="none"/>
        </w:rPr>
        <w:t>市场调研，欢迎愿意参加本项目的潜在</w:t>
      </w:r>
      <w:r>
        <w:rPr>
          <w:rFonts w:hint="eastAsia" w:ascii="宋体" w:hAnsi="宋体"/>
          <w:szCs w:val="21"/>
          <w:highlight w:val="none"/>
          <w:lang w:val="en-US" w:eastAsia="zh-CN"/>
        </w:rPr>
        <w:t>设备</w:t>
      </w:r>
      <w:r>
        <w:rPr>
          <w:rFonts w:hint="default" w:ascii="宋体" w:hAnsi="宋体"/>
          <w:szCs w:val="21"/>
          <w:highlight w:val="none"/>
          <w:lang w:eastAsia="zh-CN"/>
        </w:rPr>
        <w:t>供应商</w:t>
      </w:r>
      <w:r>
        <w:rPr>
          <w:rFonts w:hint="eastAsia" w:ascii="宋体" w:hAnsi="宋体"/>
          <w:szCs w:val="21"/>
          <w:highlight w:val="none"/>
          <w:lang w:val="en-US" w:eastAsia="zh-CN"/>
        </w:rPr>
        <w:t>报名</w:t>
      </w:r>
      <w:r>
        <w:rPr>
          <w:rFonts w:hint="eastAsia" w:ascii="宋体" w:hAnsi="宋体" w:cs="宋体"/>
          <w:szCs w:val="21"/>
          <w:highlight w:val="none"/>
        </w:rPr>
        <w:t>。</w:t>
      </w:r>
    </w:p>
    <w:p>
      <w:pPr>
        <w:pStyle w:val="2"/>
      </w:pPr>
    </w:p>
    <w:p>
      <w:pPr>
        <w:spacing w:line="360" w:lineRule="auto"/>
        <w:outlineLvl w:val="0"/>
        <w:rPr>
          <w:rFonts w:ascii="宋体" w:hAnsi="宋体"/>
          <w:b/>
          <w:bCs/>
          <w:szCs w:val="21"/>
          <w:highlight w:val="none"/>
        </w:rPr>
      </w:pPr>
      <w:r>
        <w:rPr>
          <w:rFonts w:hint="eastAsia" w:ascii="宋体" w:hAnsi="宋体"/>
          <w:b/>
          <w:szCs w:val="21"/>
          <w:highlight w:val="none"/>
        </w:rPr>
        <w:t>三</w:t>
      </w:r>
      <w:r>
        <w:rPr>
          <w:rFonts w:ascii="宋体" w:hAnsi="宋体"/>
          <w:b/>
          <w:szCs w:val="21"/>
          <w:highlight w:val="none"/>
        </w:rPr>
        <w:t>、</w:t>
      </w:r>
      <w:r>
        <w:rPr>
          <w:rFonts w:hint="eastAsia" w:ascii="宋体" w:hAnsi="宋体"/>
          <w:b/>
          <w:bCs/>
          <w:szCs w:val="21"/>
          <w:highlight w:val="none"/>
        </w:rPr>
        <w:t>采购内容</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本次项目公开征集</w:t>
      </w:r>
      <w:r>
        <w:rPr>
          <w:rFonts w:hint="eastAsia" w:ascii="宋体" w:hAnsi="宋体" w:cs="宋体"/>
          <w:szCs w:val="21"/>
          <w:highlight w:val="none"/>
          <w:lang w:val="en-US" w:eastAsia="zh-CN"/>
        </w:rPr>
        <w:t>采购的产品及服务</w:t>
      </w:r>
      <w:r>
        <w:rPr>
          <w:rFonts w:hint="eastAsia" w:ascii="宋体" w:hAnsi="宋体" w:cs="宋体"/>
          <w:szCs w:val="21"/>
          <w:highlight w:val="none"/>
        </w:rPr>
        <w:t>要求如下：</w:t>
      </w:r>
    </w:p>
    <w:tbl>
      <w:tblPr>
        <w:tblStyle w:val="17"/>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2"/>
        <w:gridCol w:w="1315"/>
        <w:gridCol w:w="2562"/>
        <w:gridCol w:w="3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875" w:type="dxa"/>
            <w:vAlign w:val="center"/>
          </w:tcPr>
          <w:p>
            <w:pPr>
              <w:pStyle w:val="2"/>
              <w:numPr>
                <w:ilvl w:val="0"/>
                <w:numId w:val="0"/>
              </w:numPr>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序号</w:t>
            </w:r>
          </w:p>
        </w:tc>
        <w:tc>
          <w:tcPr>
            <w:tcW w:w="1922" w:type="dxa"/>
            <w:vAlign w:val="center"/>
          </w:tcPr>
          <w:p>
            <w:pPr>
              <w:widowControl/>
              <w:snapToGrid w:val="0"/>
              <w:spacing w:line="360" w:lineRule="auto"/>
              <w:jc w:val="center"/>
              <w:rPr>
                <w:rFonts w:hint="eastAsia" w:ascii="宋体" w:hAnsi="宋体" w:eastAsia="宋体" w:cs="宋体"/>
                <w:b w:val="0"/>
                <w:bCs/>
                <w:kern w:val="0"/>
                <w:szCs w:val="21"/>
                <w:highlight w:val="none"/>
              </w:rPr>
            </w:pPr>
            <w:r>
              <w:rPr>
                <w:rFonts w:hint="eastAsia" w:ascii="宋体" w:hAnsi="宋体" w:eastAsia="宋体" w:cs="宋体"/>
                <w:b w:val="0"/>
                <w:bCs/>
                <w:kern w:val="0"/>
                <w:szCs w:val="21"/>
                <w:highlight w:val="none"/>
              </w:rPr>
              <w:t>产品名称</w:t>
            </w:r>
          </w:p>
        </w:tc>
        <w:tc>
          <w:tcPr>
            <w:tcW w:w="1315" w:type="dxa"/>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cs="宋体"/>
                <w:b w:val="0"/>
                <w:bCs/>
                <w:kern w:val="0"/>
                <w:szCs w:val="21"/>
                <w:highlight w:val="none"/>
                <w:lang w:val="en-US" w:eastAsia="zh-CN"/>
              </w:rPr>
              <w:t>数量</w:t>
            </w:r>
          </w:p>
        </w:tc>
        <w:tc>
          <w:tcPr>
            <w:tcW w:w="2562" w:type="dxa"/>
            <w:vAlign w:val="center"/>
          </w:tcPr>
          <w:p>
            <w:pPr>
              <w:widowControl/>
              <w:snapToGrid w:val="0"/>
              <w:spacing w:line="360" w:lineRule="auto"/>
              <w:jc w:val="center"/>
              <w:rPr>
                <w:rFonts w:hint="default" w:ascii="宋体" w:hAnsi="宋体" w:eastAsia="宋体" w:cs="宋体"/>
                <w:b w:val="0"/>
                <w:bCs/>
                <w:kern w:val="0"/>
                <w:szCs w:val="21"/>
                <w:highlight w:val="none"/>
                <w:lang w:val="en-US" w:eastAsia="zh-CN"/>
              </w:rPr>
            </w:pPr>
            <w:r>
              <w:rPr>
                <w:rFonts w:hint="eastAsia" w:ascii="宋体" w:hAnsi="宋体" w:cs="宋体"/>
                <w:b w:val="0"/>
                <w:bCs/>
                <w:kern w:val="0"/>
                <w:szCs w:val="21"/>
                <w:highlight w:val="none"/>
                <w:lang w:val="en-US" w:eastAsia="zh-CN"/>
              </w:rPr>
              <w:t>采购方式</w:t>
            </w:r>
          </w:p>
        </w:tc>
        <w:tc>
          <w:tcPr>
            <w:tcW w:w="3294" w:type="dxa"/>
            <w:vAlign w:val="center"/>
          </w:tcPr>
          <w:p>
            <w:pPr>
              <w:widowControl/>
              <w:snapToGrid w:val="0"/>
              <w:spacing w:line="360" w:lineRule="auto"/>
              <w:jc w:val="center"/>
              <w:rPr>
                <w:rFonts w:hint="eastAsia" w:ascii="宋体" w:hAnsi="宋体" w:cs="宋体"/>
                <w:b w:val="0"/>
                <w:bCs/>
                <w:kern w:val="0"/>
                <w:szCs w:val="21"/>
                <w:highlight w:val="none"/>
                <w:lang w:val="en-US" w:eastAsia="zh-CN"/>
              </w:rPr>
            </w:pPr>
            <w:r>
              <w:rPr>
                <w:rFonts w:hint="eastAsia" w:ascii="宋体" w:hAnsi="宋体" w:cs="宋体"/>
                <w:b w:val="0"/>
                <w:bCs/>
                <w:kern w:val="0"/>
                <w:szCs w:val="21"/>
                <w:highlight w:val="none"/>
                <w:lang w:val="en-US" w:eastAsia="zh-CN"/>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875" w:type="dxa"/>
            <w:vAlign w:val="center"/>
          </w:tcPr>
          <w:p>
            <w:pPr>
              <w:widowControl/>
              <w:snapToGrid w:val="0"/>
              <w:spacing w:line="360" w:lineRule="auto"/>
              <w:jc w:val="center"/>
              <w:rPr>
                <w:rFonts w:hint="eastAsia" w:ascii="宋体" w:hAnsi="宋体" w:eastAsia="宋体" w:cs="宋体"/>
                <w:b w:val="0"/>
                <w:bCs/>
                <w:kern w:val="0"/>
                <w:szCs w:val="21"/>
                <w:highlight w:val="none"/>
                <w:lang w:eastAsia="zh-CN"/>
              </w:rPr>
            </w:pPr>
            <w:r>
              <w:rPr>
                <w:rFonts w:hint="eastAsia" w:ascii="宋体" w:hAnsi="宋体" w:eastAsia="宋体" w:cs="宋体"/>
                <w:b w:val="0"/>
                <w:bCs/>
                <w:kern w:val="0"/>
                <w:szCs w:val="21"/>
                <w:highlight w:val="none"/>
                <w:lang w:val="en-US" w:eastAsia="zh-CN"/>
              </w:rPr>
              <w:t>1</w:t>
            </w:r>
          </w:p>
        </w:tc>
        <w:tc>
          <w:tcPr>
            <w:tcW w:w="1922" w:type="dxa"/>
            <w:vAlign w:val="center"/>
          </w:tcPr>
          <w:p>
            <w:pPr>
              <w:jc w:val="center"/>
              <w:rPr>
                <w:rFonts w:hint="default" w:ascii="宋体" w:hAnsi="宋体" w:eastAsia="宋体" w:cs="宋体"/>
                <w:b w:val="0"/>
                <w:bCs/>
                <w:kern w:val="0"/>
                <w:szCs w:val="21"/>
                <w:highlight w:val="none"/>
                <w:lang w:eastAsia="zh-CN"/>
              </w:rPr>
            </w:pPr>
            <w:r>
              <w:rPr>
                <w:rFonts w:hint="default" w:cs="仿宋_GB2312" w:asciiTheme="minorEastAsia" w:hAnsiTheme="minorEastAsia" w:eastAsiaTheme="minorEastAsia"/>
                <w:bCs/>
                <w:szCs w:val="21"/>
                <w:highlight w:val="none"/>
                <w:lang w:eastAsia="zh-CN"/>
              </w:rPr>
              <w:t>产业生态互联平台（二期）</w:t>
            </w:r>
          </w:p>
        </w:tc>
        <w:tc>
          <w:tcPr>
            <w:tcW w:w="1315" w:type="dxa"/>
            <w:vAlign w:val="center"/>
          </w:tcPr>
          <w:p>
            <w:pPr>
              <w:jc w:val="center"/>
              <w:rPr>
                <w:rFonts w:hint="default" w:ascii="宋体" w:hAnsi="宋体" w:eastAsia="宋体" w:cs="宋体"/>
                <w:b w:val="0"/>
                <w:bCs/>
                <w:kern w:val="0"/>
                <w:szCs w:val="21"/>
                <w:highlight w:val="none"/>
                <w:lang w:val="en-US" w:eastAsia="zh-CN"/>
              </w:rPr>
            </w:pPr>
            <w:r>
              <w:rPr>
                <w:rFonts w:hint="eastAsia" w:ascii="宋体" w:hAnsi="宋体" w:cs="宋体"/>
                <w:b w:val="0"/>
                <w:bCs/>
                <w:kern w:val="0"/>
                <w:szCs w:val="21"/>
                <w:highlight w:val="none"/>
                <w:lang w:val="en-US" w:eastAsia="zh-CN"/>
              </w:rPr>
              <w:t>1</w:t>
            </w:r>
          </w:p>
        </w:tc>
        <w:tc>
          <w:tcPr>
            <w:tcW w:w="2562" w:type="dxa"/>
            <w:vAlign w:val="center"/>
          </w:tcPr>
          <w:p>
            <w:pPr>
              <w:numPr>
                <w:ilvl w:val="0"/>
                <w:numId w:val="0"/>
              </w:numPr>
              <w:jc w:val="center"/>
              <w:rPr>
                <w:rFonts w:hint="default" w:ascii="仿宋_GB2312" w:hAnsi="宋体" w:eastAsia="仿宋_GB2312" w:cs="Courier New"/>
                <w:color w:val="000000"/>
                <w:szCs w:val="28"/>
                <w:highlight w:val="none"/>
                <w:lang w:val="en-US" w:eastAsia="zh-CN"/>
              </w:rPr>
            </w:pPr>
            <w:r>
              <w:rPr>
                <w:rFonts w:hint="eastAsia" w:cs="仿宋_GB2312" w:asciiTheme="minorEastAsia" w:hAnsiTheme="minorEastAsia" w:eastAsiaTheme="minorEastAsia"/>
                <w:bCs/>
                <w:szCs w:val="21"/>
                <w:highlight w:val="none"/>
                <w:lang w:val="en-US" w:eastAsia="zh-CN"/>
              </w:rPr>
              <w:t>邀标</w:t>
            </w:r>
          </w:p>
        </w:tc>
        <w:tc>
          <w:tcPr>
            <w:tcW w:w="3294" w:type="dxa"/>
            <w:vAlign w:val="center"/>
          </w:tcPr>
          <w:p>
            <w:pPr>
              <w:numPr>
                <w:ilvl w:val="0"/>
                <w:numId w:val="0"/>
              </w:numPr>
              <w:ind w:leftChars="0"/>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要求在我行本地化部署业财一体化平台供企业客户使用</w:t>
            </w:r>
          </w:p>
        </w:tc>
      </w:tr>
    </w:tbl>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系统功能清单如下：</w:t>
      </w:r>
    </w:p>
    <w:tbl>
      <w:tblPr>
        <w:tblStyle w:val="17"/>
        <w:tblW w:w="9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5"/>
        <w:gridCol w:w="2243"/>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1775"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功能分类</w:t>
            </w: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功能名称</w:t>
            </w:r>
          </w:p>
        </w:tc>
        <w:tc>
          <w:tcPr>
            <w:tcW w:w="5950"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restart"/>
            <w:noWrap w:val="0"/>
            <w:vAlign w:val="center"/>
          </w:tcPr>
          <w:p>
            <w:pPr>
              <w:numPr>
                <w:ilvl w:val="0"/>
                <w:numId w:val="0"/>
              </w:numPr>
              <w:jc w:val="center"/>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凭证中间件</w:t>
            </w: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进项发票</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管理企业进项发票：</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支持发票导入、手工录入、新增、扫码录入等方法将发票添加到系统中；</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可实现按照发票类型、记账状态、分类状态、发票信息、关联单据等信息进行分类筛选和查询；</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支持关联进销存入库单，可以批量设置分类和结算方式；（需同时具有进销存模块）；</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支持生成凭证、查看明细、删除、作废、跨期、导入、导出等操作，以及发票的批量操作；</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支持发票的统计。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销项发票</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管理企业销项发票：</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支持发票导入、手工录入、新增、扫码录入等方法将发票添加到系统中；</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可实现按照发票类型、记账状态、分类状态、发票信息、关联单据等信息进行分类筛选和查询；</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支持关联进销存出库单，可以批量设置分类和结算方式；</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支持生成凭证、查看明细、删除、作废、跨期、导入、导出等操作，以及发票的批量操作。</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支持录入发票、理票（自动整理票据、分类，以便关联凭证科目）、生成凭证、导入、导出等功能；</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支持发票的统计。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restart"/>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凭证管理</w:t>
            </w: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智能生成凭证</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可根据录入的原始单据智能生成凭证：</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可预设凭证分类模板，包括采购、销售、库存、费用、固定资产、收款、付款、成本、收入等。同时支持自定义凭证分类模板和规则，可模板进行修改和增删模板等操作；</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单据自动分类：导入或同步单据时，可根据单据关键字自动匹配上述分类，未成功匹配的归集到未分类中，可手工操作。可以多选单据，进行批量手工转移分类；</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关联进销存：可支持设置进销项单据自动关联出入库单据，按照匹配规则自动生成凭证、科目、库存等信息。（需同时具有进销存模块）；</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凭证生成统计：可查看自动生成的凭证记录和生成来源，支持联查原始单据；支持根据凭证日期、科目、凭证字、凭证号、凭证来源检索。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凭证制单</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凭证录入、删除、复制、打印、审核、排序、红冲、批注、保存为凭证模板、从模板生成凭证等功能。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凭证查询汇总</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凭证列表和明细查询，支持根据凭证日期、科目、凭证字、凭证号、凭证来源检索，支持具体凭证查看、编辑、删除，支持跨期间查询。对企业全部记账凭证进行汇总，支持导出、打印凭证汇总表。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凭证影像</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记账凭证支持查看原始单据信息。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会计电子档案</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生成会计电子档案。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restart"/>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账簿管理</w:t>
            </w: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科目账</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总账：统计企业各个科目的余额包括上期余额、本期发生额、期末余额；</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明细账：用来分类登记企业某类经济业务详细情况；</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多栏账：以多栏形式展现企业科目的经营数据；</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科目余额表、科目汇总表：统计企业各个科目的余额包括上期余额、本期发生额、期末余额。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项目账</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核算项目明细账、项目余额表。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序时帐</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现金日记账、银行日记账：账簿显示本日小计、本期合计、本年累计以及现金的实时余额。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账簿形式</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提供金额式、数量金额式、外币金额式、数量外币金额式。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账簿功能</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提供导出、打印、批量导出、批量打印功能。提供常规查询、分页查询功能。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restart"/>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报表管理</w:t>
            </w: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资产负债表</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根据当期记账凭证自动计算生成资产负债表，并支持一键试算平衡；支持重分类、部分重分类、完全重分类多种计算方式；</w:t>
            </w:r>
          </w:p>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支持切换账期，查看不同账期资产负债表。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利润表</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根据当期记账凭证自动计算利润表，支持年报、季报、半年报、月报、自定义周期的不同账期利润表查询。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部门利润表</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部门利润表数据展示。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项目利润表</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项目利润表数据展示。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所有者权益表</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所有者权益各组成部分当期增减变动情况。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现金流量表</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根据当期记账凭证自动计算现金流量表，支持年报、季报、半年报、月报、自定义周期的不同账期现金流量表查询。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资金日报余额表</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反映现金和银行存款科目在当日借贷方发生额及余额情况。体现所有的现金科目和银行科目，可以显示小计，支持按选择指定日期区间查询、显示、导入、导出。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资金日报表</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支持查看、打印、导出指定日期的资金收入和支出的情况，包括前日余额、本期收入合计、支出合计和本日余额等。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老板报表</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提供自定义报表功能，定义所需的经营管理报表定制功能。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报表功能</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提供公式定义、报表数据穿透查询功能，支持各类报表的导出、打印功能。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汇总查询</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支持多分支机构企业科目余额表、资产负债表、利润表、现金流量表汇总查询功能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restart"/>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出纳管理</w:t>
            </w: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日记账录入</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支持添加账户的收支数据，自动计算账户余额：</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支持通过银企直联，经客户授权后查询企业在银行的账户流水、回单等数据，打印收付款凭据，一键生成凭证；</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支持客户自行导入全国各银行流水明细、导入支付宝流水、微信流水；</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实现资金明细导出、生成凭证、账户设置等管理功能。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内部转账单</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记录企业对公账户之间的资金调拨情况，银行流水导入系统之后，系统可自动识别为内部转账的分类，支持一键生成会计凭证；</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支持打印和导出。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商业票据管理</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支持企业银行承兑汇票、商业承兑汇票信息录入；</w:t>
            </w:r>
          </w:p>
          <w:p>
            <w:pPr>
              <w:numPr>
                <w:ilvl w:val="0"/>
                <w:numId w:val="0"/>
              </w:numPr>
              <w:jc w:val="left"/>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支持行内票据开票、贴现、质押、电子银承背书转让等信息同步；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电子债权凭证管理</w:t>
            </w:r>
          </w:p>
        </w:tc>
        <w:tc>
          <w:tcPr>
            <w:tcW w:w="5950" w:type="dxa"/>
            <w:noWrap w:val="0"/>
            <w:vAlign w:val="center"/>
          </w:tcPr>
          <w:p>
            <w:pPr>
              <w:numPr>
                <w:ilvl w:val="0"/>
                <w:numId w:val="0"/>
              </w:numPr>
              <w:jc w:val="left"/>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支持企业迪链、米信、云信、金单等供应链金融电子债权凭证信息录入；</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支持行内企业电子债权质押信息同步。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核对总账</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支持出纳模块的科目余额和总账中的科目进行对账，显示差额。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restart"/>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p>
            <w:pPr>
              <w:numPr>
                <w:ilvl w:val="0"/>
                <w:numId w:val="0"/>
              </w:numPr>
              <w:jc w:val="center"/>
              <w:rPr>
                <w:rFonts w:hint="eastAsia" w:cs="仿宋_GB2312" w:asciiTheme="minorEastAsia" w:hAnsiTheme="minorEastAsia" w:eastAsiaTheme="minorEastAsia"/>
                <w:bCs/>
                <w:szCs w:val="21"/>
                <w:highlight w:val="none"/>
                <w:lang w:val="en-US" w:eastAsia="zh-CN"/>
              </w:rPr>
            </w:pPr>
          </w:p>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固定资产</w:t>
            </w: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类别及增减方式</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供固定资产增、减、变动、折旧全周期核算管理，根据固定资产类别分类展示所有固定资产以及折旧方式、折旧年限。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资产管理、计提折旧</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对企业固定资产、无形资产及长摊费用管理，自动生成计提折旧摊销凭证。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计提减值准备</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对需要计提减值准备的资产，支持计提减值准备。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资产清理</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对资产达到使用年限需要报废或出售的支持资产清理，并生成资产清理相关凭证。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资产报表</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支持查看、导出、打印资产报表，可根据资产类别查看企业全部资产原值、累计折旧及减值准备。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restart"/>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期末管理</w:t>
            </w: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期末结转</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提供多种核算模板，实现系统自动抓取数据、自动分摊数据、自动结转企业当前损益凭证功能，同时提供核算规则定义功能。包括但不限于：</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·资产核算：计提折旧，长期待摊费用，摊销费用；</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·工资核算：计提工资费用；</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·成本核算：制造费用结转，生产领料核算，结转生成成本，结转销售成本；</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·税金核算：结转进项税，结转销项税，结转未交增值税，计提税费，计提企业所得税；</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·外汇核算：期末调汇；</w:t>
            </w:r>
            <w:r>
              <w:rPr>
                <w:rFonts w:hint="eastAsia" w:cs="仿宋_GB2312" w:asciiTheme="minorEastAsia" w:hAnsiTheme="minorEastAsia" w:eastAsiaTheme="minorEastAsia"/>
                <w:bCs/>
                <w:szCs w:val="21"/>
                <w:highlight w:val="none"/>
                <w:lang w:val="en-US" w:eastAsia="zh-CN"/>
              </w:rPr>
              <w:br w:type="textWrapping"/>
            </w:r>
            <w:r>
              <w:rPr>
                <w:rFonts w:hint="eastAsia" w:cs="仿宋_GB2312" w:asciiTheme="minorEastAsia" w:hAnsiTheme="minorEastAsia" w:eastAsiaTheme="minorEastAsia"/>
                <w:bCs/>
                <w:szCs w:val="21"/>
                <w:highlight w:val="none"/>
                <w:lang w:val="en-US" w:eastAsia="zh-CN"/>
              </w:rPr>
              <w:t>·利润核算：结转损益，结转未分配利润。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期末结账</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批量结账、批量取消结账，实现科目、凭证、报表、资产结账检查和异常项提示。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检查</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科目、凭证、报表、往来、存货、资产、费用、收入、指标、税负等关键指标做检查，对账务异常情况进行预警，并提供修改入口。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restart"/>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基础设置</w:t>
            </w: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账套管理</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为多账套管理的用户（如母公司、代记账公司）提供账套管理，按照组织树管理账套，提供建账、进入账簿入口。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账套合并</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支持对已添加的至少2个账套进行合并，包括合并凭证、明细账、各类报表等，并可分类查看。支持设置合并后的账套名称、会计制度、以及查看权限。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旧账导入</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支持第三方财务系统账套导入本系统功能。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科目模板</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支持自定义科目模板，模板的上架与下架，建账选择模板建账，实现复制账套目的。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期初</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设置现金账户和银行账户的期初数据。支持跟总账中对应期间科目期初进行比对和差异提示。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币别</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设置币别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凭证字</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设置凭证字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辅助核算</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支持辅助核算。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凭证模板</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设置凭证模板。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组织设置</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设立企业组织架构和用户。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职务设置</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为用户创建职务，为职务赋予权限。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权限设置</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按角色赋予功能权限与数据权限，可自定义角色并授权。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备份恢复</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支持回复历史备份数据。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restart"/>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其他</w:t>
            </w:r>
          </w:p>
        </w:tc>
        <w:tc>
          <w:tcPr>
            <w:tcW w:w="2243" w:type="dxa"/>
            <w:noWrap w:val="0"/>
            <w:vAlign w:val="center"/>
          </w:tcPr>
          <w:p>
            <w:pPr>
              <w:numPr>
                <w:ilvl w:val="0"/>
                <w:numId w:val="0"/>
              </w:numPr>
              <w:jc w:val="center"/>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首页经营看板</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财税数据和进度展示，对企业、核算心、用户数据做统计，查看和管理做账进度、结账进度。可查看当前账期报税数据，如应缴税额、社保、个税、所得税、增值税等。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企业信息管理</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管理企业的基本信息、账套信息、税务信息、各类合同、协议等附件管理。同时对企业管理权限进行分配。提供新建、编辑、查询、导出、指派等功能。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员工关系管理</w:t>
            </w: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薪莞家</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与薪莞家完全打通，实现静默注册、统一身份认证与企业组织架构、统一权限管控，系统之间数据互联、财务实时同步记账、企业用户无感切换等。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restart"/>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p>
            <w:pPr>
              <w:numPr>
                <w:ilvl w:val="0"/>
                <w:numId w:val="0"/>
              </w:numPr>
              <w:jc w:val="center"/>
              <w:rPr>
                <w:rFonts w:hint="eastAsia" w:cs="仿宋_GB2312" w:asciiTheme="minorEastAsia" w:hAnsiTheme="minorEastAsia" w:eastAsiaTheme="minorEastAsia"/>
                <w:bCs/>
                <w:szCs w:val="21"/>
                <w:highlight w:val="none"/>
                <w:lang w:val="en-US" w:eastAsia="zh-CN"/>
              </w:rPr>
            </w:pPr>
          </w:p>
          <w:p>
            <w:pPr>
              <w:numPr>
                <w:ilvl w:val="0"/>
                <w:numId w:val="0"/>
              </w:numPr>
              <w:jc w:val="center"/>
              <w:rPr>
                <w:rFonts w:hint="eastAsia" w:cs="仿宋_GB2312" w:asciiTheme="minorEastAsia" w:hAnsiTheme="minorEastAsia" w:eastAsiaTheme="minorEastAsia"/>
                <w:bCs/>
                <w:szCs w:val="21"/>
                <w:highlight w:val="none"/>
                <w:lang w:val="en-US" w:eastAsia="zh-CN"/>
              </w:rPr>
            </w:pPr>
          </w:p>
          <w:p>
            <w:pPr>
              <w:numPr>
                <w:ilvl w:val="0"/>
                <w:numId w:val="0"/>
              </w:numPr>
              <w:jc w:val="center"/>
              <w:rPr>
                <w:rFonts w:hint="eastAsia" w:cs="仿宋_GB2312" w:asciiTheme="minorEastAsia" w:hAnsiTheme="minorEastAsia" w:eastAsiaTheme="minorEastAsia"/>
                <w:bCs/>
                <w:szCs w:val="21"/>
                <w:highlight w:val="none"/>
                <w:lang w:val="en-US" w:eastAsia="zh-CN"/>
              </w:rPr>
            </w:pPr>
          </w:p>
          <w:p>
            <w:pPr>
              <w:numPr>
                <w:ilvl w:val="0"/>
                <w:numId w:val="0"/>
              </w:numPr>
              <w:jc w:val="center"/>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移动端功能</w:t>
            </w: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票据录入</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支持移动端拍照、扫码录入票据，包括发票、费用票。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发票管理</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统计用户指定期间范围所开具发票的统计。包括：发票数量、不含税销售额、税额、价税合计等。点击可查看发票明细。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经营数据</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展现在指定期间内的收入、成本、费用、利润情况。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纳税统计</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展示现在指定期间内企业缴纳的各个税种税金情况。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凭证</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支持自动生成凭证并在线查看。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财报</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支持自动生成财报（资产负债表、利润表、现金流量表、老板报表）并在线查看。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账簿查看</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查看企业各账簿。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资产统计</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展现企业在一定会计期间内的库存现金、银行存款、存货、应收款等重要资产项目金额，同时展示其他非重要资产合计数。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负债统计</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展现企业在一定会计期间内的应付账款、短期借款、长期借款、债券投资等重要负债项目金额，同时展示其他非重要负债合计数。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权益统计</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展现股本、投资收益、未分配利润情况。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企业基础信息</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展现企业的基本信息、用户的登录信息及密码信息。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客服</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在线联系客服功能。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restart"/>
            <w:noWrap w:val="0"/>
            <w:vAlign w:val="center"/>
          </w:tcPr>
          <w:p>
            <w:pPr>
              <w:numPr>
                <w:ilvl w:val="0"/>
                <w:numId w:val="0"/>
              </w:numPr>
              <w:jc w:val="center"/>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银行运营端</w:t>
            </w:r>
          </w:p>
        </w:tc>
        <w:tc>
          <w:tcPr>
            <w:tcW w:w="2243" w:type="dxa"/>
            <w:noWrap w:val="0"/>
            <w:vAlign w:val="center"/>
          </w:tcPr>
          <w:p>
            <w:pPr>
              <w:numPr>
                <w:ilvl w:val="0"/>
                <w:numId w:val="0"/>
              </w:numPr>
              <w:jc w:val="center"/>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客户管理</w:t>
            </w:r>
          </w:p>
        </w:tc>
        <w:tc>
          <w:tcPr>
            <w:tcW w:w="5950" w:type="dxa"/>
            <w:noWrap w:val="0"/>
            <w:vAlign w:val="center"/>
          </w:tcPr>
          <w:p>
            <w:pPr>
              <w:numPr>
                <w:ilvl w:val="0"/>
                <w:numId w:val="0"/>
              </w:numPr>
              <w:jc w:val="left"/>
              <w:rPr>
                <w:rFonts w:hint="eastAsia"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企业用户管理、企业权限配置、企业注册审批等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行内管理</w:t>
            </w:r>
          </w:p>
        </w:tc>
        <w:tc>
          <w:tcPr>
            <w:tcW w:w="5950" w:type="dxa"/>
            <w:noWrap w:val="0"/>
            <w:vAlign w:val="center"/>
          </w:tcPr>
          <w:p>
            <w:pPr>
              <w:numPr>
                <w:ilvl w:val="0"/>
                <w:numId w:val="0"/>
              </w:numPr>
              <w:jc w:val="left"/>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行内管户维护等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授信管理</w:t>
            </w:r>
          </w:p>
        </w:tc>
        <w:tc>
          <w:tcPr>
            <w:tcW w:w="5950" w:type="dxa"/>
            <w:noWrap w:val="0"/>
            <w:vAlign w:val="center"/>
          </w:tcPr>
          <w:p>
            <w:pPr>
              <w:numPr>
                <w:ilvl w:val="0"/>
                <w:numId w:val="0"/>
              </w:numPr>
              <w:jc w:val="left"/>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统计授信业务申请情况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理财管理</w:t>
            </w:r>
          </w:p>
        </w:tc>
        <w:tc>
          <w:tcPr>
            <w:tcW w:w="5950" w:type="dxa"/>
            <w:noWrap w:val="0"/>
            <w:vAlign w:val="center"/>
          </w:tcPr>
          <w:p>
            <w:pPr>
              <w:numPr>
                <w:ilvl w:val="0"/>
                <w:numId w:val="0"/>
              </w:numPr>
              <w:jc w:val="left"/>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统计理财业务不同对公存款、理财产品申请情况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775" w:type="dxa"/>
            <w:vMerge w:val="continue"/>
            <w:noWrap w:val="0"/>
            <w:vAlign w:val="center"/>
          </w:tcPr>
          <w:p>
            <w:pPr>
              <w:numPr>
                <w:ilvl w:val="0"/>
                <w:numId w:val="0"/>
              </w:numPr>
              <w:jc w:val="center"/>
              <w:rPr>
                <w:rFonts w:hint="eastAsia" w:cs="仿宋_GB2312" w:asciiTheme="minorEastAsia" w:hAnsiTheme="minorEastAsia" w:eastAsiaTheme="minorEastAsia"/>
                <w:bCs/>
                <w:szCs w:val="21"/>
                <w:highlight w:val="none"/>
                <w:lang w:val="en-US" w:eastAsia="zh-CN"/>
              </w:rPr>
            </w:pPr>
          </w:p>
        </w:tc>
        <w:tc>
          <w:tcPr>
            <w:tcW w:w="2243" w:type="dxa"/>
            <w:noWrap w:val="0"/>
            <w:vAlign w:val="center"/>
          </w:tcPr>
          <w:p>
            <w:pPr>
              <w:numPr>
                <w:ilvl w:val="0"/>
                <w:numId w:val="0"/>
              </w:numPr>
              <w:jc w:val="center"/>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系统管理</w:t>
            </w:r>
          </w:p>
        </w:tc>
        <w:tc>
          <w:tcPr>
            <w:tcW w:w="5950" w:type="dxa"/>
            <w:noWrap w:val="0"/>
            <w:vAlign w:val="center"/>
          </w:tcPr>
          <w:p>
            <w:pPr>
              <w:numPr>
                <w:ilvl w:val="0"/>
                <w:numId w:val="0"/>
              </w:numPr>
              <w:jc w:val="left"/>
              <w:rPr>
                <w:rFonts w:hint="default" w:cs="仿宋_GB2312" w:asciiTheme="minorEastAsia" w:hAnsiTheme="minorEastAsia" w:eastAsiaTheme="minorEastAsia"/>
                <w:bCs/>
                <w:szCs w:val="21"/>
                <w:highlight w:val="none"/>
                <w:lang w:val="en-US" w:eastAsia="zh-CN"/>
              </w:rPr>
            </w:pPr>
            <w:r>
              <w:rPr>
                <w:rFonts w:hint="eastAsia" w:cs="仿宋_GB2312" w:asciiTheme="minorEastAsia" w:hAnsiTheme="minorEastAsia" w:eastAsiaTheme="minorEastAsia"/>
                <w:bCs/>
                <w:szCs w:val="21"/>
                <w:highlight w:val="none"/>
                <w:lang w:val="en-US" w:eastAsia="zh-CN"/>
              </w:rPr>
              <w:t>公告管理，通过行内平台直达企业客户</w:t>
            </w:r>
          </w:p>
        </w:tc>
      </w:tr>
    </w:tbl>
    <w:p>
      <w:pPr>
        <w:numPr>
          <w:ilvl w:val="0"/>
          <w:numId w:val="0"/>
        </w:numPr>
        <w:jc w:val="center"/>
        <w:rPr>
          <w:rFonts w:hint="default" w:cs="仿宋_GB2312" w:asciiTheme="minorEastAsia" w:hAnsiTheme="minorEastAsia" w:eastAsiaTheme="minorEastAsia"/>
          <w:bCs/>
          <w:szCs w:val="21"/>
          <w:highlight w:val="none"/>
          <w:lang w:val="en-US" w:eastAsia="zh-CN"/>
        </w:rPr>
      </w:pPr>
    </w:p>
    <w:p>
      <w:pPr>
        <w:spacing w:line="360" w:lineRule="auto"/>
        <w:rPr>
          <w:rFonts w:ascii="宋体" w:hAnsi="宋体"/>
          <w:b/>
          <w:bCs/>
          <w:szCs w:val="21"/>
          <w:highlight w:val="none"/>
        </w:rPr>
      </w:pPr>
      <w:r>
        <w:rPr>
          <w:rFonts w:hint="eastAsia" w:ascii="宋体" w:hAnsi="宋体"/>
          <w:b/>
          <w:bCs/>
          <w:szCs w:val="21"/>
          <w:highlight w:val="none"/>
          <w:lang w:val="en-US" w:eastAsia="zh-CN"/>
        </w:rPr>
        <w:t>四、</w:t>
      </w:r>
      <w:r>
        <w:rPr>
          <w:rFonts w:hint="eastAsia" w:ascii="宋体" w:hAnsi="宋体"/>
          <w:b/>
          <w:bCs/>
          <w:szCs w:val="21"/>
          <w:highlight w:val="none"/>
        </w:rPr>
        <w:t>供应商要求</w:t>
      </w:r>
    </w:p>
    <w:p>
      <w:pPr>
        <w:tabs>
          <w:tab w:val="left" w:pos="0"/>
        </w:tabs>
        <w:spacing w:line="360" w:lineRule="auto"/>
        <w:ind w:firstLine="420" w:firstLineChars="200"/>
        <w:rPr>
          <w:rFonts w:hint="eastAsia" w:cs="仿宋_GB2312" w:asciiTheme="minorEastAsia" w:hAnsiTheme="minorEastAsia" w:eastAsiaTheme="minorEastAsia"/>
          <w:color w:val="auto"/>
          <w:szCs w:val="21"/>
          <w:highlight w:val="none"/>
          <w:lang w:val="en-US" w:eastAsia="zh-CN"/>
        </w:rPr>
      </w:pPr>
      <w:r>
        <w:rPr>
          <w:rFonts w:hint="eastAsia" w:cs="仿宋_GB2312" w:asciiTheme="minorEastAsia" w:hAnsiTheme="minorEastAsia" w:eastAsiaTheme="minorEastAsia"/>
          <w:color w:val="auto"/>
          <w:szCs w:val="21"/>
          <w:highlight w:val="none"/>
          <w:lang w:val="en-US" w:eastAsia="zh-CN"/>
        </w:rPr>
        <w:t>（一）供应商为在中华人民共和国境内登记注册的、合法存续、正常经营且具有独立承担民事责任能力的法人或其他组织。</w:t>
      </w:r>
    </w:p>
    <w:p>
      <w:pPr>
        <w:tabs>
          <w:tab w:val="left" w:pos="0"/>
        </w:tabs>
        <w:spacing w:line="360" w:lineRule="auto"/>
        <w:ind w:firstLine="420" w:firstLineChars="200"/>
        <w:rPr>
          <w:rFonts w:hint="eastAsia" w:ascii="宋体" w:hAnsi="宋体" w:eastAsia="宋体" w:cs="宋体"/>
          <w:b w:val="0"/>
          <w:kern w:val="2"/>
          <w:sz w:val="21"/>
          <w:szCs w:val="21"/>
          <w:highlight w:val="none"/>
          <w:lang w:val="zh-CN" w:eastAsia="zh-CN" w:bidi="ar-SA"/>
        </w:rPr>
      </w:pPr>
      <w:r>
        <w:rPr>
          <w:rFonts w:hint="eastAsia" w:ascii="宋体" w:hAnsi="宋体" w:eastAsia="宋体" w:cs="宋体"/>
          <w:b w:val="0"/>
          <w:kern w:val="2"/>
          <w:sz w:val="21"/>
          <w:szCs w:val="21"/>
          <w:highlight w:val="none"/>
          <w:lang w:val="en-US" w:eastAsia="zh-CN" w:bidi="ar-SA"/>
        </w:rPr>
        <w:t>（二）至报名截止当天，供应商</w:t>
      </w:r>
      <w:r>
        <w:rPr>
          <w:rFonts w:hint="eastAsia" w:ascii="宋体" w:hAnsi="宋体" w:eastAsia="宋体" w:cs="宋体"/>
          <w:b w:val="0"/>
          <w:kern w:val="2"/>
          <w:sz w:val="21"/>
          <w:szCs w:val="21"/>
          <w:highlight w:val="none"/>
          <w:lang w:val="zh-CN" w:eastAsia="zh-CN" w:bidi="ar-SA"/>
        </w:rPr>
        <w:t>未被列入</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信用中国</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网站</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en-US" w:eastAsia="zh-CN" w:bidi="ar-SA"/>
        </w:rPr>
        <w:fldChar w:fldCharType="begin"/>
      </w:r>
      <w:r>
        <w:rPr>
          <w:rFonts w:hint="eastAsia" w:ascii="宋体" w:hAnsi="宋体" w:eastAsia="宋体" w:cs="宋体"/>
          <w:b w:val="0"/>
          <w:kern w:val="2"/>
          <w:sz w:val="21"/>
          <w:szCs w:val="21"/>
          <w:highlight w:val="none"/>
          <w:lang w:val="en-US" w:eastAsia="zh-CN" w:bidi="ar-SA"/>
        </w:rPr>
        <w:instrText xml:space="preserve"> HYPERLINK "http://www.creditchina.gov.cn)" </w:instrText>
      </w:r>
      <w:r>
        <w:rPr>
          <w:rFonts w:hint="eastAsia" w:ascii="宋体" w:hAnsi="宋体" w:eastAsia="宋体" w:cs="宋体"/>
          <w:b w:val="0"/>
          <w:kern w:val="2"/>
          <w:sz w:val="21"/>
          <w:szCs w:val="21"/>
          <w:highlight w:val="none"/>
          <w:lang w:val="en-US" w:eastAsia="zh-CN" w:bidi="ar-SA"/>
        </w:rPr>
        <w:fldChar w:fldCharType="separate"/>
      </w:r>
      <w:r>
        <w:rPr>
          <w:rFonts w:hint="eastAsia" w:ascii="宋体" w:hAnsi="宋体" w:eastAsia="宋体" w:cs="宋体"/>
          <w:b w:val="0"/>
          <w:kern w:val="2"/>
          <w:sz w:val="21"/>
          <w:szCs w:val="21"/>
          <w:highlight w:val="none"/>
          <w:lang w:val="en-US" w:eastAsia="zh-CN" w:bidi="ar-SA"/>
        </w:rPr>
        <w:t>www.creditchina.gov.cn)“</w:t>
      </w:r>
      <w:r>
        <w:rPr>
          <w:rFonts w:hint="eastAsia" w:ascii="宋体" w:hAnsi="宋体" w:eastAsia="宋体" w:cs="宋体"/>
          <w:b w:val="0"/>
          <w:kern w:val="2"/>
          <w:sz w:val="21"/>
          <w:szCs w:val="21"/>
          <w:highlight w:val="none"/>
          <w:lang w:val="zh-CN" w:eastAsia="zh-CN" w:bidi="ar-SA"/>
        </w:rPr>
        <w:t>记录失信被执行人或重</w:t>
      </w:r>
      <w:r>
        <w:rPr>
          <w:rFonts w:hint="eastAsia" w:ascii="宋体" w:hAnsi="宋体" w:eastAsia="宋体" w:cs="宋体"/>
          <w:b w:val="0"/>
          <w:kern w:val="2"/>
          <w:sz w:val="21"/>
          <w:szCs w:val="21"/>
          <w:highlight w:val="none"/>
          <w:lang w:val="zh-CN" w:eastAsia="zh-CN" w:bidi="ar-SA"/>
        </w:rPr>
        <w:fldChar w:fldCharType="end"/>
      </w:r>
      <w:r>
        <w:rPr>
          <w:rFonts w:hint="eastAsia" w:ascii="宋体" w:hAnsi="宋体" w:eastAsia="宋体" w:cs="宋体"/>
          <w:b w:val="0"/>
          <w:kern w:val="2"/>
          <w:sz w:val="21"/>
          <w:szCs w:val="21"/>
          <w:highlight w:val="none"/>
          <w:lang w:val="zh-CN" w:eastAsia="zh-CN" w:bidi="ar-SA"/>
        </w:rPr>
        <w:t>大税收违法案件当事人名单或政府采购严重违法失信名单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记录名单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不处于中国政府采购网</w:t>
      </w:r>
      <w:r>
        <w:rPr>
          <w:rFonts w:hint="eastAsia" w:ascii="宋体" w:hAnsi="宋体" w:eastAsia="宋体" w:cs="宋体"/>
          <w:b w:val="0"/>
          <w:kern w:val="2"/>
          <w:sz w:val="21"/>
          <w:szCs w:val="21"/>
          <w:highlight w:val="none"/>
          <w:lang w:val="en-US" w:eastAsia="zh-CN" w:bidi="ar-SA"/>
        </w:rPr>
        <w:t>(www.ccgp.gov.cn)“</w:t>
      </w:r>
      <w:r>
        <w:rPr>
          <w:rFonts w:hint="eastAsia" w:ascii="宋体" w:hAnsi="宋体" w:eastAsia="宋体" w:cs="宋体"/>
          <w:b w:val="0"/>
          <w:kern w:val="2"/>
          <w:sz w:val="21"/>
          <w:szCs w:val="21"/>
          <w:highlight w:val="none"/>
          <w:lang w:val="zh-CN" w:eastAsia="zh-CN" w:bidi="ar-SA"/>
        </w:rPr>
        <w:t>政府采购严重违法失信行为信息记录</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中的禁止参加政府采购活动期间</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处罚限届满的除外</w:t>
      </w:r>
      <w:r>
        <w:rPr>
          <w:rFonts w:hint="eastAsia" w:ascii="宋体" w:hAnsi="宋体" w:eastAsia="宋体" w:cs="宋体"/>
          <w:b w:val="0"/>
          <w:kern w:val="2"/>
          <w:sz w:val="21"/>
          <w:szCs w:val="21"/>
          <w:highlight w:val="none"/>
          <w:lang w:val="en-US" w:eastAsia="zh-CN" w:bidi="ar-SA"/>
        </w:rPr>
        <w:t>）</w:t>
      </w:r>
      <w:r>
        <w:rPr>
          <w:rFonts w:hint="eastAsia" w:ascii="宋体" w:hAnsi="宋体" w:eastAsia="宋体" w:cs="宋体"/>
          <w:b w:val="0"/>
          <w:kern w:val="2"/>
          <w:sz w:val="21"/>
          <w:szCs w:val="21"/>
          <w:highlight w:val="none"/>
          <w:lang w:val="zh-CN" w:eastAsia="zh-CN" w:bidi="ar-SA"/>
        </w:rPr>
        <w:t>。</w:t>
      </w: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eastAsia="宋体" w:cs="宋体"/>
          <w:b w:val="0"/>
          <w:kern w:val="2"/>
          <w:sz w:val="21"/>
          <w:szCs w:val="21"/>
          <w:highlight w:val="none"/>
          <w:lang w:val="zh-CN" w:eastAsia="zh-CN" w:bidi="ar-SA"/>
        </w:rPr>
        <w:t>（</w:t>
      </w:r>
      <w:r>
        <w:rPr>
          <w:rFonts w:hint="eastAsia" w:ascii="宋体" w:hAnsi="宋体" w:eastAsia="宋体" w:cs="宋体"/>
          <w:b w:val="0"/>
          <w:kern w:val="2"/>
          <w:sz w:val="21"/>
          <w:szCs w:val="21"/>
          <w:highlight w:val="none"/>
          <w:lang w:val="en-US" w:eastAsia="zh-CN" w:bidi="ar-SA"/>
        </w:rPr>
        <w:t>三</w:t>
      </w:r>
      <w:r>
        <w:rPr>
          <w:rFonts w:hint="eastAsia" w:ascii="宋体" w:hAnsi="宋体" w:eastAsia="宋体" w:cs="宋体"/>
          <w:b w:val="0"/>
          <w:kern w:val="2"/>
          <w:sz w:val="21"/>
          <w:szCs w:val="21"/>
          <w:highlight w:val="none"/>
          <w:lang w:val="zh-CN" w:eastAsia="zh-CN" w:bidi="ar-SA"/>
        </w:rPr>
        <w:t>）</w:t>
      </w:r>
      <w:r>
        <w:rPr>
          <w:rFonts w:hint="eastAsia" w:ascii="宋体" w:hAnsi="宋体" w:cs="宋体"/>
          <w:b w:val="0"/>
          <w:kern w:val="2"/>
          <w:sz w:val="21"/>
          <w:szCs w:val="21"/>
          <w:highlight w:val="none"/>
          <w:lang w:val="en-US" w:eastAsia="zh-CN" w:bidi="ar-SA"/>
        </w:rPr>
        <w:t>近3年具有同类项目案例。</w:t>
      </w: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附件：</w:t>
      </w:r>
    </w:p>
    <w:p>
      <w:pPr>
        <w:tabs>
          <w:tab w:val="left" w:pos="0"/>
        </w:tabs>
        <w:spacing w:line="360" w:lineRule="auto"/>
        <w:ind w:firstLine="420" w:firstLineChars="200"/>
        <w:rPr>
          <w:rFonts w:hint="eastAsia" w:ascii="宋体" w:hAnsi="宋体" w:cs="宋体"/>
          <w:b w:val="0"/>
          <w:kern w:val="2"/>
          <w:sz w:val="21"/>
          <w:szCs w:val="21"/>
          <w:highlight w:val="none"/>
          <w:lang w:val="en-US" w:eastAsia="zh-CN" w:bidi="ar-SA"/>
        </w:rPr>
      </w:pPr>
      <w:r>
        <w:rPr>
          <w:rFonts w:hint="eastAsia" w:ascii="宋体" w:hAnsi="宋体" w:cs="宋体"/>
          <w:b w:val="0"/>
          <w:kern w:val="2"/>
          <w:sz w:val="21"/>
          <w:szCs w:val="21"/>
          <w:highlight w:val="none"/>
          <w:lang w:val="en-US" w:eastAsia="zh-CN" w:bidi="ar-SA"/>
        </w:rPr>
        <w:t>1.公司基本情况介绍-xxx公司</w:t>
      </w:r>
    </w:p>
    <w:p>
      <w:pPr>
        <w:tabs>
          <w:tab w:val="left" w:pos="0"/>
        </w:tabs>
        <w:spacing w:line="360" w:lineRule="auto"/>
        <w:ind w:firstLine="420" w:firstLineChars="200"/>
        <w:rPr>
          <w:rFonts w:ascii="宋体" w:hAnsi="宋体"/>
          <w:szCs w:val="21"/>
          <w:highlight w:val="none"/>
        </w:rPr>
      </w:pPr>
      <w:r>
        <w:rPr>
          <w:rFonts w:hint="eastAsia" w:ascii="宋体" w:hAnsi="宋体" w:cs="宋体"/>
          <w:b w:val="0"/>
          <w:kern w:val="2"/>
          <w:sz w:val="21"/>
          <w:szCs w:val="21"/>
          <w:highlight w:val="none"/>
          <w:lang w:val="en-US" w:eastAsia="zh-CN" w:bidi="ar-SA"/>
        </w:rPr>
        <w:t>2.</w:t>
      </w:r>
      <w:r>
        <w:rPr>
          <w:rFonts w:hint="default" w:ascii="宋体" w:hAnsi="宋体" w:cs="宋体"/>
          <w:b w:val="0"/>
          <w:kern w:val="2"/>
          <w:sz w:val="21"/>
          <w:szCs w:val="21"/>
          <w:highlight w:val="none"/>
          <w:lang w:val="en-US" w:eastAsia="zh-CN" w:bidi="ar-SA"/>
        </w:rPr>
        <w:t>业财系统调研表-xxx公司</w:t>
      </w:r>
    </w:p>
    <w:sectPr>
      <w:footerReference r:id="rId3" w:type="default"/>
      <w:pgSz w:w="11906" w:h="16838"/>
      <w:pgMar w:top="1134" w:right="1077" w:bottom="1134" w:left="107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801739"/>
    </w:sdtPr>
    <w:sdtContent>
      <w:p>
        <w:pPr>
          <w:pStyle w:val="11"/>
          <w:jc w:val="center"/>
        </w:pPr>
        <w:r>
          <w:fldChar w:fldCharType="begin"/>
        </w:r>
        <w:r>
          <w:instrText xml:space="preserve">PAGE   \* MERGEFORMAT</w:instrText>
        </w:r>
        <w:r>
          <w:fldChar w:fldCharType="separate"/>
        </w:r>
        <w:r>
          <w:rPr>
            <w:lang w:val="zh-CN"/>
          </w:rPr>
          <w:t>4</w:t>
        </w:r>
        <w:r>
          <w:fldChar w:fldCharType="end"/>
        </w:r>
      </w:p>
    </w:sdtContent>
  </w:sdt>
  <w:p>
    <w:pPr>
      <w:pStyle w:val="11"/>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iZjYxM2FmMjVmOTMxYTlmZDdkZThjNTllNGUwOWIifQ=="/>
  </w:docVars>
  <w:rsids>
    <w:rsidRoot w:val="009F2FB4"/>
    <w:rsid w:val="0002211E"/>
    <w:rsid w:val="00041D24"/>
    <w:rsid w:val="000D3882"/>
    <w:rsid w:val="000E6541"/>
    <w:rsid w:val="000F0DFD"/>
    <w:rsid w:val="000F33B3"/>
    <w:rsid w:val="000F4946"/>
    <w:rsid w:val="00115306"/>
    <w:rsid w:val="00115BC4"/>
    <w:rsid w:val="001C2DAC"/>
    <w:rsid w:val="001D4644"/>
    <w:rsid w:val="001E7CB5"/>
    <w:rsid w:val="0026628E"/>
    <w:rsid w:val="002B7344"/>
    <w:rsid w:val="002C13F5"/>
    <w:rsid w:val="002C2350"/>
    <w:rsid w:val="002E69AE"/>
    <w:rsid w:val="003000DE"/>
    <w:rsid w:val="003161EC"/>
    <w:rsid w:val="003425BD"/>
    <w:rsid w:val="00372F3B"/>
    <w:rsid w:val="003900F9"/>
    <w:rsid w:val="004B3E2C"/>
    <w:rsid w:val="0052378B"/>
    <w:rsid w:val="00547AA6"/>
    <w:rsid w:val="005539C2"/>
    <w:rsid w:val="0058010C"/>
    <w:rsid w:val="005E0F22"/>
    <w:rsid w:val="005F2DE0"/>
    <w:rsid w:val="00657D6E"/>
    <w:rsid w:val="0067085A"/>
    <w:rsid w:val="0067708D"/>
    <w:rsid w:val="00683ADB"/>
    <w:rsid w:val="00684671"/>
    <w:rsid w:val="00697DF5"/>
    <w:rsid w:val="006B282D"/>
    <w:rsid w:val="006E028B"/>
    <w:rsid w:val="00730CFC"/>
    <w:rsid w:val="00755FE0"/>
    <w:rsid w:val="007C1E65"/>
    <w:rsid w:val="007C4B35"/>
    <w:rsid w:val="007D1572"/>
    <w:rsid w:val="0080423D"/>
    <w:rsid w:val="00812356"/>
    <w:rsid w:val="00833E0B"/>
    <w:rsid w:val="00834783"/>
    <w:rsid w:val="00876154"/>
    <w:rsid w:val="008E739F"/>
    <w:rsid w:val="008F0DA8"/>
    <w:rsid w:val="008F5664"/>
    <w:rsid w:val="00906BCA"/>
    <w:rsid w:val="00932867"/>
    <w:rsid w:val="00932D28"/>
    <w:rsid w:val="00955B58"/>
    <w:rsid w:val="0096229B"/>
    <w:rsid w:val="00967333"/>
    <w:rsid w:val="00997589"/>
    <w:rsid w:val="009C139A"/>
    <w:rsid w:val="009C6873"/>
    <w:rsid w:val="009F2FB4"/>
    <w:rsid w:val="009F5DB2"/>
    <w:rsid w:val="00AC726D"/>
    <w:rsid w:val="00AF0288"/>
    <w:rsid w:val="00AF5E80"/>
    <w:rsid w:val="00AF7968"/>
    <w:rsid w:val="00B71931"/>
    <w:rsid w:val="00BB0D09"/>
    <w:rsid w:val="00BB432E"/>
    <w:rsid w:val="00BD79AF"/>
    <w:rsid w:val="00C046DA"/>
    <w:rsid w:val="00C15B9E"/>
    <w:rsid w:val="00C479E2"/>
    <w:rsid w:val="00C707AE"/>
    <w:rsid w:val="00CD38B9"/>
    <w:rsid w:val="00CD62A6"/>
    <w:rsid w:val="00CE7C21"/>
    <w:rsid w:val="00D809E5"/>
    <w:rsid w:val="00DA0CD7"/>
    <w:rsid w:val="00DD11BD"/>
    <w:rsid w:val="00E21A27"/>
    <w:rsid w:val="00E751AB"/>
    <w:rsid w:val="00EE08E3"/>
    <w:rsid w:val="00FC204D"/>
    <w:rsid w:val="00FC3DC7"/>
    <w:rsid w:val="00FE62F0"/>
    <w:rsid w:val="00FE706B"/>
    <w:rsid w:val="00FF59D4"/>
    <w:rsid w:val="021B1648"/>
    <w:rsid w:val="02320327"/>
    <w:rsid w:val="025530F1"/>
    <w:rsid w:val="039C2060"/>
    <w:rsid w:val="05EF6F22"/>
    <w:rsid w:val="065A661B"/>
    <w:rsid w:val="09595E0D"/>
    <w:rsid w:val="09BB78D2"/>
    <w:rsid w:val="0A0312E3"/>
    <w:rsid w:val="0C43782D"/>
    <w:rsid w:val="0C6C3520"/>
    <w:rsid w:val="0D6B1137"/>
    <w:rsid w:val="0DA46FDA"/>
    <w:rsid w:val="0F075DB7"/>
    <w:rsid w:val="0FC477AC"/>
    <w:rsid w:val="14C50C1C"/>
    <w:rsid w:val="15053565"/>
    <w:rsid w:val="152378BB"/>
    <w:rsid w:val="170B3BD9"/>
    <w:rsid w:val="18AE0369"/>
    <w:rsid w:val="198576E4"/>
    <w:rsid w:val="1BD85D3B"/>
    <w:rsid w:val="1F2A045F"/>
    <w:rsid w:val="20970440"/>
    <w:rsid w:val="24B11032"/>
    <w:rsid w:val="26270D81"/>
    <w:rsid w:val="26693078"/>
    <w:rsid w:val="27842A64"/>
    <w:rsid w:val="27EE329C"/>
    <w:rsid w:val="283A00E5"/>
    <w:rsid w:val="294B5624"/>
    <w:rsid w:val="2A115FDA"/>
    <w:rsid w:val="2AA64209"/>
    <w:rsid w:val="2D9C21DD"/>
    <w:rsid w:val="32717FA3"/>
    <w:rsid w:val="32831D93"/>
    <w:rsid w:val="34D74D9B"/>
    <w:rsid w:val="35170A7F"/>
    <w:rsid w:val="35592615"/>
    <w:rsid w:val="37013EDE"/>
    <w:rsid w:val="376C7AC4"/>
    <w:rsid w:val="38F23604"/>
    <w:rsid w:val="39C06A80"/>
    <w:rsid w:val="3A917B8C"/>
    <w:rsid w:val="3B050353"/>
    <w:rsid w:val="3BB52984"/>
    <w:rsid w:val="3C4017A8"/>
    <w:rsid w:val="3D5A7824"/>
    <w:rsid w:val="3DC07856"/>
    <w:rsid w:val="3DEF6CAB"/>
    <w:rsid w:val="3E8C0578"/>
    <w:rsid w:val="3FB81D86"/>
    <w:rsid w:val="3FF04866"/>
    <w:rsid w:val="3FF2048E"/>
    <w:rsid w:val="41A31322"/>
    <w:rsid w:val="452B449A"/>
    <w:rsid w:val="46431334"/>
    <w:rsid w:val="47242D51"/>
    <w:rsid w:val="478B094B"/>
    <w:rsid w:val="494F4C56"/>
    <w:rsid w:val="496574B5"/>
    <w:rsid w:val="498B36F3"/>
    <w:rsid w:val="4A454E67"/>
    <w:rsid w:val="4A79723B"/>
    <w:rsid w:val="4C2D2789"/>
    <w:rsid w:val="4E526C2D"/>
    <w:rsid w:val="4EDA586A"/>
    <w:rsid w:val="50D313A9"/>
    <w:rsid w:val="51C95D72"/>
    <w:rsid w:val="52097D65"/>
    <w:rsid w:val="562A003B"/>
    <w:rsid w:val="56582426"/>
    <w:rsid w:val="567163DB"/>
    <w:rsid w:val="56C908C1"/>
    <w:rsid w:val="57CB06E4"/>
    <w:rsid w:val="58234BBB"/>
    <w:rsid w:val="58F55680"/>
    <w:rsid w:val="595953A4"/>
    <w:rsid w:val="5D1E4863"/>
    <w:rsid w:val="5F9E226B"/>
    <w:rsid w:val="62A712E9"/>
    <w:rsid w:val="64E84309"/>
    <w:rsid w:val="66123DE5"/>
    <w:rsid w:val="663A786E"/>
    <w:rsid w:val="669A46E2"/>
    <w:rsid w:val="69270594"/>
    <w:rsid w:val="6B764C86"/>
    <w:rsid w:val="6BBA4C6C"/>
    <w:rsid w:val="6BFB13A5"/>
    <w:rsid w:val="6D847C22"/>
    <w:rsid w:val="6EBA17FC"/>
    <w:rsid w:val="6EC766B7"/>
    <w:rsid w:val="6F895139"/>
    <w:rsid w:val="6FAD6E95"/>
    <w:rsid w:val="71CA4040"/>
    <w:rsid w:val="72C97AC3"/>
    <w:rsid w:val="7611274E"/>
    <w:rsid w:val="76F20376"/>
    <w:rsid w:val="770C221D"/>
    <w:rsid w:val="77933B3B"/>
    <w:rsid w:val="78856D46"/>
    <w:rsid w:val="78BC37FE"/>
    <w:rsid w:val="7C8F51E8"/>
    <w:rsid w:val="7D550B01"/>
    <w:rsid w:val="7E260949"/>
    <w:rsid w:val="7E293E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djustRightInd w:val="0"/>
      <w:spacing w:before="260" w:after="260" w:line="416" w:lineRule="atLeast"/>
      <w:ind w:left="180"/>
      <w:textAlignment w:val="baseline"/>
      <w:outlineLvl w:val="1"/>
    </w:pPr>
    <w:rPr>
      <w:rFonts w:ascii="Arial" w:hAnsi="Arial" w:eastAsia="黑体"/>
      <w:b/>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26"/>
    <w:qFormat/>
    <w:uiPriority w:val="0"/>
    <w:pPr>
      <w:spacing w:after="120"/>
    </w:pPr>
  </w:style>
  <w:style w:type="paragraph" w:styleId="5">
    <w:name w:val="annotation subject"/>
    <w:basedOn w:val="6"/>
    <w:next w:val="6"/>
    <w:link w:val="28"/>
    <w:semiHidden/>
    <w:unhideWhenUsed/>
    <w:qFormat/>
    <w:uiPriority w:val="99"/>
    <w:rPr>
      <w:b/>
      <w:bCs/>
    </w:rPr>
  </w:style>
  <w:style w:type="paragraph" w:styleId="6">
    <w:name w:val="annotation text"/>
    <w:basedOn w:val="1"/>
    <w:link w:val="27"/>
    <w:semiHidden/>
    <w:unhideWhenUsed/>
    <w:qFormat/>
    <w:uiPriority w:val="99"/>
    <w:pPr>
      <w:jc w:val="left"/>
    </w:pPr>
  </w:style>
  <w:style w:type="paragraph" w:styleId="7">
    <w:name w:val="Normal Indent"/>
    <w:basedOn w:val="1"/>
    <w:link w:val="30"/>
    <w:unhideWhenUsed/>
    <w:qFormat/>
    <w:uiPriority w:val="0"/>
    <w:pPr>
      <w:ind w:firstLine="420" w:firstLineChars="200"/>
    </w:pPr>
    <w:rPr>
      <w:rFonts w:ascii="Calibri" w:hAnsi="Calibri"/>
    </w:rPr>
  </w:style>
  <w:style w:type="paragraph" w:styleId="8">
    <w:name w:val="Document Map"/>
    <w:basedOn w:val="1"/>
    <w:link w:val="32"/>
    <w:semiHidden/>
    <w:unhideWhenUsed/>
    <w:qFormat/>
    <w:uiPriority w:val="99"/>
    <w:rPr>
      <w:rFonts w:ascii="宋体"/>
      <w:sz w:val="18"/>
      <w:szCs w:val="18"/>
    </w:rPr>
  </w:style>
  <w:style w:type="paragraph" w:styleId="9">
    <w:name w:val="toa heading"/>
    <w:basedOn w:val="1"/>
    <w:next w:val="1"/>
    <w:unhideWhenUsed/>
    <w:qFormat/>
    <w:uiPriority w:val="99"/>
    <w:pPr>
      <w:spacing w:before="120"/>
    </w:pPr>
    <w:rPr>
      <w:rFonts w:asciiTheme="majorHAnsi" w:hAnsiTheme="majorHAnsi" w:cstheme="majorBidi"/>
      <w:sz w:val="24"/>
    </w:rPr>
  </w:style>
  <w:style w:type="paragraph" w:styleId="10">
    <w:name w:val="Balloon Text"/>
    <w:basedOn w:val="1"/>
    <w:link w:val="29"/>
    <w:semiHidden/>
    <w:unhideWhenUsed/>
    <w:qFormat/>
    <w:uiPriority w:val="99"/>
    <w:rPr>
      <w:sz w:val="18"/>
      <w:szCs w:val="18"/>
    </w:rPr>
  </w:style>
  <w:style w:type="paragraph" w:styleId="11">
    <w:name w:val="footer"/>
    <w:basedOn w:val="1"/>
    <w:link w:val="23"/>
    <w:unhideWhenUsed/>
    <w:qFormat/>
    <w:uiPriority w:val="99"/>
    <w:pPr>
      <w:tabs>
        <w:tab w:val="center" w:pos="4153"/>
        <w:tab w:val="right" w:pos="8306"/>
      </w:tabs>
      <w:snapToGrid w:val="0"/>
      <w:jc w:val="left"/>
    </w:pPr>
    <w:rPr>
      <w:sz w:val="18"/>
      <w:szCs w:val="18"/>
    </w:rPr>
  </w:style>
  <w:style w:type="paragraph" w:styleId="12">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5">
    <w:name w:val="Hyperlink"/>
    <w:unhideWhenUsed/>
    <w:qFormat/>
    <w:uiPriority w:val="99"/>
    <w:rPr>
      <w:color w:val="0000FF"/>
      <w:u w:val="single"/>
    </w:rPr>
  </w:style>
  <w:style w:type="character" w:styleId="16">
    <w:name w:val="annotation reference"/>
    <w:unhideWhenUsed/>
    <w:qFormat/>
    <w:uiPriority w:val="99"/>
    <w:rPr>
      <w:rFonts w:cs="Times New Roman"/>
      <w:sz w:val="21"/>
      <w:szCs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
    <w:name w:val="Table Paragraph"/>
    <w:basedOn w:val="1"/>
    <w:qFormat/>
    <w:uiPriority w:val="1"/>
    <w:pPr>
      <w:autoSpaceDE w:val="0"/>
      <w:autoSpaceDN w:val="0"/>
      <w:adjustRightInd w:val="0"/>
      <w:jc w:val="left"/>
    </w:pPr>
    <w:rPr>
      <w:rFonts w:ascii="宋体" w:cs="宋体"/>
      <w:kern w:val="0"/>
      <w:sz w:val="24"/>
    </w:rPr>
  </w:style>
  <w:style w:type="paragraph" w:customStyle="1" w:styleId="21">
    <w:name w:val="样式4"/>
    <w:basedOn w:val="1"/>
    <w:qFormat/>
    <w:uiPriority w:val="0"/>
    <w:pPr>
      <w:tabs>
        <w:tab w:val="left" w:pos="2328"/>
      </w:tabs>
      <w:ind w:left="2328" w:hanging="708"/>
    </w:pPr>
  </w:style>
  <w:style w:type="character" w:customStyle="1" w:styleId="22">
    <w:name w:val="页眉 Char"/>
    <w:link w:val="12"/>
    <w:qFormat/>
    <w:uiPriority w:val="99"/>
    <w:rPr>
      <w:rFonts w:ascii="Times New Roman" w:hAnsi="Times New Roman" w:eastAsia="宋体" w:cs="Times New Roman"/>
      <w:sz w:val="18"/>
      <w:szCs w:val="18"/>
    </w:rPr>
  </w:style>
  <w:style w:type="character" w:customStyle="1" w:styleId="23">
    <w:name w:val="页脚 Char"/>
    <w:link w:val="11"/>
    <w:qFormat/>
    <w:uiPriority w:val="99"/>
    <w:rPr>
      <w:rFonts w:ascii="Times New Roman" w:hAnsi="Times New Roman" w:eastAsia="宋体" w:cs="Times New Roman"/>
      <w:sz w:val="18"/>
      <w:szCs w:val="18"/>
    </w:rPr>
  </w:style>
  <w:style w:type="character" w:customStyle="1" w:styleId="24">
    <w:name w:val="font11"/>
    <w:qFormat/>
    <w:uiPriority w:val="0"/>
    <w:rPr>
      <w:rFonts w:hint="default" w:ascii="Times New Roman" w:hAnsi="Times New Roman" w:cs="Times New Roman"/>
      <w:color w:val="000000"/>
      <w:sz w:val="24"/>
      <w:szCs w:val="24"/>
      <w:u w:val="none"/>
    </w:rPr>
  </w:style>
  <w:style w:type="character" w:customStyle="1" w:styleId="25">
    <w:name w:val="font21"/>
    <w:basedOn w:val="14"/>
    <w:qFormat/>
    <w:uiPriority w:val="0"/>
    <w:rPr>
      <w:rFonts w:ascii="Arial" w:hAnsi="Arial" w:cs="Arial"/>
      <w:color w:val="000000"/>
      <w:sz w:val="21"/>
      <w:szCs w:val="21"/>
      <w:u w:val="none"/>
    </w:rPr>
  </w:style>
  <w:style w:type="character" w:customStyle="1" w:styleId="26">
    <w:name w:val="正文文本 Char"/>
    <w:basedOn w:val="14"/>
    <w:link w:val="2"/>
    <w:qFormat/>
    <w:uiPriority w:val="0"/>
    <w:rPr>
      <w:rFonts w:ascii="Times New Roman" w:hAnsi="Times New Roman" w:eastAsia="宋体"/>
      <w:kern w:val="2"/>
      <w:sz w:val="21"/>
      <w:szCs w:val="24"/>
    </w:rPr>
  </w:style>
  <w:style w:type="character" w:customStyle="1" w:styleId="27">
    <w:name w:val="批注文字 Char"/>
    <w:basedOn w:val="14"/>
    <w:link w:val="6"/>
    <w:semiHidden/>
    <w:qFormat/>
    <w:uiPriority w:val="99"/>
    <w:rPr>
      <w:rFonts w:ascii="Times New Roman" w:hAnsi="Times New Roman" w:eastAsia="宋体"/>
      <w:kern w:val="2"/>
      <w:sz w:val="21"/>
      <w:szCs w:val="24"/>
    </w:rPr>
  </w:style>
  <w:style w:type="character" w:customStyle="1" w:styleId="28">
    <w:name w:val="批注主题 Char"/>
    <w:basedOn w:val="27"/>
    <w:link w:val="5"/>
    <w:semiHidden/>
    <w:qFormat/>
    <w:uiPriority w:val="99"/>
    <w:rPr>
      <w:rFonts w:ascii="Times New Roman" w:hAnsi="Times New Roman" w:eastAsia="宋体"/>
      <w:b/>
      <w:bCs/>
      <w:kern w:val="2"/>
      <w:sz w:val="21"/>
      <w:szCs w:val="24"/>
    </w:rPr>
  </w:style>
  <w:style w:type="character" w:customStyle="1" w:styleId="29">
    <w:name w:val="批注框文本 Char"/>
    <w:basedOn w:val="14"/>
    <w:link w:val="10"/>
    <w:semiHidden/>
    <w:qFormat/>
    <w:uiPriority w:val="99"/>
    <w:rPr>
      <w:rFonts w:ascii="Times New Roman" w:hAnsi="Times New Roman" w:eastAsia="宋体"/>
      <w:kern w:val="2"/>
      <w:sz w:val="18"/>
      <w:szCs w:val="18"/>
    </w:rPr>
  </w:style>
  <w:style w:type="character" w:customStyle="1" w:styleId="30">
    <w:name w:val="正文缩进 Char"/>
    <w:link w:val="7"/>
    <w:qFormat/>
    <w:uiPriority w:val="0"/>
    <w:rPr>
      <w:rFonts w:ascii="Calibri" w:hAnsi="Calibri" w:eastAsia="宋体"/>
      <w:kern w:val="2"/>
      <w:sz w:val="21"/>
      <w:szCs w:val="24"/>
    </w:rPr>
  </w:style>
  <w:style w:type="paragraph" w:customStyle="1" w:styleId="31">
    <w:name w:val="正文cl"/>
    <w:basedOn w:val="1"/>
    <w:qFormat/>
    <w:uiPriority w:val="0"/>
    <w:pPr>
      <w:snapToGrid w:val="0"/>
      <w:spacing w:line="360" w:lineRule="auto"/>
      <w:ind w:firstLine="600" w:firstLineChars="200"/>
    </w:pPr>
    <w:rPr>
      <w:rFonts w:ascii="Tahoma" w:hAnsi="Tahoma" w:eastAsia="仿宋_GB2312" w:cs="宋体"/>
      <w:sz w:val="30"/>
      <w:szCs w:val="20"/>
    </w:rPr>
  </w:style>
  <w:style w:type="character" w:customStyle="1" w:styleId="32">
    <w:name w:val="文档结构图 Char"/>
    <w:basedOn w:val="14"/>
    <w:link w:val="8"/>
    <w:semiHidden/>
    <w:qFormat/>
    <w:uiPriority w:val="99"/>
    <w:rPr>
      <w:rFonts w:ascii="宋体"/>
      <w:kern w:val="2"/>
      <w:sz w:val="18"/>
      <w:szCs w:val="18"/>
    </w:rPr>
  </w:style>
  <w:style w:type="paragraph" w:customStyle="1" w:styleId="33">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996</Words>
  <Characters>5680</Characters>
  <Lines>47</Lines>
  <Paragraphs>13</Paragraphs>
  <TotalTime>19</TotalTime>
  <ScaleCrop>false</ScaleCrop>
  <LinksUpToDate>false</LinksUpToDate>
  <CharactersWithSpaces>6663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2023-09-05T08:15:00Z</dcterms:created>
  <dc:creator>User</dc:creator>
  <cp:lastModifiedBy>张晓彬</cp:lastModifiedBy>
  <cp:lastPrinted>2023-05-09T06:57:00Z</cp:lastPrinted>
  <dcterms:modified xsi:type="dcterms:W3CDTF">2026-02-12T03:15:19Z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990334B1DCEE4F3F9A3E9153A213864F</vt:lpwstr>
  </property>
</Properties>
</file>