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B7B37">
      <w:pPr>
        <w:autoSpaceDE w:val="0"/>
        <w:autoSpaceDN w:val="0"/>
        <w:adjustRightInd w:val="0"/>
        <w:spacing w:line="276" w:lineRule="auto"/>
        <w:ind w:left="357" w:leftChars="170" w:right="-23" w:rightChars="-11"/>
        <w:jc w:val="center"/>
        <w:rPr>
          <w:rFonts w:hint="default" w:ascii="宋体" w:hAnsi="宋体" w:eastAsia="宋体" w:cs="宋体"/>
          <w:b/>
          <w:bCs/>
          <w:color w:val="auto"/>
          <w:kern w:val="0"/>
          <w:sz w:val="60"/>
          <w:szCs w:val="60"/>
          <w:highlight w:val="none"/>
          <w:lang w:val="en-US" w:eastAsia="zh-CN"/>
        </w:rPr>
      </w:pPr>
      <w:r>
        <w:rPr>
          <w:rFonts w:hint="eastAsia" w:ascii="宋体" w:hAnsi="宋体" w:eastAsia="宋体" w:cs="宋体"/>
          <w:b/>
          <w:bCs/>
          <w:color w:val="auto"/>
          <w:kern w:val="0"/>
          <w:sz w:val="60"/>
          <w:szCs w:val="60"/>
          <w:highlight w:val="none"/>
          <w:lang w:val="zh-CN" w:eastAsia="zh-CN"/>
        </w:rPr>
        <w:t>东莞市供水计量设施更新项目（2026-2027年计量仪表)</w:t>
      </w:r>
      <w:r>
        <w:rPr>
          <w:rFonts w:hint="eastAsia" w:ascii="宋体" w:hAnsi="宋体" w:eastAsia="宋体" w:cs="宋体"/>
          <w:b/>
          <w:bCs/>
          <w:color w:val="auto"/>
          <w:kern w:val="0"/>
          <w:sz w:val="60"/>
          <w:szCs w:val="60"/>
          <w:highlight w:val="none"/>
          <w:lang w:val="zh-CN"/>
        </w:rPr>
        <w:t>－电磁水表</w:t>
      </w:r>
    </w:p>
    <w:p w14:paraId="04718E80">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2CC0E6ED">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1DA1C32D">
      <w:pPr>
        <w:autoSpaceDE w:val="0"/>
        <w:autoSpaceDN w:val="0"/>
        <w:adjustRightInd w:val="0"/>
        <w:ind w:right="-23" w:rightChars="-11"/>
        <w:jc w:val="center"/>
        <w:rPr>
          <w:rFonts w:hint="eastAsia" w:ascii="宋体" w:hAnsi="宋体" w:eastAsia="宋体" w:cs="Times New Roman"/>
          <w:b/>
          <w:bCs/>
          <w:color w:val="auto"/>
          <w:sz w:val="72"/>
          <w:szCs w:val="72"/>
          <w:highlight w:val="none"/>
          <w:lang w:val="en-US" w:eastAsia="zh-CN"/>
        </w:rPr>
      </w:pPr>
    </w:p>
    <w:p w14:paraId="097734E3">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6F7DA7CB">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3E38A9F7">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195564CA">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683586F8">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107AFF93">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w:t>
      </w:r>
      <w:r>
        <w:rPr>
          <w:rFonts w:hint="eastAsia" w:ascii="宋体" w:hAnsi="宋体" w:eastAsia="宋体" w:cs="Times New Roman"/>
          <w:b/>
          <w:bCs/>
          <w:color w:val="auto"/>
          <w:sz w:val="32"/>
          <w:szCs w:val="32"/>
          <w:highlight w:val="none"/>
          <w:lang w:val="en-US" w:eastAsia="zh-CN"/>
        </w:rPr>
        <w:t>GXTZ-ZB-2026第（39）号</w:t>
      </w:r>
    </w:p>
    <w:p w14:paraId="2864111C">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人：东莞市水务环境投资控股集团供水有限公司</w:t>
      </w:r>
    </w:p>
    <w:p w14:paraId="7280DFF7">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招标代理机构：广西同泽工程项目管理股份有限公司</w:t>
      </w:r>
    </w:p>
    <w:p w14:paraId="7FEC9D18">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39925E3D">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5DE59711">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2026</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 xml:space="preserve"> 2 </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 xml:space="preserve"> 6 </w:t>
      </w:r>
      <w:r>
        <w:rPr>
          <w:rFonts w:hint="eastAsia" w:ascii="宋体" w:hAnsi="宋体" w:eastAsia="宋体" w:cs="宋体"/>
          <w:b/>
          <w:bCs/>
          <w:color w:val="auto"/>
          <w:sz w:val="32"/>
          <w:szCs w:val="32"/>
          <w:highlight w:val="none"/>
          <w:lang w:val="zh-CN"/>
        </w:rPr>
        <w:t>日</w:t>
      </w:r>
    </w:p>
    <w:p w14:paraId="7758A656">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4A97787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color w:val="auto"/>
          <w:highlight w:val="none"/>
        </w:rPr>
      </w:pPr>
    </w:p>
    <w:sdt>
      <w:sdtPr>
        <w:rPr>
          <w:rFonts w:ascii="宋体" w:hAnsi="宋体" w:eastAsia="宋体" w:cstheme="minorBidi"/>
          <w:color w:val="auto"/>
          <w:kern w:val="2"/>
          <w:sz w:val="21"/>
          <w:szCs w:val="22"/>
          <w:highlight w:val="none"/>
          <w:lang w:val="en-US" w:eastAsia="zh-CN" w:bidi="ar-SA"/>
        </w:rPr>
        <w:id w:val="147471449"/>
        <w15:color w:val="DBDBDB"/>
        <w:docPartObj>
          <w:docPartGallery w:val="Table of Contents"/>
          <w:docPartUnique/>
        </w:docPartObj>
      </w:sdtPr>
      <w:sdtEndPr>
        <w:rPr>
          <w:rFonts w:ascii="宋体" w:hAnsi="宋体" w:eastAsia="宋体" w:cstheme="minorBidi"/>
          <w:color w:val="auto"/>
          <w:kern w:val="2"/>
          <w:sz w:val="21"/>
          <w:szCs w:val="22"/>
          <w:highlight w:val="none"/>
          <w:lang w:val="en-US" w:eastAsia="zh-CN" w:bidi="ar-SA"/>
        </w:rPr>
      </w:sdtEndPr>
      <w:sdtContent>
        <w:p w14:paraId="4E19036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b/>
              <w:bCs/>
              <w:color w:val="auto"/>
              <w:sz w:val="28"/>
              <w:szCs w:val="28"/>
              <w:highlight w:val="none"/>
            </w:rPr>
          </w:pPr>
          <w:r>
            <w:rPr>
              <w:rFonts w:ascii="宋体" w:hAnsi="宋体" w:eastAsia="宋体"/>
              <w:b/>
              <w:bCs/>
              <w:color w:val="auto"/>
              <w:sz w:val="28"/>
              <w:szCs w:val="28"/>
              <w:highlight w:val="none"/>
            </w:rPr>
            <w:t>目</w:t>
          </w:r>
          <w:r>
            <w:rPr>
              <w:rFonts w:hint="eastAsia" w:ascii="宋体" w:hAnsi="宋体" w:eastAsia="宋体"/>
              <w:b/>
              <w:bCs/>
              <w:color w:val="auto"/>
              <w:sz w:val="28"/>
              <w:szCs w:val="28"/>
              <w:highlight w:val="none"/>
              <w:lang w:val="en-US" w:eastAsia="zh-CN"/>
            </w:rPr>
            <w:t xml:space="preserve">    </w:t>
          </w:r>
          <w:r>
            <w:rPr>
              <w:rFonts w:ascii="宋体" w:hAnsi="宋体" w:eastAsia="宋体"/>
              <w:b/>
              <w:bCs/>
              <w:color w:val="auto"/>
              <w:sz w:val="28"/>
              <w:szCs w:val="28"/>
              <w:highlight w:val="none"/>
            </w:rPr>
            <w:t>录</w:t>
          </w:r>
        </w:p>
        <w:p w14:paraId="6F3C83BB">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b/>
              <w:bCs/>
              <w:color w:val="auto"/>
              <w:highlight w:val="none"/>
            </w:rPr>
            <w:fldChar w:fldCharType="begin"/>
          </w:r>
          <w:r>
            <w:rPr>
              <w:b/>
              <w:bCs/>
              <w:highlight w:val="none"/>
            </w:rPr>
            <w:instrText xml:space="preserve"> HYPERLINK \l _Toc14626 </w:instrText>
          </w:r>
          <w:r>
            <w:rPr>
              <w:b/>
              <w:bCs/>
              <w:highlight w:val="none"/>
            </w:rPr>
            <w:fldChar w:fldCharType="separate"/>
          </w:r>
          <w:r>
            <w:rPr>
              <w:rFonts w:hint="eastAsia" w:ascii="宋体" w:hAnsi="宋体" w:eastAsia="宋体" w:cs="宋体"/>
              <w:b/>
              <w:bCs/>
              <w:kern w:val="44"/>
              <w:szCs w:val="32"/>
              <w:highlight w:val="none"/>
              <w:lang w:val="en-US" w:eastAsia="zh-CN"/>
            </w:rPr>
            <w:t>第一篇 招标公告</w:t>
          </w:r>
          <w:r>
            <w:rPr>
              <w:b/>
              <w:bCs/>
              <w:highlight w:val="none"/>
            </w:rPr>
            <w:tab/>
          </w:r>
          <w:r>
            <w:rPr>
              <w:b/>
              <w:bCs/>
              <w:highlight w:val="none"/>
            </w:rPr>
            <w:fldChar w:fldCharType="begin"/>
          </w:r>
          <w:r>
            <w:rPr>
              <w:b/>
              <w:bCs/>
              <w:highlight w:val="none"/>
            </w:rPr>
            <w:instrText xml:space="preserve"> PAGEREF _Toc14626 \h </w:instrText>
          </w:r>
          <w:r>
            <w:rPr>
              <w:b/>
              <w:bCs/>
              <w:highlight w:val="none"/>
            </w:rPr>
            <w:fldChar w:fldCharType="separate"/>
          </w:r>
          <w:r>
            <w:rPr>
              <w:b/>
              <w:bCs/>
              <w:highlight w:val="none"/>
            </w:rPr>
            <w:t>4</w:t>
          </w:r>
          <w:r>
            <w:rPr>
              <w:b/>
              <w:bCs/>
              <w:highlight w:val="none"/>
            </w:rPr>
            <w:fldChar w:fldCharType="end"/>
          </w:r>
          <w:r>
            <w:rPr>
              <w:b/>
              <w:bCs/>
              <w:color w:val="auto"/>
              <w:highlight w:val="none"/>
            </w:rPr>
            <w:fldChar w:fldCharType="end"/>
          </w:r>
        </w:p>
        <w:p w14:paraId="195DAC91">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highlight w:val="none"/>
            </w:rPr>
            <w:instrText xml:space="preserve"> HYPERLINK \l _Toc11703 </w:instrText>
          </w:r>
          <w:r>
            <w:rPr>
              <w:highlight w:val="none"/>
            </w:rPr>
            <w:fldChar w:fldCharType="separate"/>
          </w:r>
          <w:r>
            <w:rPr>
              <w:rFonts w:hint="eastAsia" w:ascii="宋体" w:hAnsi="宋体" w:eastAsia="宋体" w:cs="宋体"/>
              <w:b/>
              <w:bCs w:val="0"/>
              <w:kern w:val="44"/>
              <w:szCs w:val="32"/>
              <w:highlight w:val="none"/>
              <w:lang w:val="zh-CN"/>
            </w:rPr>
            <w:t>第二篇</w:t>
          </w:r>
          <w:r>
            <w:rPr>
              <w:rFonts w:ascii="宋体" w:hAnsi="宋体" w:eastAsia="宋体" w:cs="宋体"/>
              <w:b/>
              <w:bCs w:val="0"/>
              <w:kern w:val="44"/>
              <w:szCs w:val="32"/>
              <w:highlight w:val="none"/>
            </w:rPr>
            <w:t xml:space="preserve"> </w:t>
          </w:r>
          <w:r>
            <w:rPr>
              <w:rFonts w:hint="eastAsia" w:ascii="宋体" w:hAnsi="宋体" w:eastAsia="宋体" w:cs="宋体"/>
              <w:b/>
              <w:bCs w:val="0"/>
              <w:kern w:val="44"/>
              <w:szCs w:val="32"/>
              <w:highlight w:val="none"/>
              <w:lang w:val="zh-CN"/>
            </w:rPr>
            <w:t>投标人须知</w:t>
          </w:r>
          <w:r>
            <w:rPr>
              <w:b/>
              <w:bCs/>
              <w:highlight w:val="none"/>
            </w:rPr>
            <w:tab/>
          </w:r>
          <w:r>
            <w:rPr>
              <w:b/>
              <w:bCs/>
              <w:highlight w:val="none"/>
            </w:rPr>
            <w:fldChar w:fldCharType="begin"/>
          </w:r>
          <w:r>
            <w:rPr>
              <w:b/>
              <w:bCs/>
              <w:highlight w:val="none"/>
            </w:rPr>
            <w:instrText xml:space="preserve"> PAGEREF _Toc11703 \h </w:instrText>
          </w:r>
          <w:r>
            <w:rPr>
              <w:b/>
              <w:bCs/>
              <w:highlight w:val="none"/>
            </w:rPr>
            <w:fldChar w:fldCharType="separate"/>
          </w:r>
          <w:r>
            <w:rPr>
              <w:b/>
              <w:bCs/>
              <w:highlight w:val="none"/>
            </w:rPr>
            <w:t>6</w:t>
          </w:r>
          <w:r>
            <w:rPr>
              <w:b/>
              <w:bCs/>
              <w:highlight w:val="none"/>
            </w:rPr>
            <w:fldChar w:fldCharType="end"/>
          </w:r>
          <w:r>
            <w:rPr>
              <w:color w:val="auto"/>
              <w:highlight w:val="none"/>
            </w:rPr>
            <w:fldChar w:fldCharType="end"/>
          </w:r>
        </w:p>
        <w:p w14:paraId="27D0872F">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highlight w:val="none"/>
            </w:rPr>
            <w:instrText xml:space="preserve"> HYPERLINK \l _Toc25920 </w:instrText>
          </w:r>
          <w:r>
            <w:rPr>
              <w:highlight w:val="none"/>
            </w:rPr>
            <w:fldChar w:fldCharType="separate"/>
          </w:r>
          <w:r>
            <w:rPr>
              <w:rFonts w:hint="eastAsia" w:ascii="宋体" w:hAnsi="宋体" w:eastAsia="宋体" w:cs="宋体"/>
              <w:b w:val="0"/>
              <w:bCs/>
              <w:kern w:val="44"/>
              <w:szCs w:val="21"/>
              <w:highlight w:val="none"/>
              <w:lang w:val="zh-CN"/>
            </w:rPr>
            <w:t>一、总则</w:t>
          </w:r>
          <w:r>
            <w:rPr>
              <w:highlight w:val="none"/>
            </w:rPr>
            <w:tab/>
          </w:r>
          <w:r>
            <w:rPr>
              <w:highlight w:val="none"/>
            </w:rPr>
            <w:fldChar w:fldCharType="begin"/>
          </w:r>
          <w:r>
            <w:rPr>
              <w:highlight w:val="none"/>
            </w:rPr>
            <w:instrText xml:space="preserve"> PAGEREF _Toc25920 \h </w:instrText>
          </w:r>
          <w:r>
            <w:rPr>
              <w:highlight w:val="none"/>
            </w:rPr>
            <w:fldChar w:fldCharType="separate"/>
          </w:r>
          <w:r>
            <w:rPr>
              <w:highlight w:val="none"/>
            </w:rPr>
            <w:t>6</w:t>
          </w:r>
          <w:r>
            <w:rPr>
              <w:highlight w:val="none"/>
            </w:rPr>
            <w:fldChar w:fldCharType="end"/>
          </w:r>
          <w:r>
            <w:rPr>
              <w:color w:val="auto"/>
              <w:highlight w:val="none"/>
            </w:rPr>
            <w:fldChar w:fldCharType="end"/>
          </w:r>
        </w:p>
        <w:p w14:paraId="36CAC133">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highlight w:val="none"/>
            </w:rPr>
            <w:instrText xml:space="preserve"> HYPERLINK \l _Toc15928 </w:instrText>
          </w:r>
          <w:r>
            <w:rPr>
              <w:highlight w:val="none"/>
            </w:rPr>
            <w:fldChar w:fldCharType="separate"/>
          </w:r>
          <w:r>
            <w:rPr>
              <w:rFonts w:hint="eastAsia" w:ascii="宋体" w:hAnsi="宋体" w:eastAsia="宋体" w:cs="宋体"/>
              <w:szCs w:val="21"/>
              <w:highlight w:val="none"/>
              <w:lang w:val="zh-CN"/>
            </w:rPr>
            <w:t>1</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资金来源：企业自筹资金。</w:t>
          </w:r>
          <w:r>
            <w:rPr>
              <w:highlight w:val="none"/>
            </w:rPr>
            <w:tab/>
          </w:r>
          <w:r>
            <w:rPr>
              <w:highlight w:val="none"/>
            </w:rPr>
            <w:fldChar w:fldCharType="begin"/>
          </w:r>
          <w:r>
            <w:rPr>
              <w:highlight w:val="none"/>
            </w:rPr>
            <w:instrText xml:space="preserve"> PAGEREF _Toc15928 \h </w:instrText>
          </w:r>
          <w:r>
            <w:rPr>
              <w:highlight w:val="none"/>
            </w:rPr>
            <w:fldChar w:fldCharType="separate"/>
          </w:r>
          <w:r>
            <w:rPr>
              <w:highlight w:val="none"/>
            </w:rPr>
            <w:t>6</w:t>
          </w:r>
          <w:r>
            <w:rPr>
              <w:highlight w:val="none"/>
            </w:rPr>
            <w:fldChar w:fldCharType="end"/>
          </w:r>
          <w:r>
            <w:rPr>
              <w:color w:val="auto"/>
              <w:highlight w:val="none"/>
            </w:rPr>
            <w:fldChar w:fldCharType="end"/>
          </w:r>
        </w:p>
        <w:p w14:paraId="4E6EBED6">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highlight w:val="none"/>
            </w:rPr>
            <w:instrText xml:space="preserve"> HYPERLINK \l _Toc13891 </w:instrText>
          </w:r>
          <w:r>
            <w:rPr>
              <w:highlight w:val="none"/>
            </w:rPr>
            <w:fldChar w:fldCharType="separate"/>
          </w:r>
          <w:r>
            <w:rPr>
              <w:rFonts w:hint="eastAsia" w:ascii="宋体" w:hAnsi="宋体" w:eastAsia="宋体" w:cs="宋体"/>
              <w:szCs w:val="21"/>
              <w:highlight w:val="none"/>
              <w:lang w:val="zh-CN"/>
            </w:rPr>
            <w:t>2</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合格的投标人</w:t>
          </w:r>
          <w:r>
            <w:rPr>
              <w:highlight w:val="none"/>
            </w:rPr>
            <w:tab/>
          </w:r>
          <w:r>
            <w:rPr>
              <w:highlight w:val="none"/>
            </w:rPr>
            <w:fldChar w:fldCharType="begin"/>
          </w:r>
          <w:r>
            <w:rPr>
              <w:highlight w:val="none"/>
            </w:rPr>
            <w:instrText xml:space="preserve"> PAGEREF _Toc13891 \h </w:instrText>
          </w:r>
          <w:r>
            <w:rPr>
              <w:highlight w:val="none"/>
            </w:rPr>
            <w:fldChar w:fldCharType="separate"/>
          </w:r>
          <w:r>
            <w:rPr>
              <w:highlight w:val="none"/>
            </w:rPr>
            <w:t>6</w:t>
          </w:r>
          <w:r>
            <w:rPr>
              <w:highlight w:val="none"/>
            </w:rPr>
            <w:fldChar w:fldCharType="end"/>
          </w:r>
          <w:r>
            <w:rPr>
              <w:color w:val="auto"/>
              <w:highlight w:val="none"/>
            </w:rPr>
            <w:fldChar w:fldCharType="end"/>
          </w:r>
        </w:p>
        <w:p w14:paraId="5DAB9236">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highlight w:val="none"/>
            </w:rPr>
            <w:instrText xml:space="preserve"> HYPERLINK \l _Toc61 </w:instrText>
          </w:r>
          <w:r>
            <w:rPr>
              <w:highlight w:val="none"/>
            </w:rPr>
            <w:fldChar w:fldCharType="separate"/>
          </w:r>
          <w:r>
            <w:rPr>
              <w:rFonts w:hint="eastAsia" w:ascii="宋体" w:hAnsi="宋体" w:eastAsia="宋体" w:cs="宋体"/>
              <w:szCs w:val="21"/>
              <w:highlight w:val="none"/>
              <w:lang w:val="zh-CN"/>
            </w:rPr>
            <w:t>3</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合格的货物</w:t>
          </w:r>
          <w:r>
            <w:rPr>
              <w:highlight w:val="none"/>
            </w:rPr>
            <w:tab/>
          </w:r>
          <w:r>
            <w:rPr>
              <w:highlight w:val="none"/>
            </w:rPr>
            <w:fldChar w:fldCharType="begin"/>
          </w:r>
          <w:r>
            <w:rPr>
              <w:highlight w:val="none"/>
            </w:rPr>
            <w:instrText xml:space="preserve"> PAGEREF _Toc61 \h </w:instrText>
          </w:r>
          <w:r>
            <w:rPr>
              <w:highlight w:val="none"/>
            </w:rPr>
            <w:fldChar w:fldCharType="separate"/>
          </w:r>
          <w:r>
            <w:rPr>
              <w:highlight w:val="none"/>
            </w:rPr>
            <w:t>6</w:t>
          </w:r>
          <w:r>
            <w:rPr>
              <w:highlight w:val="none"/>
            </w:rPr>
            <w:fldChar w:fldCharType="end"/>
          </w:r>
          <w:r>
            <w:rPr>
              <w:color w:val="auto"/>
              <w:highlight w:val="none"/>
            </w:rPr>
            <w:fldChar w:fldCharType="end"/>
          </w:r>
        </w:p>
        <w:p w14:paraId="743D4DDC">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highlight w:val="none"/>
            </w:rPr>
            <w:instrText xml:space="preserve"> HYPERLINK \l _Toc6961 </w:instrText>
          </w:r>
          <w:r>
            <w:rPr>
              <w:highlight w:val="none"/>
            </w:rPr>
            <w:fldChar w:fldCharType="separate"/>
          </w:r>
          <w:r>
            <w:rPr>
              <w:rFonts w:hint="eastAsia" w:ascii="宋体" w:hAnsi="宋体" w:eastAsia="宋体" w:cs="宋体"/>
              <w:szCs w:val="21"/>
              <w:highlight w:val="none"/>
              <w:lang w:val="zh-CN"/>
            </w:rPr>
            <w:t>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其</w:t>
          </w:r>
          <w:r>
            <w:rPr>
              <w:rFonts w:hint="eastAsia" w:ascii="宋体" w:hAnsi="宋体" w:eastAsia="宋体" w:cs="宋体"/>
              <w:szCs w:val="21"/>
              <w:highlight w:val="none"/>
              <w:lang w:val="en-US" w:eastAsia="zh-CN"/>
            </w:rPr>
            <w:t>它</w:t>
          </w:r>
          <w:r>
            <w:rPr>
              <w:rFonts w:hint="eastAsia" w:ascii="宋体" w:hAnsi="宋体" w:eastAsia="宋体" w:cs="宋体"/>
              <w:szCs w:val="21"/>
              <w:highlight w:val="none"/>
              <w:lang w:val="zh-CN"/>
            </w:rPr>
            <w:t>说明</w:t>
          </w:r>
          <w:r>
            <w:rPr>
              <w:highlight w:val="none"/>
            </w:rPr>
            <w:tab/>
          </w:r>
          <w:r>
            <w:rPr>
              <w:highlight w:val="none"/>
            </w:rPr>
            <w:fldChar w:fldCharType="begin"/>
          </w:r>
          <w:r>
            <w:rPr>
              <w:highlight w:val="none"/>
            </w:rPr>
            <w:instrText xml:space="preserve"> PAGEREF _Toc6961 \h </w:instrText>
          </w:r>
          <w:r>
            <w:rPr>
              <w:highlight w:val="none"/>
            </w:rPr>
            <w:fldChar w:fldCharType="separate"/>
          </w:r>
          <w:r>
            <w:rPr>
              <w:highlight w:val="none"/>
            </w:rPr>
            <w:t>7</w:t>
          </w:r>
          <w:r>
            <w:rPr>
              <w:highlight w:val="none"/>
            </w:rPr>
            <w:fldChar w:fldCharType="end"/>
          </w:r>
          <w:r>
            <w:rPr>
              <w:color w:val="auto"/>
              <w:highlight w:val="none"/>
            </w:rPr>
            <w:fldChar w:fldCharType="end"/>
          </w:r>
        </w:p>
        <w:p w14:paraId="45B9875E">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highlight w:val="none"/>
            </w:rPr>
            <w:instrText xml:space="preserve"> HYPERLINK \l _Toc29214 </w:instrText>
          </w:r>
          <w:r>
            <w:rPr>
              <w:highlight w:val="none"/>
            </w:rPr>
            <w:fldChar w:fldCharType="separate"/>
          </w:r>
          <w:r>
            <w:rPr>
              <w:rFonts w:hint="eastAsia" w:ascii="宋体" w:hAnsi="宋体" w:eastAsia="宋体" w:cs="宋体"/>
              <w:b w:val="0"/>
              <w:bCs/>
              <w:kern w:val="44"/>
              <w:szCs w:val="21"/>
              <w:highlight w:val="none"/>
              <w:lang w:val="zh-CN"/>
            </w:rPr>
            <w:t>二、招标文件</w:t>
          </w:r>
          <w:r>
            <w:rPr>
              <w:highlight w:val="none"/>
            </w:rPr>
            <w:tab/>
          </w:r>
          <w:r>
            <w:rPr>
              <w:highlight w:val="none"/>
            </w:rPr>
            <w:fldChar w:fldCharType="begin"/>
          </w:r>
          <w:r>
            <w:rPr>
              <w:highlight w:val="none"/>
            </w:rPr>
            <w:instrText xml:space="preserve"> PAGEREF _Toc29214 \h </w:instrText>
          </w:r>
          <w:r>
            <w:rPr>
              <w:highlight w:val="none"/>
            </w:rPr>
            <w:fldChar w:fldCharType="separate"/>
          </w:r>
          <w:r>
            <w:rPr>
              <w:highlight w:val="none"/>
            </w:rPr>
            <w:t>8</w:t>
          </w:r>
          <w:r>
            <w:rPr>
              <w:highlight w:val="none"/>
            </w:rPr>
            <w:fldChar w:fldCharType="end"/>
          </w:r>
          <w:r>
            <w:rPr>
              <w:color w:val="auto"/>
              <w:highlight w:val="none"/>
            </w:rPr>
            <w:fldChar w:fldCharType="end"/>
          </w:r>
        </w:p>
        <w:p w14:paraId="7A2D7AA0">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highlight w:val="none"/>
            </w:rPr>
            <w:instrText xml:space="preserve"> HYPERLINK \l _Toc32426 </w:instrText>
          </w:r>
          <w:r>
            <w:rPr>
              <w:highlight w:val="none"/>
            </w:rPr>
            <w:fldChar w:fldCharType="separate"/>
          </w:r>
          <w:r>
            <w:rPr>
              <w:rFonts w:hint="eastAsia" w:ascii="宋体" w:hAnsi="宋体" w:eastAsia="宋体" w:cs="宋体"/>
              <w:szCs w:val="21"/>
              <w:highlight w:val="none"/>
              <w:lang w:val="zh-CN"/>
            </w:rPr>
            <w:t>5</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招标文件的构成</w:t>
          </w:r>
          <w:r>
            <w:rPr>
              <w:highlight w:val="none"/>
            </w:rPr>
            <w:tab/>
          </w:r>
          <w:r>
            <w:rPr>
              <w:highlight w:val="none"/>
            </w:rPr>
            <w:fldChar w:fldCharType="begin"/>
          </w:r>
          <w:r>
            <w:rPr>
              <w:highlight w:val="none"/>
            </w:rPr>
            <w:instrText xml:space="preserve"> PAGEREF _Toc32426 \h </w:instrText>
          </w:r>
          <w:r>
            <w:rPr>
              <w:highlight w:val="none"/>
            </w:rPr>
            <w:fldChar w:fldCharType="separate"/>
          </w:r>
          <w:r>
            <w:rPr>
              <w:highlight w:val="none"/>
            </w:rPr>
            <w:t>8</w:t>
          </w:r>
          <w:r>
            <w:rPr>
              <w:highlight w:val="none"/>
            </w:rPr>
            <w:fldChar w:fldCharType="end"/>
          </w:r>
          <w:r>
            <w:rPr>
              <w:color w:val="auto"/>
              <w:highlight w:val="none"/>
            </w:rPr>
            <w:fldChar w:fldCharType="end"/>
          </w:r>
        </w:p>
        <w:p w14:paraId="32CBC6BE">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highlight w:val="none"/>
            </w:rPr>
            <w:instrText xml:space="preserve"> HYPERLINK \l _Toc19204 </w:instrText>
          </w:r>
          <w:r>
            <w:rPr>
              <w:highlight w:val="none"/>
            </w:rPr>
            <w:fldChar w:fldCharType="separate"/>
          </w:r>
          <w:r>
            <w:rPr>
              <w:rFonts w:hint="eastAsia" w:ascii="宋体" w:hAnsi="宋体" w:eastAsia="宋体" w:cs="宋体"/>
              <w:szCs w:val="21"/>
              <w:highlight w:val="none"/>
              <w:lang w:val="zh-CN"/>
            </w:rPr>
            <w:t>6</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招标文件的异议</w:t>
          </w:r>
          <w:r>
            <w:rPr>
              <w:highlight w:val="none"/>
            </w:rPr>
            <w:tab/>
          </w:r>
          <w:r>
            <w:rPr>
              <w:highlight w:val="none"/>
            </w:rPr>
            <w:fldChar w:fldCharType="begin"/>
          </w:r>
          <w:r>
            <w:rPr>
              <w:highlight w:val="none"/>
            </w:rPr>
            <w:instrText xml:space="preserve"> PAGEREF _Toc19204 \h </w:instrText>
          </w:r>
          <w:r>
            <w:rPr>
              <w:highlight w:val="none"/>
            </w:rPr>
            <w:fldChar w:fldCharType="separate"/>
          </w:r>
          <w:r>
            <w:rPr>
              <w:highlight w:val="none"/>
            </w:rPr>
            <w:t>9</w:t>
          </w:r>
          <w:r>
            <w:rPr>
              <w:highlight w:val="none"/>
            </w:rPr>
            <w:fldChar w:fldCharType="end"/>
          </w:r>
          <w:r>
            <w:rPr>
              <w:color w:val="auto"/>
              <w:highlight w:val="none"/>
            </w:rPr>
            <w:fldChar w:fldCharType="end"/>
          </w:r>
        </w:p>
        <w:p w14:paraId="263C6FD9">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highlight w:val="none"/>
            </w:rPr>
            <w:instrText xml:space="preserve"> HYPERLINK \l _Toc24108 </w:instrText>
          </w:r>
          <w:r>
            <w:rPr>
              <w:highlight w:val="none"/>
            </w:rPr>
            <w:fldChar w:fldCharType="separate"/>
          </w:r>
          <w:r>
            <w:rPr>
              <w:rFonts w:hint="eastAsia" w:ascii="宋体" w:hAnsi="宋体" w:eastAsia="宋体" w:cs="宋体"/>
              <w:szCs w:val="21"/>
              <w:highlight w:val="none"/>
              <w:lang w:val="zh-CN"/>
            </w:rPr>
            <w:t>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招标文件的澄清及修改</w:t>
          </w:r>
          <w:r>
            <w:rPr>
              <w:highlight w:val="none"/>
            </w:rPr>
            <w:tab/>
          </w:r>
          <w:r>
            <w:rPr>
              <w:highlight w:val="none"/>
            </w:rPr>
            <w:fldChar w:fldCharType="begin"/>
          </w:r>
          <w:r>
            <w:rPr>
              <w:highlight w:val="none"/>
            </w:rPr>
            <w:instrText xml:space="preserve"> PAGEREF _Toc24108 \h </w:instrText>
          </w:r>
          <w:r>
            <w:rPr>
              <w:highlight w:val="none"/>
            </w:rPr>
            <w:fldChar w:fldCharType="separate"/>
          </w:r>
          <w:r>
            <w:rPr>
              <w:highlight w:val="none"/>
            </w:rPr>
            <w:t>9</w:t>
          </w:r>
          <w:r>
            <w:rPr>
              <w:highlight w:val="none"/>
            </w:rPr>
            <w:fldChar w:fldCharType="end"/>
          </w:r>
          <w:r>
            <w:rPr>
              <w:color w:val="auto"/>
              <w:highlight w:val="none"/>
            </w:rPr>
            <w:fldChar w:fldCharType="end"/>
          </w:r>
        </w:p>
        <w:p w14:paraId="16BDE6B9">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highlight w:val="none"/>
            </w:rPr>
            <w:instrText xml:space="preserve"> HYPERLINK \l _Toc4479 </w:instrText>
          </w:r>
          <w:r>
            <w:rPr>
              <w:highlight w:val="none"/>
            </w:rPr>
            <w:fldChar w:fldCharType="separate"/>
          </w:r>
          <w:r>
            <w:rPr>
              <w:rFonts w:hint="eastAsia" w:ascii="宋体" w:hAnsi="宋体" w:eastAsia="宋体" w:cs="宋体"/>
              <w:b w:val="0"/>
              <w:bCs/>
              <w:kern w:val="44"/>
              <w:szCs w:val="21"/>
              <w:highlight w:val="none"/>
              <w:lang w:val="zh-CN"/>
            </w:rPr>
            <w:t>三、投标文件的编制</w:t>
          </w:r>
          <w:r>
            <w:rPr>
              <w:highlight w:val="none"/>
            </w:rPr>
            <w:tab/>
          </w:r>
          <w:r>
            <w:rPr>
              <w:highlight w:val="none"/>
            </w:rPr>
            <w:fldChar w:fldCharType="begin"/>
          </w:r>
          <w:r>
            <w:rPr>
              <w:highlight w:val="none"/>
            </w:rPr>
            <w:instrText xml:space="preserve"> PAGEREF _Toc4479 \h </w:instrText>
          </w:r>
          <w:r>
            <w:rPr>
              <w:highlight w:val="none"/>
            </w:rPr>
            <w:fldChar w:fldCharType="separate"/>
          </w:r>
          <w:r>
            <w:rPr>
              <w:highlight w:val="none"/>
            </w:rPr>
            <w:t>9</w:t>
          </w:r>
          <w:r>
            <w:rPr>
              <w:highlight w:val="none"/>
            </w:rPr>
            <w:fldChar w:fldCharType="end"/>
          </w:r>
          <w:r>
            <w:rPr>
              <w:color w:val="auto"/>
              <w:highlight w:val="none"/>
            </w:rPr>
            <w:fldChar w:fldCharType="end"/>
          </w:r>
        </w:p>
        <w:p w14:paraId="1C96E058">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highlight w:val="none"/>
            </w:rPr>
            <w:instrText xml:space="preserve"> HYPERLINK \l _Toc28883 </w:instrText>
          </w:r>
          <w:r>
            <w:rPr>
              <w:highlight w:val="none"/>
            </w:rPr>
            <w:fldChar w:fldCharType="separate"/>
          </w:r>
          <w:r>
            <w:rPr>
              <w:rFonts w:hint="eastAsia" w:ascii="宋体" w:hAnsi="宋体" w:eastAsia="宋体" w:cs="宋体"/>
              <w:szCs w:val="21"/>
              <w:highlight w:val="none"/>
              <w:lang w:val="zh-CN"/>
            </w:rPr>
            <w:t>8</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投标使用的文字及度量衡单位</w:t>
          </w:r>
          <w:r>
            <w:rPr>
              <w:highlight w:val="none"/>
            </w:rPr>
            <w:tab/>
          </w:r>
          <w:r>
            <w:rPr>
              <w:highlight w:val="none"/>
            </w:rPr>
            <w:fldChar w:fldCharType="begin"/>
          </w:r>
          <w:r>
            <w:rPr>
              <w:highlight w:val="none"/>
            </w:rPr>
            <w:instrText xml:space="preserve"> PAGEREF _Toc28883 \h </w:instrText>
          </w:r>
          <w:r>
            <w:rPr>
              <w:highlight w:val="none"/>
            </w:rPr>
            <w:fldChar w:fldCharType="separate"/>
          </w:r>
          <w:r>
            <w:rPr>
              <w:highlight w:val="none"/>
            </w:rPr>
            <w:t>9</w:t>
          </w:r>
          <w:r>
            <w:rPr>
              <w:highlight w:val="none"/>
            </w:rPr>
            <w:fldChar w:fldCharType="end"/>
          </w:r>
          <w:r>
            <w:rPr>
              <w:color w:val="auto"/>
              <w:highlight w:val="none"/>
            </w:rPr>
            <w:fldChar w:fldCharType="end"/>
          </w:r>
        </w:p>
        <w:p w14:paraId="659754ED">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highlight w:val="none"/>
            </w:rPr>
            <w:instrText xml:space="preserve"> HYPERLINK \l _Toc26596 </w:instrText>
          </w:r>
          <w:r>
            <w:rPr>
              <w:highlight w:val="none"/>
            </w:rPr>
            <w:fldChar w:fldCharType="separate"/>
          </w:r>
          <w:r>
            <w:rPr>
              <w:rFonts w:hint="eastAsia" w:ascii="宋体" w:hAnsi="宋体" w:eastAsia="宋体" w:cs="宋体"/>
              <w:szCs w:val="21"/>
              <w:highlight w:val="none"/>
              <w:lang w:val="zh-CN"/>
            </w:rPr>
            <w:t>9</w:t>
          </w:r>
          <w:r>
            <w:rPr>
              <w:rFonts w:ascii="宋体" w:hAnsi="宋体" w:eastAsia="宋体" w:cs="宋体"/>
              <w:szCs w:val="24"/>
              <w:highlight w:val="none"/>
              <w:lang w:val="zh-CN"/>
            </w:rPr>
            <w:t xml:space="preserve"> </w:t>
          </w:r>
          <w:r>
            <w:rPr>
              <w:rFonts w:hint="eastAsia" w:ascii="宋体" w:hAnsi="宋体" w:eastAsia="宋体" w:cs="宋体"/>
              <w:szCs w:val="21"/>
              <w:highlight w:val="none"/>
              <w:lang w:val="zh-CN"/>
            </w:rPr>
            <w:t>投标文件的组成</w:t>
          </w:r>
          <w:r>
            <w:rPr>
              <w:highlight w:val="none"/>
            </w:rPr>
            <w:tab/>
          </w:r>
          <w:r>
            <w:rPr>
              <w:highlight w:val="none"/>
            </w:rPr>
            <w:fldChar w:fldCharType="begin"/>
          </w:r>
          <w:r>
            <w:rPr>
              <w:highlight w:val="none"/>
            </w:rPr>
            <w:instrText xml:space="preserve"> PAGEREF _Toc26596 \h </w:instrText>
          </w:r>
          <w:r>
            <w:rPr>
              <w:highlight w:val="none"/>
            </w:rPr>
            <w:fldChar w:fldCharType="separate"/>
          </w:r>
          <w:r>
            <w:rPr>
              <w:highlight w:val="none"/>
            </w:rPr>
            <w:t>9</w:t>
          </w:r>
          <w:r>
            <w:rPr>
              <w:highlight w:val="none"/>
            </w:rPr>
            <w:fldChar w:fldCharType="end"/>
          </w:r>
          <w:r>
            <w:rPr>
              <w:color w:val="auto"/>
              <w:highlight w:val="none"/>
            </w:rPr>
            <w:fldChar w:fldCharType="end"/>
          </w:r>
        </w:p>
        <w:p w14:paraId="47F6B6F4">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highlight w:val="none"/>
            </w:rPr>
            <w:instrText xml:space="preserve"> HYPERLINK \l _Toc182 </w:instrText>
          </w:r>
          <w:r>
            <w:rPr>
              <w:highlight w:val="none"/>
            </w:rPr>
            <w:fldChar w:fldCharType="separate"/>
          </w:r>
          <w:r>
            <w:rPr>
              <w:rFonts w:hint="eastAsia" w:ascii="宋体" w:hAnsi="宋体" w:eastAsia="宋体" w:cs="宋体"/>
              <w:szCs w:val="21"/>
              <w:highlight w:val="none"/>
              <w:lang w:val="zh-CN"/>
            </w:rPr>
            <w:t>10</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投标函</w:t>
          </w:r>
          <w:r>
            <w:rPr>
              <w:highlight w:val="none"/>
            </w:rPr>
            <w:tab/>
          </w:r>
          <w:r>
            <w:rPr>
              <w:highlight w:val="none"/>
            </w:rPr>
            <w:fldChar w:fldCharType="begin"/>
          </w:r>
          <w:r>
            <w:rPr>
              <w:highlight w:val="none"/>
            </w:rPr>
            <w:instrText xml:space="preserve"> PAGEREF _Toc182 \h </w:instrText>
          </w:r>
          <w:r>
            <w:rPr>
              <w:highlight w:val="none"/>
            </w:rPr>
            <w:fldChar w:fldCharType="separate"/>
          </w:r>
          <w:r>
            <w:rPr>
              <w:highlight w:val="none"/>
            </w:rPr>
            <w:t>11</w:t>
          </w:r>
          <w:r>
            <w:rPr>
              <w:highlight w:val="none"/>
            </w:rPr>
            <w:fldChar w:fldCharType="end"/>
          </w:r>
          <w:r>
            <w:rPr>
              <w:color w:val="auto"/>
              <w:highlight w:val="none"/>
            </w:rPr>
            <w:fldChar w:fldCharType="end"/>
          </w:r>
        </w:p>
        <w:p w14:paraId="1D8FEF6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highlight w:val="none"/>
            </w:rPr>
            <w:instrText xml:space="preserve"> HYPERLINK \l _Toc17562 </w:instrText>
          </w:r>
          <w:r>
            <w:rPr>
              <w:highlight w:val="none"/>
            </w:rPr>
            <w:fldChar w:fldCharType="separate"/>
          </w:r>
          <w:r>
            <w:rPr>
              <w:rFonts w:hint="eastAsia" w:ascii="宋体" w:hAnsi="宋体" w:eastAsia="宋体" w:cs="宋体"/>
              <w:szCs w:val="21"/>
              <w:highlight w:val="none"/>
              <w:lang w:val="zh-CN"/>
            </w:rPr>
            <w:t>11</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投标报价</w:t>
          </w:r>
          <w:r>
            <w:rPr>
              <w:highlight w:val="none"/>
            </w:rPr>
            <w:tab/>
          </w:r>
          <w:r>
            <w:rPr>
              <w:highlight w:val="none"/>
            </w:rPr>
            <w:fldChar w:fldCharType="begin"/>
          </w:r>
          <w:r>
            <w:rPr>
              <w:highlight w:val="none"/>
            </w:rPr>
            <w:instrText xml:space="preserve"> PAGEREF _Toc17562 \h </w:instrText>
          </w:r>
          <w:r>
            <w:rPr>
              <w:highlight w:val="none"/>
            </w:rPr>
            <w:fldChar w:fldCharType="separate"/>
          </w:r>
          <w:r>
            <w:rPr>
              <w:highlight w:val="none"/>
            </w:rPr>
            <w:t>11</w:t>
          </w:r>
          <w:r>
            <w:rPr>
              <w:highlight w:val="none"/>
            </w:rPr>
            <w:fldChar w:fldCharType="end"/>
          </w:r>
          <w:r>
            <w:rPr>
              <w:color w:val="auto"/>
              <w:highlight w:val="none"/>
            </w:rPr>
            <w:fldChar w:fldCharType="end"/>
          </w:r>
        </w:p>
        <w:p w14:paraId="117AAA30">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highlight w:val="none"/>
            </w:rPr>
            <w:instrText xml:space="preserve"> HYPERLINK \l _Toc29841 </w:instrText>
          </w:r>
          <w:r>
            <w:rPr>
              <w:highlight w:val="none"/>
            </w:rPr>
            <w:fldChar w:fldCharType="separate"/>
          </w:r>
          <w:r>
            <w:rPr>
              <w:rFonts w:hint="eastAsia" w:ascii="宋体" w:hAnsi="宋体" w:eastAsia="宋体" w:cs="宋体"/>
              <w:szCs w:val="21"/>
              <w:highlight w:val="none"/>
              <w:lang w:val="zh-CN"/>
            </w:rPr>
            <w:t>12</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投标报价货币</w:t>
          </w:r>
          <w:r>
            <w:rPr>
              <w:highlight w:val="none"/>
            </w:rPr>
            <w:tab/>
          </w:r>
          <w:r>
            <w:rPr>
              <w:highlight w:val="none"/>
            </w:rPr>
            <w:fldChar w:fldCharType="begin"/>
          </w:r>
          <w:r>
            <w:rPr>
              <w:highlight w:val="none"/>
            </w:rPr>
            <w:instrText xml:space="preserve"> PAGEREF _Toc29841 \h </w:instrText>
          </w:r>
          <w:r>
            <w:rPr>
              <w:highlight w:val="none"/>
            </w:rPr>
            <w:fldChar w:fldCharType="separate"/>
          </w:r>
          <w:r>
            <w:rPr>
              <w:highlight w:val="none"/>
            </w:rPr>
            <w:t>12</w:t>
          </w:r>
          <w:r>
            <w:rPr>
              <w:highlight w:val="none"/>
            </w:rPr>
            <w:fldChar w:fldCharType="end"/>
          </w:r>
          <w:r>
            <w:rPr>
              <w:color w:val="auto"/>
              <w:highlight w:val="none"/>
            </w:rPr>
            <w:fldChar w:fldCharType="end"/>
          </w:r>
        </w:p>
        <w:p w14:paraId="6B4E053C">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highlight w:val="none"/>
            </w:rPr>
            <w:instrText xml:space="preserve"> HYPERLINK \l _Toc15797 </w:instrText>
          </w:r>
          <w:r>
            <w:rPr>
              <w:highlight w:val="none"/>
            </w:rPr>
            <w:fldChar w:fldCharType="separate"/>
          </w:r>
          <w:r>
            <w:rPr>
              <w:rFonts w:hint="eastAsia" w:ascii="宋体" w:hAnsi="宋体" w:eastAsia="宋体" w:cs="宋体"/>
              <w:szCs w:val="21"/>
              <w:highlight w:val="none"/>
              <w:lang w:val="zh-CN"/>
            </w:rPr>
            <w:t>13</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证明投标人的合格性和资格的声明文件</w:t>
          </w:r>
          <w:r>
            <w:rPr>
              <w:highlight w:val="none"/>
            </w:rPr>
            <w:tab/>
          </w:r>
          <w:r>
            <w:rPr>
              <w:highlight w:val="none"/>
            </w:rPr>
            <w:fldChar w:fldCharType="begin"/>
          </w:r>
          <w:r>
            <w:rPr>
              <w:highlight w:val="none"/>
            </w:rPr>
            <w:instrText xml:space="preserve"> PAGEREF _Toc15797 \h </w:instrText>
          </w:r>
          <w:r>
            <w:rPr>
              <w:highlight w:val="none"/>
            </w:rPr>
            <w:fldChar w:fldCharType="separate"/>
          </w:r>
          <w:r>
            <w:rPr>
              <w:highlight w:val="none"/>
            </w:rPr>
            <w:t>12</w:t>
          </w:r>
          <w:r>
            <w:rPr>
              <w:highlight w:val="none"/>
            </w:rPr>
            <w:fldChar w:fldCharType="end"/>
          </w:r>
          <w:r>
            <w:rPr>
              <w:color w:val="auto"/>
              <w:highlight w:val="none"/>
            </w:rPr>
            <w:fldChar w:fldCharType="end"/>
          </w:r>
        </w:p>
        <w:p w14:paraId="36CE75C4">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highlight w:val="none"/>
            </w:rPr>
            <w:instrText xml:space="preserve"> HYPERLINK \l _Toc13150 </w:instrText>
          </w:r>
          <w:r>
            <w:rPr>
              <w:highlight w:val="none"/>
            </w:rPr>
            <w:fldChar w:fldCharType="separate"/>
          </w:r>
          <w:r>
            <w:rPr>
              <w:rFonts w:hint="eastAsia" w:ascii="宋体" w:hAnsi="宋体" w:eastAsia="宋体" w:cs="宋体"/>
              <w:szCs w:val="21"/>
              <w:highlight w:val="none"/>
              <w:lang w:val="zh-CN"/>
            </w:rPr>
            <w:t>14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证明货物的合格性并符合招标文件规定的声明文件</w:t>
          </w:r>
          <w:r>
            <w:rPr>
              <w:highlight w:val="none"/>
            </w:rPr>
            <w:tab/>
          </w:r>
          <w:r>
            <w:rPr>
              <w:highlight w:val="none"/>
            </w:rPr>
            <w:fldChar w:fldCharType="begin"/>
          </w:r>
          <w:r>
            <w:rPr>
              <w:highlight w:val="none"/>
            </w:rPr>
            <w:instrText xml:space="preserve"> PAGEREF _Toc13150 \h </w:instrText>
          </w:r>
          <w:r>
            <w:rPr>
              <w:highlight w:val="none"/>
            </w:rPr>
            <w:fldChar w:fldCharType="separate"/>
          </w:r>
          <w:r>
            <w:rPr>
              <w:highlight w:val="none"/>
            </w:rPr>
            <w:t>13</w:t>
          </w:r>
          <w:r>
            <w:rPr>
              <w:highlight w:val="none"/>
            </w:rPr>
            <w:fldChar w:fldCharType="end"/>
          </w:r>
          <w:r>
            <w:rPr>
              <w:color w:val="auto"/>
              <w:highlight w:val="none"/>
            </w:rPr>
            <w:fldChar w:fldCharType="end"/>
          </w:r>
        </w:p>
        <w:p w14:paraId="497E0614">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highlight w:val="none"/>
            </w:rPr>
            <w:instrText xml:space="preserve"> HYPERLINK \l _Toc2710 </w:instrText>
          </w:r>
          <w:r>
            <w:rPr>
              <w:highlight w:val="none"/>
            </w:rPr>
            <w:fldChar w:fldCharType="separate"/>
          </w:r>
          <w:r>
            <w:rPr>
              <w:rFonts w:hint="eastAsia" w:ascii="宋体" w:hAnsi="宋体" w:eastAsia="宋体" w:cs="宋体"/>
              <w:szCs w:val="21"/>
              <w:highlight w:val="none"/>
              <w:lang w:val="zh-CN"/>
            </w:rPr>
            <w:t>15</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投标保证金</w:t>
          </w:r>
          <w:r>
            <w:rPr>
              <w:highlight w:val="none"/>
            </w:rPr>
            <w:tab/>
          </w:r>
          <w:r>
            <w:rPr>
              <w:highlight w:val="none"/>
            </w:rPr>
            <w:fldChar w:fldCharType="begin"/>
          </w:r>
          <w:r>
            <w:rPr>
              <w:highlight w:val="none"/>
            </w:rPr>
            <w:instrText xml:space="preserve"> PAGEREF _Toc2710 \h </w:instrText>
          </w:r>
          <w:r>
            <w:rPr>
              <w:highlight w:val="none"/>
            </w:rPr>
            <w:fldChar w:fldCharType="separate"/>
          </w:r>
          <w:r>
            <w:rPr>
              <w:highlight w:val="none"/>
            </w:rPr>
            <w:t>13</w:t>
          </w:r>
          <w:r>
            <w:rPr>
              <w:highlight w:val="none"/>
            </w:rPr>
            <w:fldChar w:fldCharType="end"/>
          </w:r>
          <w:r>
            <w:rPr>
              <w:color w:val="auto"/>
              <w:highlight w:val="none"/>
            </w:rPr>
            <w:fldChar w:fldCharType="end"/>
          </w:r>
        </w:p>
        <w:p w14:paraId="10BACADB">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highlight w:val="none"/>
            </w:rPr>
            <w:instrText xml:space="preserve"> HYPERLINK \l _Toc6659 </w:instrText>
          </w:r>
          <w:r>
            <w:rPr>
              <w:highlight w:val="none"/>
            </w:rPr>
            <w:fldChar w:fldCharType="separate"/>
          </w:r>
          <w:r>
            <w:rPr>
              <w:rFonts w:hint="eastAsia" w:ascii="宋体" w:hAnsi="宋体" w:eastAsia="宋体" w:cs="宋体"/>
              <w:szCs w:val="21"/>
              <w:highlight w:val="none"/>
              <w:lang w:val="zh-CN"/>
            </w:rPr>
            <w:t>16</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投标有效期</w:t>
          </w:r>
          <w:r>
            <w:rPr>
              <w:highlight w:val="none"/>
            </w:rPr>
            <w:tab/>
          </w:r>
          <w:r>
            <w:rPr>
              <w:highlight w:val="none"/>
            </w:rPr>
            <w:fldChar w:fldCharType="begin"/>
          </w:r>
          <w:r>
            <w:rPr>
              <w:highlight w:val="none"/>
            </w:rPr>
            <w:instrText xml:space="preserve"> PAGEREF _Toc6659 \h </w:instrText>
          </w:r>
          <w:r>
            <w:rPr>
              <w:highlight w:val="none"/>
            </w:rPr>
            <w:fldChar w:fldCharType="separate"/>
          </w:r>
          <w:r>
            <w:rPr>
              <w:highlight w:val="none"/>
            </w:rPr>
            <w:t>14</w:t>
          </w:r>
          <w:r>
            <w:rPr>
              <w:highlight w:val="none"/>
            </w:rPr>
            <w:fldChar w:fldCharType="end"/>
          </w:r>
          <w:r>
            <w:rPr>
              <w:color w:val="auto"/>
              <w:highlight w:val="none"/>
            </w:rPr>
            <w:fldChar w:fldCharType="end"/>
          </w:r>
        </w:p>
        <w:p w14:paraId="1248D624">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highlight w:val="none"/>
            </w:rPr>
            <w:instrText xml:space="preserve"> HYPERLINK \l _Toc13165 </w:instrText>
          </w:r>
          <w:r>
            <w:rPr>
              <w:highlight w:val="none"/>
            </w:rPr>
            <w:fldChar w:fldCharType="separate"/>
          </w:r>
          <w:r>
            <w:rPr>
              <w:rFonts w:hint="eastAsia" w:ascii="宋体" w:hAnsi="宋体" w:eastAsia="宋体" w:cs="宋体"/>
              <w:szCs w:val="21"/>
              <w:highlight w:val="none"/>
              <w:lang w:val="zh-CN"/>
            </w:rPr>
            <w:t>17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投标文件的式样和签署</w:t>
          </w:r>
          <w:r>
            <w:rPr>
              <w:highlight w:val="none"/>
            </w:rPr>
            <w:tab/>
          </w:r>
          <w:r>
            <w:rPr>
              <w:highlight w:val="none"/>
            </w:rPr>
            <w:fldChar w:fldCharType="begin"/>
          </w:r>
          <w:r>
            <w:rPr>
              <w:highlight w:val="none"/>
            </w:rPr>
            <w:instrText xml:space="preserve"> PAGEREF _Toc13165 \h </w:instrText>
          </w:r>
          <w:r>
            <w:rPr>
              <w:highlight w:val="none"/>
            </w:rPr>
            <w:fldChar w:fldCharType="separate"/>
          </w:r>
          <w:r>
            <w:rPr>
              <w:highlight w:val="none"/>
            </w:rPr>
            <w:t>14</w:t>
          </w:r>
          <w:r>
            <w:rPr>
              <w:highlight w:val="none"/>
            </w:rPr>
            <w:fldChar w:fldCharType="end"/>
          </w:r>
          <w:r>
            <w:rPr>
              <w:color w:val="auto"/>
              <w:highlight w:val="none"/>
            </w:rPr>
            <w:fldChar w:fldCharType="end"/>
          </w:r>
        </w:p>
        <w:p w14:paraId="189291EE">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highlight w:val="none"/>
            </w:rPr>
            <w:instrText xml:space="preserve"> HYPERLINK \l _Toc15182 </w:instrText>
          </w:r>
          <w:r>
            <w:rPr>
              <w:highlight w:val="none"/>
            </w:rPr>
            <w:fldChar w:fldCharType="separate"/>
          </w:r>
          <w:r>
            <w:rPr>
              <w:rFonts w:hint="eastAsia" w:ascii="宋体" w:hAnsi="宋体" w:eastAsia="宋体" w:cs="宋体"/>
              <w:b w:val="0"/>
              <w:bCs/>
              <w:kern w:val="44"/>
              <w:szCs w:val="21"/>
              <w:highlight w:val="none"/>
              <w:lang w:val="zh-CN"/>
            </w:rPr>
            <w:t>四、投标文件的递交</w:t>
          </w:r>
          <w:r>
            <w:rPr>
              <w:highlight w:val="none"/>
            </w:rPr>
            <w:tab/>
          </w:r>
          <w:r>
            <w:rPr>
              <w:highlight w:val="none"/>
            </w:rPr>
            <w:fldChar w:fldCharType="begin"/>
          </w:r>
          <w:r>
            <w:rPr>
              <w:highlight w:val="none"/>
            </w:rPr>
            <w:instrText xml:space="preserve"> PAGEREF _Toc15182 \h </w:instrText>
          </w:r>
          <w:r>
            <w:rPr>
              <w:highlight w:val="none"/>
            </w:rPr>
            <w:fldChar w:fldCharType="separate"/>
          </w:r>
          <w:r>
            <w:rPr>
              <w:highlight w:val="none"/>
            </w:rPr>
            <w:t>15</w:t>
          </w:r>
          <w:r>
            <w:rPr>
              <w:highlight w:val="none"/>
            </w:rPr>
            <w:fldChar w:fldCharType="end"/>
          </w:r>
          <w:r>
            <w:rPr>
              <w:color w:val="auto"/>
              <w:highlight w:val="none"/>
            </w:rPr>
            <w:fldChar w:fldCharType="end"/>
          </w:r>
        </w:p>
        <w:p w14:paraId="5171E224">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highlight w:val="none"/>
            </w:rPr>
            <w:instrText xml:space="preserve"> HYPERLINK \l _Toc26052 </w:instrText>
          </w:r>
          <w:r>
            <w:rPr>
              <w:highlight w:val="none"/>
            </w:rPr>
            <w:fldChar w:fldCharType="separate"/>
          </w:r>
          <w:r>
            <w:rPr>
              <w:rFonts w:hint="eastAsia" w:ascii="宋体" w:hAnsi="宋体" w:eastAsia="宋体" w:cs="宋体"/>
              <w:szCs w:val="21"/>
              <w:highlight w:val="none"/>
              <w:lang w:val="zh-CN"/>
            </w:rPr>
            <w:t>18</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投标文件的密封和标记</w:t>
          </w:r>
          <w:r>
            <w:rPr>
              <w:highlight w:val="none"/>
            </w:rPr>
            <w:tab/>
          </w:r>
          <w:r>
            <w:rPr>
              <w:highlight w:val="none"/>
            </w:rPr>
            <w:fldChar w:fldCharType="begin"/>
          </w:r>
          <w:r>
            <w:rPr>
              <w:highlight w:val="none"/>
            </w:rPr>
            <w:instrText xml:space="preserve"> PAGEREF _Toc26052 \h </w:instrText>
          </w:r>
          <w:r>
            <w:rPr>
              <w:highlight w:val="none"/>
            </w:rPr>
            <w:fldChar w:fldCharType="separate"/>
          </w:r>
          <w:r>
            <w:rPr>
              <w:highlight w:val="none"/>
            </w:rPr>
            <w:t>15</w:t>
          </w:r>
          <w:r>
            <w:rPr>
              <w:highlight w:val="none"/>
            </w:rPr>
            <w:fldChar w:fldCharType="end"/>
          </w:r>
          <w:r>
            <w:rPr>
              <w:color w:val="auto"/>
              <w:highlight w:val="none"/>
            </w:rPr>
            <w:fldChar w:fldCharType="end"/>
          </w:r>
        </w:p>
        <w:p w14:paraId="74268879">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highlight w:val="none"/>
            </w:rPr>
            <w:instrText xml:space="preserve"> HYPERLINK \l _Toc9412 </w:instrText>
          </w:r>
          <w:r>
            <w:rPr>
              <w:highlight w:val="none"/>
            </w:rPr>
            <w:fldChar w:fldCharType="separate"/>
          </w:r>
          <w:r>
            <w:rPr>
              <w:rFonts w:hint="eastAsia" w:ascii="宋体" w:hAnsi="宋体" w:eastAsia="宋体" w:cs="宋体"/>
              <w:szCs w:val="21"/>
              <w:highlight w:val="none"/>
              <w:lang w:val="zh-CN"/>
            </w:rPr>
            <w:t>19</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递交投标文件的截止日期</w:t>
          </w:r>
          <w:r>
            <w:rPr>
              <w:highlight w:val="none"/>
            </w:rPr>
            <w:tab/>
          </w:r>
          <w:r>
            <w:rPr>
              <w:highlight w:val="none"/>
            </w:rPr>
            <w:fldChar w:fldCharType="begin"/>
          </w:r>
          <w:r>
            <w:rPr>
              <w:highlight w:val="none"/>
            </w:rPr>
            <w:instrText xml:space="preserve"> PAGEREF _Toc9412 \h </w:instrText>
          </w:r>
          <w:r>
            <w:rPr>
              <w:highlight w:val="none"/>
            </w:rPr>
            <w:fldChar w:fldCharType="separate"/>
          </w:r>
          <w:r>
            <w:rPr>
              <w:highlight w:val="none"/>
            </w:rPr>
            <w:t>15</w:t>
          </w:r>
          <w:r>
            <w:rPr>
              <w:highlight w:val="none"/>
            </w:rPr>
            <w:fldChar w:fldCharType="end"/>
          </w:r>
          <w:r>
            <w:rPr>
              <w:color w:val="auto"/>
              <w:highlight w:val="none"/>
            </w:rPr>
            <w:fldChar w:fldCharType="end"/>
          </w:r>
        </w:p>
        <w:p w14:paraId="576ADC10">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highlight w:val="none"/>
            </w:rPr>
            <w:instrText xml:space="preserve"> HYPERLINK \l _Toc24200 </w:instrText>
          </w:r>
          <w:r>
            <w:rPr>
              <w:highlight w:val="none"/>
            </w:rPr>
            <w:fldChar w:fldCharType="separate"/>
          </w:r>
          <w:r>
            <w:rPr>
              <w:rFonts w:hint="eastAsia" w:ascii="宋体" w:hAnsi="宋体" w:eastAsia="宋体" w:cs="宋体"/>
              <w:szCs w:val="21"/>
              <w:highlight w:val="none"/>
              <w:lang w:val="zh-CN"/>
            </w:rPr>
            <w:t>20 迟交的投标文件</w:t>
          </w:r>
          <w:r>
            <w:rPr>
              <w:highlight w:val="none"/>
            </w:rPr>
            <w:tab/>
          </w:r>
          <w:r>
            <w:rPr>
              <w:highlight w:val="none"/>
            </w:rPr>
            <w:fldChar w:fldCharType="begin"/>
          </w:r>
          <w:r>
            <w:rPr>
              <w:highlight w:val="none"/>
            </w:rPr>
            <w:instrText xml:space="preserve"> PAGEREF _Toc24200 \h </w:instrText>
          </w:r>
          <w:r>
            <w:rPr>
              <w:highlight w:val="none"/>
            </w:rPr>
            <w:fldChar w:fldCharType="separate"/>
          </w:r>
          <w:r>
            <w:rPr>
              <w:highlight w:val="none"/>
            </w:rPr>
            <w:t>15</w:t>
          </w:r>
          <w:r>
            <w:rPr>
              <w:highlight w:val="none"/>
            </w:rPr>
            <w:fldChar w:fldCharType="end"/>
          </w:r>
          <w:r>
            <w:rPr>
              <w:color w:val="auto"/>
              <w:highlight w:val="none"/>
            </w:rPr>
            <w:fldChar w:fldCharType="end"/>
          </w:r>
        </w:p>
        <w:p w14:paraId="781D8EEB">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highlight w:val="none"/>
            </w:rPr>
            <w:instrText xml:space="preserve"> HYPERLINK \l _Toc30495 </w:instrText>
          </w:r>
          <w:r>
            <w:rPr>
              <w:highlight w:val="none"/>
            </w:rPr>
            <w:fldChar w:fldCharType="separate"/>
          </w:r>
          <w:r>
            <w:rPr>
              <w:rFonts w:hint="eastAsia" w:ascii="宋体" w:hAnsi="宋体" w:eastAsia="宋体" w:cs="宋体"/>
              <w:szCs w:val="21"/>
              <w:highlight w:val="none"/>
              <w:lang w:val="zh-CN"/>
            </w:rPr>
            <w:t>21</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投标文件的修改和撤回</w:t>
          </w:r>
          <w:r>
            <w:rPr>
              <w:highlight w:val="none"/>
            </w:rPr>
            <w:tab/>
          </w:r>
          <w:r>
            <w:rPr>
              <w:highlight w:val="none"/>
            </w:rPr>
            <w:fldChar w:fldCharType="begin"/>
          </w:r>
          <w:r>
            <w:rPr>
              <w:highlight w:val="none"/>
            </w:rPr>
            <w:instrText xml:space="preserve"> PAGEREF _Toc30495 \h </w:instrText>
          </w:r>
          <w:r>
            <w:rPr>
              <w:highlight w:val="none"/>
            </w:rPr>
            <w:fldChar w:fldCharType="separate"/>
          </w:r>
          <w:r>
            <w:rPr>
              <w:highlight w:val="none"/>
            </w:rPr>
            <w:t>15</w:t>
          </w:r>
          <w:r>
            <w:rPr>
              <w:highlight w:val="none"/>
            </w:rPr>
            <w:fldChar w:fldCharType="end"/>
          </w:r>
          <w:r>
            <w:rPr>
              <w:color w:val="auto"/>
              <w:highlight w:val="none"/>
            </w:rPr>
            <w:fldChar w:fldCharType="end"/>
          </w:r>
        </w:p>
        <w:p w14:paraId="7FD39C8C">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highlight w:val="none"/>
            </w:rPr>
            <w:instrText xml:space="preserve"> HYPERLINK \l _Toc7461 </w:instrText>
          </w:r>
          <w:r>
            <w:rPr>
              <w:highlight w:val="none"/>
            </w:rPr>
            <w:fldChar w:fldCharType="separate"/>
          </w:r>
          <w:r>
            <w:rPr>
              <w:rFonts w:hint="eastAsia" w:ascii="宋体" w:hAnsi="宋体" w:eastAsia="宋体" w:cs="宋体"/>
              <w:b w:val="0"/>
              <w:bCs/>
              <w:kern w:val="44"/>
              <w:szCs w:val="21"/>
              <w:highlight w:val="none"/>
              <w:lang w:val="zh-CN"/>
            </w:rPr>
            <w:t>五、开标与评标</w:t>
          </w:r>
          <w:r>
            <w:rPr>
              <w:highlight w:val="none"/>
            </w:rPr>
            <w:tab/>
          </w:r>
          <w:r>
            <w:rPr>
              <w:highlight w:val="none"/>
            </w:rPr>
            <w:fldChar w:fldCharType="begin"/>
          </w:r>
          <w:r>
            <w:rPr>
              <w:highlight w:val="none"/>
            </w:rPr>
            <w:instrText xml:space="preserve"> PAGEREF _Toc7461 \h </w:instrText>
          </w:r>
          <w:r>
            <w:rPr>
              <w:highlight w:val="none"/>
            </w:rPr>
            <w:fldChar w:fldCharType="separate"/>
          </w:r>
          <w:r>
            <w:rPr>
              <w:highlight w:val="none"/>
            </w:rPr>
            <w:t>16</w:t>
          </w:r>
          <w:r>
            <w:rPr>
              <w:highlight w:val="none"/>
            </w:rPr>
            <w:fldChar w:fldCharType="end"/>
          </w:r>
          <w:r>
            <w:rPr>
              <w:color w:val="auto"/>
              <w:highlight w:val="none"/>
            </w:rPr>
            <w:fldChar w:fldCharType="end"/>
          </w:r>
        </w:p>
        <w:p w14:paraId="3688C18E">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highlight w:val="none"/>
            </w:rPr>
            <w:instrText xml:space="preserve"> HYPERLINK \l _Toc22371 </w:instrText>
          </w:r>
          <w:r>
            <w:rPr>
              <w:highlight w:val="none"/>
            </w:rPr>
            <w:fldChar w:fldCharType="separate"/>
          </w:r>
          <w:r>
            <w:rPr>
              <w:rFonts w:hint="eastAsia" w:ascii="宋体" w:hAnsi="宋体" w:eastAsia="宋体" w:cs="宋体"/>
              <w:szCs w:val="21"/>
              <w:highlight w:val="none"/>
              <w:lang w:val="zh-CN"/>
            </w:rPr>
            <w:t>22</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开标</w:t>
          </w:r>
          <w:r>
            <w:rPr>
              <w:highlight w:val="none"/>
            </w:rPr>
            <w:tab/>
          </w:r>
          <w:r>
            <w:rPr>
              <w:highlight w:val="none"/>
            </w:rPr>
            <w:fldChar w:fldCharType="begin"/>
          </w:r>
          <w:r>
            <w:rPr>
              <w:highlight w:val="none"/>
            </w:rPr>
            <w:instrText xml:space="preserve"> PAGEREF _Toc22371 \h </w:instrText>
          </w:r>
          <w:r>
            <w:rPr>
              <w:highlight w:val="none"/>
            </w:rPr>
            <w:fldChar w:fldCharType="separate"/>
          </w:r>
          <w:r>
            <w:rPr>
              <w:highlight w:val="none"/>
            </w:rPr>
            <w:t>16</w:t>
          </w:r>
          <w:r>
            <w:rPr>
              <w:highlight w:val="none"/>
            </w:rPr>
            <w:fldChar w:fldCharType="end"/>
          </w:r>
          <w:r>
            <w:rPr>
              <w:color w:val="auto"/>
              <w:highlight w:val="none"/>
            </w:rPr>
            <w:fldChar w:fldCharType="end"/>
          </w:r>
        </w:p>
        <w:p w14:paraId="0070F984">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highlight w:val="none"/>
            </w:rPr>
            <w:instrText xml:space="preserve"> HYPERLINK \l _Toc9714 </w:instrText>
          </w:r>
          <w:r>
            <w:rPr>
              <w:highlight w:val="none"/>
            </w:rPr>
            <w:fldChar w:fldCharType="separate"/>
          </w:r>
          <w:r>
            <w:rPr>
              <w:rFonts w:hint="eastAsia" w:ascii="宋体" w:hAnsi="宋体" w:eastAsia="宋体" w:cs="宋体"/>
              <w:szCs w:val="21"/>
              <w:highlight w:val="none"/>
              <w:lang w:val="zh-CN"/>
            </w:rPr>
            <w:t>23</w:t>
          </w:r>
          <w:r>
            <w:rPr>
              <w:rFonts w:ascii="宋体" w:hAnsi="宋体" w:eastAsia="宋体" w:cs="宋体"/>
              <w:szCs w:val="21"/>
              <w:highlight w:val="none"/>
              <w:lang w:val="zh-CN"/>
            </w:rPr>
            <w:t xml:space="preserve"> </w:t>
          </w:r>
          <w:r>
            <w:rPr>
              <w:rFonts w:hint="eastAsia" w:ascii="宋体" w:hAnsi="宋体" w:eastAsia="宋体" w:cs="宋体"/>
              <w:kern w:val="0"/>
              <w:szCs w:val="24"/>
              <w:highlight w:val="none"/>
            </w:rPr>
            <w:t>评标过程的保密性</w:t>
          </w:r>
          <w:r>
            <w:rPr>
              <w:highlight w:val="none"/>
            </w:rPr>
            <w:tab/>
          </w:r>
          <w:r>
            <w:rPr>
              <w:highlight w:val="none"/>
            </w:rPr>
            <w:fldChar w:fldCharType="begin"/>
          </w:r>
          <w:r>
            <w:rPr>
              <w:highlight w:val="none"/>
            </w:rPr>
            <w:instrText xml:space="preserve"> PAGEREF _Toc9714 \h </w:instrText>
          </w:r>
          <w:r>
            <w:rPr>
              <w:highlight w:val="none"/>
            </w:rPr>
            <w:fldChar w:fldCharType="separate"/>
          </w:r>
          <w:r>
            <w:rPr>
              <w:highlight w:val="none"/>
            </w:rPr>
            <w:t>16</w:t>
          </w:r>
          <w:r>
            <w:rPr>
              <w:highlight w:val="none"/>
            </w:rPr>
            <w:fldChar w:fldCharType="end"/>
          </w:r>
          <w:r>
            <w:rPr>
              <w:color w:val="auto"/>
              <w:highlight w:val="none"/>
            </w:rPr>
            <w:fldChar w:fldCharType="end"/>
          </w:r>
        </w:p>
        <w:p w14:paraId="4E004E54">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highlight w:val="none"/>
            </w:rPr>
            <w:instrText xml:space="preserve"> HYPERLINK \l _Toc14124 </w:instrText>
          </w:r>
          <w:r>
            <w:rPr>
              <w:highlight w:val="none"/>
            </w:rPr>
            <w:fldChar w:fldCharType="separate"/>
          </w:r>
          <w:r>
            <w:rPr>
              <w:rFonts w:hint="eastAsia" w:ascii="宋体" w:hAnsi="宋体" w:eastAsia="宋体" w:cs="宋体"/>
              <w:szCs w:val="21"/>
              <w:highlight w:val="none"/>
              <w:lang w:val="zh-CN"/>
            </w:rPr>
            <w:t>24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评标委员会</w:t>
          </w:r>
          <w:r>
            <w:rPr>
              <w:highlight w:val="none"/>
            </w:rPr>
            <w:tab/>
          </w:r>
          <w:r>
            <w:rPr>
              <w:highlight w:val="none"/>
            </w:rPr>
            <w:fldChar w:fldCharType="begin"/>
          </w:r>
          <w:r>
            <w:rPr>
              <w:highlight w:val="none"/>
            </w:rPr>
            <w:instrText xml:space="preserve"> PAGEREF _Toc14124 \h </w:instrText>
          </w:r>
          <w:r>
            <w:rPr>
              <w:highlight w:val="none"/>
            </w:rPr>
            <w:fldChar w:fldCharType="separate"/>
          </w:r>
          <w:r>
            <w:rPr>
              <w:highlight w:val="none"/>
            </w:rPr>
            <w:t>16</w:t>
          </w:r>
          <w:r>
            <w:rPr>
              <w:highlight w:val="none"/>
            </w:rPr>
            <w:fldChar w:fldCharType="end"/>
          </w:r>
          <w:r>
            <w:rPr>
              <w:color w:val="auto"/>
              <w:highlight w:val="none"/>
            </w:rPr>
            <w:fldChar w:fldCharType="end"/>
          </w:r>
        </w:p>
        <w:p w14:paraId="5AFFA54C">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highlight w:val="none"/>
            </w:rPr>
            <w:instrText xml:space="preserve"> HYPERLINK \l _Toc4883 </w:instrText>
          </w:r>
          <w:r>
            <w:rPr>
              <w:highlight w:val="none"/>
            </w:rPr>
            <w:fldChar w:fldCharType="separate"/>
          </w:r>
          <w:r>
            <w:rPr>
              <w:rFonts w:hint="eastAsia" w:ascii="宋体" w:hAnsi="宋体" w:eastAsia="宋体" w:cs="宋体"/>
              <w:szCs w:val="21"/>
              <w:highlight w:val="none"/>
              <w:lang w:val="zh-CN"/>
            </w:rPr>
            <w:t>25</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投标文件的初审</w:t>
          </w:r>
          <w:r>
            <w:rPr>
              <w:highlight w:val="none"/>
            </w:rPr>
            <w:tab/>
          </w:r>
          <w:r>
            <w:rPr>
              <w:highlight w:val="none"/>
            </w:rPr>
            <w:fldChar w:fldCharType="begin"/>
          </w:r>
          <w:r>
            <w:rPr>
              <w:highlight w:val="none"/>
            </w:rPr>
            <w:instrText xml:space="preserve"> PAGEREF _Toc4883 \h </w:instrText>
          </w:r>
          <w:r>
            <w:rPr>
              <w:highlight w:val="none"/>
            </w:rPr>
            <w:fldChar w:fldCharType="separate"/>
          </w:r>
          <w:r>
            <w:rPr>
              <w:highlight w:val="none"/>
            </w:rPr>
            <w:t>16</w:t>
          </w:r>
          <w:r>
            <w:rPr>
              <w:highlight w:val="none"/>
            </w:rPr>
            <w:fldChar w:fldCharType="end"/>
          </w:r>
          <w:r>
            <w:rPr>
              <w:color w:val="auto"/>
              <w:highlight w:val="none"/>
            </w:rPr>
            <w:fldChar w:fldCharType="end"/>
          </w:r>
        </w:p>
        <w:p w14:paraId="1F41FD61">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highlight w:val="none"/>
            </w:rPr>
            <w:instrText xml:space="preserve"> HYPERLINK \l _Toc10382 </w:instrText>
          </w:r>
          <w:r>
            <w:rPr>
              <w:highlight w:val="none"/>
            </w:rPr>
            <w:fldChar w:fldCharType="separate"/>
          </w:r>
          <w:r>
            <w:rPr>
              <w:rFonts w:hint="eastAsia" w:ascii="宋体" w:hAnsi="宋体" w:eastAsia="宋体" w:cs="宋体"/>
              <w:szCs w:val="21"/>
              <w:highlight w:val="none"/>
              <w:lang w:val="zh-CN"/>
            </w:rPr>
            <w:t>26</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投标文件的澄清</w:t>
          </w:r>
          <w:r>
            <w:rPr>
              <w:highlight w:val="none"/>
            </w:rPr>
            <w:tab/>
          </w:r>
          <w:r>
            <w:rPr>
              <w:highlight w:val="none"/>
            </w:rPr>
            <w:fldChar w:fldCharType="begin"/>
          </w:r>
          <w:r>
            <w:rPr>
              <w:highlight w:val="none"/>
            </w:rPr>
            <w:instrText xml:space="preserve"> PAGEREF _Toc10382 \h </w:instrText>
          </w:r>
          <w:r>
            <w:rPr>
              <w:highlight w:val="none"/>
            </w:rPr>
            <w:fldChar w:fldCharType="separate"/>
          </w:r>
          <w:r>
            <w:rPr>
              <w:highlight w:val="none"/>
            </w:rPr>
            <w:t>16</w:t>
          </w:r>
          <w:r>
            <w:rPr>
              <w:highlight w:val="none"/>
            </w:rPr>
            <w:fldChar w:fldCharType="end"/>
          </w:r>
          <w:r>
            <w:rPr>
              <w:color w:val="auto"/>
              <w:highlight w:val="none"/>
            </w:rPr>
            <w:fldChar w:fldCharType="end"/>
          </w:r>
        </w:p>
        <w:p w14:paraId="61BC7A7F">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highlight w:val="none"/>
            </w:rPr>
            <w:instrText xml:space="preserve"> HYPERLINK \l _Toc9404 </w:instrText>
          </w:r>
          <w:r>
            <w:rPr>
              <w:highlight w:val="none"/>
            </w:rPr>
            <w:fldChar w:fldCharType="separate"/>
          </w:r>
          <w:r>
            <w:rPr>
              <w:rFonts w:hint="eastAsia" w:ascii="宋体" w:hAnsi="宋体" w:eastAsia="宋体" w:cs="宋体"/>
              <w:szCs w:val="21"/>
              <w:highlight w:val="none"/>
              <w:lang w:val="zh-CN"/>
            </w:rPr>
            <w:t>27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对投标文件的比较和评价</w:t>
          </w:r>
          <w:r>
            <w:rPr>
              <w:highlight w:val="none"/>
            </w:rPr>
            <w:tab/>
          </w:r>
          <w:r>
            <w:rPr>
              <w:highlight w:val="none"/>
            </w:rPr>
            <w:fldChar w:fldCharType="begin"/>
          </w:r>
          <w:r>
            <w:rPr>
              <w:highlight w:val="none"/>
            </w:rPr>
            <w:instrText xml:space="preserve"> PAGEREF _Toc9404 \h </w:instrText>
          </w:r>
          <w:r>
            <w:rPr>
              <w:highlight w:val="none"/>
            </w:rPr>
            <w:fldChar w:fldCharType="separate"/>
          </w:r>
          <w:r>
            <w:rPr>
              <w:highlight w:val="none"/>
            </w:rPr>
            <w:t>17</w:t>
          </w:r>
          <w:r>
            <w:rPr>
              <w:highlight w:val="none"/>
            </w:rPr>
            <w:fldChar w:fldCharType="end"/>
          </w:r>
          <w:r>
            <w:rPr>
              <w:color w:val="auto"/>
              <w:highlight w:val="none"/>
            </w:rPr>
            <w:fldChar w:fldCharType="end"/>
          </w:r>
        </w:p>
        <w:p w14:paraId="5A5A0A39">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highlight w:val="none"/>
            </w:rPr>
            <w:instrText xml:space="preserve"> HYPERLINK \l _Toc4548 </w:instrText>
          </w:r>
          <w:r>
            <w:rPr>
              <w:highlight w:val="none"/>
            </w:rPr>
            <w:fldChar w:fldCharType="separate"/>
          </w:r>
          <w:r>
            <w:rPr>
              <w:rFonts w:hint="eastAsia" w:ascii="宋体" w:hAnsi="宋体" w:eastAsia="宋体" w:cs="宋体"/>
              <w:szCs w:val="21"/>
              <w:highlight w:val="none"/>
              <w:lang w:val="zh-CN"/>
            </w:rPr>
            <w:t>28</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评标原则及方法</w:t>
          </w:r>
          <w:r>
            <w:rPr>
              <w:highlight w:val="none"/>
            </w:rPr>
            <w:tab/>
          </w:r>
          <w:r>
            <w:rPr>
              <w:highlight w:val="none"/>
            </w:rPr>
            <w:fldChar w:fldCharType="begin"/>
          </w:r>
          <w:r>
            <w:rPr>
              <w:highlight w:val="none"/>
            </w:rPr>
            <w:instrText xml:space="preserve"> PAGEREF _Toc4548 \h </w:instrText>
          </w:r>
          <w:r>
            <w:rPr>
              <w:highlight w:val="none"/>
            </w:rPr>
            <w:fldChar w:fldCharType="separate"/>
          </w:r>
          <w:r>
            <w:rPr>
              <w:highlight w:val="none"/>
            </w:rPr>
            <w:t>17</w:t>
          </w:r>
          <w:r>
            <w:rPr>
              <w:highlight w:val="none"/>
            </w:rPr>
            <w:fldChar w:fldCharType="end"/>
          </w:r>
          <w:r>
            <w:rPr>
              <w:color w:val="auto"/>
              <w:highlight w:val="none"/>
            </w:rPr>
            <w:fldChar w:fldCharType="end"/>
          </w:r>
        </w:p>
        <w:p w14:paraId="2E43BCE1">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highlight w:val="none"/>
            </w:rPr>
            <w:instrText xml:space="preserve"> HYPERLINK \l _Toc8099 </w:instrText>
          </w:r>
          <w:r>
            <w:rPr>
              <w:highlight w:val="none"/>
            </w:rPr>
            <w:fldChar w:fldCharType="separate"/>
          </w:r>
          <w:r>
            <w:rPr>
              <w:rFonts w:hint="eastAsia" w:ascii="宋体" w:hAnsi="宋体" w:eastAsia="宋体" w:cs="宋体"/>
              <w:szCs w:val="21"/>
              <w:highlight w:val="none"/>
              <w:lang w:val="zh-CN"/>
            </w:rPr>
            <w:t>2</w:t>
          </w:r>
          <w:r>
            <w:rPr>
              <w:rFonts w:hint="eastAsia" w:ascii="宋体" w:hAnsi="宋体" w:eastAsia="宋体" w:cs="宋体"/>
              <w:szCs w:val="21"/>
              <w:highlight w:val="none"/>
            </w:rPr>
            <w:t xml:space="preserve">9 </w:t>
          </w:r>
          <w:r>
            <w:rPr>
              <w:rFonts w:hint="eastAsia" w:ascii="宋体" w:hAnsi="宋体" w:eastAsia="宋体" w:cs="宋体"/>
              <w:szCs w:val="21"/>
              <w:highlight w:val="none"/>
              <w:lang w:val="zh-CN"/>
            </w:rPr>
            <w:t>评标结果公</w:t>
          </w:r>
          <w:r>
            <w:rPr>
              <w:rFonts w:hint="eastAsia" w:ascii="宋体" w:hAnsi="宋体" w:eastAsia="宋体" w:cs="Times New Roman"/>
              <w:szCs w:val="21"/>
              <w:highlight w:val="none"/>
              <w:lang w:val="zh-CN"/>
            </w:rPr>
            <w:t>示</w:t>
          </w:r>
          <w:r>
            <w:rPr>
              <w:rFonts w:hint="eastAsia" w:ascii="宋体" w:hAnsi="宋体" w:eastAsia="宋体" w:cs="宋体"/>
              <w:szCs w:val="21"/>
              <w:highlight w:val="none"/>
              <w:lang w:val="zh-CN"/>
            </w:rPr>
            <w:t>及异议、投诉</w:t>
          </w:r>
          <w:r>
            <w:rPr>
              <w:highlight w:val="none"/>
            </w:rPr>
            <w:tab/>
          </w:r>
          <w:r>
            <w:rPr>
              <w:highlight w:val="none"/>
            </w:rPr>
            <w:fldChar w:fldCharType="begin"/>
          </w:r>
          <w:r>
            <w:rPr>
              <w:highlight w:val="none"/>
            </w:rPr>
            <w:instrText xml:space="preserve"> PAGEREF _Toc8099 \h </w:instrText>
          </w:r>
          <w:r>
            <w:rPr>
              <w:highlight w:val="none"/>
            </w:rPr>
            <w:fldChar w:fldCharType="separate"/>
          </w:r>
          <w:r>
            <w:rPr>
              <w:highlight w:val="none"/>
            </w:rPr>
            <w:t>17</w:t>
          </w:r>
          <w:r>
            <w:rPr>
              <w:highlight w:val="none"/>
            </w:rPr>
            <w:fldChar w:fldCharType="end"/>
          </w:r>
          <w:r>
            <w:rPr>
              <w:color w:val="auto"/>
              <w:highlight w:val="none"/>
            </w:rPr>
            <w:fldChar w:fldCharType="end"/>
          </w:r>
        </w:p>
        <w:p w14:paraId="37E89211">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highlight w:val="none"/>
            </w:rPr>
            <w:instrText xml:space="preserve"> HYPERLINK \l _Toc18960 </w:instrText>
          </w:r>
          <w:r>
            <w:rPr>
              <w:highlight w:val="none"/>
            </w:rPr>
            <w:fldChar w:fldCharType="separate"/>
          </w:r>
          <w:r>
            <w:rPr>
              <w:rFonts w:hint="eastAsia" w:ascii="宋体" w:hAnsi="宋体" w:eastAsia="宋体" w:cs="宋体"/>
              <w:szCs w:val="21"/>
              <w:highlight w:val="none"/>
            </w:rPr>
            <w:t>30</w:t>
          </w:r>
          <w:r>
            <w:rPr>
              <w:rFonts w:hint="eastAsia" w:ascii="宋体" w:hAnsi="宋体" w:eastAsia="宋体" w:cs="宋体"/>
              <w:szCs w:val="21"/>
              <w:highlight w:val="none"/>
              <w:lang w:val="zh-CN"/>
            </w:rPr>
            <w:t xml:space="preserve"> 真实性审查</w:t>
          </w:r>
          <w:r>
            <w:rPr>
              <w:highlight w:val="none"/>
            </w:rPr>
            <w:tab/>
          </w:r>
          <w:r>
            <w:rPr>
              <w:highlight w:val="none"/>
            </w:rPr>
            <w:fldChar w:fldCharType="begin"/>
          </w:r>
          <w:r>
            <w:rPr>
              <w:highlight w:val="none"/>
            </w:rPr>
            <w:instrText xml:space="preserve"> PAGEREF _Toc18960 \h </w:instrText>
          </w:r>
          <w:r>
            <w:rPr>
              <w:highlight w:val="none"/>
            </w:rPr>
            <w:fldChar w:fldCharType="separate"/>
          </w:r>
          <w:r>
            <w:rPr>
              <w:highlight w:val="none"/>
            </w:rPr>
            <w:t>18</w:t>
          </w:r>
          <w:r>
            <w:rPr>
              <w:highlight w:val="none"/>
            </w:rPr>
            <w:fldChar w:fldCharType="end"/>
          </w:r>
          <w:r>
            <w:rPr>
              <w:color w:val="auto"/>
              <w:highlight w:val="none"/>
            </w:rPr>
            <w:fldChar w:fldCharType="end"/>
          </w:r>
        </w:p>
        <w:p w14:paraId="6F989F21">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highlight w:val="none"/>
            </w:rPr>
            <w:instrText xml:space="preserve"> HYPERLINK \l _Toc5601 </w:instrText>
          </w:r>
          <w:r>
            <w:rPr>
              <w:highlight w:val="none"/>
            </w:rPr>
            <w:fldChar w:fldCharType="separate"/>
          </w:r>
          <w:r>
            <w:rPr>
              <w:rFonts w:hint="eastAsia" w:ascii="宋体" w:hAnsi="宋体" w:eastAsia="宋体" w:cs="宋体"/>
              <w:szCs w:val="21"/>
              <w:highlight w:val="none"/>
            </w:rPr>
            <w:t>31</w:t>
          </w:r>
          <w:r>
            <w:rPr>
              <w:rFonts w:hint="eastAsia" w:ascii="宋体" w:hAnsi="宋体" w:eastAsia="宋体" w:cs="宋体"/>
              <w:szCs w:val="21"/>
              <w:highlight w:val="none"/>
              <w:lang w:val="zh-CN"/>
            </w:rPr>
            <w:t xml:space="preserve"> 评标委员会和招标人接受或拒绝任何投标或所有投标的权利</w:t>
          </w:r>
          <w:r>
            <w:rPr>
              <w:highlight w:val="none"/>
            </w:rPr>
            <w:tab/>
          </w:r>
          <w:r>
            <w:rPr>
              <w:highlight w:val="none"/>
            </w:rPr>
            <w:fldChar w:fldCharType="begin"/>
          </w:r>
          <w:r>
            <w:rPr>
              <w:highlight w:val="none"/>
            </w:rPr>
            <w:instrText xml:space="preserve"> PAGEREF _Toc5601 \h </w:instrText>
          </w:r>
          <w:r>
            <w:rPr>
              <w:highlight w:val="none"/>
            </w:rPr>
            <w:fldChar w:fldCharType="separate"/>
          </w:r>
          <w:r>
            <w:rPr>
              <w:highlight w:val="none"/>
            </w:rPr>
            <w:t>19</w:t>
          </w:r>
          <w:r>
            <w:rPr>
              <w:highlight w:val="none"/>
            </w:rPr>
            <w:fldChar w:fldCharType="end"/>
          </w:r>
          <w:r>
            <w:rPr>
              <w:color w:val="auto"/>
              <w:highlight w:val="none"/>
            </w:rPr>
            <w:fldChar w:fldCharType="end"/>
          </w:r>
        </w:p>
        <w:p w14:paraId="3CBC2DB0">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highlight w:val="none"/>
            </w:rPr>
            <w:instrText xml:space="preserve"> HYPERLINK \l _Toc15253 </w:instrText>
          </w:r>
          <w:r>
            <w:rPr>
              <w:highlight w:val="none"/>
            </w:rPr>
            <w:fldChar w:fldCharType="separate"/>
          </w:r>
          <w:r>
            <w:rPr>
              <w:rFonts w:hint="eastAsia" w:ascii="宋体" w:hAnsi="宋体" w:eastAsia="宋体" w:cs="宋体"/>
              <w:b w:val="0"/>
              <w:bCs/>
              <w:kern w:val="44"/>
              <w:szCs w:val="21"/>
              <w:highlight w:val="none"/>
              <w:lang w:val="zh-CN"/>
            </w:rPr>
            <w:t>六、授予合同</w:t>
          </w:r>
          <w:r>
            <w:rPr>
              <w:highlight w:val="none"/>
            </w:rPr>
            <w:tab/>
          </w:r>
          <w:r>
            <w:rPr>
              <w:highlight w:val="none"/>
            </w:rPr>
            <w:fldChar w:fldCharType="begin"/>
          </w:r>
          <w:r>
            <w:rPr>
              <w:highlight w:val="none"/>
            </w:rPr>
            <w:instrText xml:space="preserve"> PAGEREF _Toc15253 \h </w:instrText>
          </w:r>
          <w:r>
            <w:rPr>
              <w:highlight w:val="none"/>
            </w:rPr>
            <w:fldChar w:fldCharType="separate"/>
          </w:r>
          <w:r>
            <w:rPr>
              <w:highlight w:val="none"/>
            </w:rPr>
            <w:t>19</w:t>
          </w:r>
          <w:r>
            <w:rPr>
              <w:highlight w:val="none"/>
            </w:rPr>
            <w:fldChar w:fldCharType="end"/>
          </w:r>
          <w:r>
            <w:rPr>
              <w:color w:val="auto"/>
              <w:highlight w:val="none"/>
            </w:rPr>
            <w:fldChar w:fldCharType="end"/>
          </w:r>
        </w:p>
        <w:p w14:paraId="4B2F1A91">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highlight w:val="none"/>
            </w:rPr>
            <w:instrText xml:space="preserve"> HYPERLINK \l _Toc12208 </w:instrText>
          </w:r>
          <w:r>
            <w:rPr>
              <w:highlight w:val="none"/>
            </w:rPr>
            <w:fldChar w:fldCharType="separate"/>
          </w:r>
          <w:r>
            <w:rPr>
              <w:rFonts w:hint="eastAsia" w:ascii="宋体" w:hAnsi="宋体" w:eastAsia="宋体" w:cs="宋体"/>
              <w:szCs w:val="21"/>
              <w:highlight w:val="none"/>
            </w:rPr>
            <w:t>32</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授予合同的准则</w:t>
          </w:r>
          <w:r>
            <w:rPr>
              <w:highlight w:val="none"/>
            </w:rPr>
            <w:tab/>
          </w:r>
          <w:r>
            <w:rPr>
              <w:highlight w:val="none"/>
            </w:rPr>
            <w:fldChar w:fldCharType="begin"/>
          </w:r>
          <w:r>
            <w:rPr>
              <w:highlight w:val="none"/>
            </w:rPr>
            <w:instrText xml:space="preserve"> PAGEREF _Toc12208 \h </w:instrText>
          </w:r>
          <w:r>
            <w:rPr>
              <w:highlight w:val="none"/>
            </w:rPr>
            <w:fldChar w:fldCharType="separate"/>
          </w:r>
          <w:r>
            <w:rPr>
              <w:highlight w:val="none"/>
            </w:rPr>
            <w:t>19</w:t>
          </w:r>
          <w:r>
            <w:rPr>
              <w:highlight w:val="none"/>
            </w:rPr>
            <w:fldChar w:fldCharType="end"/>
          </w:r>
          <w:r>
            <w:rPr>
              <w:color w:val="auto"/>
              <w:highlight w:val="none"/>
            </w:rPr>
            <w:fldChar w:fldCharType="end"/>
          </w:r>
        </w:p>
        <w:p w14:paraId="42CE0CCF">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highlight w:val="none"/>
            </w:rPr>
            <w:instrText xml:space="preserve"> HYPERLINK \l _Toc25004 </w:instrText>
          </w:r>
          <w:r>
            <w:rPr>
              <w:highlight w:val="none"/>
            </w:rPr>
            <w:fldChar w:fldCharType="separate"/>
          </w:r>
          <w:r>
            <w:rPr>
              <w:rFonts w:hint="eastAsia" w:ascii="宋体" w:hAnsi="宋体" w:eastAsia="宋体" w:cs="宋体"/>
              <w:szCs w:val="21"/>
              <w:highlight w:val="none"/>
              <w:lang w:val="zh-CN"/>
            </w:rPr>
            <w:t>33</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中标通知</w:t>
          </w:r>
          <w:r>
            <w:rPr>
              <w:highlight w:val="none"/>
            </w:rPr>
            <w:tab/>
          </w:r>
          <w:r>
            <w:rPr>
              <w:highlight w:val="none"/>
            </w:rPr>
            <w:fldChar w:fldCharType="begin"/>
          </w:r>
          <w:r>
            <w:rPr>
              <w:highlight w:val="none"/>
            </w:rPr>
            <w:instrText xml:space="preserve"> PAGEREF _Toc25004 \h </w:instrText>
          </w:r>
          <w:r>
            <w:rPr>
              <w:highlight w:val="none"/>
            </w:rPr>
            <w:fldChar w:fldCharType="separate"/>
          </w:r>
          <w:r>
            <w:rPr>
              <w:highlight w:val="none"/>
            </w:rPr>
            <w:t>19</w:t>
          </w:r>
          <w:r>
            <w:rPr>
              <w:highlight w:val="none"/>
            </w:rPr>
            <w:fldChar w:fldCharType="end"/>
          </w:r>
          <w:r>
            <w:rPr>
              <w:color w:val="auto"/>
              <w:highlight w:val="none"/>
            </w:rPr>
            <w:fldChar w:fldCharType="end"/>
          </w:r>
        </w:p>
        <w:p w14:paraId="63A14E30">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highlight w:val="none"/>
            </w:rPr>
            <w:instrText xml:space="preserve"> HYPERLINK \l _Toc9989 </w:instrText>
          </w:r>
          <w:r>
            <w:rPr>
              <w:highlight w:val="none"/>
            </w:rPr>
            <w:fldChar w:fldCharType="separate"/>
          </w:r>
          <w:r>
            <w:rPr>
              <w:rFonts w:hint="eastAsia" w:ascii="宋体" w:hAnsi="宋体" w:eastAsia="宋体" w:cs="宋体"/>
              <w:i w:val="0"/>
              <w:iCs w:val="0"/>
              <w:szCs w:val="21"/>
              <w:highlight w:val="none"/>
            </w:rPr>
            <w:t>34</w:t>
          </w:r>
          <w:r>
            <w:rPr>
              <w:rFonts w:ascii="宋体" w:hAnsi="宋体" w:eastAsia="宋体" w:cs="宋体"/>
              <w:i w:val="0"/>
              <w:iCs w:val="0"/>
              <w:szCs w:val="21"/>
              <w:highlight w:val="none"/>
              <w:lang w:val="zh-CN"/>
            </w:rPr>
            <w:t xml:space="preserve"> </w:t>
          </w:r>
          <w:r>
            <w:rPr>
              <w:rFonts w:hint="eastAsia" w:ascii="宋体" w:hAnsi="宋体" w:eastAsia="宋体" w:cs="宋体"/>
              <w:i w:val="0"/>
              <w:iCs w:val="0"/>
              <w:szCs w:val="21"/>
              <w:highlight w:val="none"/>
              <w:lang w:val="zh-CN"/>
            </w:rPr>
            <w:t>签署合同</w:t>
          </w:r>
          <w:r>
            <w:rPr>
              <w:highlight w:val="none"/>
            </w:rPr>
            <w:tab/>
          </w:r>
          <w:r>
            <w:rPr>
              <w:highlight w:val="none"/>
            </w:rPr>
            <w:fldChar w:fldCharType="begin"/>
          </w:r>
          <w:r>
            <w:rPr>
              <w:highlight w:val="none"/>
            </w:rPr>
            <w:instrText xml:space="preserve"> PAGEREF _Toc9989 \h </w:instrText>
          </w:r>
          <w:r>
            <w:rPr>
              <w:highlight w:val="none"/>
            </w:rPr>
            <w:fldChar w:fldCharType="separate"/>
          </w:r>
          <w:r>
            <w:rPr>
              <w:highlight w:val="none"/>
            </w:rPr>
            <w:t>19</w:t>
          </w:r>
          <w:r>
            <w:rPr>
              <w:highlight w:val="none"/>
            </w:rPr>
            <w:fldChar w:fldCharType="end"/>
          </w:r>
          <w:r>
            <w:rPr>
              <w:color w:val="auto"/>
              <w:highlight w:val="none"/>
            </w:rPr>
            <w:fldChar w:fldCharType="end"/>
          </w:r>
        </w:p>
        <w:p w14:paraId="3112187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highlight w:val="none"/>
            </w:rPr>
            <w:instrText xml:space="preserve"> HYPERLINK \l _Toc29315 </w:instrText>
          </w:r>
          <w:r>
            <w:rPr>
              <w:highlight w:val="none"/>
            </w:rPr>
            <w:fldChar w:fldCharType="separate"/>
          </w:r>
          <w:r>
            <w:rPr>
              <w:rFonts w:hint="eastAsia" w:ascii="宋体" w:hAnsi="宋体" w:eastAsia="宋体" w:cs="宋体"/>
              <w:i w:val="0"/>
              <w:iCs w:val="0"/>
              <w:szCs w:val="21"/>
              <w:highlight w:val="none"/>
            </w:rPr>
            <w:t>35</w:t>
          </w:r>
          <w:r>
            <w:rPr>
              <w:rFonts w:ascii="宋体" w:hAnsi="宋体" w:eastAsia="宋体" w:cs="宋体"/>
              <w:i w:val="0"/>
              <w:iCs w:val="0"/>
              <w:szCs w:val="21"/>
              <w:highlight w:val="none"/>
            </w:rPr>
            <w:t xml:space="preserve"> </w:t>
          </w:r>
          <w:r>
            <w:rPr>
              <w:rFonts w:hint="eastAsia" w:ascii="宋体" w:hAnsi="宋体" w:eastAsia="宋体" w:cs="宋体"/>
              <w:i w:val="0"/>
              <w:iCs w:val="0"/>
              <w:szCs w:val="21"/>
              <w:highlight w:val="none"/>
              <w:lang w:val="zh-CN"/>
            </w:rPr>
            <w:t>履约担保</w:t>
          </w:r>
          <w:r>
            <w:rPr>
              <w:highlight w:val="none"/>
            </w:rPr>
            <w:tab/>
          </w:r>
          <w:r>
            <w:rPr>
              <w:highlight w:val="none"/>
            </w:rPr>
            <w:fldChar w:fldCharType="begin"/>
          </w:r>
          <w:r>
            <w:rPr>
              <w:highlight w:val="none"/>
            </w:rPr>
            <w:instrText xml:space="preserve"> PAGEREF _Toc29315 \h </w:instrText>
          </w:r>
          <w:r>
            <w:rPr>
              <w:highlight w:val="none"/>
            </w:rPr>
            <w:fldChar w:fldCharType="separate"/>
          </w:r>
          <w:r>
            <w:rPr>
              <w:highlight w:val="none"/>
            </w:rPr>
            <w:t>19</w:t>
          </w:r>
          <w:r>
            <w:rPr>
              <w:highlight w:val="none"/>
            </w:rPr>
            <w:fldChar w:fldCharType="end"/>
          </w:r>
          <w:r>
            <w:rPr>
              <w:color w:val="auto"/>
              <w:highlight w:val="none"/>
            </w:rPr>
            <w:fldChar w:fldCharType="end"/>
          </w:r>
        </w:p>
        <w:p w14:paraId="43F377AE">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highlight w:val="none"/>
            </w:rPr>
            <w:instrText xml:space="preserve"> HYPERLINK \l _Toc29977 </w:instrText>
          </w:r>
          <w:r>
            <w:rPr>
              <w:highlight w:val="none"/>
            </w:rPr>
            <w:fldChar w:fldCharType="separate"/>
          </w:r>
          <w:r>
            <w:rPr>
              <w:rFonts w:hint="eastAsia" w:ascii="宋体" w:hAnsi="宋体" w:eastAsia="宋体" w:cs="宋体"/>
              <w:i w:val="0"/>
              <w:iCs w:val="0"/>
              <w:szCs w:val="21"/>
              <w:highlight w:val="none"/>
            </w:rPr>
            <w:t>3</w:t>
          </w:r>
          <w:r>
            <w:rPr>
              <w:rFonts w:hint="eastAsia" w:ascii="宋体" w:hAnsi="宋体" w:eastAsia="宋体" w:cs="宋体"/>
              <w:i w:val="0"/>
              <w:iCs w:val="0"/>
              <w:szCs w:val="21"/>
              <w:highlight w:val="none"/>
              <w:lang w:val="en-US" w:eastAsia="zh-CN"/>
            </w:rPr>
            <w:t>6</w:t>
          </w:r>
          <w:r>
            <w:rPr>
              <w:rFonts w:ascii="宋体" w:hAnsi="宋体" w:eastAsia="宋体" w:cs="宋体"/>
              <w:i w:val="0"/>
              <w:iCs w:val="0"/>
              <w:szCs w:val="21"/>
              <w:highlight w:val="none"/>
              <w:lang w:val="zh-CN"/>
            </w:rPr>
            <w:t xml:space="preserve"> </w:t>
          </w:r>
          <w:r>
            <w:rPr>
              <w:rFonts w:hint="eastAsia" w:ascii="宋体" w:hAnsi="宋体" w:eastAsia="宋体" w:cs="宋体"/>
              <w:i w:val="0"/>
              <w:iCs w:val="0"/>
              <w:szCs w:val="21"/>
              <w:highlight w:val="none"/>
              <w:lang w:val="zh-CN"/>
            </w:rPr>
            <w:t>中标服务费</w:t>
          </w:r>
          <w:r>
            <w:rPr>
              <w:highlight w:val="none"/>
            </w:rPr>
            <w:tab/>
          </w:r>
          <w:r>
            <w:rPr>
              <w:highlight w:val="none"/>
            </w:rPr>
            <w:fldChar w:fldCharType="begin"/>
          </w:r>
          <w:r>
            <w:rPr>
              <w:highlight w:val="none"/>
            </w:rPr>
            <w:instrText xml:space="preserve"> PAGEREF _Toc29977 \h </w:instrText>
          </w:r>
          <w:r>
            <w:rPr>
              <w:highlight w:val="none"/>
            </w:rPr>
            <w:fldChar w:fldCharType="separate"/>
          </w:r>
          <w:r>
            <w:rPr>
              <w:highlight w:val="none"/>
            </w:rPr>
            <w:t>21</w:t>
          </w:r>
          <w:r>
            <w:rPr>
              <w:highlight w:val="none"/>
            </w:rPr>
            <w:fldChar w:fldCharType="end"/>
          </w:r>
          <w:r>
            <w:rPr>
              <w:color w:val="auto"/>
              <w:highlight w:val="none"/>
            </w:rPr>
            <w:fldChar w:fldCharType="end"/>
          </w:r>
        </w:p>
        <w:p w14:paraId="55465DB7">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highlight w:val="none"/>
            </w:rPr>
            <w:instrText xml:space="preserve"> HYPERLINK \l _Toc22292 </w:instrText>
          </w:r>
          <w:r>
            <w:rPr>
              <w:highlight w:val="none"/>
            </w:rPr>
            <w:fldChar w:fldCharType="separate"/>
          </w:r>
          <w:r>
            <w:rPr>
              <w:rFonts w:hint="eastAsia" w:ascii="宋体" w:hAnsi="宋体" w:eastAsia="宋体" w:cs="宋体"/>
              <w:i w:val="0"/>
              <w:iCs w:val="0"/>
              <w:szCs w:val="21"/>
              <w:highlight w:val="none"/>
            </w:rPr>
            <w:t>3</w:t>
          </w:r>
          <w:r>
            <w:rPr>
              <w:rFonts w:hint="eastAsia" w:ascii="宋体" w:hAnsi="宋体" w:eastAsia="宋体" w:cs="宋体"/>
              <w:i w:val="0"/>
              <w:iCs w:val="0"/>
              <w:szCs w:val="21"/>
              <w:highlight w:val="none"/>
              <w:lang w:val="en-US" w:eastAsia="zh-CN"/>
            </w:rPr>
            <w:t>7</w:t>
          </w:r>
          <w:r>
            <w:rPr>
              <w:rFonts w:hint="eastAsia" w:ascii="宋体" w:hAnsi="宋体" w:eastAsia="宋体" w:cs="宋体"/>
              <w:i w:val="0"/>
              <w:iCs w:val="0"/>
              <w:szCs w:val="21"/>
              <w:highlight w:val="none"/>
              <w:lang w:val="zh-CN"/>
            </w:rPr>
            <w:t xml:space="preserve"> 发票</w:t>
          </w:r>
          <w:r>
            <w:rPr>
              <w:highlight w:val="none"/>
            </w:rPr>
            <w:tab/>
          </w:r>
          <w:r>
            <w:rPr>
              <w:highlight w:val="none"/>
            </w:rPr>
            <w:fldChar w:fldCharType="begin"/>
          </w:r>
          <w:r>
            <w:rPr>
              <w:highlight w:val="none"/>
            </w:rPr>
            <w:instrText xml:space="preserve"> PAGEREF _Toc22292 \h </w:instrText>
          </w:r>
          <w:r>
            <w:rPr>
              <w:highlight w:val="none"/>
            </w:rPr>
            <w:fldChar w:fldCharType="separate"/>
          </w:r>
          <w:r>
            <w:rPr>
              <w:highlight w:val="none"/>
            </w:rPr>
            <w:t>23</w:t>
          </w:r>
          <w:r>
            <w:rPr>
              <w:highlight w:val="none"/>
            </w:rPr>
            <w:fldChar w:fldCharType="end"/>
          </w:r>
          <w:r>
            <w:rPr>
              <w:color w:val="auto"/>
              <w:highlight w:val="none"/>
            </w:rPr>
            <w:fldChar w:fldCharType="end"/>
          </w:r>
        </w:p>
        <w:p w14:paraId="1F0FE5B9">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highlight w:val="none"/>
            </w:rPr>
            <w:instrText xml:space="preserve"> HYPERLINK \l _Toc26910 </w:instrText>
          </w:r>
          <w:r>
            <w:rPr>
              <w:highlight w:val="none"/>
            </w:rPr>
            <w:fldChar w:fldCharType="separate"/>
          </w:r>
          <w:r>
            <w:rPr>
              <w:rFonts w:ascii="宋体" w:hAnsi="宋体" w:eastAsia="宋体" w:cs="宋体"/>
              <w:i w:val="0"/>
              <w:iCs w:val="0"/>
              <w:szCs w:val="21"/>
              <w:highlight w:val="none"/>
            </w:rPr>
            <w:t>3</w:t>
          </w:r>
          <w:r>
            <w:rPr>
              <w:rFonts w:hint="eastAsia" w:ascii="宋体" w:hAnsi="宋体" w:eastAsia="宋体" w:cs="宋体"/>
              <w:i w:val="0"/>
              <w:iCs w:val="0"/>
              <w:szCs w:val="21"/>
              <w:highlight w:val="none"/>
              <w:lang w:val="en-US" w:eastAsia="zh-CN"/>
            </w:rPr>
            <w:t>8</w:t>
          </w:r>
          <w:r>
            <w:rPr>
              <w:rFonts w:ascii="宋体" w:hAnsi="宋体" w:eastAsia="宋体" w:cs="宋体"/>
              <w:i w:val="0"/>
              <w:iCs w:val="0"/>
              <w:szCs w:val="21"/>
              <w:highlight w:val="none"/>
            </w:rPr>
            <w:t xml:space="preserve"> 招标相关补充约定</w:t>
          </w:r>
          <w:r>
            <w:rPr>
              <w:highlight w:val="none"/>
            </w:rPr>
            <w:tab/>
          </w:r>
          <w:r>
            <w:rPr>
              <w:highlight w:val="none"/>
            </w:rPr>
            <w:fldChar w:fldCharType="begin"/>
          </w:r>
          <w:r>
            <w:rPr>
              <w:highlight w:val="none"/>
            </w:rPr>
            <w:instrText xml:space="preserve"> PAGEREF _Toc26910 \h </w:instrText>
          </w:r>
          <w:r>
            <w:rPr>
              <w:highlight w:val="none"/>
            </w:rPr>
            <w:fldChar w:fldCharType="separate"/>
          </w:r>
          <w:r>
            <w:rPr>
              <w:highlight w:val="none"/>
            </w:rPr>
            <w:t>23</w:t>
          </w:r>
          <w:r>
            <w:rPr>
              <w:highlight w:val="none"/>
            </w:rPr>
            <w:fldChar w:fldCharType="end"/>
          </w:r>
          <w:r>
            <w:rPr>
              <w:color w:val="auto"/>
              <w:highlight w:val="none"/>
            </w:rPr>
            <w:fldChar w:fldCharType="end"/>
          </w:r>
        </w:p>
        <w:p w14:paraId="06BC48ED">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highlight w:val="none"/>
            </w:rPr>
          </w:pPr>
          <w:r>
            <w:rPr>
              <w:color w:val="auto"/>
              <w:highlight w:val="none"/>
            </w:rPr>
            <w:fldChar w:fldCharType="begin"/>
          </w:r>
          <w:r>
            <w:rPr>
              <w:highlight w:val="none"/>
            </w:rPr>
            <w:instrText xml:space="preserve"> HYPERLINK \l _Toc27512 </w:instrText>
          </w:r>
          <w:r>
            <w:rPr>
              <w:highlight w:val="none"/>
            </w:rPr>
            <w:fldChar w:fldCharType="separate"/>
          </w:r>
          <w:r>
            <w:rPr>
              <w:rFonts w:hint="eastAsia" w:ascii="宋体" w:hAnsi="宋体" w:eastAsia="宋体" w:cs="宋体"/>
              <w:i w:val="0"/>
              <w:iCs w:val="0"/>
              <w:szCs w:val="21"/>
              <w:highlight w:val="none"/>
              <w:lang w:val="en-US" w:eastAsia="zh-CN"/>
            </w:rPr>
            <w:t>39</w:t>
          </w:r>
          <w:r>
            <w:rPr>
              <w:rFonts w:hint="eastAsia" w:ascii="宋体" w:hAnsi="宋体" w:eastAsia="宋体" w:cs="宋体"/>
              <w:i w:val="0"/>
              <w:iCs w:val="0"/>
              <w:szCs w:val="21"/>
              <w:highlight w:val="none"/>
            </w:rPr>
            <w:t xml:space="preserve"> 本次招标活动的最终解释权归招标代理机构及招标人所有。</w:t>
          </w:r>
          <w:r>
            <w:rPr>
              <w:highlight w:val="none"/>
            </w:rPr>
            <w:tab/>
          </w:r>
          <w:r>
            <w:rPr>
              <w:highlight w:val="none"/>
            </w:rPr>
            <w:fldChar w:fldCharType="begin"/>
          </w:r>
          <w:r>
            <w:rPr>
              <w:highlight w:val="none"/>
            </w:rPr>
            <w:instrText xml:space="preserve"> PAGEREF _Toc27512 \h </w:instrText>
          </w:r>
          <w:r>
            <w:rPr>
              <w:highlight w:val="none"/>
            </w:rPr>
            <w:fldChar w:fldCharType="separate"/>
          </w:r>
          <w:r>
            <w:rPr>
              <w:highlight w:val="none"/>
            </w:rPr>
            <w:t>23</w:t>
          </w:r>
          <w:r>
            <w:rPr>
              <w:highlight w:val="none"/>
            </w:rPr>
            <w:fldChar w:fldCharType="end"/>
          </w:r>
          <w:r>
            <w:rPr>
              <w:color w:val="auto"/>
              <w:highlight w:val="none"/>
            </w:rPr>
            <w:fldChar w:fldCharType="end"/>
          </w:r>
        </w:p>
        <w:p w14:paraId="1883AB8B">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b/>
              <w:bCs/>
              <w:highlight w:val="none"/>
            </w:rPr>
          </w:pPr>
          <w:r>
            <w:rPr>
              <w:b/>
              <w:bCs/>
              <w:color w:val="auto"/>
              <w:highlight w:val="none"/>
            </w:rPr>
            <w:fldChar w:fldCharType="begin"/>
          </w:r>
          <w:r>
            <w:rPr>
              <w:b/>
              <w:bCs/>
              <w:highlight w:val="none"/>
            </w:rPr>
            <w:instrText xml:space="preserve"> HYPERLINK \l _Toc22963 </w:instrText>
          </w:r>
          <w:r>
            <w:rPr>
              <w:b/>
              <w:bCs/>
              <w:highlight w:val="none"/>
            </w:rPr>
            <w:fldChar w:fldCharType="separate"/>
          </w:r>
          <w:r>
            <w:rPr>
              <w:rFonts w:hint="eastAsia" w:ascii="宋体" w:hAnsi="宋体" w:eastAsia="宋体" w:cs="宋体"/>
              <w:b/>
              <w:bCs/>
              <w:i w:val="0"/>
              <w:iCs w:val="0"/>
              <w:kern w:val="44"/>
              <w:szCs w:val="32"/>
              <w:highlight w:val="none"/>
              <w:lang w:val="en-US" w:eastAsia="zh-CN"/>
            </w:rPr>
            <w:t>第三篇</w:t>
          </w:r>
          <w:r>
            <w:rPr>
              <w:rFonts w:hint="eastAsia" w:ascii="宋体" w:hAnsi="宋体" w:eastAsia="宋体" w:cs="宋体"/>
              <w:b/>
              <w:bCs/>
              <w:i w:val="0"/>
              <w:iCs w:val="0"/>
              <w:kern w:val="44"/>
              <w:szCs w:val="32"/>
              <w:highlight w:val="none"/>
              <w:lang w:val="zh-CN" w:eastAsia="zh-CN"/>
            </w:rPr>
            <w:t xml:space="preserve"> </w:t>
          </w:r>
          <w:r>
            <w:rPr>
              <w:rFonts w:hint="eastAsia" w:ascii="宋体" w:hAnsi="宋体" w:eastAsia="宋体" w:cs="宋体"/>
              <w:b/>
              <w:bCs/>
              <w:i w:val="0"/>
              <w:iCs w:val="0"/>
              <w:kern w:val="44"/>
              <w:szCs w:val="32"/>
              <w:highlight w:val="none"/>
              <w:lang w:val="zh-CN"/>
            </w:rPr>
            <w:t>用户需求书</w:t>
          </w:r>
          <w:r>
            <w:rPr>
              <w:b/>
              <w:bCs/>
              <w:highlight w:val="none"/>
            </w:rPr>
            <w:tab/>
          </w:r>
          <w:r>
            <w:rPr>
              <w:b/>
              <w:bCs/>
              <w:highlight w:val="none"/>
            </w:rPr>
            <w:fldChar w:fldCharType="begin"/>
          </w:r>
          <w:r>
            <w:rPr>
              <w:b/>
              <w:bCs/>
              <w:highlight w:val="none"/>
            </w:rPr>
            <w:instrText xml:space="preserve"> PAGEREF _Toc22963 \h </w:instrText>
          </w:r>
          <w:r>
            <w:rPr>
              <w:b/>
              <w:bCs/>
              <w:highlight w:val="none"/>
            </w:rPr>
            <w:fldChar w:fldCharType="separate"/>
          </w:r>
          <w:r>
            <w:rPr>
              <w:b/>
              <w:bCs/>
              <w:highlight w:val="none"/>
            </w:rPr>
            <w:t>24</w:t>
          </w:r>
          <w:r>
            <w:rPr>
              <w:b/>
              <w:bCs/>
              <w:highlight w:val="none"/>
            </w:rPr>
            <w:fldChar w:fldCharType="end"/>
          </w:r>
          <w:r>
            <w:rPr>
              <w:b/>
              <w:bCs/>
              <w:color w:val="auto"/>
              <w:highlight w:val="none"/>
            </w:rPr>
            <w:fldChar w:fldCharType="end"/>
          </w:r>
        </w:p>
        <w:p w14:paraId="263FEC0F">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b/>
              <w:bCs/>
              <w:highlight w:val="none"/>
            </w:rPr>
          </w:pPr>
          <w:r>
            <w:rPr>
              <w:b/>
              <w:bCs/>
              <w:color w:val="auto"/>
              <w:highlight w:val="none"/>
            </w:rPr>
            <w:fldChar w:fldCharType="begin"/>
          </w:r>
          <w:r>
            <w:rPr>
              <w:b/>
              <w:bCs/>
              <w:highlight w:val="none"/>
            </w:rPr>
            <w:instrText xml:space="preserve"> HYPERLINK \l _Toc28366 </w:instrText>
          </w:r>
          <w:r>
            <w:rPr>
              <w:b/>
              <w:bCs/>
              <w:highlight w:val="none"/>
            </w:rPr>
            <w:fldChar w:fldCharType="separate"/>
          </w:r>
          <w:r>
            <w:rPr>
              <w:rFonts w:hint="eastAsia" w:ascii="宋体" w:hAnsi="宋体" w:eastAsia="宋体" w:cs="宋体"/>
              <w:b/>
              <w:bCs/>
              <w:kern w:val="44"/>
              <w:szCs w:val="32"/>
              <w:highlight w:val="none"/>
              <w:lang w:val="zh-CN"/>
            </w:rPr>
            <w:t>第四篇</w:t>
          </w:r>
          <w:r>
            <w:rPr>
              <w:rFonts w:ascii="宋体" w:hAnsi="宋体" w:eastAsia="宋体" w:cs="宋体"/>
              <w:b/>
              <w:bCs/>
              <w:kern w:val="44"/>
              <w:szCs w:val="32"/>
              <w:highlight w:val="none"/>
              <w:lang w:val="zh-CN"/>
            </w:rPr>
            <w:t xml:space="preserve"> </w:t>
          </w:r>
          <w:r>
            <w:rPr>
              <w:rFonts w:hint="eastAsia" w:ascii="宋体" w:hAnsi="宋体" w:eastAsia="宋体" w:cs="宋体"/>
              <w:b/>
              <w:bCs/>
              <w:kern w:val="44"/>
              <w:szCs w:val="32"/>
              <w:highlight w:val="none"/>
              <w:lang w:val="zh-CN"/>
            </w:rPr>
            <w:t>合同条款格式</w:t>
          </w:r>
          <w:r>
            <w:rPr>
              <w:b/>
              <w:bCs/>
              <w:highlight w:val="none"/>
            </w:rPr>
            <w:tab/>
          </w:r>
          <w:r>
            <w:rPr>
              <w:b/>
              <w:bCs/>
              <w:highlight w:val="none"/>
            </w:rPr>
            <w:fldChar w:fldCharType="begin"/>
          </w:r>
          <w:r>
            <w:rPr>
              <w:b/>
              <w:bCs/>
              <w:highlight w:val="none"/>
            </w:rPr>
            <w:instrText xml:space="preserve"> PAGEREF _Toc28366 \h </w:instrText>
          </w:r>
          <w:r>
            <w:rPr>
              <w:b/>
              <w:bCs/>
              <w:highlight w:val="none"/>
            </w:rPr>
            <w:fldChar w:fldCharType="separate"/>
          </w:r>
          <w:r>
            <w:rPr>
              <w:b/>
              <w:bCs/>
              <w:highlight w:val="none"/>
            </w:rPr>
            <w:t>42</w:t>
          </w:r>
          <w:r>
            <w:rPr>
              <w:b/>
              <w:bCs/>
              <w:highlight w:val="none"/>
            </w:rPr>
            <w:fldChar w:fldCharType="end"/>
          </w:r>
          <w:r>
            <w:rPr>
              <w:b/>
              <w:bCs/>
              <w:color w:val="auto"/>
              <w:highlight w:val="none"/>
            </w:rPr>
            <w:fldChar w:fldCharType="end"/>
          </w:r>
        </w:p>
        <w:p w14:paraId="7E429F78">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b/>
              <w:bCs/>
              <w:highlight w:val="none"/>
            </w:rPr>
          </w:pPr>
          <w:r>
            <w:rPr>
              <w:b/>
              <w:bCs/>
              <w:color w:val="auto"/>
              <w:highlight w:val="none"/>
            </w:rPr>
            <w:fldChar w:fldCharType="begin"/>
          </w:r>
          <w:r>
            <w:rPr>
              <w:b/>
              <w:bCs/>
              <w:highlight w:val="none"/>
            </w:rPr>
            <w:instrText xml:space="preserve"> HYPERLINK \l _Toc11046 </w:instrText>
          </w:r>
          <w:r>
            <w:rPr>
              <w:b/>
              <w:bCs/>
              <w:highlight w:val="none"/>
            </w:rPr>
            <w:fldChar w:fldCharType="separate"/>
          </w:r>
          <w:r>
            <w:rPr>
              <w:rFonts w:hint="eastAsia" w:ascii="宋体" w:hAnsi="宋体" w:eastAsia="宋体" w:cs="宋体"/>
              <w:b/>
              <w:bCs/>
              <w:kern w:val="44"/>
              <w:szCs w:val="32"/>
              <w:highlight w:val="none"/>
              <w:lang w:val="zh-CN"/>
            </w:rPr>
            <w:t>第六篇 投标文件格式</w:t>
          </w:r>
          <w:r>
            <w:rPr>
              <w:b/>
              <w:bCs/>
              <w:highlight w:val="none"/>
            </w:rPr>
            <w:tab/>
          </w:r>
          <w:r>
            <w:rPr>
              <w:b/>
              <w:bCs/>
              <w:highlight w:val="none"/>
            </w:rPr>
            <w:fldChar w:fldCharType="begin"/>
          </w:r>
          <w:r>
            <w:rPr>
              <w:b/>
              <w:bCs/>
              <w:highlight w:val="none"/>
            </w:rPr>
            <w:instrText xml:space="preserve"> PAGEREF _Toc11046 \h </w:instrText>
          </w:r>
          <w:r>
            <w:rPr>
              <w:b/>
              <w:bCs/>
              <w:highlight w:val="none"/>
            </w:rPr>
            <w:fldChar w:fldCharType="separate"/>
          </w:r>
          <w:r>
            <w:rPr>
              <w:b/>
              <w:bCs/>
              <w:highlight w:val="none"/>
            </w:rPr>
            <w:t>61</w:t>
          </w:r>
          <w:r>
            <w:rPr>
              <w:b/>
              <w:bCs/>
              <w:highlight w:val="none"/>
            </w:rPr>
            <w:fldChar w:fldCharType="end"/>
          </w:r>
          <w:r>
            <w:rPr>
              <w:b/>
              <w:bCs/>
              <w:color w:val="auto"/>
              <w:highlight w:val="none"/>
            </w:rPr>
            <w:fldChar w:fldCharType="end"/>
          </w:r>
        </w:p>
        <w:p w14:paraId="1F5F926C">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b/>
              <w:bCs/>
              <w:highlight w:val="none"/>
            </w:rPr>
          </w:pPr>
          <w:r>
            <w:rPr>
              <w:b/>
              <w:bCs/>
              <w:color w:val="auto"/>
              <w:highlight w:val="none"/>
            </w:rPr>
            <w:fldChar w:fldCharType="begin"/>
          </w:r>
          <w:r>
            <w:rPr>
              <w:b/>
              <w:bCs/>
              <w:highlight w:val="none"/>
            </w:rPr>
            <w:instrText xml:space="preserve"> HYPERLINK \l _Toc13062 </w:instrText>
          </w:r>
          <w:r>
            <w:rPr>
              <w:b/>
              <w:bCs/>
              <w:highlight w:val="none"/>
            </w:rPr>
            <w:fldChar w:fldCharType="separate"/>
          </w:r>
          <w:r>
            <w:rPr>
              <w:rFonts w:hint="eastAsia" w:ascii="宋体" w:hAnsi="宋体" w:eastAsia="宋体" w:cs="宋体"/>
              <w:b/>
              <w:bCs/>
              <w:kern w:val="44"/>
              <w:szCs w:val="32"/>
              <w:highlight w:val="none"/>
              <w:lang w:val="zh-CN"/>
            </w:rPr>
            <w:t>附件一：评标工作大纲</w:t>
          </w:r>
          <w:r>
            <w:rPr>
              <w:b/>
              <w:bCs/>
              <w:highlight w:val="none"/>
            </w:rPr>
            <w:tab/>
          </w:r>
          <w:r>
            <w:rPr>
              <w:b/>
              <w:bCs/>
              <w:highlight w:val="none"/>
            </w:rPr>
            <w:fldChar w:fldCharType="begin"/>
          </w:r>
          <w:r>
            <w:rPr>
              <w:b/>
              <w:bCs/>
              <w:highlight w:val="none"/>
            </w:rPr>
            <w:instrText xml:space="preserve"> PAGEREF _Toc13062 \h </w:instrText>
          </w:r>
          <w:r>
            <w:rPr>
              <w:b/>
              <w:bCs/>
              <w:highlight w:val="none"/>
            </w:rPr>
            <w:fldChar w:fldCharType="separate"/>
          </w:r>
          <w:r>
            <w:rPr>
              <w:b/>
              <w:bCs/>
              <w:highlight w:val="none"/>
            </w:rPr>
            <w:t>111</w:t>
          </w:r>
          <w:r>
            <w:rPr>
              <w:b/>
              <w:bCs/>
              <w:highlight w:val="none"/>
            </w:rPr>
            <w:fldChar w:fldCharType="end"/>
          </w:r>
          <w:r>
            <w:rPr>
              <w:b/>
              <w:bCs/>
              <w:color w:val="auto"/>
              <w:highlight w:val="none"/>
            </w:rPr>
            <w:fldChar w:fldCharType="end"/>
          </w:r>
        </w:p>
        <w:p w14:paraId="1077B50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end"/>
          </w:r>
        </w:p>
      </w:sdtContent>
    </w:sdt>
    <w:p w14:paraId="2DB2B65C">
      <w:pPr>
        <w:pageBreakBefore/>
        <w:tabs>
          <w:tab w:val="left" w:pos="1080"/>
        </w:tabs>
        <w:autoSpaceDE w:val="0"/>
        <w:autoSpaceDN w:val="0"/>
        <w:adjustRightInd w:val="0"/>
        <w:spacing w:line="360" w:lineRule="auto"/>
        <w:ind w:left="-167" w:leftChars="-100" w:hanging="43"/>
        <w:jc w:val="center"/>
        <w:outlineLvl w:val="0"/>
        <w:rPr>
          <w:rFonts w:hint="default" w:ascii="宋体" w:hAnsi="宋体" w:eastAsia="宋体" w:cs="宋体"/>
          <w:b/>
          <w:bCs/>
          <w:color w:val="auto"/>
          <w:kern w:val="44"/>
          <w:sz w:val="32"/>
          <w:szCs w:val="32"/>
          <w:highlight w:val="none"/>
          <w:lang w:val="en-US" w:eastAsia="zh-CN"/>
        </w:rPr>
      </w:pPr>
      <w:bookmarkStart w:id="0" w:name="_Toc14626"/>
      <w:bookmarkStart w:id="1" w:name="_Toc16250"/>
      <w:r>
        <w:rPr>
          <w:rFonts w:hint="eastAsia" w:ascii="宋体" w:hAnsi="宋体" w:eastAsia="宋体" w:cs="宋体"/>
          <w:b/>
          <w:bCs/>
          <w:color w:val="auto"/>
          <w:kern w:val="44"/>
          <w:sz w:val="32"/>
          <w:szCs w:val="32"/>
          <w:highlight w:val="none"/>
          <w:lang w:val="en-US" w:eastAsia="zh-CN"/>
        </w:rPr>
        <w:t>第一篇 招标公告</w:t>
      </w:r>
      <w:bookmarkEnd w:id="0"/>
      <w:bookmarkEnd w:id="1"/>
    </w:p>
    <w:p w14:paraId="64E3D582">
      <w:pPr>
        <w:autoSpaceDE w:val="0"/>
        <w:autoSpaceDN w:val="0"/>
        <w:adjustRightInd w:val="0"/>
        <w:snapToGrid w:val="0"/>
        <w:spacing w:line="360" w:lineRule="auto"/>
        <w:ind w:right="-34" w:firstLine="420" w:firstLineChars="200"/>
        <w:rPr>
          <w:rFonts w:hint="eastAsia" w:ascii="宋体" w:hAnsi="宋体" w:eastAsia="宋体" w:cs="Times New Roman"/>
          <w:color w:val="auto"/>
          <w:kern w:val="0"/>
          <w:szCs w:val="21"/>
          <w:highlight w:val="none"/>
        </w:rPr>
      </w:pPr>
    </w:p>
    <w:p w14:paraId="7D2A98D9">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val="en-US" w:eastAsia="zh-CN"/>
        </w:rPr>
        <w:t>广西同泽工程项目管理股份有限公司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szCs w:val="21"/>
          <w:highlight w:val="none"/>
          <w:lang w:val="zh-CN" w:eastAsia="zh-CN"/>
        </w:rPr>
        <w:t>东莞市水务环境投资控股集团供水有限公司</w:t>
      </w:r>
      <w:r>
        <w:rPr>
          <w:rFonts w:ascii="宋体" w:hAnsi="宋体" w:eastAsia="宋体" w:cs="Times New Roman"/>
          <w:color w:val="auto"/>
          <w:szCs w:val="21"/>
          <w:highlight w:val="none"/>
          <w:lang w:val="zh-CN"/>
        </w:rPr>
        <w:t>（以下简称“招标人”）的委托，对</w:t>
      </w:r>
      <w:bookmarkStart w:id="2" w:name="_Hlk41903390"/>
      <w:r>
        <w:rPr>
          <w:rFonts w:hint="eastAsia" w:ascii="宋体" w:hAnsi="宋体" w:eastAsia="宋体" w:cs="Times New Roman"/>
          <w:color w:val="auto"/>
          <w:szCs w:val="21"/>
          <w:highlight w:val="none"/>
          <w:lang w:val="zh-CN" w:eastAsia="zh-CN"/>
        </w:rPr>
        <w:t>东莞市供水计量设施更新项目（2026-2027年计量仪表）</w:t>
      </w:r>
      <w:r>
        <w:rPr>
          <w:rFonts w:hint="eastAsia" w:ascii="宋体" w:hAnsi="宋体" w:eastAsia="宋体" w:cs="Times New Roman"/>
          <w:color w:val="auto"/>
          <w:kern w:val="0"/>
          <w:szCs w:val="21"/>
          <w:highlight w:val="none"/>
          <w:lang w:eastAsia="zh-CN"/>
        </w:rPr>
        <w:t>－</w:t>
      </w:r>
      <w:r>
        <w:rPr>
          <w:rFonts w:hint="eastAsia" w:ascii="宋体" w:hAnsi="宋体" w:eastAsia="宋体" w:cs="宋体"/>
          <w:color w:val="auto"/>
          <w:kern w:val="2"/>
          <w:sz w:val="21"/>
          <w:szCs w:val="21"/>
          <w:highlight w:val="none"/>
          <w:lang w:val="en-US" w:eastAsia="zh-CN"/>
        </w:rPr>
        <w:t>电磁水表</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GXTZ-ZB-2026第（39）号</w:t>
      </w:r>
      <w:r>
        <w:rPr>
          <w:rFonts w:ascii="宋体" w:hAnsi="宋体" w:eastAsia="宋体" w:cs="Times New Roman"/>
          <w:color w:val="auto"/>
          <w:szCs w:val="21"/>
          <w:highlight w:val="none"/>
          <w:lang w:val="zh-CN"/>
        </w:rPr>
        <w:t>)</w:t>
      </w:r>
      <w:bookmarkEnd w:id="2"/>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4D6FF933">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5C1BADA0">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r>
        <w:rPr>
          <w:rFonts w:hint="eastAsia" w:ascii="宋体" w:hAnsi="宋体" w:eastAsia="宋体" w:cs="Times New Roman"/>
          <w:color w:val="auto"/>
          <w:szCs w:val="21"/>
          <w:highlight w:val="none"/>
          <w:lang w:val="zh-CN" w:eastAsia="zh-CN"/>
        </w:rPr>
        <w:t>东莞市水务环境投资控股集团供水有限公司</w:t>
      </w:r>
      <w:r>
        <w:rPr>
          <w:rFonts w:hint="eastAsia" w:ascii="宋体" w:hAnsi="宋体" w:eastAsia="宋体" w:cs="宋体"/>
          <w:color w:val="auto"/>
          <w:kern w:val="2"/>
          <w:sz w:val="21"/>
          <w:szCs w:val="21"/>
          <w:highlight w:val="none"/>
          <w:lang w:val="zh-CN"/>
        </w:rPr>
        <w:t>现开展</w:t>
      </w:r>
      <w:r>
        <w:rPr>
          <w:rFonts w:hint="eastAsia" w:ascii="宋体" w:hAnsi="宋体" w:eastAsia="宋体" w:cs="Times New Roman"/>
          <w:color w:val="auto"/>
          <w:szCs w:val="21"/>
          <w:highlight w:val="none"/>
          <w:lang w:val="zh-CN" w:eastAsia="zh-CN"/>
        </w:rPr>
        <w:t>东莞市供水计量设施更新项目（2026-2027年计量仪表）</w:t>
      </w:r>
      <w:r>
        <w:rPr>
          <w:rFonts w:hint="eastAsia" w:ascii="宋体" w:hAnsi="宋体" w:eastAsia="宋体" w:cs="Times New Roman"/>
          <w:color w:val="auto"/>
          <w:kern w:val="0"/>
          <w:szCs w:val="21"/>
          <w:highlight w:val="none"/>
          <w:lang w:eastAsia="zh-CN"/>
        </w:rPr>
        <w:t>－</w:t>
      </w:r>
      <w:r>
        <w:rPr>
          <w:rFonts w:hint="eastAsia" w:ascii="宋体" w:hAnsi="宋体" w:eastAsia="宋体" w:cs="宋体"/>
          <w:color w:val="auto"/>
          <w:kern w:val="2"/>
          <w:sz w:val="21"/>
          <w:szCs w:val="21"/>
          <w:highlight w:val="none"/>
          <w:lang w:val="en-US" w:eastAsia="zh-CN"/>
        </w:rPr>
        <w:t>电磁水表，</w:t>
      </w:r>
      <w:r>
        <w:rPr>
          <w:rFonts w:hint="eastAsia" w:ascii="宋体" w:hAnsi="宋体" w:eastAsia="宋体" w:cs="宋体"/>
          <w:color w:val="auto"/>
          <w:kern w:val="2"/>
          <w:sz w:val="21"/>
          <w:szCs w:val="21"/>
          <w:highlight w:val="none"/>
          <w:lang w:val="zh-CN"/>
        </w:rPr>
        <w:t>通过公开招标的方式采购DN</w:t>
      </w:r>
      <w:r>
        <w:rPr>
          <w:rFonts w:hint="eastAsia" w:ascii="宋体" w:hAnsi="宋体" w:eastAsia="宋体" w:cs="宋体"/>
          <w:color w:val="auto"/>
          <w:kern w:val="2"/>
          <w:sz w:val="21"/>
          <w:szCs w:val="21"/>
          <w:highlight w:val="none"/>
          <w:lang w:val="en-US" w:eastAsia="zh-CN"/>
        </w:rPr>
        <w:t>80</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DN3</w:t>
      </w:r>
      <w:r>
        <w:rPr>
          <w:rFonts w:hint="eastAsia" w:ascii="宋体" w:hAnsi="宋体" w:eastAsia="宋体" w:cs="宋体"/>
          <w:color w:val="auto"/>
          <w:kern w:val="2"/>
          <w:sz w:val="21"/>
          <w:szCs w:val="21"/>
          <w:highlight w:val="none"/>
          <w:lang w:val="zh-CN"/>
        </w:rPr>
        <w:t>00</w:t>
      </w:r>
      <w:r>
        <w:rPr>
          <w:rFonts w:hint="eastAsia" w:ascii="宋体" w:hAnsi="宋体" w:eastAsia="宋体" w:cs="宋体"/>
          <w:color w:val="auto"/>
          <w:kern w:val="2"/>
          <w:sz w:val="21"/>
          <w:szCs w:val="21"/>
          <w:highlight w:val="none"/>
          <w:lang w:val="en-US" w:eastAsia="zh-CN"/>
        </w:rPr>
        <w:t>电磁水表</w:t>
      </w:r>
      <w:r>
        <w:rPr>
          <w:rFonts w:hint="eastAsia" w:ascii="宋体" w:hAnsi="宋体" w:eastAsia="宋体" w:cs="宋体"/>
          <w:color w:val="auto"/>
          <w:kern w:val="2"/>
          <w:sz w:val="21"/>
          <w:szCs w:val="21"/>
          <w:highlight w:val="none"/>
          <w:lang w:val="zh-CN"/>
        </w:rPr>
        <w:t>一批</w:t>
      </w:r>
      <w:r>
        <w:rPr>
          <w:rFonts w:hint="eastAsia" w:ascii="宋体" w:hAnsi="宋体" w:eastAsia="宋体" w:cs="Times New Roman"/>
          <w:color w:val="auto"/>
          <w:szCs w:val="21"/>
          <w:highlight w:val="none"/>
          <w:lang w:val="zh-CN"/>
        </w:rPr>
        <w:t>（具体内容详见：第三篇用户需求书）</w:t>
      </w:r>
    </w:p>
    <w:p w14:paraId="3B920AA6">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760DA072">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36ECA323">
      <w:pPr>
        <w:pStyle w:val="160"/>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54C2DA6D">
      <w:pPr>
        <w:pStyle w:val="160"/>
        <w:spacing w:line="360" w:lineRule="auto"/>
        <w:ind w:left="422" w:right="-29" w:rightChars="-14" w:hanging="422" w:hangingChars="200"/>
        <w:jc w:val="both"/>
        <w:rPr>
          <w:rFonts w:hint="default" w:hAnsi="宋体" w:eastAsia="宋体"/>
          <w:b/>
          <w:color w:val="auto"/>
          <w:sz w:val="21"/>
          <w:szCs w:val="21"/>
          <w:highlight w:val="none"/>
          <w:lang w:val="en-US" w:eastAsia="zh-CN"/>
        </w:rPr>
      </w:pPr>
      <w:bookmarkStart w:id="3" w:name="_Toc25819"/>
      <w:r>
        <w:rPr>
          <w:rFonts w:hint="eastAsia" w:hAnsi="宋体" w:eastAsia="宋体"/>
          <w:b/>
          <w:color w:val="auto"/>
          <w:sz w:val="21"/>
          <w:szCs w:val="21"/>
          <w:highlight w:val="none"/>
          <w:lang w:val="en-US" w:eastAsia="zh-CN"/>
        </w:rPr>
        <w:t>2.2 本项目投标人须为所投产品电磁水表的制造商，或为所投产品电磁水表的制造商就本次投标独家授权的经销商；</w:t>
      </w:r>
    </w:p>
    <w:p w14:paraId="7463ECB0">
      <w:pPr>
        <w:pStyle w:val="160"/>
        <w:spacing w:line="360" w:lineRule="auto"/>
        <w:ind w:left="422" w:right="-29" w:rightChars="-14" w:hanging="422" w:hangingChars="200"/>
        <w:jc w:val="both"/>
        <w:rPr>
          <w:rFonts w:hint="eastAsia" w:hAnsi="宋体" w:eastAsia="宋体"/>
          <w:b/>
          <w:color w:val="auto"/>
          <w:sz w:val="21"/>
          <w:szCs w:val="21"/>
          <w:highlight w:val="none"/>
          <w:lang w:val="en-US" w:eastAsia="zh-CN"/>
        </w:rPr>
      </w:pPr>
      <w:r>
        <w:rPr>
          <w:rFonts w:hint="eastAsia" w:hAnsi="宋体" w:eastAsia="宋体"/>
          <w:b/>
          <w:color w:val="auto"/>
          <w:sz w:val="21"/>
          <w:szCs w:val="21"/>
          <w:highlight w:val="none"/>
          <w:lang w:val="zh-CN"/>
        </w:rPr>
        <w:t>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lang w:val="zh-CN"/>
        </w:rPr>
        <w:t xml:space="preserve"> 投标人</w:t>
      </w:r>
      <w:r>
        <w:rPr>
          <w:rFonts w:hint="eastAsia" w:hAnsi="宋体" w:eastAsia="宋体"/>
          <w:b/>
          <w:color w:val="auto"/>
          <w:sz w:val="21"/>
          <w:szCs w:val="21"/>
          <w:highlight w:val="none"/>
          <w:lang w:val="en-US" w:eastAsia="zh-CN"/>
        </w:rPr>
        <w:t>2023</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日以来具有一份</w:t>
      </w:r>
      <w:r>
        <w:rPr>
          <w:rFonts w:hint="eastAsia" w:hAnsi="宋体" w:eastAsia="宋体"/>
          <w:b/>
          <w:color w:val="auto"/>
          <w:sz w:val="21"/>
          <w:szCs w:val="21"/>
          <w:highlight w:val="none"/>
          <w:lang w:val="zh-CN" w:eastAsia="zh-CN"/>
        </w:rPr>
        <w:t>电磁水表</w:t>
      </w:r>
      <w:r>
        <w:rPr>
          <w:rFonts w:hint="eastAsia" w:hAnsi="宋体" w:eastAsia="宋体"/>
          <w:b/>
          <w:color w:val="auto"/>
          <w:sz w:val="21"/>
          <w:szCs w:val="21"/>
          <w:highlight w:val="none"/>
          <w:lang w:val="en-US" w:eastAsia="zh-CN"/>
        </w:rPr>
        <w:t>在国内的销售</w:t>
      </w:r>
      <w:r>
        <w:rPr>
          <w:rFonts w:hint="eastAsia" w:hAnsi="宋体" w:eastAsia="宋体"/>
          <w:b/>
          <w:color w:val="auto"/>
          <w:sz w:val="21"/>
          <w:szCs w:val="21"/>
          <w:highlight w:val="none"/>
          <w:lang w:val="zh-CN"/>
        </w:rPr>
        <w:t>业绩（合同签订日期为</w:t>
      </w:r>
      <w:r>
        <w:rPr>
          <w:rFonts w:hint="eastAsia" w:hAnsi="宋体" w:eastAsia="宋体"/>
          <w:b/>
          <w:color w:val="auto"/>
          <w:sz w:val="21"/>
          <w:szCs w:val="21"/>
          <w:highlight w:val="none"/>
          <w:lang w:val="en-US" w:eastAsia="zh-CN"/>
        </w:rPr>
        <w:t>2023</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日或以后）</w:t>
      </w:r>
    </w:p>
    <w:p w14:paraId="5B8277CC">
      <w:pPr>
        <w:pStyle w:val="160"/>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2.4 </w:t>
      </w:r>
      <w:r>
        <w:rPr>
          <w:rFonts w:hint="eastAsia" w:hAnsi="宋体" w:eastAsia="宋体"/>
          <w:b/>
          <w:color w:val="auto"/>
          <w:sz w:val="21"/>
          <w:szCs w:val="21"/>
          <w:highlight w:val="none"/>
          <w:lang w:val="zh-CN"/>
        </w:rPr>
        <w:t>本项目不接受联合体投标。</w:t>
      </w:r>
      <w:bookmarkEnd w:id="3"/>
    </w:p>
    <w:p w14:paraId="16173A23">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0E51DA17">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14:paraId="746B52B0">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0F6AAE29">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461483C1">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15C33F9C">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303835C4">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Times New Roman"/>
          <w:color w:val="auto"/>
          <w:szCs w:val="21"/>
          <w:highlight w:val="none"/>
          <w:u w:val="single"/>
          <w:lang w:val="en-US" w:eastAsia="zh-CN"/>
        </w:rPr>
        <w:t>2026</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 xml:space="preserve"> 3  </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 xml:space="preserve">  2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14:paraId="59EBE725">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Times New Roman"/>
          <w:color w:val="auto"/>
          <w:szCs w:val="21"/>
          <w:highlight w:val="none"/>
          <w:u w:val="single"/>
          <w:lang w:val="en-US" w:eastAsia="zh-CN"/>
        </w:rPr>
        <w:t>2026</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 xml:space="preserve"> 3  </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 xml:space="preserve"> 2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bookmarkStart w:id="869" w:name="_GoBack"/>
      <w:bookmarkEnd w:id="869"/>
    </w:p>
    <w:p w14:paraId="574ABB76">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szCs w:val="21"/>
          <w:highlight w:val="none"/>
          <w:u w:val="single"/>
          <w:lang w:val="en-US" w:eastAsia="zh-CN"/>
        </w:rPr>
        <w:t xml:space="preserve"> 东莞市南城区塘贝北路福特大厦A区811 </w:t>
      </w:r>
      <w:r>
        <w:rPr>
          <w:rFonts w:hint="eastAsia" w:ascii="宋体" w:hAnsi="宋体" w:eastAsia="宋体" w:cs="Times New Roman"/>
          <w:color w:val="auto"/>
          <w:kern w:val="0"/>
          <w:szCs w:val="21"/>
          <w:highlight w:val="none"/>
        </w:rPr>
        <w:t>。</w:t>
      </w:r>
    </w:p>
    <w:p w14:paraId="06B3B60E">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75F9E5D9">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312F0BBD">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74077C5A">
      <w:pPr>
        <w:keepNext w:val="0"/>
        <w:keepLines w:val="0"/>
        <w:pageBreakBefore w:val="0"/>
        <w:widowControl w:val="0"/>
        <w:numPr>
          <w:ilvl w:val="0"/>
          <w:numId w:val="1"/>
        </w:numPr>
        <w:kinsoku w:val="0"/>
        <w:wordWrap w:val="0"/>
        <w:overflowPunct/>
        <w:topLinePunct w:val="0"/>
        <w:autoSpaceDE w:val="0"/>
        <w:autoSpaceDN w:val="0"/>
        <w:bidi w:val="0"/>
        <w:adjustRightInd w:val="0"/>
        <w:snapToGrid w:val="0"/>
        <w:spacing w:line="360" w:lineRule="auto"/>
        <w:ind w:left="363" w:right="-34" w:hanging="363"/>
        <w:jc w:val="left"/>
        <w:textAlignment w:val="auto"/>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本项目相关公告在以下媒介发布：全国公共资源交易平台（广东省·东莞市）（https://ygp.gdzwfw.gov.cn/#/441900/index）</w:t>
      </w:r>
      <w:r>
        <w:rPr>
          <w:rFonts w:hint="eastAsia" w:ascii="宋体" w:hAnsi="宋体" w:eastAsia="宋体" w:cs="Times New Roman"/>
          <w:bCs/>
          <w:color w:val="000000" w:themeColor="text1"/>
          <w:szCs w:val="21"/>
          <w:highlight w:val="none"/>
          <w:lang w:eastAsia="zh-CN"/>
          <w14:textFill>
            <w14:solidFill>
              <w14:schemeClr w14:val="tx1"/>
            </w14:solidFill>
          </w14:textFill>
        </w:rPr>
        <w:t>、</w:t>
      </w:r>
      <w:r>
        <w:rPr>
          <w:rFonts w:hint="eastAsia" w:ascii="宋体" w:hAnsi="宋体" w:eastAsia="宋体" w:cs="Times New Roman"/>
          <w:bCs/>
          <w:color w:val="000000" w:themeColor="text1"/>
          <w:szCs w:val="21"/>
          <w:highlight w:val="none"/>
          <w14:textFill>
            <w14:solidFill>
              <w14:schemeClr w14:val="tx1"/>
            </w14:solidFill>
          </w14:textFill>
        </w:rPr>
        <w:t>中国招标投标公共服务平台（www.cebpubservice.com）、东莞市水务环境投资控股集团有限公司网（www.dgweg.cn）、招标代理</w:t>
      </w:r>
      <w:r>
        <w:rPr>
          <w:rFonts w:hint="eastAsia" w:ascii="宋体" w:hAnsi="宋体" w:eastAsia="宋体" w:cs="Times New Roman"/>
          <w:bCs/>
          <w:color w:val="000000" w:themeColor="text1"/>
          <w:szCs w:val="21"/>
          <w:highlight w:val="none"/>
          <w:lang w:val="en-US" w:eastAsia="zh-CN"/>
          <w14:textFill>
            <w14:solidFill>
              <w14:schemeClr w14:val="tx1"/>
            </w14:solidFill>
          </w14:textFill>
        </w:rPr>
        <w:t>机构</w:t>
      </w:r>
      <w:r>
        <w:rPr>
          <w:rFonts w:hint="eastAsia" w:ascii="宋体" w:hAnsi="宋体" w:eastAsia="宋体" w:cs="Times New Roman"/>
          <w:bCs/>
          <w:color w:val="000000" w:themeColor="text1"/>
          <w:szCs w:val="21"/>
          <w:highlight w:val="none"/>
          <w14:textFill>
            <w14:solidFill>
              <w14:schemeClr w14:val="tx1"/>
            </w14:solidFill>
          </w14:textFill>
        </w:rPr>
        <w:t>网站（</w:t>
      </w:r>
      <w:r>
        <w:rPr>
          <w:rFonts w:hint="eastAsia" w:ascii="宋体" w:hAnsi="宋体" w:eastAsia="宋体" w:cs="Times New Roman"/>
          <w:color w:val="auto"/>
          <w:szCs w:val="21"/>
          <w:highlight w:val="none"/>
          <w:lang w:val="en-US" w:eastAsia="zh-CN"/>
        </w:rPr>
        <w:t>http://www.gxtzfz.cn/</w:t>
      </w:r>
      <w:r>
        <w:rPr>
          <w:rFonts w:ascii="宋体" w:hAnsi="宋体" w:eastAsia="宋体" w:cs="Times New Roman"/>
          <w:bCs/>
          <w:color w:val="000000" w:themeColor="text1"/>
          <w:szCs w:val="21"/>
          <w:highlight w:val="none"/>
          <w14:textFill>
            <w14:solidFill>
              <w14:schemeClr w14:val="tx1"/>
            </w14:solidFill>
          </w14:textFill>
        </w:rPr>
        <w:t>）</w:t>
      </w:r>
      <w:r>
        <w:rPr>
          <w:rFonts w:ascii="宋体" w:hAnsi="宋体" w:eastAsia="宋体" w:cs="Times New Roman"/>
          <w:color w:val="auto"/>
          <w:szCs w:val="21"/>
          <w:highlight w:val="none"/>
          <w:lang w:val="zh-CN"/>
        </w:rPr>
        <w:t>。</w:t>
      </w:r>
    </w:p>
    <w:p w14:paraId="2183AE33">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461B801D">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22850B14">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东莞市水务环境投资控股集团供水有限公司</w:t>
      </w:r>
    </w:p>
    <w:p w14:paraId="189D3A90">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东莞市莞城街道莞龙路141号</w:t>
      </w:r>
    </w:p>
    <w:p w14:paraId="50F917E2">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谢沛东</w:t>
      </w:r>
    </w:p>
    <w:p w14:paraId="13808FC5">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0769-2268908</w:t>
      </w:r>
    </w:p>
    <w:p w14:paraId="41C35478">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6E00A140">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p>
    <w:p w14:paraId="15950ECC">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4" w:name="_Toc31764_WPSOffice_Level1"/>
      <w:bookmarkStart w:id="5" w:name="_Toc486167661"/>
      <w:bookmarkStart w:id="6" w:name="_Toc450662847"/>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val="en-US" w:eastAsia="zh-CN"/>
        </w:rPr>
        <w:t xml:space="preserve">广西同泽工程项目管理股份有限公司 </w:t>
      </w:r>
    </w:p>
    <w:p w14:paraId="5234DDE9">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地  址：</w:t>
      </w:r>
      <w:r>
        <w:rPr>
          <w:rFonts w:hint="eastAsia" w:ascii="宋体" w:hAnsi="宋体" w:eastAsia="宋体" w:cs="Times New Roman"/>
          <w:color w:val="auto"/>
          <w:szCs w:val="21"/>
          <w:highlight w:val="none"/>
          <w:u w:val="single"/>
          <w:lang w:val="en-US" w:eastAsia="zh-CN"/>
        </w:rPr>
        <w:t>东莞市南城区塘贝北路福特大厦A区811</w:t>
      </w:r>
      <w:r>
        <w:rPr>
          <w:rFonts w:hint="eastAsia" w:ascii="宋体" w:hAnsi="宋体" w:eastAsia="宋体" w:cs="Times New Roman"/>
          <w:color w:val="auto"/>
          <w:kern w:val="0"/>
          <w:szCs w:val="21"/>
          <w:highlight w:val="none"/>
          <w:lang w:val="en-US" w:eastAsia="zh-CN"/>
        </w:rPr>
        <w:t xml:space="preserve"> </w:t>
      </w:r>
    </w:p>
    <w:p w14:paraId="754FBC8F">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联系人：</w:t>
      </w:r>
      <w:r>
        <w:rPr>
          <w:rFonts w:hint="eastAsia" w:ascii="宋体" w:hAnsi="宋体" w:eastAsia="宋体" w:cs="宋体"/>
          <w:color w:val="auto"/>
          <w:kern w:val="0"/>
          <w:szCs w:val="21"/>
          <w:highlight w:val="none"/>
          <w:lang w:val="en-US" w:eastAsia="zh-CN"/>
        </w:rPr>
        <w:t>张晓彬</w:t>
      </w:r>
      <w:r>
        <w:rPr>
          <w:rFonts w:hint="eastAsia" w:ascii="宋体" w:hAnsi="宋体" w:eastAsia="宋体" w:cs="Times New Roman"/>
          <w:color w:val="auto"/>
          <w:kern w:val="0"/>
          <w:szCs w:val="21"/>
          <w:highlight w:val="none"/>
          <w:lang w:val="en-US" w:eastAsia="zh-CN"/>
        </w:rPr>
        <w:t xml:space="preserve"> </w:t>
      </w:r>
    </w:p>
    <w:p w14:paraId="43407227">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宋体"/>
          <w:color w:val="auto"/>
          <w:kern w:val="0"/>
          <w:szCs w:val="21"/>
          <w:highlight w:val="none"/>
          <w:lang w:val="en-US" w:eastAsia="zh-CN"/>
        </w:rPr>
        <w:t>0769-21688191</w:t>
      </w:r>
      <w:r>
        <w:rPr>
          <w:rFonts w:hint="eastAsia" w:ascii="宋体" w:hAnsi="宋体" w:eastAsia="宋体" w:cs="Times New Roman"/>
          <w:color w:val="auto"/>
          <w:kern w:val="0"/>
          <w:szCs w:val="21"/>
          <w:highlight w:val="none"/>
          <w:lang w:val="en-US" w:eastAsia="zh-CN"/>
        </w:rPr>
        <w:t xml:space="preserve"> </w:t>
      </w:r>
    </w:p>
    <w:p w14:paraId="5AA724DC">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7" w:name="_Toc24735"/>
      <w:bookmarkStart w:id="8" w:name="_Toc11703"/>
      <w:bookmarkStart w:id="9" w:name="_Toc142508311"/>
      <w:bookmarkStart w:id="10" w:name="_Toc1454"/>
      <w:bookmarkStart w:id="11" w:name="_Toc12475"/>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4"/>
      <w:bookmarkEnd w:id="5"/>
      <w:bookmarkEnd w:id="6"/>
      <w:bookmarkEnd w:id="7"/>
      <w:bookmarkEnd w:id="8"/>
      <w:bookmarkEnd w:id="9"/>
      <w:bookmarkEnd w:id="10"/>
      <w:bookmarkEnd w:id="11"/>
    </w:p>
    <w:p w14:paraId="1E0DF2F9">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2" w:name="_Toc140596871"/>
      <w:bookmarkStart w:id="13" w:name="_Toc30360"/>
      <w:bookmarkStart w:id="14" w:name="_Toc25920"/>
      <w:bookmarkStart w:id="15" w:name="_Toc16098"/>
      <w:bookmarkStart w:id="16" w:name="_Toc142508312"/>
      <w:bookmarkStart w:id="17" w:name="_Toc450662848"/>
      <w:bookmarkStart w:id="18" w:name="_Toc15366_WPSOffice_Level2"/>
      <w:bookmarkStart w:id="19" w:name="_Toc22004"/>
      <w:bookmarkStart w:id="20" w:name="_Toc486167662"/>
      <w:r>
        <w:rPr>
          <w:rFonts w:hint="eastAsia" w:ascii="宋体" w:hAnsi="宋体" w:eastAsia="宋体" w:cs="宋体"/>
          <w:b/>
          <w:bCs/>
          <w:color w:val="auto"/>
          <w:kern w:val="44"/>
          <w:szCs w:val="21"/>
          <w:highlight w:val="none"/>
          <w:lang w:val="zh-CN"/>
        </w:rPr>
        <w:t>一、总则</w:t>
      </w:r>
      <w:bookmarkEnd w:id="12"/>
      <w:bookmarkEnd w:id="13"/>
      <w:bookmarkEnd w:id="14"/>
      <w:bookmarkEnd w:id="15"/>
      <w:bookmarkEnd w:id="16"/>
      <w:bookmarkEnd w:id="17"/>
      <w:bookmarkEnd w:id="18"/>
      <w:bookmarkEnd w:id="19"/>
      <w:bookmarkEnd w:id="20"/>
    </w:p>
    <w:p w14:paraId="4506FD6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 w:name="_Toc486167663"/>
      <w:bookmarkStart w:id="22" w:name="_Toc142508313"/>
      <w:bookmarkStart w:id="23" w:name="_Toc21871"/>
      <w:bookmarkStart w:id="24" w:name="_Toc22130"/>
      <w:bookmarkStart w:id="25" w:name="_Toc15928"/>
      <w:bookmarkStart w:id="26" w:name="_Toc21710_WPSOffice_Level3"/>
      <w:bookmarkStart w:id="27" w:name="_Toc450662849"/>
      <w:bookmarkStart w:id="28" w:name="_Toc16700"/>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1"/>
      <w:bookmarkEnd w:id="22"/>
      <w:bookmarkEnd w:id="23"/>
      <w:bookmarkEnd w:id="24"/>
      <w:bookmarkEnd w:id="25"/>
      <w:bookmarkEnd w:id="26"/>
      <w:bookmarkEnd w:id="27"/>
      <w:bookmarkEnd w:id="28"/>
    </w:p>
    <w:p w14:paraId="6D1BEAB3">
      <w:pPr>
        <w:autoSpaceDE w:val="0"/>
        <w:autoSpaceDN w:val="0"/>
        <w:adjustRightInd w:val="0"/>
        <w:jc w:val="left"/>
        <w:rPr>
          <w:rFonts w:ascii="宋体" w:hAnsi="宋体" w:eastAsia="宋体" w:cs="宋体"/>
          <w:color w:val="auto"/>
          <w:kern w:val="0"/>
          <w:sz w:val="24"/>
          <w:szCs w:val="24"/>
          <w:highlight w:val="none"/>
        </w:rPr>
      </w:pPr>
    </w:p>
    <w:p w14:paraId="46ADCDE4">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9" w:name="_Toc15180"/>
      <w:bookmarkStart w:id="30" w:name="_Toc450662850"/>
      <w:bookmarkStart w:id="31" w:name="_Toc80_WPSOffice_Level3"/>
      <w:bookmarkStart w:id="32" w:name="_Toc486167664"/>
      <w:bookmarkStart w:id="33" w:name="_Toc142508314"/>
      <w:bookmarkStart w:id="34" w:name="_Toc5550"/>
      <w:bookmarkStart w:id="35" w:name="_Toc27011"/>
      <w:bookmarkStart w:id="36" w:name="_Toc13891"/>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29"/>
      <w:bookmarkEnd w:id="30"/>
      <w:bookmarkEnd w:id="31"/>
      <w:bookmarkEnd w:id="32"/>
      <w:bookmarkEnd w:id="33"/>
      <w:bookmarkEnd w:id="34"/>
      <w:bookmarkEnd w:id="35"/>
      <w:bookmarkEnd w:id="36"/>
    </w:p>
    <w:p w14:paraId="0093F94D">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5FB994E2">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2808907C">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28154934">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562D8792">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4101AE30">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770DE1AC">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7" w:name="_Toc32059"/>
      <w:bookmarkStart w:id="38" w:name="_Toc61"/>
      <w:bookmarkStart w:id="39" w:name="_Toc4257"/>
      <w:bookmarkStart w:id="40" w:name="_Toc8199"/>
      <w:bookmarkStart w:id="41" w:name="_Toc142508315"/>
      <w:bookmarkStart w:id="42" w:name="_Toc23847_WPSOffice_Level3"/>
      <w:bookmarkStart w:id="43" w:name="_Toc486167665"/>
      <w:bookmarkStart w:id="44"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37"/>
      <w:bookmarkEnd w:id="38"/>
      <w:bookmarkEnd w:id="39"/>
      <w:bookmarkEnd w:id="40"/>
      <w:bookmarkEnd w:id="41"/>
      <w:bookmarkEnd w:id="42"/>
    </w:p>
    <w:p w14:paraId="61FCA9E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1074962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5" w:name="_Toc1977663"/>
      <w:bookmarkStart w:id="46" w:name="_Toc5337080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45"/>
    <w:bookmarkEnd w:id="46"/>
    <w:p w14:paraId="6A172F7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7" w:name="_Toc533708064"/>
      <w:bookmarkStart w:id="48" w:name="_Toc1977664"/>
      <w:r>
        <w:rPr>
          <w:rFonts w:hint="eastAsia" w:ascii="宋体" w:hAnsi="宋体" w:eastAsia="宋体" w:cs="宋体"/>
          <w:color w:val="auto"/>
          <w:szCs w:val="21"/>
          <w:highlight w:val="none"/>
          <w:lang w:val="zh-CN"/>
        </w:rPr>
        <w:t xml:space="preserve">3.3  </w:t>
      </w:r>
      <w:bookmarkEnd w:id="47"/>
      <w:bookmarkEnd w:id="48"/>
      <w:bookmarkStart w:id="49" w:name="_Toc1977665"/>
      <w:bookmarkStart w:id="50" w:name="_Toc5337080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49"/>
      <w:bookmarkEnd w:id="50"/>
    </w:p>
    <w:p w14:paraId="7FE76D80">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51" w:name="_Toc533708066"/>
      <w:bookmarkStart w:id="52"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w:t>
      </w:r>
      <w:r>
        <w:rPr>
          <w:rFonts w:hint="eastAsia" w:ascii="宋体" w:hAnsi="宋体" w:eastAsia="宋体" w:cs="Times New Roman"/>
          <w:color w:val="auto"/>
          <w:kern w:val="0"/>
          <w:szCs w:val="21"/>
          <w:highlight w:val="none"/>
          <w:lang w:eastAsia="zh-CN"/>
        </w:rPr>
        <w:t>须</w:t>
      </w:r>
      <w:r>
        <w:rPr>
          <w:rFonts w:hint="eastAsia" w:ascii="宋体" w:hAnsi="宋体" w:eastAsia="宋体" w:cs="Times New Roman"/>
          <w:color w:val="auto"/>
          <w:kern w:val="0"/>
          <w:szCs w:val="21"/>
          <w:highlight w:val="none"/>
          <w:lang w:val="en-US" w:eastAsia="zh-CN"/>
        </w:rPr>
        <w:t>是</w:t>
      </w:r>
      <w:r>
        <w:rPr>
          <w:rFonts w:hint="eastAsia" w:ascii="宋体" w:hAnsi="宋体" w:eastAsia="宋体" w:cs="Times New Roman"/>
          <w:color w:val="auto"/>
          <w:kern w:val="0"/>
          <w:szCs w:val="21"/>
          <w:highlight w:val="none"/>
        </w:rPr>
        <w:t>具有合法的进口手续和途径，并通过了中华人民共和国商检部门的检验。中标人负责办理所有货物的进口及商检手续，并承担相关费用，还应提供原产地证书、报关资料及检验检疫证明、完税证明。</w:t>
      </w:r>
    </w:p>
    <w:bookmarkEnd w:id="51"/>
    <w:bookmarkEnd w:id="52"/>
    <w:p w14:paraId="60D0AFD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3" w:name="_Toc533708067"/>
      <w:bookmarkStart w:id="54" w:name="_Toc19776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w:t>
      </w:r>
      <w:r>
        <w:rPr>
          <w:rFonts w:hint="eastAsia" w:ascii="宋体" w:hAnsi="宋体" w:eastAsia="宋体" w:cs="Times New Roman"/>
          <w:color w:val="auto"/>
          <w:kern w:val="0"/>
          <w:szCs w:val="21"/>
          <w:highlight w:val="none"/>
          <w:lang w:val="en-US" w:eastAsia="zh-CN"/>
        </w:rPr>
        <w:t>其它</w:t>
      </w:r>
      <w:r>
        <w:rPr>
          <w:rFonts w:hint="eastAsia" w:ascii="宋体" w:hAnsi="宋体" w:eastAsia="宋体" w:cs="Times New Roman"/>
          <w:color w:val="auto"/>
          <w:kern w:val="0"/>
          <w:szCs w:val="21"/>
          <w:highlight w:val="none"/>
        </w:rPr>
        <w:t>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53"/>
      <w:bookmarkEnd w:id="54"/>
    </w:p>
    <w:p w14:paraId="5797668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5" w:name="_Toc533708068"/>
      <w:bookmarkStart w:id="56"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55"/>
      <w:bookmarkEnd w:id="56"/>
    </w:p>
    <w:p w14:paraId="6A580FA5">
      <w:pPr>
        <w:autoSpaceDE w:val="0"/>
        <w:autoSpaceDN w:val="0"/>
        <w:adjustRightInd w:val="0"/>
        <w:spacing w:line="360" w:lineRule="auto"/>
        <w:jc w:val="left"/>
        <w:rPr>
          <w:rFonts w:ascii="宋体" w:hAnsi="宋体" w:eastAsia="宋体" w:cs="宋体"/>
          <w:color w:val="auto"/>
          <w:szCs w:val="21"/>
          <w:highlight w:val="none"/>
          <w:lang w:val="zh-CN"/>
        </w:rPr>
      </w:pPr>
    </w:p>
    <w:p w14:paraId="1EBE4C53">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7" w:name="_Toc6961"/>
      <w:bookmarkStart w:id="58" w:name="_Toc15238"/>
      <w:bookmarkStart w:id="59" w:name="_Toc9658_WPSOffice_Level3"/>
      <w:bookmarkStart w:id="60" w:name="_Toc142508316"/>
      <w:bookmarkStart w:id="61" w:name="_Toc23394"/>
      <w:bookmarkStart w:id="62" w:name="_Toc20936"/>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w:t>
      </w:r>
      <w:r>
        <w:rPr>
          <w:rFonts w:hint="eastAsia" w:ascii="宋体" w:hAnsi="宋体" w:eastAsia="宋体" w:cs="宋体"/>
          <w:color w:val="auto"/>
          <w:szCs w:val="21"/>
          <w:highlight w:val="none"/>
          <w:lang w:val="en-US" w:eastAsia="zh-CN"/>
        </w:rPr>
        <w:t>它</w:t>
      </w:r>
      <w:r>
        <w:rPr>
          <w:rFonts w:hint="eastAsia" w:ascii="宋体" w:hAnsi="宋体" w:eastAsia="宋体" w:cs="宋体"/>
          <w:color w:val="auto"/>
          <w:szCs w:val="21"/>
          <w:highlight w:val="none"/>
          <w:lang w:val="zh-CN"/>
        </w:rPr>
        <w:t>说明</w:t>
      </w:r>
      <w:bookmarkEnd w:id="57"/>
      <w:bookmarkEnd w:id="58"/>
      <w:bookmarkEnd w:id="59"/>
      <w:bookmarkEnd w:id="60"/>
      <w:bookmarkEnd w:id="61"/>
      <w:bookmarkEnd w:id="62"/>
    </w:p>
    <w:p w14:paraId="2272BD5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3" w:name="_Toc1977670"/>
      <w:bookmarkStart w:id="64" w:name="_Toc533708070"/>
      <w:r>
        <w:rPr>
          <w:rFonts w:hint="eastAsia" w:ascii="宋体" w:hAnsi="宋体" w:eastAsia="宋体" w:cs="宋体"/>
          <w:color w:val="auto"/>
          <w:szCs w:val="21"/>
          <w:highlight w:val="none"/>
          <w:lang w:val="zh-CN"/>
        </w:rPr>
        <w:t>4.1  投标费用</w:t>
      </w:r>
      <w:bookmarkEnd w:id="63"/>
      <w:bookmarkEnd w:id="64"/>
    </w:p>
    <w:p w14:paraId="3ED2C0B4">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65" w:name="_Toc1977672"/>
      <w:bookmarkStart w:id="66" w:name="_Toc5337080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65"/>
      <w:bookmarkEnd w:id="66"/>
    </w:p>
    <w:p w14:paraId="43E85C2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7" w:name="_Toc533708073"/>
      <w:bookmarkStart w:id="68" w:name="_Toc1977673"/>
      <w:r>
        <w:rPr>
          <w:rFonts w:hint="eastAsia" w:ascii="宋体" w:hAnsi="宋体" w:eastAsia="宋体" w:cs="宋体"/>
          <w:color w:val="auto"/>
          <w:szCs w:val="21"/>
          <w:highlight w:val="none"/>
          <w:lang w:val="zh-CN"/>
        </w:rPr>
        <w:t>4.2  踏勘现场</w:t>
      </w:r>
      <w:bookmarkEnd w:id="67"/>
      <w:bookmarkEnd w:id="68"/>
    </w:p>
    <w:p w14:paraId="018DBFD7">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69" w:name="_Toc1977676"/>
      <w:bookmarkStart w:id="70" w:name="_Toc533708076"/>
      <w:r>
        <w:rPr>
          <w:rFonts w:hint="eastAsia" w:ascii="宋体" w:hAnsi="宋体" w:eastAsia="宋体" w:cs="Times New Roman"/>
          <w:color w:val="auto"/>
          <w:kern w:val="0"/>
          <w:szCs w:val="21"/>
          <w:highlight w:val="none"/>
        </w:rPr>
        <w:t>（1）本项目不组织集中踏勘现场和答疑，投标人应自行到实地踏勘考察。</w:t>
      </w:r>
    </w:p>
    <w:p w14:paraId="5FFFA21F">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41C7C380">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15AC3437">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49DA461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43"/>
      <w:bookmarkEnd w:id="44"/>
      <w:bookmarkEnd w:id="69"/>
      <w:bookmarkEnd w:id="70"/>
    </w:p>
    <w:p w14:paraId="1A90615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0EB4C46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2AF2D4E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2752A3B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5AF99AE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12C5C79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6847727D">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276D9E11">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71" w:name="_Toc30507_WPSOffice_Level2"/>
      <w:bookmarkStart w:id="72" w:name="_Toc142508317"/>
      <w:bookmarkStart w:id="73" w:name="_Toc9339"/>
      <w:bookmarkStart w:id="74" w:name="_Toc1482"/>
      <w:bookmarkStart w:id="75" w:name="_Toc29214"/>
      <w:bookmarkStart w:id="76" w:name="_Toc140596876"/>
      <w:bookmarkStart w:id="77" w:name="_Toc486167667"/>
      <w:bookmarkStart w:id="78" w:name="_Toc6222"/>
      <w:bookmarkStart w:id="79" w:name="_Toc450662853"/>
      <w:r>
        <w:rPr>
          <w:rFonts w:hint="eastAsia" w:ascii="宋体" w:hAnsi="宋体" w:eastAsia="宋体" w:cs="宋体"/>
          <w:b/>
          <w:bCs/>
          <w:color w:val="auto"/>
          <w:kern w:val="44"/>
          <w:szCs w:val="21"/>
          <w:highlight w:val="none"/>
          <w:lang w:val="zh-CN"/>
        </w:rPr>
        <w:t>二、招标文件</w:t>
      </w:r>
      <w:bookmarkEnd w:id="71"/>
      <w:bookmarkEnd w:id="72"/>
      <w:bookmarkEnd w:id="73"/>
      <w:bookmarkEnd w:id="74"/>
      <w:bookmarkEnd w:id="75"/>
      <w:bookmarkEnd w:id="76"/>
      <w:bookmarkEnd w:id="77"/>
      <w:bookmarkEnd w:id="78"/>
      <w:bookmarkEnd w:id="79"/>
    </w:p>
    <w:p w14:paraId="5A227B9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0" w:name="_Toc142508318"/>
      <w:bookmarkStart w:id="81" w:name="_Toc31963"/>
      <w:bookmarkStart w:id="82" w:name="_Toc28179"/>
      <w:bookmarkStart w:id="83" w:name="_Toc26635_WPSOffice_Level3"/>
      <w:bookmarkStart w:id="84" w:name="_Toc32426"/>
      <w:bookmarkStart w:id="85" w:name="_Toc486167668"/>
      <w:bookmarkStart w:id="86" w:name="_Toc450662854"/>
      <w:bookmarkStart w:id="87" w:name="_Toc3887"/>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80"/>
      <w:bookmarkEnd w:id="81"/>
      <w:bookmarkEnd w:id="82"/>
      <w:bookmarkEnd w:id="83"/>
      <w:bookmarkEnd w:id="84"/>
      <w:bookmarkEnd w:id="85"/>
      <w:bookmarkEnd w:id="86"/>
      <w:bookmarkEnd w:id="87"/>
    </w:p>
    <w:p w14:paraId="7CD6AE0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49C0AC54">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2C805B9A">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40EEEF5C">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2D88A743">
      <w:pPr>
        <w:tabs>
          <w:tab w:val="left" w:pos="1890"/>
        </w:tabs>
        <w:autoSpaceDE w:val="0"/>
        <w:autoSpaceDN w:val="0"/>
        <w:adjustRightInd w:val="0"/>
        <w:spacing w:line="360" w:lineRule="auto"/>
        <w:ind w:firstLine="424" w:firstLineChars="202"/>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zh-CN"/>
        </w:rPr>
        <w:t>第四篇 合同条款</w:t>
      </w:r>
      <w:r>
        <w:rPr>
          <w:rFonts w:hint="eastAsia" w:ascii="宋体" w:hAnsi="宋体" w:eastAsia="宋体" w:cs="Times New Roman"/>
          <w:color w:val="auto"/>
          <w:szCs w:val="21"/>
          <w:highlight w:val="none"/>
          <w:lang w:val="en-US" w:eastAsia="zh-CN"/>
        </w:rPr>
        <w:t>格式</w:t>
      </w:r>
    </w:p>
    <w:p w14:paraId="4F83686D">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04F0730D">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5527622D">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4BE49753">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389CCA76">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7389C67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宋体"/>
          <w:color w:val="auto"/>
          <w:kern w:val="0"/>
          <w:szCs w:val="21"/>
          <w:highlight w:val="none"/>
        </w:rPr>
        <w:t>指</w:t>
      </w:r>
      <w:r>
        <w:rPr>
          <w:rFonts w:hint="eastAsia" w:ascii="宋体" w:hAnsi="宋体" w:eastAsia="宋体" w:cs="宋体"/>
          <w:color w:val="auto"/>
          <w:kern w:val="0"/>
          <w:szCs w:val="21"/>
          <w:highlight w:val="none"/>
          <w:lang w:eastAsia="zh-CN"/>
        </w:rPr>
        <w:t>东莞市水务环境投资控股集团供水有限公司</w:t>
      </w:r>
      <w:r>
        <w:rPr>
          <w:rFonts w:hint="eastAsia" w:ascii="宋体" w:hAnsi="宋体" w:eastAsia="宋体" w:cs="Times New Roman"/>
          <w:color w:val="auto"/>
          <w:kern w:val="0"/>
          <w:szCs w:val="21"/>
          <w:highlight w:val="none"/>
        </w:rPr>
        <w:t>；</w:t>
      </w:r>
    </w:p>
    <w:p w14:paraId="6B2F639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val="en-US" w:eastAsia="zh-CN"/>
        </w:rPr>
        <w:t>指</w:t>
      </w:r>
      <w:r>
        <w:rPr>
          <w:rFonts w:hint="eastAsia" w:ascii="宋体" w:hAnsi="宋体" w:eastAsia="宋体" w:cs="宋体"/>
          <w:color w:val="auto"/>
          <w:kern w:val="0"/>
          <w:szCs w:val="21"/>
          <w:highlight w:val="none"/>
          <w:lang w:val="en-US" w:eastAsia="zh-CN"/>
        </w:rPr>
        <w:t>广西同泽工程项目管理股份有限公司</w:t>
      </w:r>
      <w:r>
        <w:rPr>
          <w:rFonts w:hint="eastAsia" w:ascii="宋体" w:hAnsi="宋体" w:eastAsia="宋体" w:cs="Times New Roman"/>
          <w:color w:val="auto"/>
          <w:kern w:val="0"/>
          <w:szCs w:val="21"/>
          <w:highlight w:val="none"/>
        </w:rPr>
        <w:t>；</w:t>
      </w:r>
    </w:p>
    <w:p w14:paraId="4967A92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宋体"/>
          <w:color w:val="auto"/>
          <w:kern w:val="2"/>
          <w:sz w:val="21"/>
          <w:szCs w:val="21"/>
          <w:highlight w:val="none"/>
          <w:lang w:val="en-US" w:eastAsia="zh-CN"/>
        </w:rPr>
        <w:t>东莞市供水计量设施更新项目（2026-2027年计量仪表）</w:t>
      </w:r>
      <w:r>
        <w:rPr>
          <w:rFonts w:hint="eastAsia" w:ascii="宋体" w:hAnsi="宋体" w:eastAsia="宋体" w:cs="Times New Roman"/>
          <w:color w:val="auto"/>
          <w:kern w:val="0"/>
          <w:szCs w:val="21"/>
          <w:highlight w:val="none"/>
          <w:lang w:eastAsia="zh-CN"/>
        </w:rPr>
        <w:t>－</w:t>
      </w:r>
      <w:r>
        <w:rPr>
          <w:rFonts w:hint="eastAsia" w:ascii="宋体" w:hAnsi="宋体" w:eastAsia="宋体" w:cs="宋体"/>
          <w:color w:val="auto"/>
          <w:kern w:val="2"/>
          <w:sz w:val="21"/>
          <w:szCs w:val="21"/>
          <w:highlight w:val="none"/>
          <w:lang w:val="en-US" w:eastAsia="zh-CN"/>
        </w:rPr>
        <w:t>电磁水表</w:t>
      </w:r>
      <w:r>
        <w:rPr>
          <w:rFonts w:hint="eastAsia" w:ascii="宋体" w:hAnsi="宋体" w:eastAsia="宋体" w:cs="Times New Roman"/>
          <w:color w:val="auto"/>
          <w:kern w:val="0"/>
          <w:szCs w:val="21"/>
          <w:highlight w:val="none"/>
        </w:rPr>
        <w:t>所需的货物及有关服务的投标，并向招标代理机构提交投标文件的当事人；</w:t>
      </w:r>
    </w:p>
    <w:p w14:paraId="1D2D5D3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71AAD7E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14:paraId="3283A89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宋体"/>
          <w:color w:val="auto"/>
          <w:kern w:val="0"/>
          <w:szCs w:val="21"/>
          <w:highlight w:val="none"/>
        </w:rPr>
        <w:t>东莞市水务环境投资控股集团供水有限公司</w:t>
      </w:r>
      <w:r>
        <w:rPr>
          <w:rFonts w:hint="eastAsia" w:ascii="宋体" w:hAnsi="宋体" w:eastAsia="宋体" w:cs="Times New Roman"/>
          <w:color w:val="auto"/>
          <w:kern w:val="0"/>
          <w:szCs w:val="21"/>
          <w:highlight w:val="none"/>
        </w:rPr>
        <w:t>；</w:t>
      </w:r>
    </w:p>
    <w:p w14:paraId="2D3AEBC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6940452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w:t>
      </w:r>
      <w:r>
        <w:rPr>
          <w:rFonts w:hint="eastAsia" w:ascii="宋体" w:hAnsi="宋体" w:eastAsia="宋体" w:cs="Times New Roman"/>
          <w:color w:val="auto"/>
          <w:kern w:val="0"/>
          <w:szCs w:val="21"/>
          <w:highlight w:val="none"/>
          <w:lang w:val="en-US" w:eastAsia="zh-CN"/>
        </w:rPr>
        <w:t>由</w:t>
      </w:r>
      <w:r>
        <w:rPr>
          <w:rFonts w:hint="eastAsia" w:ascii="宋体" w:hAnsi="宋体" w:eastAsia="宋体" w:cs="Times New Roman"/>
          <w:color w:val="auto"/>
          <w:kern w:val="0"/>
          <w:szCs w:val="21"/>
          <w:highlight w:val="none"/>
        </w:rPr>
        <w:t>招标公告和招标文件及其补充、变更和澄清等一系列文件；</w:t>
      </w:r>
    </w:p>
    <w:p w14:paraId="5486ECA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031A309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34210A1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315A6AF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090E6CD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0EA7819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w:t>
      </w:r>
      <w:r>
        <w:rPr>
          <w:rFonts w:hint="eastAsia" w:ascii="宋体" w:hAnsi="宋体" w:eastAsia="宋体" w:cs="Times New Roman"/>
          <w:color w:val="auto"/>
          <w:kern w:val="2"/>
          <w:sz w:val="21"/>
          <w:szCs w:val="21"/>
          <w:highlight w:val="none"/>
          <w:lang w:val="en-US" w:eastAsia="zh-CN" w:bidi="ar-SA"/>
        </w:rPr>
        <w:t>《中华人民共和国增值税法》及其实施条例</w:t>
      </w:r>
      <w:r>
        <w:rPr>
          <w:rFonts w:hint="eastAsia" w:ascii="宋体" w:hAnsi="宋体" w:eastAsia="宋体" w:cs="宋体"/>
          <w:color w:val="auto"/>
          <w:kern w:val="0"/>
          <w:szCs w:val="21"/>
          <w:highlight w:val="none"/>
        </w:rPr>
        <w:t>规定</w:t>
      </w:r>
      <w:r>
        <w:rPr>
          <w:rFonts w:hint="eastAsia" w:ascii="宋体" w:hAnsi="宋体" w:eastAsia="宋体" w:cs="Times New Roman"/>
          <w:color w:val="auto"/>
          <w:kern w:val="0"/>
          <w:szCs w:val="21"/>
          <w:highlight w:val="none"/>
        </w:rPr>
        <w:t>的销售额。本招标文件所称的不含税价和不含税合同价是指不含本采购项目投标人的销项税额，包含了投标人完成合同义务（含投标人代缴代扣、分包及委外服务、采购货物等所产生的价税）的其他全部费用。本采购项目投标人的销项税额由</w:t>
      </w:r>
      <w:r>
        <w:rPr>
          <w:rFonts w:hint="eastAsia" w:ascii="宋体" w:hAnsi="宋体" w:eastAsia="宋体" w:cs="宋体"/>
          <w:color w:val="auto"/>
          <w:szCs w:val="21"/>
          <w:highlight w:val="none"/>
          <w:lang w:val="zh-CN"/>
        </w:rPr>
        <w:t>招标人</w:t>
      </w:r>
      <w:r>
        <w:rPr>
          <w:rFonts w:hint="eastAsia" w:ascii="宋体" w:hAnsi="宋体" w:eastAsia="宋体" w:cs="宋体"/>
          <w:color w:val="auto"/>
          <w:szCs w:val="21"/>
          <w:highlight w:val="none"/>
          <w:lang w:val="en-US" w:eastAsia="zh-CN"/>
        </w:rPr>
        <w:t>或招标人权属分公司</w:t>
      </w:r>
      <w:r>
        <w:rPr>
          <w:rFonts w:hint="eastAsia" w:ascii="宋体" w:hAnsi="宋体" w:eastAsia="宋体" w:cs="Times New Roman"/>
          <w:color w:val="auto"/>
          <w:kern w:val="0"/>
          <w:szCs w:val="21"/>
          <w:highlight w:val="none"/>
        </w:rPr>
        <w:t>承担，不计入投标报价。</w:t>
      </w:r>
    </w:p>
    <w:p w14:paraId="00687C5D">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21B47B2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8" w:name="_Toc486167669"/>
      <w:bookmarkStart w:id="89" w:name="_Toc19204"/>
      <w:bookmarkStart w:id="90" w:name="_Toc450662855"/>
      <w:bookmarkStart w:id="91" w:name="_Toc17998"/>
      <w:bookmarkStart w:id="92" w:name="_Toc18407"/>
      <w:bookmarkStart w:id="93" w:name="_Toc2435"/>
      <w:bookmarkStart w:id="94" w:name="_Toc142508319"/>
      <w:bookmarkStart w:id="95" w:name="_Toc29125_WPSOffice_Level3"/>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88"/>
      <w:bookmarkEnd w:id="89"/>
      <w:bookmarkEnd w:id="90"/>
      <w:bookmarkEnd w:id="91"/>
      <w:bookmarkEnd w:id="92"/>
      <w:bookmarkEnd w:id="93"/>
      <w:bookmarkEnd w:id="94"/>
      <w:bookmarkEnd w:id="95"/>
    </w:p>
    <w:p w14:paraId="4594B90D">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533B72DF">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0C30A9C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6" w:name="_Toc17243"/>
      <w:bookmarkStart w:id="97" w:name="_Toc26320"/>
      <w:bookmarkStart w:id="98" w:name="_Toc486167670"/>
      <w:bookmarkStart w:id="99" w:name="_Toc450662856"/>
      <w:bookmarkStart w:id="100" w:name="_Toc142508320"/>
      <w:bookmarkStart w:id="101" w:name="_Toc19618"/>
      <w:bookmarkStart w:id="102" w:name="_Toc24108"/>
      <w:bookmarkStart w:id="103" w:name="_Toc23483_WPSOffice_Level3"/>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96"/>
      <w:bookmarkEnd w:id="97"/>
      <w:bookmarkEnd w:id="98"/>
      <w:bookmarkEnd w:id="99"/>
      <w:bookmarkEnd w:id="100"/>
      <w:bookmarkEnd w:id="101"/>
      <w:bookmarkEnd w:id="102"/>
      <w:bookmarkEnd w:id="103"/>
    </w:p>
    <w:p w14:paraId="0E775F5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0F93128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058756ED">
      <w:pPr>
        <w:keepNext w:val="0"/>
        <w:keepLines w:val="0"/>
        <w:pageBreakBefore w:val="0"/>
        <w:widowControl w:val="0"/>
        <w:kinsoku/>
        <w:wordWrap w:val="0"/>
        <w:overflowPunct/>
        <w:topLinePunct w:val="0"/>
        <w:autoSpaceDE w:val="0"/>
        <w:autoSpaceDN w:val="0"/>
        <w:bidi w:val="0"/>
        <w:adjustRightInd w:val="0"/>
        <w:snapToGrid/>
        <w:spacing w:line="360" w:lineRule="auto"/>
        <w:ind w:left="357" w:leftChars="-100" w:hanging="567"/>
        <w:jc w:val="left"/>
        <w:textAlignment w:val="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7.3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招标文件的修改、补充通知在全国公共资源交易平台（广东省·东莞市）（https://ygp.gdzwfw.gov.cn/#/441900/index）、中国招标投标公共服务平台（</w:t>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"http://www.cebpubservice.com）、广东省招标投标监管"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www.cebpubservice.com）、</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eastAsia="zh-CN"/>
        </w:rPr>
        <w:t>东莞市水务环境投资控股集团有限公司</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"www.dgswjt.cn）、招标代理公司网站（http://%20%20%20%20%20%20%20%20%20%20%20%20%20%20）"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www.dgweg.cn）、招标代理机构网站（</w:t>
      </w:r>
      <w:r>
        <w:rPr>
          <w:rStyle w:val="45"/>
          <w:rFonts w:hint="eastAsia" w:ascii="宋体" w:hAnsi="宋体" w:eastAsia="宋体" w:cs="Times New Roman"/>
          <w:bCs/>
          <w:color w:val="auto"/>
          <w:kern w:val="0"/>
          <w:sz w:val="21"/>
          <w:szCs w:val="21"/>
          <w:highlight w:val="none"/>
        </w:rPr>
        <w:t>http://www.gxtzfz.cn/</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公布，请各投标人密切留意。</w:t>
      </w:r>
    </w:p>
    <w:p w14:paraId="7BE9C933">
      <w:pPr>
        <w:autoSpaceDE w:val="0"/>
        <w:autoSpaceDN w:val="0"/>
        <w:adjustRightInd w:val="0"/>
        <w:spacing w:line="360" w:lineRule="auto"/>
        <w:ind w:left="357" w:leftChars="-100" w:hanging="567"/>
        <w:rPr>
          <w:rFonts w:ascii="宋体" w:hAnsi="宋体" w:eastAsia="宋体" w:cs="宋体"/>
          <w:color w:val="auto"/>
          <w:szCs w:val="21"/>
          <w:highlight w:val="none"/>
        </w:rPr>
      </w:pPr>
    </w:p>
    <w:p w14:paraId="522860C7">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04" w:name="_Toc450662857"/>
      <w:bookmarkStart w:id="105" w:name="_Toc2222"/>
      <w:bookmarkStart w:id="106" w:name="_Toc4479"/>
      <w:bookmarkStart w:id="107" w:name="_Toc29659_WPSOffice_Level2"/>
      <w:bookmarkStart w:id="108" w:name="_Toc6039"/>
      <w:bookmarkStart w:id="109" w:name="_Toc486167671"/>
      <w:bookmarkStart w:id="110" w:name="_Toc17379"/>
      <w:bookmarkStart w:id="111" w:name="_Toc142508321"/>
      <w:bookmarkStart w:id="112" w:name="_Toc140596880"/>
      <w:r>
        <w:rPr>
          <w:rFonts w:hint="eastAsia" w:ascii="宋体" w:hAnsi="宋体" w:eastAsia="宋体" w:cs="宋体"/>
          <w:b/>
          <w:bCs/>
          <w:color w:val="auto"/>
          <w:kern w:val="44"/>
          <w:szCs w:val="21"/>
          <w:highlight w:val="none"/>
          <w:lang w:val="zh-CN"/>
        </w:rPr>
        <w:t>三、投标文件的编制</w:t>
      </w:r>
      <w:bookmarkEnd w:id="104"/>
      <w:bookmarkEnd w:id="105"/>
      <w:bookmarkEnd w:id="106"/>
      <w:bookmarkEnd w:id="107"/>
      <w:bookmarkEnd w:id="108"/>
      <w:bookmarkEnd w:id="109"/>
      <w:bookmarkEnd w:id="110"/>
      <w:bookmarkEnd w:id="111"/>
      <w:bookmarkEnd w:id="112"/>
    </w:p>
    <w:p w14:paraId="0A189167">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3" w:name="_Toc16966"/>
      <w:bookmarkStart w:id="114" w:name="_Toc142508322"/>
      <w:bookmarkStart w:id="115" w:name="_Toc450662858"/>
      <w:bookmarkStart w:id="116" w:name="_Toc25773"/>
      <w:bookmarkStart w:id="117" w:name="_Toc486167672"/>
      <w:bookmarkStart w:id="118" w:name="_Toc28883"/>
      <w:bookmarkStart w:id="119" w:name="_Toc32367"/>
      <w:bookmarkStart w:id="120" w:name="_Toc10015_WPSOffice_Level3"/>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13"/>
      <w:bookmarkEnd w:id="114"/>
      <w:bookmarkEnd w:id="115"/>
      <w:bookmarkEnd w:id="116"/>
      <w:bookmarkEnd w:id="117"/>
      <w:bookmarkEnd w:id="118"/>
      <w:bookmarkEnd w:id="119"/>
      <w:bookmarkEnd w:id="120"/>
    </w:p>
    <w:p w14:paraId="6460EF1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1F47FDA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20D25C55">
      <w:pPr>
        <w:autoSpaceDE w:val="0"/>
        <w:autoSpaceDN w:val="0"/>
        <w:adjustRightInd w:val="0"/>
        <w:spacing w:line="360" w:lineRule="auto"/>
        <w:rPr>
          <w:rFonts w:ascii="宋体" w:hAnsi="宋体" w:eastAsia="宋体" w:cs="宋体"/>
          <w:color w:val="auto"/>
          <w:szCs w:val="21"/>
          <w:highlight w:val="none"/>
          <w:lang w:val="zh-CN"/>
        </w:rPr>
      </w:pPr>
    </w:p>
    <w:p w14:paraId="6919D82C">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21" w:name="_Toc1879"/>
      <w:bookmarkStart w:id="122" w:name="_Toc450662859"/>
      <w:bookmarkStart w:id="123" w:name="_Toc4729"/>
      <w:bookmarkStart w:id="124" w:name="_Toc24916_WPSOffice_Level3"/>
      <w:bookmarkStart w:id="125" w:name="_Toc486167673"/>
      <w:bookmarkStart w:id="126" w:name="_Toc26596"/>
      <w:bookmarkStart w:id="127" w:name="_Toc28882"/>
      <w:bookmarkStart w:id="128" w:name="_Toc142508323"/>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21"/>
      <w:bookmarkEnd w:id="122"/>
      <w:bookmarkEnd w:id="123"/>
      <w:bookmarkEnd w:id="124"/>
      <w:bookmarkEnd w:id="125"/>
      <w:bookmarkEnd w:id="126"/>
      <w:bookmarkEnd w:id="127"/>
      <w:bookmarkEnd w:id="128"/>
    </w:p>
    <w:p w14:paraId="619FDCC5">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w:t>
      </w:r>
      <w:r>
        <w:rPr>
          <w:rFonts w:hint="eastAsia" w:ascii="宋体" w:hAnsi="宋体" w:eastAsia="宋体" w:cs="Times New Roman"/>
          <w:b/>
          <w:color w:val="auto"/>
          <w:kern w:val="0"/>
          <w:szCs w:val="21"/>
          <w:highlight w:val="none"/>
          <w:u w:val="single"/>
          <w:lang w:val="en-US" w:eastAsia="zh-CN"/>
        </w:rPr>
        <w:t>做</w:t>
      </w:r>
      <w:r>
        <w:rPr>
          <w:rFonts w:hint="eastAsia" w:ascii="宋体" w:hAnsi="宋体" w:eastAsia="宋体" w:cs="Times New Roman"/>
          <w:b/>
          <w:color w:val="auto"/>
          <w:kern w:val="0"/>
          <w:szCs w:val="21"/>
          <w:highlight w:val="none"/>
          <w:u w:val="single"/>
        </w:rPr>
        <w:t>限制</w:t>
      </w:r>
      <w:r>
        <w:rPr>
          <w:rFonts w:hint="eastAsia" w:ascii="宋体" w:hAnsi="宋体" w:eastAsia="宋体" w:cs="Times New Roman"/>
          <w:b/>
          <w:color w:val="auto"/>
          <w:kern w:val="0"/>
          <w:szCs w:val="21"/>
          <w:highlight w:val="none"/>
        </w:rPr>
        <w:t>。</w:t>
      </w:r>
    </w:p>
    <w:p w14:paraId="526CC171">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5D43D17E">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52E8EFD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29ECDC78">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100E6BA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6A725932">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p>
    <w:p w14:paraId="74DE8CE9">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228A1F5D">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2248F922">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开户许可证（基本存款账户）复印件</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42BB9892">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04781938">
      <w:pPr>
        <w:tabs>
          <w:tab w:val="left" w:pos="1276"/>
        </w:tabs>
        <w:spacing w:line="360" w:lineRule="auto"/>
        <w:ind w:left="283" w:hanging="283" w:hangingChars="135"/>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val="zh-CN"/>
        </w:rPr>
        <w:t>）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当前述制造商资格声明和制造商独家授权书是由境外品牌境外生产的所投电磁水表制造商通过境内的办事机构出具时，同时还须提供证明该机构作为境外品牌境外生产的所投电磁水表制造商在境内的办事机构的证明文件复印件[该证明文件可为显示其作为境外所投电磁水表制造商分公司的营业执照、或反映其作为境外所投电磁水表制造商子公司的章程（或出资证明、或反映出资人为境外所投电磁水表制造商的营业执照）或境外所投所投电磁水表制造商的书面证明或官网显示其关系的打印件]））；</w:t>
      </w:r>
    </w:p>
    <w:p w14:paraId="4AD6FB73">
      <w:pPr>
        <w:tabs>
          <w:tab w:val="left" w:pos="1276"/>
        </w:tabs>
        <w:spacing w:line="360" w:lineRule="auto"/>
        <w:ind w:left="283" w:hanging="283" w:hangingChars="135"/>
        <w:rPr>
          <w:rFonts w:hint="eastAsia" w:ascii="宋体" w:hAnsi="宋体" w:eastAsia="宋体"/>
          <w:color w:val="auto"/>
          <w:szCs w:val="21"/>
          <w:highlight w:val="none"/>
          <w:lang w:eastAsia="zh-CN"/>
        </w:rPr>
      </w:pPr>
      <w:r>
        <w:rPr>
          <w:rFonts w:hint="eastAsia" w:ascii="宋体" w:hAnsi="宋体" w:eastAsia="宋体" w:cs="Times New Roman"/>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资格业绩【投标人提供一份</w:t>
      </w:r>
      <w:r>
        <w:rPr>
          <w:rFonts w:hint="eastAsia" w:ascii="宋体" w:hAnsi="宋体" w:eastAsia="宋体"/>
          <w:color w:val="auto"/>
          <w:szCs w:val="21"/>
          <w:highlight w:val="none"/>
          <w:lang w:val="en-US" w:eastAsia="zh-CN"/>
        </w:rPr>
        <w:t>2023</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日以来</w:t>
      </w:r>
      <w:r>
        <w:rPr>
          <w:rFonts w:hint="eastAsia" w:ascii="宋体" w:hAnsi="宋体" w:eastAsia="宋体"/>
          <w:b/>
          <w:bCs/>
          <w:color w:val="auto"/>
          <w:szCs w:val="21"/>
          <w:highlight w:val="none"/>
          <w:lang w:val="en-US" w:eastAsia="zh-CN"/>
        </w:rPr>
        <w:t>电磁水表</w:t>
      </w:r>
      <w:r>
        <w:rPr>
          <w:rFonts w:hint="eastAsia" w:ascii="宋体" w:hAnsi="宋体" w:eastAsia="宋体"/>
          <w:b/>
          <w:bCs/>
          <w:color w:val="auto"/>
          <w:szCs w:val="21"/>
          <w:highlight w:val="none"/>
        </w:rPr>
        <w:t>在国内的销售</w:t>
      </w:r>
      <w:r>
        <w:rPr>
          <w:rFonts w:hint="eastAsia" w:ascii="宋体" w:hAnsi="宋体" w:eastAsia="宋体" w:cs="宋体"/>
          <w:b/>
          <w:color w:val="auto"/>
          <w:szCs w:val="21"/>
          <w:highlight w:val="none"/>
        </w:rPr>
        <w:t>业绩</w:t>
      </w:r>
      <w:r>
        <w:rPr>
          <w:rFonts w:hint="eastAsia" w:ascii="宋体" w:hAnsi="宋体" w:eastAsia="宋体"/>
          <w:color w:val="auto"/>
          <w:szCs w:val="21"/>
          <w:highlight w:val="none"/>
        </w:rPr>
        <w:t>（合同签订日期为</w:t>
      </w:r>
      <w:r>
        <w:rPr>
          <w:rFonts w:hint="eastAsia" w:ascii="宋体" w:hAnsi="宋体" w:eastAsia="宋体"/>
          <w:color w:val="auto"/>
          <w:szCs w:val="21"/>
          <w:highlight w:val="none"/>
          <w:lang w:val="en-US" w:eastAsia="zh-CN"/>
        </w:rPr>
        <w:t>2023</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日或以后），资格业绩证明材料提交要求详见招标文件第六篇投标文件格式</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u w:val="single"/>
        </w:rPr>
        <w:t>.</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14:paraId="55E97679">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1DD5232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1E3D374E">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14739AE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38232597">
      <w:pPr>
        <w:tabs>
          <w:tab w:val="left" w:pos="567"/>
        </w:tabs>
        <w:autoSpaceDE w:val="0"/>
        <w:autoSpaceDN w:val="0"/>
        <w:adjustRightInd w:val="0"/>
        <w:spacing w:line="360" w:lineRule="auto"/>
        <w:ind w:left="105" w:leftChars="-100" w:hanging="315" w:hangingChars="150"/>
        <w:rPr>
          <w:highlight w:val="none"/>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736448C1">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highlight w:val="none"/>
        </w:rPr>
        <w:t>（</w:t>
      </w:r>
      <w:r>
        <w:rPr>
          <w:rFonts w:hint="eastAsia" w:ascii="宋体" w:hAnsi="宋体" w:eastAsia="宋体" w:cs="宋体"/>
          <w:highlight w:val="none"/>
          <w:lang w:val="en-US" w:eastAsia="zh-CN"/>
        </w:rPr>
        <w:t>10</w:t>
      </w:r>
      <w:r>
        <w:rPr>
          <w:rFonts w:hint="eastAsia" w:ascii="宋体" w:hAnsi="宋体" w:eastAsia="宋体" w:cs="宋体"/>
          <w:highlight w:val="none"/>
        </w:rPr>
        <w:t>）中标服务费承诺书；</w:t>
      </w:r>
    </w:p>
    <w:p w14:paraId="7B786A2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）投标保证金汇入情况说明；</w:t>
      </w:r>
    </w:p>
    <w:p w14:paraId="09281D0F">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w:t>
      </w:r>
      <w:r>
        <w:rPr>
          <w:rFonts w:hint="eastAsia" w:ascii="宋体" w:hAnsi="宋体" w:eastAsia="宋体" w:cs="宋体"/>
          <w:color w:val="auto"/>
          <w:szCs w:val="21"/>
          <w:highlight w:val="none"/>
          <w:lang w:val="en-US" w:eastAsia="zh-CN"/>
        </w:rPr>
        <w:t>做</w:t>
      </w:r>
      <w:r>
        <w:rPr>
          <w:rFonts w:hint="eastAsia" w:ascii="宋体" w:hAnsi="宋体" w:eastAsia="宋体" w:cs="宋体"/>
          <w:color w:val="auto"/>
          <w:szCs w:val="21"/>
          <w:highlight w:val="none"/>
          <w:lang w:val="zh-CN"/>
        </w:rPr>
        <w:t>强制要求）。</w:t>
      </w:r>
    </w:p>
    <w:p w14:paraId="7731E29F">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54480C9C">
      <w:pPr>
        <w:autoSpaceDE/>
        <w:autoSpaceDN/>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7A783642">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4EA94C0C">
      <w:pPr>
        <w:pStyle w:val="16"/>
        <w:spacing w:line="360" w:lineRule="auto"/>
        <w:ind w:left="105" w:leftChars="0" w:hangingChars="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1）关于“★</w:t>
      </w:r>
      <w:r>
        <w:rPr>
          <w:rFonts w:hint="eastAsia" w:ascii="宋体" w:hAnsi="宋体" w:eastAsia="宋体" w:cs="宋体"/>
          <w:color w:val="auto"/>
          <w:sz w:val="21"/>
          <w:szCs w:val="21"/>
          <w:highlight w:val="none"/>
          <w:lang w:val="en-US" w:eastAsia="zh-CN"/>
        </w:rPr>
        <w:t>2.2.23</w:t>
      </w:r>
      <w:r>
        <w:rPr>
          <w:rFonts w:hint="eastAsia" w:ascii="宋体" w:hAnsi="宋体" w:eastAsia="宋体" w:cs="宋体"/>
          <w:color w:val="auto"/>
          <w:kern w:val="0"/>
          <w:szCs w:val="21"/>
          <w:highlight w:val="none"/>
          <w:lang w:val="en-US" w:eastAsia="zh-CN"/>
        </w:rPr>
        <w:t>”条款的承诺函（投标人自行编写）；</w:t>
      </w:r>
    </w:p>
    <w:p w14:paraId="2C1344D3">
      <w:pPr>
        <w:spacing w:line="360" w:lineRule="auto"/>
        <w:ind w:left="105" w:leftChars="0" w:hanging="105" w:hangingChars="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2）关于“★2.3.7”条款的产品说明书和承诺函（投标人自行编写）；</w:t>
      </w:r>
    </w:p>
    <w:p w14:paraId="773C6039">
      <w:pPr>
        <w:spacing w:line="360" w:lineRule="auto"/>
        <w:ind w:left="105" w:leftChars="0" w:hanging="105" w:hangingChars="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3）关于“★2.3.10”条款的承诺函（投标人自行编写）；</w:t>
      </w:r>
    </w:p>
    <w:p w14:paraId="68820F91">
      <w:pPr>
        <w:spacing w:line="360" w:lineRule="auto"/>
        <w:ind w:left="105" w:leftChars="0" w:hanging="105" w:hangingChars="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4）关于“★2.3.11”条款的承诺函（投标人自行编写）；</w:t>
      </w:r>
    </w:p>
    <w:p w14:paraId="486A8A03">
      <w:pPr>
        <w:spacing w:line="360" w:lineRule="auto"/>
        <w:ind w:left="105" w:leftChars="0" w:hanging="105" w:hangingChars="5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5）关于“</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Cs w:val="21"/>
          <w:highlight w:val="none"/>
          <w:lang w:val="en-US" w:eastAsia="zh-CN"/>
        </w:rPr>
        <w:t>”条款的证明材料（投标人提供相关水表用户使用情况及证明材料；</w:t>
      </w:r>
    </w:p>
    <w:p w14:paraId="3E24A7BB">
      <w:pPr>
        <w:spacing w:line="360" w:lineRule="auto"/>
        <w:ind w:left="315" w:leftChars="-100" w:hanging="525" w:hangingChars="250"/>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zh-CN" w:eastAsia="zh-CN"/>
        </w:rPr>
        <w:t>供货货物清单表</w:t>
      </w:r>
      <w:r>
        <w:rPr>
          <w:rFonts w:hint="eastAsia" w:ascii="宋体" w:hAnsi="宋体" w:eastAsia="宋体" w:cs="宋体"/>
          <w:color w:val="auto"/>
          <w:kern w:val="0"/>
          <w:szCs w:val="21"/>
          <w:highlight w:val="none"/>
          <w:lang w:val="en-US" w:eastAsia="zh-CN"/>
        </w:rPr>
        <w:t>（货物明细中包含的货物名称、品牌、产地、规格、型号、数量的内容）</w:t>
      </w:r>
      <w:r>
        <w:rPr>
          <w:rFonts w:hint="eastAsia" w:ascii="宋体" w:hAnsi="宋体" w:eastAsia="宋体" w:cs="宋体"/>
          <w:color w:val="auto"/>
          <w:kern w:val="0"/>
          <w:szCs w:val="21"/>
          <w:highlight w:val="none"/>
          <w:lang w:val="zh-CN" w:eastAsia="zh-CN"/>
        </w:rPr>
        <w:t>；</w:t>
      </w:r>
    </w:p>
    <w:p w14:paraId="626CEEA9">
      <w:pPr>
        <w:spacing w:line="360" w:lineRule="auto"/>
        <w:ind w:left="315" w:leftChars="-100" w:hanging="525" w:hangingChars="250"/>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eastAsia="zh-CN"/>
        </w:rPr>
        <w:t>）研发能力及产品先进性</w:t>
      </w:r>
      <w:r>
        <w:rPr>
          <w:rFonts w:hint="eastAsia" w:ascii="宋体" w:hAnsi="宋体" w:eastAsia="宋体" w:cs="宋体"/>
          <w:color w:val="auto"/>
          <w:kern w:val="0"/>
          <w:szCs w:val="21"/>
          <w:highlight w:val="none"/>
        </w:rPr>
        <w:t>的证明材料</w:t>
      </w:r>
      <w:r>
        <w:rPr>
          <w:rFonts w:hint="eastAsia" w:ascii="宋体" w:hAnsi="宋体" w:eastAsia="宋体" w:cs="宋体"/>
          <w:color w:val="auto"/>
          <w:kern w:val="0"/>
          <w:szCs w:val="21"/>
          <w:highlight w:val="none"/>
          <w:lang w:val="zh-CN" w:eastAsia="zh-CN"/>
        </w:rPr>
        <w:t>；</w:t>
      </w:r>
    </w:p>
    <w:p w14:paraId="04E5EC23">
      <w:pPr>
        <w:spacing w:line="360" w:lineRule="auto"/>
        <w:ind w:left="315" w:leftChars="-100" w:hanging="525" w:hangingChars="250"/>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val="zh-CN" w:eastAsia="zh-CN"/>
        </w:rPr>
        <w:t>）投标产品的设计</w:t>
      </w:r>
      <w:r>
        <w:rPr>
          <w:rFonts w:hint="eastAsia" w:ascii="宋体" w:hAnsi="宋体" w:eastAsia="宋体" w:cs="宋体"/>
          <w:color w:val="auto"/>
          <w:kern w:val="0"/>
          <w:szCs w:val="21"/>
          <w:highlight w:val="none"/>
          <w:lang w:val="en-US" w:eastAsia="zh-CN"/>
        </w:rPr>
        <w:t>及</w:t>
      </w:r>
      <w:r>
        <w:rPr>
          <w:rFonts w:hint="eastAsia" w:ascii="宋体" w:hAnsi="宋体" w:eastAsia="宋体" w:cs="宋体"/>
          <w:color w:val="auto"/>
          <w:kern w:val="0"/>
          <w:szCs w:val="21"/>
          <w:highlight w:val="none"/>
          <w:lang w:val="zh-CN" w:eastAsia="zh-CN"/>
        </w:rPr>
        <w:t>性能</w:t>
      </w:r>
      <w:r>
        <w:rPr>
          <w:rFonts w:hint="eastAsia" w:ascii="宋体" w:hAnsi="宋体" w:eastAsia="宋体" w:cs="宋体"/>
          <w:color w:val="auto"/>
          <w:kern w:val="0"/>
          <w:szCs w:val="21"/>
          <w:highlight w:val="none"/>
        </w:rPr>
        <w:t>的证明材料</w:t>
      </w:r>
      <w:r>
        <w:rPr>
          <w:rFonts w:hint="eastAsia" w:ascii="宋体" w:hAnsi="宋体" w:eastAsia="宋体" w:cs="宋体"/>
          <w:color w:val="auto"/>
          <w:kern w:val="0"/>
          <w:szCs w:val="21"/>
          <w:highlight w:val="none"/>
          <w:lang w:val="zh-CN" w:eastAsia="zh-CN"/>
        </w:rPr>
        <w:t>；</w:t>
      </w:r>
    </w:p>
    <w:p w14:paraId="73440A29">
      <w:pPr>
        <w:spacing w:line="360" w:lineRule="auto"/>
        <w:ind w:left="315" w:leftChars="-100" w:hanging="525" w:hangingChars="250"/>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val="zh-CN" w:eastAsia="zh-CN"/>
        </w:rPr>
        <w:t>）生产制造能力</w:t>
      </w:r>
      <w:r>
        <w:rPr>
          <w:rFonts w:hint="eastAsia" w:ascii="宋体" w:hAnsi="宋体" w:eastAsia="宋体" w:cs="宋体"/>
          <w:color w:val="auto"/>
          <w:kern w:val="0"/>
          <w:szCs w:val="21"/>
          <w:highlight w:val="none"/>
        </w:rPr>
        <w:t>的证明材料</w:t>
      </w:r>
      <w:r>
        <w:rPr>
          <w:rFonts w:hint="eastAsia" w:ascii="宋体" w:hAnsi="宋体" w:eastAsia="宋体" w:cs="宋体"/>
          <w:color w:val="auto"/>
          <w:kern w:val="0"/>
          <w:szCs w:val="21"/>
          <w:highlight w:val="none"/>
          <w:lang w:val="zh-CN" w:eastAsia="zh-CN"/>
        </w:rPr>
        <w:t>；</w:t>
      </w:r>
    </w:p>
    <w:p w14:paraId="32DED6D2">
      <w:pPr>
        <w:spacing w:line="360" w:lineRule="auto"/>
        <w:ind w:left="315" w:leftChars="-100" w:hanging="525" w:hangingChars="250"/>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val="zh-CN" w:eastAsia="zh-CN"/>
        </w:rPr>
        <w:t>）售后服务方案；</w:t>
      </w:r>
    </w:p>
    <w:p w14:paraId="5DF7BAD9">
      <w:pPr>
        <w:spacing w:line="360" w:lineRule="auto"/>
        <w:ind w:left="315" w:leftChars="-100" w:hanging="525" w:hangingChars="250"/>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lang w:val="zh-CN" w:eastAsia="zh-CN"/>
        </w:rPr>
        <w:t>）</w:t>
      </w:r>
      <w:r>
        <w:rPr>
          <w:rFonts w:hint="eastAsia" w:ascii="宋体" w:hAnsi="宋体" w:eastAsia="宋体" w:cs="宋体"/>
          <w:color w:val="auto"/>
          <w:kern w:val="0"/>
          <w:szCs w:val="21"/>
          <w:highlight w:val="none"/>
          <w:lang w:eastAsia="zh-CN"/>
        </w:rPr>
        <w:t>售后服务</w:t>
      </w:r>
      <w:r>
        <w:rPr>
          <w:rFonts w:hint="eastAsia" w:ascii="宋体" w:hAnsi="宋体" w:eastAsia="宋体" w:cs="宋体"/>
          <w:color w:val="auto"/>
          <w:kern w:val="0"/>
          <w:szCs w:val="21"/>
          <w:highlight w:val="none"/>
          <w:lang w:val="zh-CN" w:eastAsia="zh-CN"/>
        </w:rPr>
        <w:t>响应时间承诺</w:t>
      </w:r>
    </w:p>
    <w:p w14:paraId="69CCC6E4">
      <w:pPr>
        <w:spacing w:line="360" w:lineRule="auto"/>
        <w:ind w:left="315" w:leftChars="-100" w:hanging="525" w:hangingChars="250"/>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lang w:val="zh-CN" w:eastAsia="zh-CN"/>
        </w:rPr>
        <w:t>）投标人认为有必要提供的其它材料（不做强制要求）。</w:t>
      </w:r>
    </w:p>
    <w:p w14:paraId="46508007">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0B395344">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599271F0">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39FBD89A">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22952E71">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1A0724F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1C57253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6AE188B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3CA205A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9" w:name="_Toc486167674"/>
      <w:bookmarkStart w:id="130" w:name="_Toc450662860"/>
      <w:bookmarkStart w:id="131" w:name="_Toc8675_WPSOffice_Level3"/>
      <w:bookmarkStart w:id="132" w:name="_Toc18697"/>
      <w:bookmarkStart w:id="133" w:name="_Toc182"/>
      <w:bookmarkStart w:id="134" w:name="_Toc142508324"/>
      <w:bookmarkStart w:id="135" w:name="_Toc28739"/>
      <w:bookmarkStart w:id="136" w:name="_Toc6234"/>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29"/>
      <w:bookmarkEnd w:id="130"/>
      <w:bookmarkEnd w:id="131"/>
      <w:bookmarkEnd w:id="132"/>
      <w:bookmarkEnd w:id="133"/>
      <w:bookmarkEnd w:id="134"/>
      <w:bookmarkEnd w:id="135"/>
      <w:bookmarkEnd w:id="136"/>
    </w:p>
    <w:p w14:paraId="70DF0FD0">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63714B73">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12F1BD1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7" w:name="_Toc486167675"/>
      <w:bookmarkStart w:id="138" w:name="_Toc4385_WPSOffice_Level3"/>
      <w:bookmarkStart w:id="139" w:name="_Toc17562"/>
      <w:bookmarkStart w:id="140" w:name="_Toc6905"/>
      <w:bookmarkStart w:id="141" w:name="_Toc30740"/>
      <w:bookmarkStart w:id="142" w:name="_Toc142508325"/>
      <w:bookmarkStart w:id="143" w:name="_Toc28822"/>
      <w:bookmarkStart w:id="144" w:name="_Toc450662861"/>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37"/>
      <w:bookmarkEnd w:id="138"/>
      <w:bookmarkEnd w:id="139"/>
      <w:bookmarkEnd w:id="140"/>
      <w:bookmarkEnd w:id="141"/>
      <w:bookmarkEnd w:id="142"/>
      <w:bookmarkEnd w:id="143"/>
      <w:bookmarkEnd w:id="144"/>
    </w:p>
    <w:p w14:paraId="65656A48">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本项目的投标报价采用填报投标折扣系数的方式</w:t>
      </w:r>
      <w:r>
        <w:rPr>
          <w:rFonts w:hint="eastAsia" w:ascii="宋体" w:hAnsi="宋体" w:eastAsia="宋体" w:cs="Times New Roman"/>
          <w:b/>
          <w:color w:val="auto"/>
          <w:szCs w:val="21"/>
          <w:highlight w:val="none"/>
          <w:lang w:val="zh-CN"/>
        </w:rPr>
        <w:t>，任何有选择的或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4D9DCF5E">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w:t>
      </w:r>
      <w:r>
        <w:rPr>
          <w:rFonts w:hint="eastAsia" w:ascii="宋体" w:hAnsi="宋体" w:eastAsia="宋体" w:cs="宋体"/>
          <w:b/>
          <w:color w:val="auto"/>
          <w:szCs w:val="21"/>
          <w:highlight w:val="none"/>
          <w:lang w:val="en-US" w:eastAsia="zh-CN"/>
        </w:rPr>
        <w:t>货物及有关</w:t>
      </w:r>
      <w:r>
        <w:rPr>
          <w:rFonts w:hint="eastAsia" w:ascii="宋体" w:hAnsi="宋体" w:eastAsia="宋体" w:cs="宋体"/>
          <w:b/>
          <w:color w:val="auto"/>
          <w:szCs w:val="21"/>
          <w:highlight w:val="none"/>
          <w:lang w:val="zh-CN"/>
        </w:rPr>
        <w:t>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143CA908">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3F3B915B">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本项目的投标报价采用统一折扣系数报价，合同履约过程中，采购清单中</w:t>
      </w:r>
      <w:r>
        <w:rPr>
          <w:rFonts w:hint="eastAsia" w:ascii="宋体" w:hAnsi="宋体" w:eastAsia="宋体" w:cs="宋体"/>
          <w:b/>
          <w:bCs/>
          <w:color w:val="auto"/>
          <w:szCs w:val="21"/>
          <w:highlight w:val="none"/>
          <w:lang w:val="en-US" w:eastAsia="zh-CN"/>
        </w:rPr>
        <w:t>的电磁水表</w:t>
      </w:r>
      <w:r>
        <w:rPr>
          <w:rFonts w:hint="eastAsia" w:ascii="宋体" w:hAnsi="宋体" w:eastAsia="宋体" w:cs="宋体"/>
          <w:b/>
          <w:bCs/>
          <w:color w:val="auto"/>
          <w:szCs w:val="21"/>
          <w:highlight w:val="none"/>
          <w:lang w:val="zh-CN"/>
        </w:rPr>
        <w:t>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ascii="宋体" w:hAnsi="宋体" w:eastAsia="宋体" w:cs="Times New Roman"/>
          <w:b/>
          <w:color w:val="auto"/>
          <w:szCs w:val="21"/>
          <w:highlight w:val="none"/>
          <w:u w:val="single"/>
          <w:lang w:val="zh-CN"/>
        </w:rPr>
        <w:t>本项目投标报价为不含税价，即为《</w:t>
      </w:r>
      <w:r>
        <w:rPr>
          <w:rFonts w:hint="eastAsia" w:ascii="宋体" w:hAnsi="宋体" w:eastAsia="宋体" w:cs="Times New Roman"/>
          <w:b/>
          <w:color w:val="auto"/>
          <w:szCs w:val="21"/>
          <w:highlight w:val="none"/>
          <w:u w:val="single"/>
          <w:lang w:val="zh-CN" w:eastAsia="zh-CN"/>
        </w:rPr>
        <w:t>中华人民共和国增值税法</w:t>
      </w:r>
      <w:r>
        <w:rPr>
          <w:rFonts w:hint="eastAsia" w:ascii="宋体" w:hAnsi="宋体" w:eastAsia="宋体" w:cs="Times New Roman"/>
          <w:b/>
          <w:color w:val="auto"/>
          <w:szCs w:val="21"/>
          <w:highlight w:val="none"/>
          <w:u w:val="single"/>
          <w:lang w:val="zh-CN"/>
        </w:rPr>
        <w:t>》</w:t>
      </w:r>
      <w:r>
        <w:rPr>
          <w:rFonts w:hint="eastAsia" w:ascii="宋体" w:hAnsi="宋体" w:eastAsia="宋体" w:cs="Times New Roman"/>
          <w:b/>
          <w:color w:val="auto"/>
          <w:szCs w:val="21"/>
          <w:highlight w:val="none"/>
          <w:u w:val="single"/>
          <w:lang w:val="en-US" w:eastAsia="zh-CN"/>
        </w:rPr>
        <w:t>及其实施条例</w:t>
      </w:r>
      <w:r>
        <w:rPr>
          <w:rFonts w:hint="eastAsia" w:ascii="宋体" w:hAnsi="宋体" w:eastAsia="宋体" w:cs="Times New Roman"/>
          <w:b/>
          <w:color w:val="auto"/>
          <w:szCs w:val="21"/>
          <w:highlight w:val="none"/>
          <w:u w:val="single"/>
          <w:lang w:val="zh-CN"/>
        </w:rPr>
        <w:t>规定的销售额</w:t>
      </w:r>
      <w:r>
        <w:rPr>
          <w:rFonts w:hint="eastAsia" w:ascii="宋体" w:hAnsi="宋体" w:eastAsia="宋体" w:cs="Times New Roman"/>
          <w:color w:val="auto"/>
          <w:szCs w:val="21"/>
          <w:highlight w:val="none"/>
          <w:lang w:val="zh-CN"/>
        </w:rPr>
        <w:t>。本招标文件所称的不含税价和不含税合同价是指不含本采购项目投标人的销项税额，包含了投标人完成合同义务（含投标人代缴代扣、分包及委外服务、采购货物等所产生的价税）的其他全部费用。本采购项目的销项税额由</w:t>
      </w:r>
      <w:r>
        <w:rPr>
          <w:rFonts w:hint="eastAsia" w:ascii="宋体" w:hAnsi="宋体" w:eastAsia="宋体" w:cs="宋体"/>
          <w:color w:val="auto"/>
          <w:szCs w:val="21"/>
          <w:highlight w:val="none"/>
          <w:lang w:val="zh-CN"/>
        </w:rPr>
        <w:t>由招标人</w:t>
      </w:r>
      <w:r>
        <w:rPr>
          <w:rFonts w:hint="eastAsia" w:ascii="宋体" w:hAnsi="宋体" w:eastAsia="宋体" w:cs="宋体"/>
          <w:color w:val="auto"/>
          <w:szCs w:val="21"/>
          <w:highlight w:val="none"/>
          <w:lang w:val="en-US" w:eastAsia="zh-CN"/>
        </w:rPr>
        <w:t>或招标人权属分公司</w:t>
      </w:r>
      <w:r>
        <w:rPr>
          <w:rFonts w:hint="eastAsia" w:ascii="宋体" w:hAnsi="宋体" w:eastAsia="宋体" w:cs="Times New Roman"/>
          <w:color w:val="auto"/>
          <w:szCs w:val="21"/>
          <w:highlight w:val="none"/>
          <w:lang w:val="zh-CN"/>
        </w:rPr>
        <w:t>承担，不计入</w:t>
      </w:r>
      <w:r>
        <w:rPr>
          <w:rFonts w:hint="eastAsia" w:ascii="宋体" w:hAnsi="宋体" w:eastAsia="宋体" w:cs="Times New Roman"/>
          <w:color w:val="auto"/>
          <w:kern w:val="2"/>
          <w:sz w:val="21"/>
          <w:szCs w:val="21"/>
          <w:highlight w:val="none"/>
          <w:lang w:val="en-US" w:eastAsia="zh-CN" w:bidi="ar-SA"/>
        </w:rPr>
        <w:t>投标报价</w:t>
      </w:r>
      <w:r>
        <w:rPr>
          <w:rFonts w:hint="eastAsia" w:ascii="宋体" w:hAnsi="宋体" w:eastAsia="宋体" w:cs="Times New Roman"/>
          <w:color w:val="auto"/>
          <w:szCs w:val="21"/>
          <w:highlight w:val="none"/>
          <w:lang w:val="zh-CN"/>
        </w:rPr>
        <w:t>。本采购项目投标报价已含投标人履行本招标内容全部义务的一切费用，包括但不限于</w:t>
      </w:r>
      <w:r>
        <w:rPr>
          <w:rFonts w:hint="eastAsia" w:ascii="宋体" w:hAnsi="宋体" w:eastAsia="宋体" w:cs="宋体"/>
          <w:color w:val="auto"/>
          <w:kern w:val="0"/>
          <w:szCs w:val="21"/>
          <w:highlight w:val="none"/>
        </w:rPr>
        <w:t>：</w:t>
      </w:r>
    </w:p>
    <w:p w14:paraId="787FD7E5">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lang w:val="zh-CN"/>
        </w:rPr>
        <w:t>范围内所有水表及其附件的制造及系统集成、印刷费、检定、运输（至招标人指定的仓库或项目现场）、保险、装卸、远传调试，验收等费用；</w:t>
      </w:r>
    </w:p>
    <w:p w14:paraId="4D0799C4">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（2）按招标文件及合同要求提供各阶段的纸质和电子版技术资料，包括货物及其工艺所有制造方、使用方应支付的商标权、专利权和版权、设计或其他知识产权而需要向其他方支付的版税及其他相关费用；</w:t>
      </w:r>
    </w:p>
    <w:p w14:paraId="6D23CBE0">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（3）验收时为达到相关标准而可能增加的、不合格货物更换、零配件更换等费用；</w:t>
      </w:r>
    </w:p>
    <w:p w14:paraId="420BBE36">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）设备备品备件（含零配件）、设备拆装维修所需特殊专用工具购置费；</w:t>
      </w:r>
    </w:p>
    <w:p w14:paraId="1D312B7F">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）日常技术指导，免费的质保期保修服务，包括但不限于对设备的运行指导，免费维修、保修或更换配件，在设备出现严重故障、影响正常运行、修复有困难的情况下，对设备进行免费更换的费用；</w:t>
      </w:r>
    </w:p>
    <w:p w14:paraId="66AE07E0">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lang w:val="zh-CN"/>
        </w:rPr>
        <w:t>清单虽未列出，但为满足</w:t>
      </w:r>
      <w:r>
        <w:rPr>
          <w:rFonts w:hint="eastAsia" w:ascii="宋体" w:hAnsi="宋体" w:eastAsia="宋体" w:cs="宋体"/>
          <w:color w:val="auto"/>
          <w:szCs w:val="21"/>
          <w:highlight w:val="none"/>
          <w:lang w:val="en-US" w:eastAsia="zh-CN"/>
        </w:rPr>
        <w:t>水表</w:t>
      </w:r>
      <w:r>
        <w:rPr>
          <w:rFonts w:hint="eastAsia" w:ascii="宋体" w:hAnsi="宋体" w:eastAsia="宋体" w:cs="宋体"/>
          <w:color w:val="auto"/>
          <w:szCs w:val="21"/>
          <w:highlight w:val="none"/>
          <w:lang w:val="zh-CN"/>
        </w:rPr>
        <w:t>功能所必需的设备材料购置费；</w:t>
      </w:r>
    </w:p>
    <w:p w14:paraId="549F09B2">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）合理利润</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lang w:val="zh-CN"/>
        </w:rPr>
        <w:t>销项税额以外的税费、</w:t>
      </w:r>
      <w:r>
        <w:rPr>
          <w:rFonts w:hint="eastAsia" w:ascii="宋体" w:hAnsi="宋体" w:eastAsia="宋体" w:cs="宋体"/>
          <w:color w:val="auto"/>
          <w:szCs w:val="21"/>
          <w:highlight w:val="none"/>
          <w:lang w:val="en-US" w:eastAsia="zh-CN"/>
        </w:rPr>
        <w:t>中标服务费</w:t>
      </w:r>
      <w:r>
        <w:rPr>
          <w:rFonts w:hint="eastAsia" w:ascii="宋体" w:hAnsi="宋体" w:eastAsia="宋体" w:cs="宋体"/>
          <w:color w:val="auto"/>
          <w:szCs w:val="21"/>
          <w:highlight w:val="none"/>
          <w:lang w:val="zh-CN"/>
        </w:rPr>
        <w:t>等；</w:t>
      </w:r>
    </w:p>
    <w:p w14:paraId="6B67F093">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）法律法规、商业公认、招标文件规定由</w:t>
      </w:r>
      <w:r>
        <w:rPr>
          <w:rFonts w:hint="eastAsia" w:ascii="宋体" w:hAnsi="宋体" w:eastAsia="宋体" w:cs="宋体"/>
          <w:color w:val="auto"/>
          <w:szCs w:val="21"/>
          <w:highlight w:val="none"/>
          <w:lang w:val="en-US" w:eastAsia="zh-CN"/>
        </w:rPr>
        <w:t>投</w:t>
      </w:r>
      <w:r>
        <w:rPr>
          <w:rFonts w:hint="eastAsia" w:ascii="宋体" w:hAnsi="宋体" w:eastAsia="宋体" w:cs="宋体"/>
          <w:color w:val="auto"/>
          <w:szCs w:val="21"/>
          <w:highlight w:val="none"/>
          <w:lang w:val="zh-CN"/>
        </w:rPr>
        <w:t>标人承担的其他费用。</w:t>
      </w:r>
    </w:p>
    <w:p w14:paraId="50664DE1">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32FA08B5">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2812653C">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lang w:val="en-US" w:eastAsia="zh-CN"/>
        </w:rPr>
        <w:t>有关</w:t>
      </w:r>
      <w:r>
        <w:rPr>
          <w:rFonts w:hint="eastAsia" w:ascii="宋体" w:hAnsi="宋体" w:eastAsia="宋体" w:cs="Times New Roman"/>
          <w:b/>
          <w:bCs/>
          <w:color w:val="auto"/>
          <w:szCs w:val="21"/>
          <w:highlight w:val="none"/>
          <w:lang w:val="zh-CN"/>
        </w:rPr>
        <w:t>服务所需的费用，投标人都应计入投标报价总价。</w:t>
      </w:r>
    </w:p>
    <w:p w14:paraId="02BEE4ED">
      <w:pPr>
        <w:autoSpaceDE w:val="0"/>
        <w:autoSpaceDN w:val="0"/>
        <w:adjustRightInd w:val="0"/>
        <w:spacing w:line="360" w:lineRule="auto"/>
        <w:ind w:left="357" w:leftChars="-100" w:hanging="567"/>
        <w:rPr>
          <w:rFonts w:hint="eastAsia" w:ascii="宋体" w:hAnsi="宋体" w:eastAsia="宋体" w:cs="Times New Roman"/>
          <w:b/>
          <w:bCs/>
          <w:color w:val="auto"/>
          <w:szCs w:val="21"/>
          <w:highlight w:val="none"/>
          <w:lang w:val="en-US" w:eastAsia="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投标人的折扣系数报价不得超过1</w:t>
      </w:r>
      <w:r>
        <w:rPr>
          <w:rFonts w:hint="eastAsia" w:ascii="宋体" w:hAnsi="宋体" w:eastAsia="宋体" w:cs="Times New Roman"/>
          <w:b/>
          <w:bCs/>
          <w:color w:val="auto"/>
          <w:szCs w:val="21"/>
          <w:highlight w:val="none"/>
          <w:u w:val="single"/>
          <w:lang w:val="en-US" w:eastAsia="zh-CN"/>
        </w:rPr>
        <w:t>.00</w:t>
      </w:r>
      <w:r>
        <w:rPr>
          <w:rFonts w:hint="eastAsia" w:ascii="宋体" w:hAnsi="宋体" w:eastAsia="宋体" w:cs="Times New Roman"/>
          <w:b/>
          <w:bCs/>
          <w:color w:val="auto"/>
          <w:szCs w:val="21"/>
          <w:highlight w:val="none"/>
          <w:u w:val="single"/>
        </w:rPr>
        <w:t>，且不能为0</w:t>
      </w:r>
      <w:r>
        <w:rPr>
          <w:rFonts w:hint="eastAsia" w:ascii="宋体" w:hAnsi="宋体" w:eastAsia="宋体" w:cs="Times New Roman"/>
          <w:b/>
          <w:bCs/>
          <w:color w:val="auto"/>
          <w:szCs w:val="21"/>
          <w:highlight w:val="none"/>
          <w:u w:val="single"/>
          <w:lang w:val="en-US" w:eastAsia="zh-CN"/>
        </w:rPr>
        <w:t>.00</w:t>
      </w:r>
      <w:r>
        <w:rPr>
          <w:rFonts w:hint="eastAsia" w:ascii="宋体" w:hAnsi="宋体" w:eastAsia="宋体" w:cs="Times New Roman"/>
          <w:b/>
          <w:bCs/>
          <w:color w:val="auto"/>
          <w:szCs w:val="21"/>
          <w:highlight w:val="none"/>
          <w:u w:val="single"/>
        </w:rPr>
        <w:t>或负数，折扣系数报价最多保留小数点后两位。投标人未按招标文件要求进行折扣系数报价的，</w:t>
      </w:r>
      <w:r>
        <w:rPr>
          <w:rFonts w:hint="eastAsia" w:ascii="宋体" w:hAnsi="宋体" w:eastAsia="宋体" w:cs="Times New Roman"/>
          <w:b/>
          <w:bCs/>
          <w:color w:val="auto"/>
          <w:kern w:val="0"/>
          <w:szCs w:val="24"/>
          <w:highlight w:val="none"/>
          <w:u w:val="single"/>
        </w:rPr>
        <w:t>该投标人的投标文件将被视为无效投标</w:t>
      </w:r>
      <w:r>
        <w:rPr>
          <w:rFonts w:hint="eastAsia" w:ascii="宋体" w:hAnsi="宋体" w:eastAsia="宋体" w:cs="宋体"/>
          <w:b/>
          <w:color w:val="auto"/>
          <w:szCs w:val="21"/>
          <w:highlight w:val="none"/>
          <w:u w:val="single"/>
          <w:lang w:val="zh-CN"/>
        </w:rPr>
        <w:t>。本项目的不含税</w:t>
      </w:r>
      <w:r>
        <w:rPr>
          <w:rFonts w:hint="eastAsia" w:ascii="宋体" w:hAnsi="宋体" w:eastAsia="宋体" w:cs="宋体"/>
          <w:b/>
          <w:color w:val="auto"/>
          <w:szCs w:val="21"/>
          <w:highlight w:val="none"/>
          <w:u w:val="single"/>
          <w:lang w:val="en-US" w:eastAsia="zh-CN"/>
        </w:rPr>
        <w:t>暂定采购金额</w:t>
      </w:r>
      <w:r>
        <w:rPr>
          <w:rFonts w:hint="eastAsia" w:ascii="宋体" w:hAnsi="宋体" w:eastAsia="宋体" w:cs="Times New Roman"/>
          <w:b/>
          <w:bCs/>
          <w:color w:val="auto"/>
          <w:szCs w:val="21"/>
          <w:highlight w:val="none"/>
          <w:u w:val="single"/>
          <w:lang w:val="zh-CN"/>
        </w:rPr>
        <w:t>为</w:t>
      </w:r>
      <w:r>
        <w:rPr>
          <w:rFonts w:hint="eastAsia" w:ascii="宋体" w:hAnsi="宋体" w:eastAsia="宋体" w:cs="Times New Roman"/>
          <w:b/>
          <w:bCs/>
          <w:color w:val="auto"/>
          <w:szCs w:val="21"/>
          <w:highlight w:val="none"/>
          <w:u w:val="single"/>
          <w:lang w:val="zh-CN" w:eastAsia="zh-CN"/>
        </w:rPr>
        <w:t>6,100,157.03</w:t>
      </w:r>
      <w:r>
        <w:rPr>
          <w:rStyle w:val="46"/>
          <w:rFonts w:hint="eastAsia" w:ascii="宋体" w:hAnsi="宋体" w:eastAsia="宋体" w:cs="宋体"/>
          <w:b/>
          <w:bCs/>
          <w:color w:val="auto"/>
          <w:highlight w:val="none"/>
          <w:u w:val="single"/>
        </w:rPr>
        <w:t>元(大写</w:t>
      </w:r>
      <w:r>
        <w:rPr>
          <w:rStyle w:val="46"/>
          <w:rFonts w:hint="eastAsia" w:ascii="宋体" w:hAnsi="宋体" w:eastAsia="宋体" w:cs="宋体"/>
          <w:b/>
          <w:bCs/>
          <w:color w:val="auto"/>
          <w:highlight w:val="none"/>
          <w:u w:val="single"/>
          <w:lang w:eastAsia="zh-CN"/>
        </w:rPr>
        <w:t>：</w:t>
      </w:r>
      <w:r>
        <w:rPr>
          <w:rStyle w:val="46"/>
          <w:rFonts w:hint="eastAsia" w:ascii="宋体" w:hAnsi="宋体" w:eastAsia="宋体" w:cs="宋体"/>
          <w:b/>
          <w:bCs/>
          <w:color w:val="auto"/>
          <w:highlight w:val="none"/>
          <w:u w:val="single"/>
        </w:rPr>
        <w:t>人民币</w:t>
      </w:r>
      <w:r>
        <w:rPr>
          <w:rStyle w:val="46"/>
          <w:rFonts w:hint="eastAsia" w:ascii="宋体" w:hAnsi="宋体" w:eastAsia="宋体" w:cs="宋体"/>
          <w:b/>
          <w:bCs/>
          <w:color w:val="auto"/>
          <w:highlight w:val="none"/>
          <w:u w:val="single"/>
          <w:lang w:val="en-US" w:eastAsia="zh-CN"/>
        </w:rPr>
        <w:t>陆佰壹拾万零壹佰伍拾柒元零叁分</w:t>
      </w:r>
      <w:r>
        <w:rPr>
          <w:rStyle w:val="46"/>
          <w:rFonts w:hint="eastAsia" w:ascii="宋体" w:hAnsi="宋体" w:eastAsia="宋体" w:cs="宋体"/>
          <w:b/>
          <w:bCs/>
          <w:color w:val="auto"/>
          <w:highlight w:val="none"/>
          <w:u w:val="single"/>
        </w:rPr>
        <w:t>)</w:t>
      </w:r>
      <w:r>
        <w:rPr>
          <w:rFonts w:hint="eastAsia" w:ascii="宋体" w:hAnsi="宋体" w:eastAsia="宋体" w:cs="宋体"/>
          <w:b/>
          <w:bCs/>
          <w:color w:val="auto"/>
          <w:szCs w:val="21"/>
          <w:highlight w:val="none"/>
          <w:u w:val="single"/>
          <w:lang w:val="zh-CN"/>
        </w:rPr>
        <w:t>。</w:t>
      </w:r>
    </w:p>
    <w:p w14:paraId="313E8103">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3C8B5636">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45" w:name="_Toc30042_WPSOffice_Level3"/>
      <w:bookmarkStart w:id="146" w:name="_Toc450662862"/>
      <w:bookmarkStart w:id="147" w:name="_Toc28777"/>
      <w:bookmarkStart w:id="148" w:name="_Toc12103"/>
      <w:bookmarkStart w:id="149" w:name="_Toc29841"/>
      <w:bookmarkStart w:id="150" w:name="_Toc14068"/>
      <w:bookmarkStart w:id="151" w:name="_Toc486167676"/>
      <w:bookmarkStart w:id="152" w:name="_Toc142508326"/>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45"/>
      <w:bookmarkEnd w:id="146"/>
      <w:bookmarkEnd w:id="147"/>
      <w:bookmarkEnd w:id="148"/>
      <w:bookmarkEnd w:id="149"/>
      <w:bookmarkEnd w:id="150"/>
      <w:bookmarkEnd w:id="151"/>
      <w:bookmarkEnd w:id="152"/>
    </w:p>
    <w:p w14:paraId="3F39CF0D">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312B41F9">
      <w:pPr>
        <w:autoSpaceDE w:val="0"/>
        <w:autoSpaceDN w:val="0"/>
        <w:adjustRightInd w:val="0"/>
        <w:spacing w:line="360" w:lineRule="auto"/>
        <w:ind w:left="265" w:leftChars="119" w:hanging="15"/>
        <w:rPr>
          <w:rFonts w:ascii="宋体" w:hAnsi="宋体" w:eastAsia="宋体" w:cs="宋体"/>
          <w:color w:val="auto"/>
          <w:szCs w:val="21"/>
          <w:highlight w:val="none"/>
        </w:rPr>
      </w:pPr>
    </w:p>
    <w:p w14:paraId="0CD59EF7">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3" w:name="_Toc9411_WPSOffice_Level3"/>
      <w:bookmarkStart w:id="154" w:name="_Toc12674"/>
      <w:bookmarkStart w:id="155" w:name="_Toc25596"/>
      <w:bookmarkStart w:id="156" w:name="_Toc486167677"/>
      <w:bookmarkStart w:id="157" w:name="_Toc450662863"/>
      <w:bookmarkStart w:id="158" w:name="_Toc142508327"/>
      <w:bookmarkStart w:id="159" w:name="_Toc21258"/>
      <w:bookmarkStart w:id="160" w:name="_Toc15797"/>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53"/>
      <w:bookmarkEnd w:id="154"/>
      <w:bookmarkEnd w:id="155"/>
      <w:bookmarkEnd w:id="156"/>
      <w:bookmarkEnd w:id="157"/>
      <w:bookmarkEnd w:id="158"/>
      <w:bookmarkEnd w:id="159"/>
      <w:bookmarkEnd w:id="160"/>
    </w:p>
    <w:p w14:paraId="77D408F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612C516F">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14414E5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45A00B3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07376DE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w:t>
      </w:r>
      <w:r>
        <w:rPr>
          <w:rFonts w:hint="eastAsia" w:ascii="宋体" w:hAnsi="宋体" w:eastAsia="宋体" w:cs="宋体"/>
          <w:color w:val="auto"/>
          <w:szCs w:val="21"/>
          <w:highlight w:val="none"/>
          <w:lang w:val="en-US" w:eastAsia="zh-CN"/>
        </w:rPr>
        <w:t>其它</w:t>
      </w:r>
      <w:r>
        <w:rPr>
          <w:rFonts w:hint="eastAsia" w:ascii="宋体" w:hAnsi="宋体" w:eastAsia="宋体" w:cs="宋体"/>
          <w:color w:val="auto"/>
          <w:szCs w:val="21"/>
          <w:highlight w:val="none"/>
          <w:lang w:val="zh-CN"/>
        </w:rPr>
        <w:t>文件。</w:t>
      </w:r>
    </w:p>
    <w:p w14:paraId="3A4F1B8C">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67D55633">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1DB5BA1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1" w:name="_Toc26154"/>
      <w:bookmarkStart w:id="162" w:name="_Toc27771_WPSOffice_Level3"/>
      <w:bookmarkStart w:id="163" w:name="_Toc486167678"/>
      <w:bookmarkStart w:id="164" w:name="_Toc13150"/>
      <w:bookmarkStart w:id="165" w:name="_Toc450662864"/>
      <w:bookmarkStart w:id="166" w:name="_Toc9116"/>
      <w:bookmarkStart w:id="167" w:name="_Toc30441"/>
      <w:bookmarkStart w:id="168" w:name="_Toc142508328"/>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61"/>
      <w:bookmarkEnd w:id="162"/>
      <w:bookmarkEnd w:id="163"/>
      <w:bookmarkEnd w:id="164"/>
      <w:bookmarkEnd w:id="165"/>
      <w:bookmarkEnd w:id="166"/>
      <w:bookmarkEnd w:id="167"/>
      <w:bookmarkEnd w:id="168"/>
    </w:p>
    <w:p w14:paraId="2ADA2CD3">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769EADC4">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5F88A86B">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凡标有“▲”标志的条款为评审的重要指标，投标人若有“▲”条款未响应或负偏离，将导致其响应性评审扣分，并不会按无效响应处理。投标人若有非“▲”条款未响应或负偏离，将导致其响应性评审扣分，并不会按无效响应处理。</w:t>
      </w:r>
    </w:p>
    <w:p w14:paraId="42083D74">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6E21F2A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9" w:name="_Toc24774"/>
      <w:bookmarkStart w:id="170" w:name="_Toc2710"/>
      <w:bookmarkStart w:id="171" w:name="_Toc5356_WPSOffice_Level3"/>
      <w:bookmarkStart w:id="172" w:name="_Toc142508329"/>
      <w:bookmarkStart w:id="173" w:name="_Toc486167679"/>
      <w:bookmarkStart w:id="174" w:name="_Toc4163"/>
      <w:bookmarkStart w:id="175" w:name="_Toc21008"/>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69"/>
      <w:bookmarkEnd w:id="170"/>
      <w:bookmarkEnd w:id="171"/>
      <w:bookmarkEnd w:id="172"/>
      <w:bookmarkEnd w:id="173"/>
      <w:bookmarkEnd w:id="174"/>
      <w:bookmarkEnd w:id="175"/>
    </w:p>
    <w:p w14:paraId="6D5B8777">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120,000.00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壹拾贰万元整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37F43470">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6E0B0F8D">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5EAC8204">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1DD65093">
      <w:pPr>
        <w:autoSpaceDE w:val="0"/>
        <w:autoSpaceDN w:val="0"/>
        <w:adjustRightInd w:val="0"/>
        <w:spacing w:line="360" w:lineRule="auto"/>
        <w:ind w:left="0" w:leftChars="0" w:firstLine="422" w:firstLineChars="200"/>
        <w:jc w:val="left"/>
        <w:rPr>
          <w:rFonts w:hint="eastAsia" w:ascii="宋体" w:hAnsi="宋体" w:eastAsia="宋体" w:cs="Times New Roman"/>
          <w:b/>
          <w:bCs/>
          <w:color w:val="auto"/>
          <w:kern w:val="0"/>
          <w:szCs w:val="21"/>
          <w:highlight w:val="none"/>
          <w:lang w:val="zh-CN" w:eastAsia="zh-CN"/>
        </w:rPr>
      </w:pPr>
      <w:r>
        <w:rPr>
          <w:rFonts w:hint="eastAsia" w:ascii="宋体" w:hAnsi="宋体" w:eastAsia="宋体" w:cs="Times New Roman"/>
          <w:b/>
          <w:bCs/>
          <w:color w:val="auto"/>
          <w:kern w:val="0"/>
          <w:szCs w:val="21"/>
          <w:highlight w:val="none"/>
          <w:lang w:val="zh-CN"/>
        </w:rPr>
        <w:t>开户名称：</w:t>
      </w:r>
      <w:r>
        <w:rPr>
          <w:rFonts w:hint="eastAsia" w:ascii="宋体" w:hAnsi="宋体" w:eastAsia="宋体" w:cs="Times New Roman"/>
          <w:b/>
          <w:bCs/>
          <w:color w:val="000000" w:themeColor="text1"/>
          <w:kern w:val="0"/>
          <w:szCs w:val="21"/>
          <w:highlight w:val="none"/>
          <w:lang w:val="zh-CN"/>
          <w14:textFill>
            <w14:solidFill>
              <w14:schemeClr w14:val="tx1"/>
            </w14:solidFill>
          </w14:textFill>
        </w:rPr>
        <w:t>东莞市水务环境投资控股集团供水有限公司</w:t>
      </w:r>
    </w:p>
    <w:p w14:paraId="441E431E">
      <w:pPr>
        <w:autoSpaceDE w:val="0"/>
        <w:autoSpaceDN w:val="0"/>
        <w:adjustRightInd w:val="0"/>
        <w:spacing w:line="360" w:lineRule="auto"/>
        <w:ind w:left="0" w:leftChars="0" w:firstLine="422" w:firstLineChars="200"/>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开户银行：工商银行东莞城区支行</w:t>
      </w:r>
    </w:p>
    <w:p w14:paraId="368F058C">
      <w:pPr>
        <w:autoSpaceDE w:val="0"/>
        <w:autoSpaceDN w:val="0"/>
        <w:adjustRightInd w:val="0"/>
        <w:spacing w:line="360" w:lineRule="auto"/>
        <w:ind w:left="0" w:leftChars="0" w:firstLine="422" w:firstLineChars="200"/>
        <w:jc w:val="left"/>
        <w:rPr>
          <w:rFonts w:ascii="宋体" w:hAnsi="宋体" w:eastAsia="宋体" w:cs="Times New Roman"/>
          <w:b/>
          <w:bCs/>
          <w:color w:val="auto"/>
          <w:kern w:val="0"/>
          <w:szCs w:val="21"/>
          <w:highlight w:val="none"/>
          <w:u w:val="single"/>
        </w:rPr>
      </w:pPr>
      <w:r>
        <w:rPr>
          <w:rFonts w:hint="eastAsia" w:ascii="宋体" w:hAnsi="宋体" w:eastAsia="宋体" w:cs="Times New Roman"/>
          <w:b/>
          <w:bCs/>
          <w:color w:val="auto"/>
          <w:kern w:val="0"/>
          <w:szCs w:val="21"/>
          <w:highlight w:val="none"/>
          <w:lang w:val="zh-CN"/>
        </w:rPr>
        <w:t>银行账号：2010020119000060928</w:t>
      </w:r>
    </w:p>
    <w:p w14:paraId="736F2B91">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7D6D3F4C">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079B8E4B">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3881AC8F">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w:t>
      </w:r>
      <w:r>
        <w:rPr>
          <w:rFonts w:hint="eastAsia" w:ascii="宋体" w:hAnsi="宋体" w:eastAsia="宋体" w:cs="宋体"/>
          <w:color w:val="auto"/>
          <w:kern w:val="0"/>
          <w:szCs w:val="21"/>
          <w:highlight w:val="none"/>
          <w:lang w:eastAsia="zh-CN"/>
        </w:rPr>
        <w:t>本项目的书面</w:t>
      </w:r>
      <w:r>
        <w:rPr>
          <w:rFonts w:hint="eastAsia" w:ascii="宋体" w:hAnsi="宋体" w:eastAsia="宋体" w:cs="宋体"/>
          <w:color w:val="auto"/>
          <w:kern w:val="0"/>
          <w:szCs w:val="21"/>
          <w:highlight w:val="none"/>
        </w:rPr>
        <w:t>合同签订后5日内退还。</w:t>
      </w:r>
    </w:p>
    <w:p w14:paraId="3F36F82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1D7D3787">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64A1976F">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0E39E94C">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2B64E16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4A443B5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2FA9B43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7DCEB7D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7A923279">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w:t>
      </w:r>
      <w:r>
        <w:rPr>
          <w:rFonts w:hint="eastAsia" w:ascii="宋体" w:hAnsi="宋体" w:eastAsia="宋体" w:cs="宋体"/>
          <w:color w:val="auto"/>
          <w:kern w:val="0"/>
          <w:szCs w:val="21"/>
          <w:highlight w:val="none"/>
          <w:lang w:eastAsia="zh-CN"/>
        </w:rPr>
        <w:t>法律、法规</w:t>
      </w:r>
      <w:r>
        <w:rPr>
          <w:rFonts w:hint="eastAsia" w:ascii="宋体" w:hAnsi="宋体" w:eastAsia="宋体" w:cs="宋体"/>
          <w:color w:val="auto"/>
          <w:kern w:val="0"/>
          <w:szCs w:val="21"/>
          <w:highlight w:val="none"/>
        </w:rPr>
        <w:t>、规章及招标投标相关规定的行为。</w:t>
      </w:r>
    </w:p>
    <w:p w14:paraId="7AB18870">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2530D81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6" w:name="_Toc2942"/>
      <w:bookmarkStart w:id="177" w:name="_Toc10550"/>
      <w:bookmarkStart w:id="178" w:name="_Toc142508330"/>
      <w:bookmarkStart w:id="179" w:name="_Toc22649_WPSOffice_Level3"/>
      <w:bookmarkStart w:id="180" w:name="_Toc6659"/>
      <w:bookmarkStart w:id="181" w:name="_Toc486167680"/>
      <w:bookmarkStart w:id="182" w:name="_Toc2461"/>
      <w:bookmarkStart w:id="183" w:name="_Toc450662865"/>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76"/>
      <w:bookmarkEnd w:id="177"/>
      <w:bookmarkEnd w:id="178"/>
      <w:bookmarkEnd w:id="179"/>
      <w:bookmarkEnd w:id="180"/>
      <w:bookmarkEnd w:id="181"/>
      <w:bookmarkEnd w:id="182"/>
      <w:bookmarkEnd w:id="183"/>
    </w:p>
    <w:p w14:paraId="344B5E76">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2CE2916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668CAD7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4E65F718">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119D123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4" w:name="_Toc486167681"/>
      <w:bookmarkStart w:id="185" w:name="_Toc25637_WPSOffice_Level3"/>
      <w:bookmarkStart w:id="186" w:name="_Toc13165"/>
      <w:bookmarkStart w:id="187" w:name="_Toc26283"/>
      <w:bookmarkStart w:id="188" w:name="_Toc13311"/>
      <w:bookmarkStart w:id="189" w:name="_Toc450662866"/>
      <w:bookmarkStart w:id="190" w:name="_Toc358"/>
      <w:bookmarkStart w:id="191" w:name="_Toc142508331"/>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84"/>
      <w:bookmarkEnd w:id="185"/>
      <w:bookmarkEnd w:id="186"/>
      <w:bookmarkEnd w:id="187"/>
      <w:bookmarkEnd w:id="188"/>
      <w:bookmarkEnd w:id="189"/>
      <w:bookmarkEnd w:id="190"/>
      <w:bookmarkEnd w:id="191"/>
    </w:p>
    <w:p w14:paraId="59CCE8F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397DA15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en-US" w:eastAsia="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38516371">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328B03F2">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2712C556">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680F929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7A21631F">
      <w:pPr>
        <w:autoSpaceDE w:val="0"/>
        <w:autoSpaceDN w:val="0"/>
        <w:adjustRightInd w:val="0"/>
        <w:jc w:val="left"/>
        <w:rPr>
          <w:rFonts w:ascii="宋体" w:hAnsi="宋体" w:eastAsia="宋体" w:cs="宋体"/>
          <w:color w:val="auto"/>
          <w:kern w:val="0"/>
          <w:sz w:val="24"/>
          <w:szCs w:val="24"/>
          <w:highlight w:val="none"/>
        </w:rPr>
      </w:pPr>
      <w:bookmarkStart w:id="192" w:name="_Toc450662867"/>
    </w:p>
    <w:p w14:paraId="756897BB">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93" w:name="_Toc22356_WPSOffice_Level2"/>
      <w:bookmarkStart w:id="194" w:name="_Toc140596891"/>
      <w:bookmarkStart w:id="195" w:name="_Toc11345"/>
      <w:bookmarkStart w:id="196" w:name="_Toc7949"/>
      <w:bookmarkStart w:id="197" w:name="_Toc486167682"/>
      <w:bookmarkStart w:id="198" w:name="_Toc15182"/>
      <w:bookmarkStart w:id="199" w:name="_Toc17608"/>
      <w:bookmarkStart w:id="200" w:name="_Toc142508332"/>
      <w:r>
        <w:rPr>
          <w:rFonts w:hint="eastAsia" w:ascii="宋体" w:hAnsi="宋体" w:eastAsia="宋体" w:cs="宋体"/>
          <w:b/>
          <w:bCs/>
          <w:color w:val="auto"/>
          <w:kern w:val="44"/>
          <w:szCs w:val="21"/>
          <w:highlight w:val="none"/>
          <w:lang w:val="zh-CN"/>
        </w:rPr>
        <w:t>四、投标文件的递交</w:t>
      </w:r>
      <w:bookmarkEnd w:id="192"/>
      <w:bookmarkEnd w:id="193"/>
      <w:bookmarkEnd w:id="194"/>
      <w:bookmarkEnd w:id="195"/>
      <w:bookmarkEnd w:id="196"/>
      <w:bookmarkEnd w:id="197"/>
      <w:bookmarkEnd w:id="198"/>
      <w:bookmarkEnd w:id="199"/>
      <w:bookmarkEnd w:id="200"/>
    </w:p>
    <w:p w14:paraId="7667857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1" w:name="_Toc9900"/>
      <w:bookmarkStart w:id="202" w:name="_Toc450662868"/>
      <w:bookmarkStart w:id="203" w:name="_Toc31579"/>
      <w:bookmarkStart w:id="204" w:name="_Toc14132"/>
      <w:bookmarkStart w:id="205" w:name="_Toc486167683"/>
      <w:bookmarkStart w:id="206" w:name="_Toc26052"/>
      <w:bookmarkStart w:id="207" w:name="_Toc142508333"/>
      <w:bookmarkStart w:id="208" w:name="_Toc12192_WPSOffice_Level3"/>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201"/>
      <w:bookmarkEnd w:id="202"/>
      <w:bookmarkEnd w:id="203"/>
      <w:bookmarkEnd w:id="204"/>
      <w:bookmarkEnd w:id="205"/>
      <w:bookmarkEnd w:id="206"/>
      <w:bookmarkEnd w:id="207"/>
      <w:bookmarkEnd w:id="208"/>
    </w:p>
    <w:p w14:paraId="78E1C64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66B10515">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31CEBF9B">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3160B0FE">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747E5038">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69A17CEF">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79D5441D">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6D381067">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0C1FD56E">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55F6E33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9" w:name="_Toc3384"/>
      <w:bookmarkStart w:id="210" w:name="_Toc29665_WPSOffice_Level3"/>
      <w:bookmarkStart w:id="211" w:name="_Toc9412"/>
      <w:bookmarkStart w:id="212" w:name="_Toc142508334"/>
      <w:bookmarkStart w:id="213" w:name="_Toc450662869"/>
      <w:bookmarkStart w:id="214" w:name="_Toc23301"/>
      <w:bookmarkStart w:id="215" w:name="_Toc486167684"/>
      <w:bookmarkStart w:id="216" w:name="_Toc32205"/>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209"/>
      <w:bookmarkEnd w:id="210"/>
      <w:bookmarkEnd w:id="211"/>
      <w:bookmarkEnd w:id="212"/>
      <w:bookmarkEnd w:id="213"/>
      <w:bookmarkEnd w:id="214"/>
      <w:bookmarkEnd w:id="215"/>
      <w:bookmarkEnd w:id="216"/>
    </w:p>
    <w:p w14:paraId="53ABC16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2D25D59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263DAC1E">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747C652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217" w:name="_Toc142508335"/>
      <w:bookmarkStart w:id="218" w:name="_Toc24200"/>
      <w:bookmarkStart w:id="219" w:name="_Toc22431_WPSOffice_Level3"/>
      <w:bookmarkStart w:id="220" w:name="_Toc23091"/>
      <w:bookmarkStart w:id="221" w:name="_Toc19193"/>
      <w:bookmarkStart w:id="222" w:name="_Toc6684"/>
      <w:bookmarkStart w:id="223" w:name="_Toc450662870"/>
      <w:bookmarkStart w:id="224" w:name="_Toc486167685"/>
      <w:r>
        <w:rPr>
          <w:rFonts w:hint="eastAsia" w:ascii="宋体" w:hAnsi="宋体" w:eastAsia="宋体" w:cs="宋体"/>
          <w:color w:val="auto"/>
          <w:szCs w:val="21"/>
          <w:highlight w:val="none"/>
          <w:lang w:val="zh-CN"/>
        </w:rPr>
        <w:t>20 迟交的投标文件</w:t>
      </w:r>
      <w:bookmarkEnd w:id="217"/>
      <w:bookmarkEnd w:id="218"/>
      <w:bookmarkEnd w:id="219"/>
      <w:bookmarkEnd w:id="220"/>
      <w:bookmarkEnd w:id="221"/>
      <w:bookmarkEnd w:id="222"/>
      <w:bookmarkEnd w:id="223"/>
      <w:bookmarkEnd w:id="224"/>
    </w:p>
    <w:p w14:paraId="09C220E4">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32E78599">
      <w:pPr>
        <w:autoSpaceDE w:val="0"/>
        <w:autoSpaceDN w:val="0"/>
        <w:adjustRightInd w:val="0"/>
        <w:jc w:val="left"/>
        <w:rPr>
          <w:rFonts w:ascii="宋体" w:hAnsi="宋体" w:eastAsia="宋体" w:cs="宋体"/>
          <w:color w:val="auto"/>
          <w:kern w:val="0"/>
          <w:sz w:val="24"/>
          <w:szCs w:val="24"/>
          <w:highlight w:val="none"/>
        </w:rPr>
      </w:pPr>
    </w:p>
    <w:p w14:paraId="2178A04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5" w:name="_Toc15452"/>
      <w:bookmarkStart w:id="226" w:name="_Toc450662871"/>
      <w:bookmarkStart w:id="227" w:name="_Toc4883_WPSOffice_Level3"/>
      <w:bookmarkStart w:id="228" w:name="_Toc486167686"/>
      <w:bookmarkStart w:id="229" w:name="_Toc20088"/>
      <w:bookmarkStart w:id="230" w:name="_Toc142508336"/>
      <w:bookmarkStart w:id="231" w:name="_Toc16964"/>
      <w:bookmarkStart w:id="232" w:name="_Toc30495"/>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25"/>
      <w:bookmarkEnd w:id="226"/>
      <w:bookmarkEnd w:id="227"/>
      <w:bookmarkEnd w:id="228"/>
      <w:bookmarkEnd w:id="229"/>
      <w:bookmarkEnd w:id="230"/>
      <w:bookmarkEnd w:id="231"/>
      <w:bookmarkEnd w:id="232"/>
    </w:p>
    <w:p w14:paraId="16ABA96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75F85D63">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62B89259">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5F0EFE08">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6876D454">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78FD9A86">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33" w:name="_Toc486167687"/>
      <w:bookmarkStart w:id="234" w:name="_Toc7461"/>
      <w:bookmarkStart w:id="235" w:name="_Toc142508337"/>
      <w:bookmarkStart w:id="236" w:name="_Toc450662872"/>
      <w:bookmarkStart w:id="237" w:name="_Toc140596896"/>
      <w:bookmarkStart w:id="238" w:name="_Toc27648"/>
      <w:bookmarkStart w:id="239" w:name="_Toc6702"/>
      <w:bookmarkStart w:id="240" w:name="_Toc18224"/>
      <w:bookmarkStart w:id="241" w:name="_Toc1049_WPSOffice_Level2"/>
      <w:r>
        <w:rPr>
          <w:rFonts w:hint="eastAsia" w:ascii="宋体" w:hAnsi="宋体" w:eastAsia="宋体" w:cs="宋体"/>
          <w:b/>
          <w:bCs/>
          <w:color w:val="auto"/>
          <w:kern w:val="44"/>
          <w:szCs w:val="21"/>
          <w:highlight w:val="none"/>
          <w:lang w:val="zh-CN"/>
        </w:rPr>
        <w:t>五、开标与评标</w:t>
      </w:r>
      <w:bookmarkEnd w:id="233"/>
      <w:bookmarkEnd w:id="234"/>
      <w:bookmarkEnd w:id="235"/>
      <w:bookmarkEnd w:id="236"/>
      <w:bookmarkEnd w:id="237"/>
      <w:bookmarkEnd w:id="238"/>
      <w:bookmarkEnd w:id="239"/>
      <w:bookmarkEnd w:id="240"/>
      <w:bookmarkEnd w:id="241"/>
    </w:p>
    <w:p w14:paraId="27785F3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2" w:name="_Toc7200"/>
      <w:bookmarkStart w:id="243" w:name="_Toc144_WPSOffice_Level3"/>
      <w:bookmarkStart w:id="244" w:name="_Toc486167688"/>
      <w:bookmarkStart w:id="245" w:name="_Toc22371"/>
      <w:bookmarkStart w:id="246" w:name="_Toc29881"/>
      <w:bookmarkStart w:id="247" w:name="_Toc142508338"/>
      <w:bookmarkStart w:id="248" w:name="_Toc7078"/>
      <w:bookmarkStart w:id="249" w:name="_Toc450662873"/>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42"/>
      <w:bookmarkEnd w:id="243"/>
      <w:bookmarkEnd w:id="244"/>
      <w:bookmarkEnd w:id="245"/>
      <w:bookmarkEnd w:id="246"/>
      <w:bookmarkEnd w:id="247"/>
      <w:bookmarkEnd w:id="248"/>
      <w:bookmarkEnd w:id="249"/>
    </w:p>
    <w:p w14:paraId="7872800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259DB93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48E7EBA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03FADE1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投标报价表内当以数字表示的报价系数与以文字表示的报价系数不一致时，以文字表示的报价系数为准。投标报价表内折扣系数报价</w:t>
      </w:r>
      <w:r>
        <w:rPr>
          <w:rFonts w:hint="eastAsia" w:ascii="宋体" w:hAnsi="宋体" w:eastAsia="宋体" w:cs="宋体"/>
          <w:color w:val="auto"/>
          <w:szCs w:val="21"/>
          <w:highlight w:val="none"/>
          <w:lang w:val="zh-CN" w:eastAsia="zh-CN"/>
        </w:rPr>
        <w:t>最多</w:t>
      </w:r>
      <w:r>
        <w:rPr>
          <w:rFonts w:hint="eastAsia" w:ascii="宋体" w:hAnsi="宋体" w:eastAsia="宋体" w:cs="宋体"/>
          <w:color w:val="auto"/>
          <w:szCs w:val="21"/>
          <w:highlight w:val="none"/>
          <w:lang w:val="zh-CN"/>
        </w:rPr>
        <w:t>保留小数点后两位。对不同文字文本投标文件的解释发生异议的，以中文文本为准。</w:t>
      </w:r>
    </w:p>
    <w:p w14:paraId="5464943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4EC9B22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35EF9B77">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3C337D0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0" w:name="_Toc12165_WPSOffice_Level3"/>
      <w:bookmarkStart w:id="251" w:name="_Toc9714"/>
      <w:bookmarkStart w:id="252" w:name="_Toc450662874"/>
      <w:bookmarkStart w:id="253" w:name="_Toc2038"/>
      <w:bookmarkStart w:id="254" w:name="_Toc142508339"/>
      <w:bookmarkStart w:id="255" w:name="_Toc486167689"/>
      <w:bookmarkStart w:id="256" w:name="_Toc11072"/>
      <w:bookmarkStart w:id="257" w:name="_Toc25818"/>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50"/>
      <w:bookmarkEnd w:id="251"/>
      <w:bookmarkEnd w:id="252"/>
      <w:bookmarkEnd w:id="253"/>
      <w:bookmarkEnd w:id="254"/>
      <w:bookmarkEnd w:id="255"/>
      <w:bookmarkEnd w:id="256"/>
      <w:bookmarkEnd w:id="257"/>
    </w:p>
    <w:p w14:paraId="3C19438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40A4ED8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2C72F37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1DA9C0B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8" w:name="_Toc14124"/>
      <w:bookmarkStart w:id="259" w:name="_Toc28201"/>
      <w:bookmarkStart w:id="260" w:name="_Toc3748"/>
      <w:bookmarkStart w:id="261" w:name="_Toc450662875"/>
      <w:bookmarkStart w:id="262" w:name="_Toc486167690"/>
      <w:bookmarkStart w:id="263" w:name="_Toc15565_WPSOffice_Level3"/>
      <w:bookmarkStart w:id="264" w:name="_Toc142508340"/>
      <w:bookmarkStart w:id="265" w:name="_Toc833"/>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58"/>
      <w:bookmarkEnd w:id="259"/>
      <w:bookmarkEnd w:id="260"/>
      <w:bookmarkEnd w:id="261"/>
      <w:bookmarkEnd w:id="262"/>
      <w:bookmarkEnd w:id="263"/>
      <w:bookmarkEnd w:id="264"/>
      <w:bookmarkEnd w:id="265"/>
    </w:p>
    <w:p w14:paraId="509903F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617C92E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52D117D7">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224AA478">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66" w:name="_Toc4883"/>
      <w:bookmarkStart w:id="267" w:name="_Toc31399"/>
      <w:bookmarkStart w:id="268" w:name="_Toc14693"/>
      <w:bookmarkStart w:id="269" w:name="_Toc450662876"/>
      <w:bookmarkStart w:id="270" w:name="_Toc142508341"/>
      <w:bookmarkStart w:id="271" w:name="_Toc830"/>
      <w:bookmarkStart w:id="272" w:name="_Toc486167691"/>
      <w:bookmarkStart w:id="273" w:name="_Toc28910_WPSOffice_Level3"/>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66"/>
      <w:bookmarkEnd w:id="267"/>
      <w:bookmarkEnd w:id="268"/>
      <w:bookmarkEnd w:id="269"/>
      <w:bookmarkEnd w:id="270"/>
      <w:bookmarkEnd w:id="271"/>
      <w:bookmarkEnd w:id="272"/>
      <w:bookmarkEnd w:id="273"/>
    </w:p>
    <w:p w14:paraId="45CFB68B">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20F379F2">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0D8EF074">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7090BAB1">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4" w:name="_Toc486167692"/>
      <w:bookmarkStart w:id="275" w:name="_Toc338_WPSOffice_Level3"/>
      <w:bookmarkStart w:id="276" w:name="_Toc10130"/>
      <w:bookmarkStart w:id="277" w:name="_Toc450662877"/>
      <w:bookmarkStart w:id="278" w:name="_Toc8292"/>
      <w:bookmarkStart w:id="279" w:name="_Toc9436"/>
      <w:bookmarkStart w:id="280" w:name="_Toc142508342"/>
      <w:bookmarkStart w:id="281" w:name="_Toc10382"/>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74"/>
      <w:bookmarkEnd w:id="275"/>
      <w:bookmarkEnd w:id="276"/>
      <w:bookmarkEnd w:id="277"/>
      <w:bookmarkEnd w:id="278"/>
      <w:bookmarkEnd w:id="279"/>
      <w:bookmarkEnd w:id="280"/>
      <w:bookmarkEnd w:id="281"/>
    </w:p>
    <w:p w14:paraId="3A3DF66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745C262F">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82"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82"/>
    <w:p w14:paraId="52128792">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83" w:name="_Toc142508343"/>
      <w:bookmarkStart w:id="284" w:name="_Toc18368_WPSOffice_Level3"/>
      <w:bookmarkStart w:id="285" w:name="_Toc521918096"/>
      <w:bookmarkStart w:id="286" w:name="_Toc522047355"/>
    </w:p>
    <w:p w14:paraId="656174CA">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7" w:name="_Toc26392"/>
      <w:bookmarkStart w:id="288" w:name="_Toc9404"/>
      <w:bookmarkStart w:id="289" w:name="_Toc22208"/>
      <w:bookmarkStart w:id="290" w:name="_Toc15022"/>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83"/>
      <w:bookmarkEnd w:id="284"/>
      <w:bookmarkEnd w:id="285"/>
      <w:bookmarkEnd w:id="286"/>
      <w:bookmarkEnd w:id="287"/>
      <w:bookmarkEnd w:id="288"/>
      <w:bookmarkEnd w:id="289"/>
      <w:bookmarkEnd w:id="290"/>
    </w:p>
    <w:p w14:paraId="156D96BC">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64FB0676">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4706115A">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758D80AB">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7E6D1919">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6CD641A6">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10CBC59A">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91" w:name="_Toc522047356"/>
      <w:bookmarkStart w:id="292" w:name="_Toc521918097"/>
    </w:p>
    <w:p w14:paraId="4C603A2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3" w:name="_Toc31279"/>
      <w:bookmarkStart w:id="294" w:name="_Toc18255"/>
      <w:bookmarkStart w:id="295" w:name="_Toc4548"/>
      <w:bookmarkStart w:id="296" w:name="_Toc24916"/>
      <w:bookmarkStart w:id="297" w:name="_Toc21460_WPSOffice_Level3"/>
      <w:bookmarkStart w:id="298" w:name="_Toc142508344"/>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91"/>
      <w:bookmarkEnd w:id="292"/>
      <w:bookmarkEnd w:id="293"/>
      <w:bookmarkEnd w:id="294"/>
      <w:bookmarkEnd w:id="295"/>
      <w:bookmarkEnd w:id="296"/>
      <w:bookmarkEnd w:id="297"/>
      <w:bookmarkEnd w:id="298"/>
    </w:p>
    <w:p w14:paraId="23F81CD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2F0E17D7">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54614BF4">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01FAABBB">
      <w:pPr>
        <w:tabs>
          <w:tab w:val="left" w:pos="360"/>
        </w:tabs>
        <w:autoSpaceDE w:val="0"/>
        <w:autoSpaceDN w:val="0"/>
        <w:adjustRightInd w:val="0"/>
        <w:spacing w:line="360" w:lineRule="auto"/>
        <w:ind w:left="330" w:leftChars="-100" w:right="44" w:rightChars="21" w:hanging="540" w:firstLineChars="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若本次招标过程中有效投标人不足三个时，公开招标失败。</w:t>
      </w:r>
    </w:p>
    <w:p w14:paraId="30A4496F">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28D8828D">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9" w:name="_Toc486167694"/>
      <w:bookmarkStart w:id="300" w:name="_Toc142508345"/>
      <w:bookmarkStart w:id="301" w:name="_Toc465358969"/>
      <w:bookmarkStart w:id="302" w:name="_Toc25047"/>
      <w:bookmarkStart w:id="303" w:name="_Toc32498_WPSOffice_Level3"/>
      <w:bookmarkStart w:id="304" w:name="_Toc10642"/>
      <w:bookmarkStart w:id="305" w:name="_Toc15841"/>
      <w:bookmarkStart w:id="306" w:name="_Toc8099"/>
      <w:bookmarkStart w:id="307" w:name="_Toc466882017"/>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99"/>
      <w:bookmarkEnd w:id="300"/>
      <w:bookmarkEnd w:id="301"/>
      <w:bookmarkEnd w:id="302"/>
      <w:bookmarkEnd w:id="303"/>
      <w:bookmarkEnd w:id="304"/>
      <w:bookmarkEnd w:id="305"/>
      <w:bookmarkEnd w:id="306"/>
      <w:bookmarkEnd w:id="307"/>
    </w:p>
    <w:p w14:paraId="397BCB61">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5C0C728D">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2118D216">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7385FA3E">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20E1F4B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555B47F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7F6928A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6FC7CB4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583B032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2A1E76E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7142535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365832F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775CF1A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0FDD1F8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w:t>
      </w:r>
      <w:r>
        <w:rPr>
          <w:rFonts w:hint="eastAsia" w:ascii="宋体" w:hAnsi="宋体" w:eastAsia="宋体" w:cs="宋体"/>
          <w:color w:val="000000" w:themeColor="text1"/>
          <w:szCs w:val="21"/>
          <w:highlight w:val="none"/>
          <w:lang w:val="zh-CN"/>
          <w14:textFill>
            <w14:solidFill>
              <w14:schemeClr w14:val="tx1"/>
            </w14:solidFill>
          </w14:textFill>
        </w:rPr>
        <w:t>东莞市水务环境投资控股集团有限公司</w:t>
      </w:r>
      <w:r>
        <w:rPr>
          <w:rFonts w:hint="eastAsia" w:ascii="宋体" w:hAnsi="宋体" w:eastAsia="宋体" w:cs="宋体"/>
          <w:color w:val="auto"/>
          <w:szCs w:val="21"/>
          <w:highlight w:val="none"/>
          <w:lang w:val="zh-CN"/>
        </w:rPr>
        <w:t>，联系人：</w:t>
      </w:r>
      <w:r>
        <w:rPr>
          <w:rFonts w:hint="eastAsia" w:ascii="宋体" w:hAnsi="宋体" w:eastAsia="宋体" w:cs="宋体"/>
          <w:color w:val="auto"/>
          <w:szCs w:val="21"/>
          <w:highlight w:val="none"/>
          <w:lang w:val="en-US" w:eastAsia="zh-CN"/>
        </w:rPr>
        <w:t>邓</w:t>
      </w:r>
      <w:r>
        <w:rPr>
          <w:rFonts w:hint="eastAsia" w:ascii="宋体" w:hAnsi="宋体" w:eastAsia="宋体" w:cs="宋体"/>
          <w:color w:val="auto"/>
          <w:szCs w:val="21"/>
          <w:highlight w:val="none"/>
          <w:lang w:val="zh-CN"/>
        </w:rPr>
        <w:t>先生，联系电话：0769-28823251。</w:t>
      </w:r>
    </w:p>
    <w:p w14:paraId="04DACD78">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4AC97C0F">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308" w:name="_Toc1562"/>
      <w:bookmarkStart w:id="309" w:name="_Toc26138"/>
      <w:bookmarkStart w:id="310" w:name="_Toc142508346"/>
      <w:bookmarkStart w:id="311" w:name="_Toc4325"/>
      <w:bookmarkStart w:id="312" w:name="_Toc465358970"/>
      <w:bookmarkStart w:id="313" w:name="_Toc1848_WPSOffice_Level3"/>
      <w:bookmarkStart w:id="314" w:name="_Toc486167695"/>
      <w:bookmarkStart w:id="315" w:name="_Toc466882018"/>
      <w:bookmarkStart w:id="316" w:name="_Toc18960"/>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308"/>
      <w:bookmarkEnd w:id="309"/>
      <w:bookmarkEnd w:id="310"/>
      <w:bookmarkEnd w:id="311"/>
      <w:bookmarkEnd w:id="312"/>
      <w:bookmarkEnd w:id="313"/>
      <w:bookmarkEnd w:id="314"/>
      <w:bookmarkEnd w:id="315"/>
      <w:bookmarkEnd w:id="316"/>
    </w:p>
    <w:p w14:paraId="5A005736">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w:t>
      </w:r>
      <w:r>
        <w:rPr>
          <w:rFonts w:hint="eastAsia" w:ascii="宋体" w:hAnsi="宋体" w:eastAsia="宋体" w:cs="Times New Roman"/>
          <w:b/>
          <w:color w:val="auto"/>
          <w:kern w:val="0"/>
          <w:szCs w:val="21"/>
          <w:highlight w:val="none"/>
          <w:lang w:eastAsia="zh-CN"/>
        </w:rPr>
        <w:t>或</w:t>
      </w:r>
      <w:r>
        <w:rPr>
          <w:rFonts w:hint="eastAsia" w:ascii="宋体" w:hAnsi="宋体" w:eastAsia="宋体" w:cs="Times New Roman"/>
          <w:b/>
          <w:color w:val="auto"/>
          <w:kern w:val="0"/>
          <w:szCs w:val="21"/>
          <w:highlight w:val="none"/>
        </w:rPr>
        <w:t>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4C10394F">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w:t>
      </w:r>
      <w:r>
        <w:rPr>
          <w:rFonts w:hint="eastAsia" w:ascii="宋体" w:hAnsi="宋体" w:eastAsia="宋体" w:cs="Times New Roman"/>
          <w:b/>
          <w:color w:val="auto"/>
          <w:kern w:val="0"/>
          <w:szCs w:val="21"/>
          <w:highlight w:val="none"/>
          <w:lang w:eastAsia="zh-CN"/>
        </w:rPr>
        <w:t>或</w:t>
      </w:r>
      <w:r>
        <w:rPr>
          <w:rFonts w:hint="eastAsia" w:ascii="宋体" w:hAnsi="宋体" w:eastAsia="宋体" w:cs="Times New Roman"/>
          <w:b/>
          <w:color w:val="auto"/>
          <w:kern w:val="0"/>
          <w:szCs w:val="21"/>
          <w:highlight w:val="none"/>
        </w:rPr>
        <w:t>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5A982FB4">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w:t>
      </w:r>
      <w:r>
        <w:rPr>
          <w:rFonts w:hint="eastAsia" w:ascii="宋体" w:hAnsi="宋体" w:eastAsia="宋体" w:cs="宋体"/>
          <w:b/>
          <w:color w:val="000000" w:themeColor="text1"/>
          <w:szCs w:val="21"/>
          <w:highlight w:val="none"/>
          <w14:textFill>
            <w14:solidFill>
              <w14:schemeClr w14:val="tx1"/>
            </w14:solidFill>
          </w14:textFill>
        </w:rPr>
        <w:t>东莞市水务环境投资控股集团有限公司</w:t>
      </w:r>
      <w:r>
        <w:rPr>
          <w:rFonts w:hint="eastAsia" w:ascii="宋体" w:hAnsi="宋体" w:eastAsia="宋体" w:cs="宋体"/>
          <w:b/>
          <w:color w:val="auto"/>
          <w:szCs w:val="21"/>
          <w:highlight w:val="none"/>
        </w:rPr>
        <w:t>相关招标采购等活动的，由投标人自行承担全部后果。</w:t>
      </w:r>
    </w:p>
    <w:p w14:paraId="3536775F">
      <w:pPr>
        <w:autoSpaceDE w:val="0"/>
        <w:autoSpaceDN w:val="0"/>
        <w:adjustRightInd w:val="0"/>
        <w:snapToGrid w:val="0"/>
        <w:spacing w:line="360" w:lineRule="auto"/>
        <w:jc w:val="left"/>
        <w:rPr>
          <w:rFonts w:ascii="宋体" w:hAnsi="宋体" w:eastAsia="宋体" w:cs="宋体"/>
          <w:color w:val="auto"/>
          <w:szCs w:val="21"/>
          <w:highlight w:val="none"/>
        </w:rPr>
      </w:pPr>
      <w:bookmarkStart w:id="317" w:name="_Toc466882019"/>
      <w:bookmarkStart w:id="318" w:name="_Toc465358971"/>
    </w:p>
    <w:p w14:paraId="20AF4A33">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319" w:name="_Toc14140"/>
      <w:bookmarkStart w:id="320" w:name="_Toc26035"/>
      <w:bookmarkStart w:id="321" w:name="_Toc142508347"/>
      <w:bookmarkStart w:id="322" w:name="_Toc10867_WPSOffice_Level3"/>
      <w:bookmarkStart w:id="323" w:name="_Toc18728"/>
      <w:bookmarkStart w:id="324" w:name="_Toc5601"/>
      <w:bookmarkStart w:id="325" w:name="_Toc486167696"/>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317"/>
      <w:bookmarkEnd w:id="318"/>
      <w:bookmarkEnd w:id="319"/>
      <w:bookmarkEnd w:id="320"/>
      <w:bookmarkEnd w:id="321"/>
      <w:bookmarkEnd w:id="322"/>
      <w:bookmarkEnd w:id="323"/>
      <w:bookmarkEnd w:id="324"/>
      <w:bookmarkEnd w:id="325"/>
    </w:p>
    <w:p w14:paraId="32732404">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461922EF">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326" w:name="_Toc450662880"/>
    </w:p>
    <w:p w14:paraId="72338765">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327" w:name="_Toc142508348"/>
      <w:bookmarkStart w:id="328" w:name="_Toc486167697"/>
      <w:bookmarkStart w:id="329" w:name="_Toc18316"/>
      <w:bookmarkStart w:id="330" w:name="_Toc16848_WPSOffice_Level2"/>
      <w:bookmarkStart w:id="331" w:name="_Toc19646"/>
      <w:bookmarkStart w:id="332" w:name="_Toc15253"/>
      <w:bookmarkStart w:id="333" w:name="_Toc23395"/>
      <w:bookmarkStart w:id="334" w:name="_Toc140596907"/>
      <w:r>
        <w:rPr>
          <w:rFonts w:hint="eastAsia" w:ascii="宋体" w:hAnsi="宋体" w:eastAsia="宋体" w:cs="宋体"/>
          <w:b/>
          <w:bCs/>
          <w:color w:val="auto"/>
          <w:kern w:val="44"/>
          <w:szCs w:val="21"/>
          <w:highlight w:val="none"/>
          <w:lang w:val="zh-CN"/>
        </w:rPr>
        <w:t>六、授予合同</w:t>
      </w:r>
      <w:bookmarkEnd w:id="326"/>
      <w:bookmarkEnd w:id="327"/>
      <w:bookmarkEnd w:id="328"/>
      <w:bookmarkEnd w:id="329"/>
      <w:bookmarkEnd w:id="330"/>
      <w:bookmarkEnd w:id="331"/>
      <w:bookmarkEnd w:id="332"/>
      <w:bookmarkEnd w:id="333"/>
      <w:bookmarkEnd w:id="334"/>
    </w:p>
    <w:p w14:paraId="60D1B73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5" w:name="_Toc450662881"/>
      <w:bookmarkStart w:id="336" w:name="_Toc12208"/>
      <w:bookmarkStart w:id="337" w:name="_Toc6401_WPSOffice_Level3"/>
      <w:bookmarkStart w:id="338" w:name="_Toc21588"/>
      <w:bookmarkStart w:id="339" w:name="_Toc486167698"/>
      <w:bookmarkStart w:id="340" w:name="_Toc25540"/>
      <w:bookmarkStart w:id="341" w:name="_Toc142508349"/>
      <w:bookmarkStart w:id="342" w:name="_Toc6064"/>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335"/>
      <w:bookmarkEnd w:id="336"/>
      <w:bookmarkEnd w:id="337"/>
      <w:bookmarkEnd w:id="338"/>
      <w:bookmarkEnd w:id="339"/>
      <w:bookmarkEnd w:id="340"/>
      <w:bookmarkEnd w:id="341"/>
      <w:bookmarkEnd w:id="342"/>
    </w:p>
    <w:p w14:paraId="39FAB354">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53A99CD0">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4FF76826">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209DEFD7">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43" w:name="_Toc450662885"/>
    </w:p>
    <w:p w14:paraId="61F2060D">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4" w:name="_Toc6726_WPSOffice_Level3"/>
      <w:bookmarkStart w:id="345" w:name="_Toc30848"/>
      <w:bookmarkStart w:id="346" w:name="_Toc16874"/>
      <w:bookmarkStart w:id="347" w:name="_Toc486167699"/>
      <w:bookmarkStart w:id="348" w:name="_Toc142508350"/>
      <w:bookmarkStart w:id="349" w:name="_Toc25004"/>
      <w:bookmarkStart w:id="350" w:name="_Toc24266"/>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43"/>
      <w:bookmarkEnd w:id="344"/>
      <w:bookmarkEnd w:id="345"/>
      <w:bookmarkEnd w:id="346"/>
      <w:bookmarkEnd w:id="347"/>
      <w:bookmarkEnd w:id="348"/>
      <w:bookmarkEnd w:id="349"/>
      <w:bookmarkEnd w:id="350"/>
    </w:p>
    <w:p w14:paraId="784AE01F">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51"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0EDAB071">
      <w:pPr>
        <w:autoSpaceDE w:val="0"/>
        <w:autoSpaceDN w:val="0"/>
        <w:adjustRightInd w:val="0"/>
        <w:snapToGrid w:val="0"/>
        <w:spacing w:line="360" w:lineRule="auto"/>
        <w:ind w:left="315" w:leftChars="-100" w:hanging="525" w:hangingChars="250"/>
        <w:jc w:val="left"/>
        <w:rPr>
          <w:rFonts w:ascii="宋体" w:hAnsi="宋体" w:eastAsia="宋体" w:cs="宋体"/>
          <w:i w:val="0"/>
          <w:iCs w:val="0"/>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w:t>
      </w:r>
      <w:r>
        <w:rPr>
          <w:rFonts w:hint="eastAsia" w:ascii="宋体" w:hAnsi="宋体" w:eastAsia="宋体" w:cs="宋体"/>
          <w:i w:val="0"/>
          <w:iCs w:val="0"/>
          <w:color w:val="auto"/>
          <w:szCs w:val="21"/>
          <w:highlight w:val="none"/>
          <w:lang w:val="zh-CN"/>
        </w:rPr>
        <w:t>，招标代理机构通知落选的投标人其投标文件未被接受而不提原因。</w:t>
      </w:r>
    </w:p>
    <w:p w14:paraId="175438C4">
      <w:pPr>
        <w:autoSpaceDE w:val="0"/>
        <w:autoSpaceDN w:val="0"/>
        <w:adjustRightInd w:val="0"/>
        <w:snapToGrid w:val="0"/>
        <w:spacing w:line="360" w:lineRule="auto"/>
        <w:ind w:left="315" w:leftChars="-100" w:hanging="525" w:hangingChars="250"/>
        <w:jc w:val="left"/>
        <w:rPr>
          <w:rFonts w:ascii="宋体" w:hAnsi="宋体" w:eastAsia="宋体" w:cs="宋体"/>
          <w:i w:val="0"/>
          <w:iCs w:val="0"/>
          <w:color w:val="auto"/>
          <w:szCs w:val="21"/>
          <w:highlight w:val="none"/>
          <w:lang w:val="zh-CN"/>
        </w:rPr>
      </w:pPr>
    </w:p>
    <w:p w14:paraId="5E058361">
      <w:pPr>
        <w:tabs>
          <w:tab w:val="left" w:pos="567"/>
        </w:tabs>
        <w:autoSpaceDE w:val="0"/>
        <w:autoSpaceDN w:val="0"/>
        <w:adjustRightInd w:val="0"/>
        <w:spacing w:line="360" w:lineRule="auto"/>
        <w:ind w:left="357" w:leftChars="-100" w:hanging="567"/>
        <w:jc w:val="left"/>
        <w:outlineLvl w:val="2"/>
        <w:rPr>
          <w:rFonts w:ascii="宋体" w:hAnsi="宋体" w:eastAsia="宋体" w:cs="宋体"/>
          <w:i w:val="0"/>
          <w:iCs w:val="0"/>
          <w:color w:val="auto"/>
          <w:szCs w:val="21"/>
          <w:highlight w:val="none"/>
          <w:lang w:val="zh-CN"/>
        </w:rPr>
      </w:pPr>
      <w:bookmarkStart w:id="352" w:name="_Toc486167700"/>
      <w:bookmarkStart w:id="353" w:name="_Toc9694_WPSOffice_Level3"/>
      <w:bookmarkStart w:id="354" w:name="_Toc24946"/>
      <w:bookmarkStart w:id="355" w:name="_Toc32732"/>
      <w:bookmarkStart w:id="356" w:name="_Toc142508351"/>
      <w:bookmarkStart w:id="357" w:name="_Toc9989"/>
      <w:bookmarkStart w:id="358" w:name="_Toc15739"/>
      <w:r>
        <w:rPr>
          <w:rFonts w:hint="eastAsia" w:ascii="宋体" w:hAnsi="宋体" w:eastAsia="宋体" w:cs="宋体"/>
          <w:i w:val="0"/>
          <w:iCs w:val="0"/>
          <w:color w:val="auto"/>
          <w:szCs w:val="21"/>
          <w:highlight w:val="none"/>
        </w:rPr>
        <w:t>34</w:t>
      </w:r>
      <w:r>
        <w:rPr>
          <w:rFonts w:ascii="宋体" w:hAnsi="宋体" w:eastAsia="宋体" w:cs="宋体"/>
          <w:i w:val="0"/>
          <w:iCs w:val="0"/>
          <w:color w:val="auto"/>
          <w:szCs w:val="21"/>
          <w:highlight w:val="none"/>
          <w:lang w:val="zh-CN"/>
        </w:rPr>
        <w:t xml:space="preserve"> </w:t>
      </w:r>
      <w:r>
        <w:rPr>
          <w:rFonts w:hint="eastAsia" w:ascii="宋体" w:hAnsi="宋体" w:eastAsia="宋体" w:cs="宋体"/>
          <w:i w:val="0"/>
          <w:iCs w:val="0"/>
          <w:color w:val="auto"/>
          <w:szCs w:val="21"/>
          <w:highlight w:val="none"/>
          <w:lang w:val="zh-CN"/>
        </w:rPr>
        <w:t>签署合同</w:t>
      </w:r>
      <w:bookmarkEnd w:id="351"/>
      <w:bookmarkEnd w:id="352"/>
      <w:bookmarkEnd w:id="353"/>
      <w:bookmarkEnd w:id="354"/>
      <w:bookmarkEnd w:id="355"/>
      <w:bookmarkEnd w:id="356"/>
      <w:bookmarkEnd w:id="357"/>
      <w:bookmarkEnd w:id="358"/>
    </w:p>
    <w:p w14:paraId="381E331E">
      <w:pPr>
        <w:tabs>
          <w:tab w:val="left" w:pos="540"/>
        </w:tabs>
        <w:autoSpaceDE w:val="0"/>
        <w:autoSpaceDN w:val="0"/>
        <w:adjustRightInd w:val="0"/>
        <w:spacing w:line="360" w:lineRule="auto"/>
        <w:ind w:left="330" w:leftChars="-100" w:right="15" w:rightChars="7" w:hanging="540"/>
        <w:rPr>
          <w:rFonts w:ascii="宋体" w:hAnsi="宋体" w:eastAsia="宋体" w:cs="宋体"/>
          <w:i w:val="0"/>
          <w:iCs w:val="0"/>
          <w:color w:val="auto"/>
          <w:szCs w:val="21"/>
          <w:highlight w:val="none"/>
          <w:lang w:val="zh-CN"/>
        </w:rPr>
      </w:pPr>
      <w:r>
        <w:rPr>
          <w:rFonts w:hint="eastAsia" w:ascii="宋体" w:hAnsi="宋体" w:eastAsia="宋体" w:cs="宋体"/>
          <w:i w:val="0"/>
          <w:iCs w:val="0"/>
          <w:color w:val="auto"/>
          <w:szCs w:val="21"/>
          <w:highlight w:val="none"/>
        </w:rPr>
        <w:t>34</w:t>
      </w:r>
      <w:r>
        <w:rPr>
          <w:rFonts w:hint="eastAsia" w:ascii="宋体" w:hAnsi="宋体" w:eastAsia="宋体" w:cs="宋体"/>
          <w:i w:val="0"/>
          <w:iCs w:val="0"/>
          <w:color w:val="auto"/>
          <w:szCs w:val="21"/>
          <w:highlight w:val="none"/>
          <w:lang w:val="zh-CN"/>
        </w:rPr>
        <w:t>.1</w:t>
      </w:r>
      <w:r>
        <w:rPr>
          <w:rFonts w:hint="eastAsia" w:ascii="宋体" w:hAnsi="宋体" w:eastAsia="宋体" w:cs="宋体"/>
          <w:i w:val="0"/>
          <w:iCs w:val="0"/>
          <w:color w:val="auto"/>
          <w:szCs w:val="21"/>
          <w:highlight w:val="none"/>
          <w:lang w:val="zh-CN"/>
        </w:rPr>
        <w:tab/>
      </w:r>
      <w:r>
        <w:rPr>
          <w:rFonts w:hint="eastAsia" w:ascii="宋体" w:hAnsi="宋体" w:eastAsia="宋体" w:cs="Times New Roman"/>
          <w:b/>
          <w:i w:val="0"/>
          <w:iCs w:val="0"/>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i w:val="0"/>
          <w:iCs w:val="0"/>
          <w:color w:val="auto"/>
          <w:szCs w:val="21"/>
          <w:highlight w:val="none"/>
          <w:lang w:val="zh-CN"/>
        </w:rPr>
        <w:t>。</w:t>
      </w:r>
    </w:p>
    <w:p w14:paraId="4DE22D7C">
      <w:pPr>
        <w:autoSpaceDE w:val="0"/>
        <w:autoSpaceDN w:val="0"/>
        <w:adjustRightInd w:val="0"/>
        <w:snapToGrid w:val="0"/>
        <w:spacing w:line="360" w:lineRule="auto"/>
        <w:ind w:left="315" w:leftChars="-100" w:hanging="525" w:hangingChars="250"/>
        <w:jc w:val="left"/>
        <w:rPr>
          <w:rFonts w:ascii="宋体" w:hAnsi="宋体" w:eastAsia="宋体" w:cs="Times New Roman"/>
          <w:i w:val="0"/>
          <w:iCs w:val="0"/>
          <w:color w:val="auto"/>
          <w:szCs w:val="21"/>
          <w:highlight w:val="none"/>
          <w:lang w:val="zh-CN"/>
        </w:rPr>
      </w:pPr>
      <w:r>
        <w:rPr>
          <w:rFonts w:hint="eastAsia" w:ascii="宋体" w:hAnsi="宋体" w:eastAsia="宋体" w:cs="Times New Roman"/>
          <w:i w:val="0"/>
          <w:iCs w:val="0"/>
          <w:color w:val="auto"/>
          <w:szCs w:val="21"/>
          <w:highlight w:val="none"/>
          <w:lang w:val="zh-CN"/>
        </w:rPr>
        <w:t>34.2 在签署合同前，招标人可对中标人投标报价明细及附表内的算术性错误进行修正，修正原则为：</w:t>
      </w:r>
    </w:p>
    <w:p w14:paraId="4E3012B5">
      <w:pPr>
        <w:autoSpaceDE/>
        <w:autoSpaceDN/>
        <w:adjustRightInd w:val="0"/>
        <w:snapToGrid w:val="0"/>
        <w:spacing w:line="360" w:lineRule="auto"/>
        <w:ind w:left="411" w:leftChars="170" w:hanging="54" w:hangingChars="26"/>
        <w:jc w:val="left"/>
        <w:rPr>
          <w:rFonts w:hint="eastAsia" w:ascii="宋体" w:hAnsi="宋体" w:eastAsia="宋体" w:cs="Times New Roman"/>
          <w:i w:val="0"/>
          <w:iCs w:val="0"/>
          <w:color w:val="auto"/>
          <w:szCs w:val="21"/>
          <w:highlight w:val="none"/>
          <w:lang w:val="zh-CN"/>
        </w:rPr>
      </w:pPr>
      <w:r>
        <w:rPr>
          <w:rFonts w:hint="eastAsia" w:ascii="宋体" w:hAnsi="宋体" w:eastAsia="宋体" w:cs="Times New Roman"/>
          <w:i w:val="0"/>
          <w:iCs w:val="0"/>
          <w:color w:val="auto"/>
          <w:szCs w:val="21"/>
          <w:highlight w:val="none"/>
          <w:lang w:val="zh-CN"/>
        </w:rPr>
        <w:t>（</w:t>
      </w:r>
      <w:r>
        <w:rPr>
          <w:rFonts w:hint="eastAsia" w:ascii="宋体" w:hAnsi="宋体" w:eastAsia="宋体" w:cs="Times New Roman"/>
          <w:i w:val="0"/>
          <w:iCs w:val="0"/>
          <w:color w:val="auto"/>
          <w:szCs w:val="21"/>
          <w:highlight w:val="none"/>
          <w:lang w:val="en-US" w:eastAsia="zh-CN"/>
        </w:rPr>
        <w:t>1</w:t>
      </w:r>
      <w:r>
        <w:rPr>
          <w:rFonts w:hint="eastAsia" w:ascii="宋体" w:hAnsi="宋体" w:eastAsia="宋体" w:cs="Times New Roman"/>
          <w:i w:val="0"/>
          <w:iCs w:val="0"/>
          <w:color w:val="auto"/>
          <w:szCs w:val="21"/>
          <w:highlight w:val="none"/>
          <w:lang w:val="zh-CN"/>
        </w:rPr>
        <w:t>）当以数字表示的报价系数与以文字表示的报价系数不一致时，以文字表示的报价系数为准。</w:t>
      </w:r>
    </w:p>
    <w:p w14:paraId="7EA320FC">
      <w:pPr>
        <w:autoSpaceDE/>
        <w:autoSpaceDN/>
        <w:adjustRightInd w:val="0"/>
        <w:snapToGrid w:val="0"/>
        <w:spacing w:line="360" w:lineRule="auto"/>
        <w:ind w:left="411" w:leftChars="170" w:hanging="54" w:hangingChars="26"/>
        <w:jc w:val="left"/>
        <w:rPr>
          <w:rFonts w:ascii="宋体" w:hAnsi="宋体" w:eastAsia="宋体" w:cs="Times New Roman"/>
          <w:i w:val="0"/>
          <w:iCs w:val="0"/>
          <w:color w:val="auto"/>
          <w:szCs w:val="21"/>
          <w:highlight w:val="none"/>
          <w:lang w:val="zh-CN"/>
        </w:rPr>
      </w:pPr>
      <w:r>
        <w:rPr>
          <w:rFonts w:hint="eastAsia" w:ascii="宋体" w:hAnsi="宋体" w:eastAsia="宋体" w:cs="Times New Roman"/>
          <w:i w:val="0"/>
          <w:iCs w:val="0"/>
          <w:color w:val="auto"/>
          <w:szCs w:val="21"/>
          <w:highlight w:val="none"/>
          <w:lang w:val="zh-CN"/>
        </w:rPr>
        <w:t>（</w:t>
      </w:r>
      <w:r>
        <w:rPr>
          <w:rFonts w:hint="eastAsia" w:ascii="宋体" w:hAnsi="宋体" w:eastAsia="宋体" w:cs="Times New Roman"/>
          <w:i w:val="0"/>
          <w:iCs w:val="0"/>
          <w:color w:val="auto"/>
          <w:szCs w:val="21"/>
          <w:highlight w:val="none"/>
          <w:lang w:val="zh-CN" w:eastAsia="zh-CN"/>
        </w:rPr>
        <w:t>2</w:t>
      </w:r>
      <w:r>
        <w:rPr>
          <w:rFonts w:hint="eastAsia" w:ascii="宋体" w:hAnsi="宋体" w:eastAsia="宋体" w:cs="Times New Roman"/>
          <w:i w:val="0"/>
          <w:iCs w:val="0"/>
          <w:color w:val="auto"/>
          <w:szCs w:val="21"/>
          <w:highlight w:val="none"/>
          <w:lang w:val="zh-CN"/>
        </w:rPr>
        <w:t>）按前述修正原则排序依次进行修正至唯一值后的报价表经双方确认后，作为合同文件的组成部分。</w:t>
      </w:r>
    </w:p>
    <w:p w14:paraId="6EFD376C">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i w:val="0"/>
          <w:iCs w:val="0"/>
          <w:color w:val="auto"/>
          <w:szCs w:val="21"/>
          <w:highlight w:val="none"/>
        </w:rPr>
      </w:pPr>
      <w:bookmarkStart w:id="359" w:name="_Toc10513_WPSOffice_Level3"/>
      <w:bookmarkStart w:id="360" w:name="_Toc450662887"/>
      <w:bookmarkStart w:id="361" w:name="_Toc142508352"/>
      <w:bookmarkStart w:id="362" w:name="_Toc486167701"/>
    </w:p>
    <w:p w14:paraId="4BD6BCA2">
      <w:pPr>
        <w:tabs>
          <w:tab w:val="left" w:pos="360"/>
        </w:tabs>
        <w:autoSpaceDE w:val="0"/>
        <w:autoSpaceDN w:val="0"/>
        <w:adjustRightInd w:val="0"/>
        <w:spacing w:line="360" w:lineRule="auto"/>
        <w:ind w:left="357" w:leftChars="-100" w:hanging="567"/>
        <w:jc w:val="left"/>
        <w:outlineLvl w:val="2"/>
        <w:rPr>
          <w:rFonts w:ascii="宋体" w:hAnsi="宋体" w:eastAsia="宋体" w:cs="宋体"/>
          <w:i w:val="0"/>
          <w:iCs w:val="0"/>
          <w:color w:val="auto"/>
          <w:szCs w:val="21"/>
          <w:highlight w:val="none"/>
          <w:lang w:val="zh-CN"/>
        </w:rPr>
      </w:pPr>
      <w:bookmarkStart w:id="363" w:name="_Toc29315"/>
      <w:bookmarkStart w:id="364" w:name="_Toc18874"/>
      <w:bookmarkStart w:id="365" w:name="_Toc8873"/>
      <w:bookmarkStart w:id="366" w:name="_Toc24297"/>
      <w:r>
        <w:rPr>
          <w:rFonts w:hint="eastAsia" w:ascii="宋体" w:hAnsi="宋体" w:eastAsia="宋体" w:cs="宋体"/>
          <w:i w:val="0"/>
          <w:iCs w:val="0"/>
          <w:color w:val="auto"/>
          <w:szCs w:val="21"/>
          <w:highlight w:val="none"/>
        </w:rPr>
        <w:t>35</w:t>
      </w:r>
      <w:r>
        <w:rPr>
          <w:rFonts w:ascii="宋体" w:hAnsi="宋体" w:eastAsia="宋体" w:cs="宋体"/>
          <w:i w:val="0"/>
          <w:iCs w:val="0"/>
          <w:color w:val="auto"/>
          <w:szCs w:val="21"/>
          <w:highlight w:val="none"/>
        </w:rPr>
        <w:t xml:space="preserve"> </w:t>
      </w:r>
      <w:r>
        <w:rPr>
          <w:rFonts w:hint="eastAsia" w:ascii="宋体" w:hAnsi="宋体" w:eastAsia="宋体" w:cs="宋体"/>
          <w:i w:val="0"/>
          <w:iCs w:val="0"/>
          <w:color w:val="auto"/>
          <w:szCs w:val="21"/>
          <w:highlight w:val="none"/>
          <w:lang w:val="zh-CN"/>
        </w:rPr>
        <w:t>履约担保</w:t>
      </w:r>
      <w:bookmarkEnd w:id="359"/>
      <w:bookmarkEnd w:id="360"/>
      <w:bookmarkEnd w:id="361"/>
      <w:bookmarkEnd w:id="362"/>
      <w:bookmarkEnd w:id="363"/>
      <w:bookmarkEnd w:id="364"/>
      <w:bookmarkEnd w:id="365"/>
      <w:bookmarkEnd w:id="366"/>
    </w:p>
    <w:p w14:paraId="16416A87">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i w:val="0"/>
          <w:iCs w:val="0"/>
          <w:color w:val="auto"/>
          <w:szCs w:val="21"/>
          <w:highlight w:val="none"/>
          <w:lang w:val="zh-CN"/>
        </w:rPr>
      </w:pPr>
      <w:bookmarkStart w:id="367" w:name="_Toc465358977"/>
      <w:bookmarkStart w:id="368" w:name="_Toc466882025"/>
      <w:r>
        <w:rPr>
          <w:rFonts w:hint="eastAsia" w:ascii="宋体" w:hAnsi="宋体" w:eastAsia="宋体" w:cs="宋体"/>
          <w:bCs/>
          <w:i w:val="0"/>
          <w:iCs w:val="0"/>
          <w:color w:val="auto"/>
          <w:szCs w:val="21"/>
          <w:highlight w:val="none"/>
        </w:rPr>
        <w:t>35</w:t>
      </w:r>
      <w:r>
        <w:rPr>
          <w:rFonts w:hint="eastAsia" w:ascii="宋体" w:hAnsi="宋体" w:eastAsia="宋体" w:cs="宋体"/>
          <w:bCs/>
          <w:i w:val="0"/>
          <w:iCs w:val="0"/>
          <w:color w:val="auto"/>
          <w:szCs w:val="21"/>
          <w:highlight w:val="none"/>
          <w:lang w:val="zh-CN"/>
        </w:rPr>
        <w:t>.1</w:t>
      </w:r>
      <w:r>
        <w:rPr>
          <w:rFonts w:hint="eastAsia" w:ascii="宋体" w:hAnsi="宋体" w:eastAsia="宋体" w:cs="宋体"/>
          <w:b/>
          <w:bCs/>
          <w:i w:val="0"/>
          <w:iCs w:val="0"/>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或履约保证保险或担保公司履约担保书），作为履约担保（所需费用由中标人自行承担），否则招标人可取消中标人的中标资格，不予退还其投标保证金。其中，采用履约保证金（银行转账形式）的金额为</w:t>
      </w:r>
      <w:r>
        <w:rPr>
          <w:rFonts w:hint="eastAsia" w:ascii="宋体" w:hAnsi="宋体" w:eastAsia="宋体" w:cs="Times New Roman"/>
          <w:b/>
          <w:bCs/>
          <w:color w:val="auto"/>
          <w:szCs w:val="21"/>
          <w:highlight w:val="none"/>
          <w:u w:val="single"/>
          <w:lang w:val="zh-CN" w:eastAsia="zh-CN"/>
        </w:rPr>
        <w:t>本项目暂定合同价（即销售额，不含销项税额）</w:t>
      </w:r>
      <w:r>
        <w:rPr>
          <w:rFonts w:hint="eastAsia" w:ascii="宋体" w:hAnsi="宋体" w:eastAsia="宋体" w:cs="Times New Roman"/>
          <w:b/>
          <w:bCs/>
          <w:color w:val="auto"/>
          <w:szCs w:val="21"/>
          <w:highlight w:val="none"/>
          <w:u w:val="single"/>
          <w:lang w:val="zh-CN"/>
        </w:rPr>
        <w:t>的5%；采用不可撤销银行履约保函（或履约保证保险）形式的金额为</w:t>
      </w:r>
      <w:r>
        <w:rPr>
          <w:rFonts w:hint="eastAsia" w:ascii="宋体" w:hAnsi="宋体" w:eastAsia="宋体" w:cs="Times New Roman"/>
          <w:b/>
          <w:bCs/>
          <w:color w:val="auto"/>
          <w:szCs w:val="21"/>
          <w:highlight w:val="none"/>
          <w:u w:val="single"/>
          <w:lang w:val="zh-CN" w:eastAsia="zh-CN"/>
        </w:rPr>
        <w:t>本项目暂定合同价（即销售额，不含销项税额）</w:t>
      </w:r>
      <w:r>
        <w:rPr>
          <w:rFonts w:hint="eastAsia" w:ascii="宋体" w:hAnsi="宋体" w:eastAsia="宋体" w:cs="Times New Roman"/>
          <w:b/>
          <w:bCs/>
          <w:color w:val="auto"/>
          <w:szCs w:val="21"/>
          <w:highlight w:val="none"/>
          <w:u w:val="single"/>
          <w:lang w:val="zh-CN"/>
        </w:rPr>
        <w:t>的8%；采用担保公司履约担保书形式的金额为</w:t>
      </w:r>
      <w:r>
        <w:rPr>
          <w:rFonts w:hint="eastAsia" w:ascii="宋体" w:hAnsi="宋体" w:eastAsia="宋体" w:cs="Times New Roman"/>
          <w:b/>
          <w:bCs/>
          <w:color w:val="auto"/>
          <w:szCs w:val="21"/>
          <w:highlight w:val="none"/>
          <w:u w:val="single"/>
          <w:lang w:val="zh-CN" w:eastAsia="zh-CN"/>
        </w:rPr>
        <w:t>本项目暂定合同价（即销售额，不含销项税额）</w:t>
      </w:r>
      <w:r>
        <w:rPr>
          <w:rFonts w:hint="eastAsia" w:ascii="宋体" w:hAnsi="宋体" w:eastAsia="宋体" w:cs="Times New Roman"/>
          <w:b/>
          <w:bCs/>
          <w:color w:val="auto"/>
          <w:szCs w:val="21"/>
          <w:highlight w:val="none"/>
          <w:u w:val="single"/>
          <w:lang w:val="zh-CN"/>
        </w:rPr>
        <w:t>的10%。</w:t>
      </w:r>
      <w:r>
        <w:rPr>
          <w:rFonts w:hint="eastAsia" w:ascii="宋体" w:hAnsi="宋体" w:eastAsia="宋体" w:cs="Arial"/>
          <w:bCs/>
          <w:i w:val="0"/>
          <w:iCs w:val="0"/>
          <w:color w:val="auto"/>
          <w:kern w:val="0"/>
          <w:szCs w:val="24"/>
          <w:highlight w:val="none"/>
        </w:rPr>
        <w:t>合同履行过程中，中标人</w:t>
      </w:r>
      <w:r>
        <w:rPr>
          <w:rFonts w:hint="eastAsia" w:ascii="宋体" w:hAnsi="宋体" w:eastAsia="宋体" w:cs="Arial"/>
          <w:i w:val="0"/>
          <w:iCs w:val="0"/>
          <w:color w:val="auto"/>
          <w:kern w:val="0"/>
          <w:szCs w:val="24"/>
          <w:highlight w:val="none"/>
        </w:rPr>
        <w:t>给</w:t>
      </w:r>
      <w:r>
        <w:rPr>
          <w:rFonts w:hint="eastAsia" w:ascii="宋体" w:hAnsi="宋体" w:eastAsia="宋体" w:cs="宋体"/>
          <w:color w:val="auto"/>
          <w:kern w:val="0"/>
          <w:szCs w:val="24"/>
          <w:highlight w:val="none"/>
        </w:rPr>
        <w:t>招标人或</w:t>
      </w:r>
      <w:r>
        <w:rPr>
          <w:rFonts w:hint="eastAsia" w:ascii="宋体" w:hAnsi="宋体" w:eastAsia="宋体" w:cs="宋体"/>
          <w:color w:val="auto"/>
          <w:kern w:val="0"/>
          <w:szCs w:val="24"/>
          <w:highlight w:val="none"/>
          <w:lang w:eastAsia="zh-CN"/>
        </w:rPr>
        <w:t>招标人权属分公司</w:t>
      </w:r>
      <w:r>
        <w:rPr>
          <w:rFonts w:hint="eastAsia" w:ascii="宋体" w:hAnsi="宋体" w:eastAsia="宋体" w:cs="Arial"/>
          <w:i w:val="0"/>
          <w:iCs w:val="0"/>
          <w:color w:val="auto"/>
          <w:kern w:val="0"/>
          <w:szCs w:val="24"/>
          <w:highlight w:val="none"/>
        </w:rPr>
        <w:t>造成的损失超过履约担保数额的，中标人还应当对超过部分予以赔偿，招标人并依法追究中标人的相应责任。</w:t>
      </w:r>
    </w:p>
    <w:p w14:paraId="53EB154C">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 xml:space="preserve">35.2 </w:t>
      </w:r>
      <w:r>
        <w:rPr>
          <w:rFonts w:hint="eastAsia" w:ascii="宋体" w:hAnsi="宋体" w:eastAsia="宋体" w:cs="Times New Roman"/>
          <w:i w:val="0"/>
          <w:iCs w:val="0"/>
          <w:color w:val="auto"/>
          <w:kern w:val="0"/>
          <w:szCs w:val="21"/>
          <w:highlight w:val="none"/>
        </w:rPr>
        <w:t>履约担保用于补偿</w:t>
      </w:r>
      <w:r>
        <w:rPr>
          <w:rFonts w:hint="eastAsia" w:ascii="宋体" w:hAnsi="宋体" w:eastAsia="宋体" w:cs="宋体"/>
          <w:color w:val="auto"/>
          <w:kern w:val="0"/>
          <w:szCs w:val="21"/>
          <w:highlight w:val="none"/>
        </w:rPr>
        <w:t>招标人或</w:t>
      </w:r>
      <w:r>
        <w:rPr>
          <w:rFonts w:hint="eastAsia" w:ascii="宋体" w:hAnsi="宋体" w:eastAsia="宋体" w:cs="宋体"/>
          <w:color w:val="auto"/>
          <w:kern w:val="0"/>
          <w:szCs w:val="21"/>
          <w:highlight w:val="none"/>
          <w:lang w:eastAsia="zh-CN"/>
        </w:rPr>
        <w:t>招标人权属分公司</w:t>
      </w:r>
      <w:r>
        <w:rPr>
          <w:rFonts w:hint="eastAsia" w:ascii="宋体" w:hAnsi="宋体" w:eastAsia="宋体" w:cs="Times New Roman"/>
          <w:i w:val="0"/>
          <w:iCs w:val="0"/>
          <w:color w:val="auto"/>
          <w:kern w:val="0"/>
          <w:szCs w:val="21"/>
          <w:highlight w:val="none"/>
        </w:rPr>
        <w:t>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i w:val="0"/>
          <w:iCs w:val="0"/>
          <w:color w:val="auto"/>
          <w:kern w:val="0"/>
          <w:szCs w:val="21"/>
          <w:highlight w:val="none"/>
        </w:rPr>
        <w:t>：</w:t>
      </w:r>
    </w:p>
    <w:p w14:paraId="400D73D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color w:val="auto"/>
          <w:kern w:val="0"/>
          <w:szCs w:val="21"/>
          <w:highlight w:val="none"/>
        </w:rPr>
      </w:pPr>
      <w:r>
        <w:rPr>
          <w:rFonts w:hint="eastAsia" w:ascii="宋体" w:hAnsi="宋体" w:eastAsia="宋体" w:cs="Times New Roman"/>
          <w:i w:val="0"/>
          <w:iCs w:val="0"/>
          <w:color w:val="auto"/>
          <w:kern w:val="0"/>
          <w:szCs w:val="21"/>
          <w:highlight w:val="none"/>
        </w:rPr>
        <w:t>（</w:t>
      </w:r>
      <w:r>
        <w:rPr>
          <w:rFonts w:ascii="宋体" w:hAnsi="宋体" w:eastAsia="宋体" w:cs="Times New Roman"/>
          <w:i w:val="0"/>
          <w:iCs w:val="0"/>
          <w:color w:val="auto"/>
          <w:kern w:val="0"/>
          <w:szCs w:val="21"/>
          <w:highlight w:val="none"/>
        </w:rPr>
        <w:t>1）</w:t>
      </w:r>
      <w:r>
        <w:rPr>
          <w:rFonts w:hint="eastAsia" w:ascii="宋体" w:hAnsi="宋体" w:eastAsia="宋体" w:cs="Times New Roman"/>
          <w:i w:val="0"/>
          <w:iCs w:val="0"/>
          <w:color w:val="auto"/>
          <w:kern w:val="0"/>
          <w:szCs w:val="21"/>
          <w:highlight w:val="none"/>
        </w:rPr>
        <w:t>中标人将合同项下中标人的权利义务全部转让给第三方，或未经招标人书面同意将部分权利义务转让给第三方的，</w:t>
      </w:r>
      <w:r>
        <w:rPr>
          <w:rFonts w:hint="eastAsia" w:ascii="宋体" w:hAnsi="宋体" w:eastAsia="宋体" w:cs="宋体"/>
          <w:color w:val="auto"/>
          <w:kern w:val="0"/>
          <w:szCs w:val="21"/>
          <w:highlight w:val="none"/>
        </w:rPr>
        <w:t>招标人有权没收其履约担保，同时按本</w:t>
      </w:r>
      <w:r>
        <w:rPr>
          <w:rFonts w:hint="eastAsia" w:ascii="宋体" w:hAnsi="宋体" w:eastAsia="宋体" w:cs="宋体"/>
          <w:color w:val="auto"/>
          <w:kern w:val="0"/>
          <w:szCs w:val="21"/>
          <w:highlight w:val="none"/>
          <w:lang w:val="en-US" w:eastAsia="zh-CN"/>
        </w:rPr>
        <w:t>项目</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相关约定</w:t>
      </w:r>
      <w:r>
        <w:rPr>
          <w:rFonts w:hint="eastAsia" w:ascii="宋体" w:hAnsi="宋体" w:eastAsia="宋体" w:cs="宋体"/>
          <w:color w:val="auto"/>
          <w:kern w:val="0"/>
          <w:szCs w:val="21"/>
          <w:highlight w:val="none"/>
        </w:rPr>
        <w:t>追究其他责任</w:t>
      </w:r>
      <w:r>
        <w:rPr>
          <w:rFonts w:hint="eastAsia" w:ascii="宋体" w:hAnsi="宋体" w:eastAsia="宋体" w:cs="Times New Roman"/>
          <w:i w:val="0"/>
          <w:iCs w:val="0"/>
          <w:color w:val="auto"/>
          <w:kern w:val="0"/>
          <w:szCs w:val="21"/>
          <w:highlight w:val="none"/>
        </w:rPr>
        <w:t>。</w:t>
      </w:r>
    </w:p>
    <w:p w14:paraId="020E103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color w:val="auto"/>
          <w:kern w:val="0"/>
          <w:szCs w:val="21"/>
          <w:highlight w:val="none"/>
        </w:rPr>
      </w:pPr>
      <w:r>
        <w:rPr>
          <w:rFonts w:hint="eastAsia" w:ascii="宋体" w:hAnsi="宋体" w:eastAsia="宋体" w:cs="Times New Roman"/>
          <w:i w:val="0"/>
          <w:iCs w:val="0"/>
          <w:color w:val="auto"/>
          <w:kern w:val="0"/>
          <w:szCs w:val="21"/>
          <w:highlight w:val="none"/>
        </w:rPr>
        <w:t>（</w:t>
      </w:r>
      <w:r>
        <w:rPr>
          <w:rFonts w:hint="eastAsia" w:ascii="宋体" w:hAnsi="宋体" w:eastAsia="宋体" w:cs="Times New Roman"/>
          <w:i w:val="0"/>
          <w:iCs w:val="0"/>
          <w:color w:val="auto"/>
          <w:kern w:val="0"/>
          <w:szCs w:val="21"/>
          <w:highlight w:val="none"/>
          <w:lang w:val="en-US" w:eastAsia="zh-CN"/>
        </w:rPr>
        <w:t>2</w:t>
      </w:r>
      <w:r>
        <w:rPr>
          <w:rFonts w:ascii="宋体" w:hAnsi="宋体" w:eastAsia="宋体" w:cs="Times New Roman"/>
          <w:i w:val="0"/>
          <w:iCs w:val="0"/>
          <w:color w:val="auto"/>
          <w:kern w:val="0"/>
          <w:szCs w:val="21"/>
          <w:highlight w:val="none"/>
        </w:rPr>
        <w:t>）</w:t>
      </w:r>
      <w:r>
        <w:rPr>
          <w:rFonts w:hint="eastAsia" w:ascii="宋体" w:hAnsi="宋体" w:eastAsia="宋体" w:cs="宋体"/>
          <w:color w:val="auto"/>
          <w:kern w:val="0"/>
          <w:szCs w:val="21"/>
          <w:highlight w:val="none"/>
        </w:rPr>
        <w:t>在合同履行期间，因中标人原因（包括但不限于</w:t>
      </w:r>
      <w:r>
        <w:rPr>
          <w:rFonts w:hint="eastAsia" w:ascii="宋体" w:hAnsi="宋体" w:eastAsia="宋体" w:cs="宋体"/>
          <w:color w:val="auto"/>
          <w:kern w:val="0"/>
          <w:szCs w:val="21"/>
          <w:highlight w:val="none"/>
          <w:lang w:val="en-US" w:eastAsia="zh-CN"/>
        </w:rPr>
        <w:t>所供货物及有关</w:t>
      </w:r>
      <w:r>
        <w:rPr>
          <w:rFonts w:hint="eastAsia" w:ascii="宋体" w:hAnsi="宋体" w:eastAsia="宋体" w:cs="宋体"/>
          <w:color w:val="auto"/>
          <w:kern w:val="0"/>
          <w:szCs w:val="21"/>
          <w:highlight w:val="none"/>
        </w:rPr>
        <w:t>服务质量问题、资金链问题拖欠工资/货款）造成损害、侵权损失（包括但不限于</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或招标人权属分公司、第三人的人身/财产损失等）、或因</w:t>
      </w:r>
      <w:r>
        <w:rPr>
          <w:rFonts w:hint="eastAsia" w:ascii="宋体" w:hAnsi="宋体" w:eastAsia="宋体" w:cs="宋体"/>
          <w:color w:val="auto"/>
          <w:kern w:val="0"/>
          <w:szCs w:val="21"/>
          <w:highlight w:val="none"/>
          <w:lang w:val="en-US" w:eastAsia="zh-CN"/>
        </w:rPr>
        <w:t>中标人</w:t>
      </w:r>
      <w:r>
        <w:rPr>
          <w:rFonts w:hint="eastAsia" w:ascii="宋体" w:hAnsi="宋体" w:eastAsia="宋体" w:cs="宋体"/>
          <w:color w:val="auto"/>
          <w:kern w:val="0"/>
          <w:szCs w:val="21"/>
          <w:highlight w:val="none"/>
        </w:rPr>
        <w:t>与其员工的争议影响</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的正常经营秩序或损害</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商誉的，中标人未在10个工作日内妥善处理的，</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有权使用履约担保补偿实际损失（如第三方赔偿款），违约金等违约责任按本</w:t>
      </w:r>
      <w:r>
        <w:rPr>
          <w:rFonts w:hint="eastAsia" w:ascii="宋体" w:hAnsi="宋体" w:eastAsia="宋体" w:cs="宋体"/>
          <w:color w:val="auto"/>
          <w:kern w:val="0"/>
          <w:szCs w:val="21"/>
          <w:highlight w:val="none"/>
          <w:lang w:val="en-US" w:eastAsia="zh-CN"/>
        </w:rPr>
        <w:t>项目</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相关约定</w:t>
      </w:r>
      <w:r>
        <w:rPr>
          <w:rFonts w:hint="eastAsia" w:ascii="宋体" w:hAnsi="宋体" w:eastAsia="宋体" w:cs="宋体"/>
          <w:color w:val="auto"/>
          <w:kern w:val="0"/>
          <w:szCs w:val="21"/>
          <w:highlight w:val="none"/>
        </w:rPr>
        <w:t>另行追究</w:t>
      </w:r>
      <w:r>
        <w:rPr>
          <w:rFonts w:hint="eastAsia" w:ascii="宋体" w:hAnsi="宋体" w:eastAsia="宋体" w:cs="Times New Roman"/>
          <w:i w:val="0"/>
          <w:iCs w:val="0"/>
          <w:color w:val="auto"/>
          <w:kern w:val="0"/>
          <w:szCs w:val="21"/>
          <w:highlight w:val="none"/>
        </w:rPr>
        <w:t>。</w:t>
      </w:r>
    </w:p>
    <w:p w14:paraId="36F2F6B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color w:val="auto"/>
          <w:kern w:val="0"/>
          <w:szCs w:val="21"/>
          <w:highlight w:val="none"/>
        </w:rPr>
      </w:pPr>
      <w:r>
        <w:rPr>
          <w:rFonts w:hint="eastAsia" w:ascii="宋体" w:hAnsi="宋体" w:eastAsia="宋体" w:cs="Times New Roman"/>
          <w:i w:val="0"/>
          <w:iCs w:val="0"/>
          <w:color w:val="auto"/>
          <w:kern w:val="0"/>
          <w:szCs w:val="21"/>
          <w:highlight w:val="none"/>
        </w:rPr>
        <w:t>（</w:t>
      </w:r>
      <w:r>
        <w:rPr>
          <w:rFonts w:hint="eastAsia" w:ascii="宋体" w:hAnsi="宋体" w:eastAsia="宋体" w:cs="Times New Roman"/>
          <w:i w:val="0"/>
          <w:iCs w:val="0"/>
          <w:color w:val="auto"/>
          <w:kern w:val="0"/>
          <w:szCs w:val="21"/>
          <w:highlight w:val="none"/>
          <w:lang w:val="en-US" w:eastAsia="zh-CN"/>
        </w:rPr>
        <w:t>3</w:t>
      </w:r>
      <w:r>
        <w:rPr>
          <w:rFonts w:ascii="宋体" w:hAnsi="宋体" w:eastAsia="宋体" w:cs="Times New Roman"/>
          <w:i w:val="0"/>
          <w:iCs w:val="0"/>
          <w:color w:val="auto"/>
          <w:kern w:val="0"/>
          <w:szCs w:val="21"/>
          <w:highlight w:val="none"/>
        </w:rPr>
        <w:t>）在合同履行期间，中标人违约产生的违约金、赔偿、罚款或其他应付费用等款项，</w:t>
      </w:r>
      <w:r>
        <w:rPr>
          <w:rFonts w:hint="eastAsia" w:ascii="宋体" w:hAnsi="宋体" w:eastAsia="宋体" w:cs="宋体"/>
          <w:color w:val="auto"/>
          <w:kern w:val="0"/>
          <w:szCs w:val="21"/>
          <w:highlight w:val="none"/>
        </w:rPr>
        <w:t>招标人有权</w:t>
      </w:r>
      <w:r>
        <w:rPr>
          <w:rFonts w:hint="eastAsia" w:ascii="宋体" w:hAnsi="宋体" w:eastAsia="宋体" w:cs="宋体"/>
          <w:color w:val="auto"/>
          <w:kern w:val="0"/>
          <w:szCs w:val="21"/>
          <w:highlight w:val="none"/>
          <w:lang w:val="en-US" w:eastAsia="zh-CN"/>
        </w:rPr>
        <w:t>优先</w:t>
      </w:r>
      <w:r>
        <w:rPr>
          <w:rFonts w:hint="eastAsia" w:ascii="宋体" w:hAnsi="宋体" w:eastAsia="宋体" w:cs="宋体"/>
          <w:color w:val="auto"/>
          <w:kern w:val="0"/>
          <w:szCs w:val="21"/>
          <w:highlight w:val="none"/>
        </w:rPr>
        <w:t>直接从未付款项中直接扣除</w:t>
      </w:r>
      <w:r>
        <w:rPr>
          <w:rFonts w:hint="eastAsia" w:ascii="宋体" w:hAnsi="宋体" w:eastAsia="宋体" w:cs="宋体"/>
          <w:color w:val="auto"/>
          <w:kern w:val="0"/>
          <w:szCs w:val="21"/>
          <w:highlight w:val="none"/>
          <w:lang w:eastAsia="zh-CN"/>
        </w:rPr>
        <w:t>；</w:t>
      </w:r>
      <w:r>
        <w:rPr>
          <w:rFonts w:hint="eastAsia" w:eastAsia="宋体" w:cs="宋体"/>
          <w:sz w:val="21"/>
          <w:szCs w:val="21"/>
          <w:highlight w:val="none"/>
          <w:lang w:val="en-US" w:eastAsia="zh-CN"/>
        </w:rPr>
        <w:t>未付款项不足抵扣的，可</w:t>
      </w:r>
      <w:r>
        <w:rPr>
          <w:rFonts w:hint="eastAsia" w:ascii="宋体" w:hAnsi="宋体" w:eastAsia="宋体" w:cs="宋体"/>
          <w:color w:val="auto"/>
          <w:kern w:val="0"/>
          <w:szCs w:val="21"/>
          <w:highlight w:val="none"/>
        </w:rPr>
        <w:t>启用履约担保支付</w:t>
      </w:r>
      <w:r>
        <w:rPr>
          <w:rFonts w:hint="eastAsia" w:eastAsia="宋体" w:cs="宋体"/>
          <w:sz w:val="21"/>
          <w:szCs w:val="21"/>
          <w:highlight w:val="none"/>
          <w:lang w:val="en-US" w:eastAsia="zh-CN"/>
        </w:rPr>
        <w:t>差额；仍有不足的，中标人还应补足</w:t>
      </w:r>
      <w:r>
        <w:rPr>
          <w:rFonts w:ascii="宋体" w:hAnsi="宋体" w:eastAsia="宋体" w:cs="Times New Roman"/>
          <w:i w:val="0"/>
          <w:iCs w:val="0"/>
          <w:color w:val="auto"/>
          <w:kern w:val="0"/>
          <w:szCs w:val="21"/>
          <w:highlight w:val="none"/>
        </w:rPr>
        <w:t>。</w:t>
      </w:r>
    </w:p>
    <w:p w14:paraId="4F4F88E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color w:val="auto"/>
          <w:kern w:val="0"/>
          <w:szCs w:val="21"/>
          <w:highlight w:val="none"/>
        </w:rPr>
      </w:pPr>
      <w:r>
        <w:rPr>
          <w:rFonts w:hint="eastAsia" w:ascii="宋体" w:hAnsi="宋体" w:eastAsia="宋体" w:cs="Times New Roman"/>
          <w:i w:val="0"/>
          <w:iCs w:val="0"/>
          <w:color w:val="auto"/>
          <w:kern w:val="0"/>
          <w:szCs w:val="21"/>
          <w:highlight w:val="none"/>
        </w:rPr>
        <w:t>（</w:t>
      </w:r>
      <w:r>
        <w:rPr>
          <w:rFonts w:hint="eastAsia" w:ascii="宋体" w:hAnsi="宋体" w:eastAsia="宋体" w:cs="Times New Roman"/>
          <w:i w:val="0"/>
          <w:iCs w:val="0"/>
          <w:color w:val="auto"/>
          <w:kern w:val="0"/>
          <w:szCs w:val="21"/>
          <w:highlight w:val="none"/>
          <w:lang w:val="en-US" w:eastAsia="zh-CN"/>
        </w:rPr>
        <w:t>4</w:t>
      </w:r>
      <w:r>
        <w:rPr>
          <w:rFonts w:ascii="宋体" w:hAnsi="宋体" w:eastAsia="宋体" w:cs="Times New Roman"/>
          <w:i w:val="0"/>
          <w:iCs w:val="0"/>
          <w:color w:val="auto"/>
          <w:kern w:val="0"/>
          <w:szCs w:val="21"/>
          <w:highlight w:val="none"/>
        </w:rPr>
        <w:t>）合同期内，中标人不能及时完成合同某项义务的，招标人有权提取履约</w:t>
      </w:r>
      <w:r>
        <w:rPr>
          <w:rFonts w:hint="eastAsia" w:ascii="宋体" w:hAnsi="宋体" w:eastAsia="宋体" w:cs="Times New Roman"/>
          <w:i w:val="0"/>
          <w:iCs w:val="0"/>
          <w:color w:val="auto"/>
          <w:kern w:val="0"/>
          <w:szCs w:val="21"/>
          <w:highlight w:val="none"/>
        </w:rPr>
        <w:t>担保</w:t>
      </w:r>
      <w:r>
        <w:rPr>
          <w:rFonts w:ascii="宋体" w:hAnsi="宋体" w:eastAsia="宋体" w:cs="Times New Roman"/>
          <w:i w:val="0"/>
          <w:iCs w:val="0"/>
          <w:color w:val="auto"/>
          <w:kern w:val="0"/>
          <w:szCs w:val="21"/>
          <w:highlight w:val="none"/>
        </w:rPr>
        <w:t>用于处理该项工作。</w:t>
      </w:r>
    </w:p>
    <w:p w14:paraId="697F342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color w:val="auto"/>
          <w:kern w:val="0"/>
          <w:szCs w:val="21"/>
          <w:highlight w:val="none"/>
        </w:rPr>
      </w:pPr>
      <w:r>
        <w:rPr>
          <w:rFonts w:hint="eastAsia" w:ascii="宋体" w:hAnsi="宋体" w:eastAsia="宋体" w:cs="Times New Roman"/>
          <w:i w:val="0"/>
          <w:iCs w:val="0"/>
          <w:color w:val="auto"/>
          <w:kern w:val="0"/>
          <w:szCs w:val="21"/>
          <w:highlight w:val="none"/>
        </w:rPr>
        <w:t>（</w:t>
      </w:r>
      <w:r>
        <w:rPr>
          <w:rFonts w:hint="eastAsia" w:ascii="宋体" w:hAnsi="宋体" w:eastAsia="宋体" w:cs="Times New Roman"/>
          <w:i w:val="0"/>
          <w:iCs w:val="0"/>
          <w:color w:val="auto"/>
          <w:kern w:val="0"/>
          <w:szCs w:val="21"/>
          <w:highlight w:val="none"/>
          <w:lang w:val="en-US" w:eastAsia="zh-CN"/>
        </w:rPr>
        <w:t>5</w:t>
      </w:r>
      <w:r>
        <w:rPr>
          <w:rFonts w:ascii="宋体" w:hAnsi="宋体" w:eastAsia="宋体" w:cs="Times New Roman"/>
          <w:i w:val="0"/>
          <w:iCs w:val="0"/>
          <w:color w:val="auto"/>
          <w:kern w:val="0"/>
          <w:szCs w:val="21"/>
          <w:highlight w:val="none"/>
        </w:rPr>
        <w:t>）其他根据本合同约定或法律规定，招标人可启用履约</w:t>
      </w:r>
      <w:r>
        <w:rPr>
          <w:rFonts w:hint="eastAsia" w:ascii="宋体" w:hAnsi="宋体" w:eastAsia="宋体" w:cs="Times New Roman"/>
          <w:i w:val="0"/>
          <w:iCs w:val="0"/>
          <w:color w:val="auto"/>
          <w:kern w:val="0"/>
          <w:szCs w:val="21"/>
          <w:highlight w:val="none"/>
        </w:rPr>
        <w:t>担保</w:t>
      </w:r>
      <w:r>
        <w:rPr>
          <w:rFonts w:ascii="宋体" w:hAnsi="宋体" w:eastAsia="宋体" w:cs="Times New Roman"/>
          <w:i w:val="0"/>
          <w:iCs w:val="0"/>
          <w:color w:val="auto"/>
          <w:kern w:val="0"/>
          <w:szCs w:val="21"/>
          <w:highlight w:val="none"/>
        </w:rPr>
        <w:t>的情形。</w:t>
      </w:r>
    </w:p>
    <w:p w14:paraId="49A8CB1C">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35.3  履约担保应符合如下规定：</w:t>
      </w:r>
    </w:p>
    <w:p w14:paraId="185B1DA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color w:val="auto"/>
          <w:kern w:val="0"/>
          <w:szCs w:val="21"/>
          <w:highlight w:val="none"/>
        </w:rPr>
      </w:pPr>
      <w:r>
        <w:rPr>
          <w:rFonts w:hint="eastAsia" w:ascii="宋体" w:hAnsi="宋体" w:eastAsia="宋体" w:cs="Times New Roman"/>
          <w:i w:val="0"/>
          <w:iCs w:val="0"/>
          <w:color w:val="auto"/>
          <w:kern w:val="0"/>
          <w:szCs w:val="21"/>
          <w:highlight w:val="none"/>
        </w:rPr>
        <w:t>（1）</w:t>
      </w:r>
      <w:r>
        <w:rPr>
          <w:rFonts w:ascii="宋体" w:hAnsi="宋体" w:eastAsia="宋体" w:cs="Times New Roman"/>
          <w:i w:val="0"/>
          <w:iCs w:val="0"/>
          <w:color w:val="auto"/>
          <w:kern w:val="0"/>
          <w:szCs w:val="21"/>
          <w:highlight w:val="none"/>
        </w:rPr>
        <w:t>出具履约保函的银行必须是</w:t>
      </w:r>
      <w:r>
        <w:rPr>
          <w:rFonts w:hint="eastAsia" w:ascii="宋体" w:hAnsi="宋体" w:eastAsia="宋体" w:cs="Times New Roman"/>
          <w:i w:val="0"/>
          <w:iCs w:val="0"/>
          <w:color w:val="auto"/>
          <w:kern w:val="0"/>
          <w:szCs w:val="21"/>
          <w:highlight w:val="none"/>
        </w:rPr>
        <w:t>境内</w:t>
      </w:r>
      <w:r>
        <w:rPr>
          <w:rFonts w:ascii="宋体" w:hAnsi="宋体" w:eastAsia="宋体" w:cs="Times New Roman"/>
          <w:i w:val="0"/>
          <w:iCs w:val="0"/>
          <w:color w:val="auto"/>
          <w:kern w:val="0"/>
          <w:szCs w:val="21"/>
          <w:highlight w:val="none"/>
        </w:rPr>
        <w:t>支行一级以上机构，并经招标人同意，执行本款时所发生的费用由中标人</w:t>
      </w:r>
      <w:r>
        <w:rPr>
          <w:rFonts w:hint="eastAsia" w:ascii="宋体" w:hAnsi="宋体" w:eastAsia="宋体" w:cs="Times New Roman"/>
          <w:i w:val="0"/>
          <w:iCs w:val="0"/>
          <w:color w:val="auto"/>
          <w:kern w:val="0"/>
          <w:szCs w:val="21"/>
          <w:highlight w:val="none"/>
        </w:rPr>
        <w:t>承担</w:t>
      </w:r>
      <w:r>
        <w:rPr>
          <w:rFonts w:ascii="宋体" w:hAnsi="宋体" w:eastAsia="宋体" w:cs="Times New Roman"/>
          <w:i w:val="0"/>
          <w:iCs w:val="0"/>
          <w:color w:val="auto"/>
          <w:kern w:val="0"/>
          <w:szCs w:val="21"/>
          <w:highlight w:val="none"/>
        </w:rPr>
        <w:t>。</w:t>
      </w:r>
    </w:p>
    <w:p w14:paraId="7667F55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color w:val="auto"/>
          <w:kern w:val="0"/>
          <w:szCs w:val="21"/>
          <w:highlight w:val="none"/>
        </w:rPr>
      </w:pPr>
      <w:r>
        <w:rPr>
          <w:rFonts w:hint="eastAsia" w:ascii="宋体" w:hAnsi="宋体" w:eastAsia="宋体" w:cs="Times New Roman"/>
          <w:i w:val="0"/>
          <w:iCs w:val="0"/>
          <w:color w:val="auto"/>
          <w:kern w:val="0"/>
          <w:szCs w:val="21"/>
          <w:highlight w:val="none"/>
        </w:rPr>
        <w:t>（2）</w:t>
      </w:r>
      <w:r>
        <w:rPr>
          <w:rFonts w:ascii="宋体" w:hAnsi="宋体" w:eastAsia="宋体" w:cs="Times New Roman"/>
          <w:i w:val="0"/>
          <w:iCs w:val="0"/>
          <w:color w:val="auto"/>
          <w:kern w:val="0"/>
          <w:szCs w:val="21"/>
          <w:highlight w:val="none"/>
        </w:rPr>
        <w:t>履约担保格式应采用招标文件中提供的（格式参见第</w:t>
      </w:r>
      <w:r>
        <w:rPr>
          <w:rFonts w:hint="eastAsia" w:ascii="宋体" w:hAnsi="宋体" w:eastAsia="宋体" w:cs="Times New Roman"/>
          <w:i w:val="0"/>
          <w:iCs w:val="0"/>
          <w:color w:val="auto"/>
          <w:kern w:val="0"/>
          <w:szCs w:val="21"/>
          <w:highlight w:val="none"/>
        </w:rPr>
        <w:t>五篇</w:t>
      </w:r>
      <w:r>
        <w:rPr>
          <w:rFonts w:ascii="宋体" w:hAnsi="宋体" w:eastAsia="宋体" w:cs="Times New Roman"/>
          <w:i w:val="0"/>
          <w:iCs w:val="0"/>
          <w:color w:val="auto"/>
          <w:kern w:val="0"/>
          <w:szCs w:val="21"/>
          <w:highlight w:val="none"/>
        </w:rPr>
        <w:t>），</w:t>
      </w:r>
      <w:r>
        <w:rPr>
          <w:rFonts w:hint="eastAsia" w:ascii="宋体" w:hAnsi="宋体" w:eastAsia="宋体" w:cs="Times New Roman"/>
          <w:i w:val="0"/>
          <w:iCs w:val="0"/>
          <w:color w:val="auto"/>
          <w:kern w:val="0"/>
          <w:szCs w:val="21"/>
          <w:highlight w:val="none"/>
        </w:rPr>
        <w:t>投标人如以履约保函（或履约保证保险或</w:t>
      </w:r>
      <w:r>
        <w:rPr>
          <w:rFonts w:hint="eastAsia" w:ascii="宋体" w:hAnsi="宋体" w:eastAsia="宋体" w:cs="Times New Roman"/>
          <w:i w:val="0"/>
          <w:iCs w:val="0"/>
          <w:color w:val="auto"/>
          <w:kern w:val="0"/>
          <w:szCs w:val="21"/>
          <w:highlight w:val="none"/>
          <w:lang w:val="en-US" w:eastAsia="zh-CN"/>
        </w:rPr>
        <w:t>担保公司</w:t>
      </w:r>
      <w:r>
        <w:rPr>
          <w:rFonts w:hint="eastAsia" w:ascii="宋体" w:hAnsi="宋体" w:eastAsia="宋体" w:cs="Times New Roman"/>
          <w:i w:val="0"/>
          <w:iCs w:val="0"/>
          <w:color w:val="auto"/>
          <w:kern w:val="0"/>
          <w:szCs w:val="21"/>
          <w:highlight w:val="none"/>
        </w:rPr>
        <w:t>履约担保书）形式提供履约担保的，投标前应当自行向其拟申请开具保函的银行（</w:t>
      </w:r>
      <w:r>
        <w:rPr>
          <w:rFonts w:hint="eastAsia" w:ascii="宋体" w:hAnsi="宋体" w:eastAsia="宋体" w:cs="Times New Roman"/>
          <w:i w:val="0"/>
          <w:iCs w:val="0"/>
          <w:color w:val="auto"/>
          <w:kern w:val="0"/>
          <w:szCs w:val="21"/>
          <w:highlight w:val="none"/>
          <w:lang w:val="en-US" w:eastAsia="zh-CN"/>
        </w:rPr>
        <w:t>或保险</w:t>
      </w:r>
      <w:r>
        <w:rPr>
          <w:rFonts w:hint="eastAsia" w:ascii="宋体" w:hAnsi="宋体" w:eastAsia="宋体" w:cs="Times New Roman"/>
          <w:i w:val="0"/>
          <w:iCs w:val="0"/>
          <w:color w:val="auto"/>
          <w:kern w:val="0"/>
          <w:szCs w:val="21"/>
          <w:highlight w:val="none"/>
        </w:rPr>
        <w:t>或担保）机构落实履约保函（或履约保证保险或</w:t>
      </w:r>
      <w:r>
        <w:rPr>
          <w:rFonts w:hint="eastAsia" w:ascii="宋体" w:hAnsi="宋体" w:eastAsia="宋体" w:cs="Times New Roman"/>
          <w:i w:val="0"/>
          <w:iCs w:val="0"/>
          <w:color w:val="auto"/>
          <w:kern w:val="0"/>
          <w:szCs w:val="21"/>
          <w:highlight w:val="none"/>
          <w:lang w:val="en-US" w:eastAsia="zh-CN"/>
        </w:rPr>
        <w:t>担保公司</w:t>
      </w:r>
      <w:r>
        <w:rPr>
          <w:rFonts w:hint="eastAsia" w:ascii="宋体" w:hAnsi="宋体" w:eastAsia="宋体" w:cs="Times New Roman"/>
          <w:i w:val="0"/>
          <w:iCs w:val="0"/>
          <w:color w:val="auto"/>
          <w:kern w:val="0"/>
          <w:szCs w:val="21"/>
          <w:highlight w:val="none"/>
        </w:rPr>
        <w:t>履约担保书）格式情况，以确保能按本招标文件规定的格式提供保函。</w:t>
      </w:r>
      <w:r>
        <w:rPr>
          <w:rFonts w:ascii="宋体" w:hAnsi="宋体" w:eastAsia="宋体" w:cs="Times New Roman"/>
          <w:i w:val="0"/>
          <w:iCs w:val="0"/>
          <w:color w:val="auto"/>
          <w:kern w:val="0"/>
          <w:szCs w:val="21"/>
          <w:highlight w:val="none"/>
        </w:rPr>
        <w:t>如使用其他格式的履约保函</w:t>
      </w:r>
      <w:r>
        <w:rPr>
          <w:rFonts w:hint="eastAsia" w:ascii="宋体" w:hAnsi="宋体" w:eastAsia="宋体" w:cs="Times New Roman"/>
          <w:i w:val="0"/>
          <w:iCs w:val="0"/>
          <w:color w:val="auto"/>
          <w:kern w:val="0"/>
          <w:szCs w:val="21"/>
          <w:highlight w:val="none"/>
        </w:rPr>
        <w:t>（或履约保证保险或</w:t>
      </w:r>
      <w:r>
        <w:rPr>
          <w:rFonts w:hint="eastAsia" w:ascii="宋体" w:hAnsi="宋体" w:eastAsia="宋体" w:cs="Times New Roman"/>
          <w:i w:val="0"/>
          <w:iCs w:val="0"/>
          <w:color w:val="auto"/>
          <w:kern w:val="0"/>
          <w:szCs w:val="21"/>
          <w:highlight w:val="none"/>
          <w:lang w:val="en-US" w:eastAsia="zh-CN"/>
        </w:rPr>
        <w:t>担保公司</w:t>
      </w:r>
      <w:r>
        <w:rPr>
          <w:rFonts w:hint="eastAsia" w:ascii="宋体" w:hAnsi="宋体" w:eastAsia="宋体" w:cs="Times New Roman"/>
          <w:i w:val="0"/>
          <w:iCs w:val="0"/>
          <w:color w:val="auto"/>
          <w:kern w:val="0"/>
          <w:szCs w:val="21"/>
          <w:highlight w:val="none"/>
        </w:rPr>
        <w:t>履约担保书）</w:t>
      </w:r>
      <w:r>
        <w:rPr>
          <w:rFonts w:ascii="宋体" w:hAnsi="宋体" w:eastAsia="宋体" w:cs="Times New Roman"/>
          <w:i w:val="0"/>
          <w:iCs w:val="0"/>
          <w:color w:val="auto"/>
          <w:kern w:val="0"/>
          <w:szCs w:val="21"/>
          <w:highlight w:val="none"/>
        </w:rPr>
        <w:t>，须事先经招标人的书面</w:t>
      </w:r>
      <w:r>
        <w:rPr>
          <w:rFonts w:hint="eastAsia" w:ascii="宋体" w:hAnsi="宋体" w:eastAsia="宋体" w:cs="Times New Roman"/>
          <w:i w:val="0"/>
          <w:iCs w:val="0"/>
          <w:color w:val="auto"/>
          <w:kern w:val="0"/>
          <w:szCs w:val="21"/>
          <w:highlight w:val="none"/>
        </w:rPr>
        <w:t>同意</w:t>
      </w:r>
      <w:r>
        <w:rPr>
          <w:rFonts w:ascii="宋体" w:hAnsi="宋体" w:eastAsia="宋体" w:cs="Times New Roman"/>
          <w:i w:val="0"/>
          <w:iCs w:val="0"/>
          <w:color w:val="auto"/>
          <w:kern w:val="0"/>
          <w:szCs w:val="21"/>
          <w:highlight w:val="none"/>
        </w:rPr>
        <w:t>。</w:t>
      </w:r>
    </w:p>
    <w:p w14:paraId="0706E55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color w:val="auto"/>
          <w:kern w:val="0"/>
          <w:szCs w:val="21"/>
          <w:highlight w:val="none"/>
        </w:rPr>
      </w:pPr>
      <w:r>
        <w:rPr>
          <w:rFonts w:hint="eastAsia" w:ascii="宋体" w:hAnsi="宋体" w:eastAsia="宋体" w:cs="Times New Roman"/>
          <w:i w:val="0"/>
          <w:iCs w:val="0"/>
          <w:color w:val="auto"/>
          <w:kern w:val="0"/>
          <w:szCs w:val="21"/>
          <w:highlight w:val="none"/>
        </w:rPr>
        <w:t>（</w:t>
      </w:r>
      <w:r>
        <w:rPr>
          <w:rFonts w:ascii="宋体" w:hAnsi="宋体" w:eastAsia="宋体" w:cs="Times New Roman"/>
          <w:i w:val="0"/>
          <w:iCs w:val="0"/>
          <w:color w:val="auto"/>
          <w:kern w:val="0"/>
          <w:szCs w:val="21"/>
          <w:highlight w:val="none"/>
        </w:rPr>
        <w:t>3</w:t>
      </w:r>
      <w:r>
        <w:rPr>
          <w:rFonts w:hint="eastAsia" w:ascii="宋体" w:hAnsi="宋体" w:eastAsia="宋体" w:cs="Times New Roman"/>
          <w:i w:val="0"/>
          <w:iCs w:val="0"/>
          <w:color w:val="auto"/>
          <w:kern w:val="0"/>
          <w:szCs w:val="21"/>
          <w:highlight w:val="none"/>
        </w:rPr>
        <w:t>）提供担保的担保机构经济性质须为</w:t>
      </w:r>
      <w:r>
        <w:rPr>
          <w:rFonts w:hint="eastAsia" w:ascii="宋体" w:hAnsi="宋体" w:eastAsia="宋体" w:cs="Times New Roman"/>
          <w:i w:val="0"/>
          <w:iCs w:val="0"/>
          <w:color w:val="auto"/>
          <w:kern w:val="0"/>
          <w:szCs w:val="21"/>
          <w:highlight w:val="none"/>
          <w:lang w:val="en-US" w:eastAsia="zh-CN"/>
        </w:rPr>
        <w:t>东莞</w:t>
      </w:r>
      <w:r>
        <w:rPr>
          <w:rFonts w:hint="eastAsia" w:ascii="宋体" w:hAnsi="宋体" w:eastAsia="宋体" w:cs="Times New Roman"/>
          <w:i w:val="0"/>
          <w:iCs w:val="0"/>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i w:val="0"/>
          <w:iCs w:val="0"/>
          <w:color w:val="auto"/>
          <w:kern w:val="0"/>
          <w:szCs w:val="21"/>
          <w:highlight w:val="none"/>
        </w:rPr>
        <w:t>。</w:t>
      </w:r>
    </w:p>
    <w:p w14:paraId="6B384C8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color w:val="auto"/>
          <w:kern w:val="0"/>
          <w:szCs w:val="21"/>
          <w:highlight w:val="none"/>
        </w:rPr>
      </w:pPr>
      <w:r>
        <w:rPr>
          <w:rFonts w:hint="eastAsia" w:ascii="宋体" w:hAnsi="宋体" w:eastAsia="宋体" w:cs="Times New Roman"/>
          <w:i w:val="0"/>
          <w:iCs w:val="0"/>
          <w:color w:val="auto"/>
          <w:kern w:val="0"/>
          <w:szCs w:val="21"/>
          <w:highlight w:val="none"/>
        </w:rPr>
        <w:t>（4）</w:t>
      </w:r>
      <w:r>
        <w:rPr>
          <w:rFonts w:ascii="宋体" w:hAnsi="宋体" w:eastAsia="宋体" w:cs="Times New Roman"/>
          <w:i w:val="0"/>
          <w:iCs w:val="0"/>
          <w:color w:val="auto"/>
          <w:kern w:val="0"/>
          <w:szCs w:val="21"/>
          <w:highlight w:val="none"/>
        </w:rPr>
        <w:t>如果</w:t>
      </w:r>
      <w:r>
        <w:rPr>
          <w:rFonts w:hint="eastAsia" w:ascii="宋体" w:hAnsi="宋体" w:eastAsia="宋体" w:cs="Times New Roman"/>
          <w:i w:val="0"/>
          <w:iCs w:val="0"/>
          <w:color w:val="auto"/>
          <w:kern w:val="0"/>
          <w:szCs w:val="21"/>
          <w:highlight w:val="none"/>
        </w:rPr>
        <w:t>中标</w:t>
      </w:r>
      <w:r>
        <w:rPr>
          <w:rFonts w:ascii="宋体" w:hAnsi="宋体" w:eastAsia="宋体" w:cs="Times New Roman"/>
          <w:i w:val="0"/>
          <w:iCs w:val="0"/>
          <w:color w:val="auto"/>
          <w:kern w:val="0"/>
          <w:szCs w:val="21"/>
          <w:highlight w:val="none"/>
        </w:rPr>
        <w:t>人提交的履约担保的有效期届满时间先于招标文件、合同文件要求的，</w:t>
      </w:r>
      <w:r>
        <w:rPr>
          <w:rFonts w:hint="eastAsia" w:ascii="宋体" w:hAnsi="宋体" w:eastAsia="宋体" w:cs="Times New Roman"/>
          <w:i w:val="0"/>
          <w:iCs w:val="0"/>
          <w:color w:val="auto"/>
          <w:kern w:val="0"/>
          <w:szCs w:val="21"/>
          <w:highlight w:val="none"/>
        </w:rPr>
        <w:t>中标</w:t>
      </w:r>
      <w:r>
        <w:rPr>
          <w:rFonts w:ascii="宋体" w:hAnsi="宋体" w:eastAsia="宋体" w:cs="Times New Roman"/>
          <w:i w:val="0"/>
          <w:iCs w:val="0"/>
          <w:color w:val="auto"/>
          <w:kern w:val="0"/>
          <w:szCs w:val="21"/>
          <w:highlight w:val="none"/>
        </w:rPr>
        <w:t>人应在原提交的履约担保有效期届满前15</w:t>
      </w:r>
      <w:r>
        <w:rPr>
          <w:rFonts w:hint="eastAsia" w:ascii="宋体" w:hAnsi="宋体" w:eastAsia="宋体" w:cs="Times New Roman"/>
          <w:i w:val="0"/>
          <w:iCs w:val="0"/>
          <w:color w:val="auto"/>
          <w:kern w:val="0"/>
          <w:szCs w:val="21"/>
          <w:highlight w:val="none"/>
        </w:rPr>
        <w:t>日</w:t>
      </w:r>
      <w:r>
        <w:rPr>
          <w:rFonts w:ascii="宋体" w:hAnsi="宋体" w:eastAsia="宋体" w:cs="Times New Roman"/>
          <w:i w:val="0"/>
          <w:iCs w:val="0"/>
          <w:color w:val="auto"/>
          <w:kern w:val="0"/>
          <w:szCs w:val="21"/>
          <w:highlight w:val="none"/>
        </w:rPr>
        <w:t>内，</w:t>
      </w:r>
      <w:r>
        <w:rPr>
          <w:rFonts w:hint="eastAsia" w:ascii="宋体" w:hAnsi="宋体" w:eastAsia="宋体" w:cs="宋体"/>
          <w:color w:val="auto"/>
          <w:kern w:val="0"/>
          <w:szCs w:val="21"/>
          <w:highlight w:val="none"/>
        </w:rPr>
        <w:t>无条件办理</w:t>
      </w:r>
      <w:r>
        <w:rPr>
          <w:rFonts w:hint="eastAsia" w:ascii="宋体" w:hAnsi="宋体" w:eastAsia="宋体" w:cs="宋体"/>
          <w:color w:val="auto"/>
          <w:kern w:val="0"/>
          <w:szCs w:val="21"/>
          <w:highlight w:val="none"/>
          <w:lang w:val="en-US" w:eastAsia="zh-CN"/>
        </w:rPr>
        <w:t>办妥</w:t>
      </w:r>
      <w:r>
        <w:rPr>
          <w:rFonts w:hint="eastAsia" w:ascii="宋体" w:hAnsi="宋体" w:eastAsia="宋体" w:cs="宋体"/>
          <w:color w:val="auto"/>
          <w:kern w:val="0"/>
          <w:szCs w:val="21"/>
          <w:highlight w:val="none"/>
        </w:rPr>
        <w:t>延期手续或重新提供不可撤销银行履约保函或履约保证保险</w:t>
      </w:r>
      <w:r>
        <w:rPr>
          <w:rFonts w:hint="eastAsia" w:ascii="宋体" w:hAnsi="宋体" w:eastAsia="宋体" w:cs="宋体"/>
          <w:color w:val="auto"/>
          <w:kern w:val="0"/>
          <w:szCs w:val="21"/>
          <w:highlight w:val="none"/>
          <w:lang w:val="en-US" w:eastAsia="zh-CN"/>
        </w:rPr>
        <w:t>或</w:t>
      </w:r>
      <w:r>
        <w:rPr>
          <w:rFonts w:hint="eastAsia" w:ascii="宋体" w:hAnsi="宋体" w:eastAsia="宋体" w:cs="宋体"/>
          <w:color w:val="auto"/>
          <w:kern w:val="0"/>
          <w:szCs w:val="21"/>
          <w:highlight w:val="none"/>
        </w:rPr>
        <w:t>担保公司履约担保书</w:t>
      </w:r>
      <w:r>
        <w:rPr>
          <w:rFonts w:ascii="宋体" w:hAnsi="宋体" w:eastAsia="宋体" w:cs="Times New Roman"/>
          <w:i w:val="0"/>
          <w:iCs w:val="0"/>
          <w:color w:val="auto"/>
          <w:kern w:val="0"/>
          <w:szCs w:val="21"/>
          <w:highlight w:val="none"/>
        </w:rPr>
        <w:t>，否则视为</w:t>
      </w:r>
      <w:r>
        <w:rPr>
          <w:rFonts w:hint="eastAsia" w:ascii="宋体" w:hAnsi="宋体" w:eastAsia="宋体" w:cs="Times New Roman"/>
          <w:i w:val="0"/>
          <w:iCs w:val="0"/>
          <w:color w:val="auto"/>
          <w:kern w:val="0"/>
          <w:szCs w:val="21"/>
          <w:highlight w:val="none"/>
        </w:rPr>
        <w:t>中标</w:t>
      </w:r>
      <w:r>
        <w:rPr>
          <w:rFonts w:ascii="宋体" w:hAnsi="宋体" w:eastAsia="宋体" w:cs="Times New Roman"/>
          <w:i w:val="0"/>
          <w:iCs w:val="0"/>
          <w:color w:val="auto"/>
          <w:kern w:val="0"/>
          <w:szCs w:val="21"/>
          <w:highlight w:val="none"/>
        </w:rPr>
        <w:t>人违约，</w:t>
      </w:r>
      <w:r>
        <w:rPr>
          <w:rFonts w:hint="eastAsia" w:ascii="宋体" w:hAnsi="宋体" w:eastAsia="宋体" w:cs="Times New Roman"/>
          <w:i w:val="0"/>
          <w:iCs w:val="0"/>
          <w:color w:val="auto"/>
          <w:kern w:val="0"/>
          <w:szCs w:val="21"/>
          <w:highlight w:val="none"/>
        </w:rPr>
        <w:t>招标</w:t>
      </w:r>
      <w:r>
        <w:rPr>
          <w:rFonts w:ascii="宋体" w:hAnsi="宋体" w:eastAsia="宋体" w:cs="Times New Roman"/>
          <w:i w:val="0"/>
          <w:iCs w:val="0"/>
          <w:color w:val="auto"/>
          <w:kern w:val="0"/>
          <w:szCs w:val="21"/>
          <w:highlight w:val="none"/>
        </w:rPr>
        <w:t>人有权</w:t>
      </w:r>
      <w:r>
        <w:rPr>
          <w:rFonts w:hint="eastAsia" w:ascii="宋体" w:hAnsi="宋体" w:eastAsia="宋体" w:cs="Times New Roman"/>
          <w:i w:val="0"/>
          <w:iCs w:val="0"/>
          <w:color w:val="auto"/>
          <w:kern w:val="0"/>
          <w:szCs w:val="21"/>
          <w:highlight w:val="none"/>
        </w:rPr>
        <w:t>在不可撤销银行履约保函或履约保证保险或担保公司履约担保书到期前</w:t>
      </w:r>
      <w:r>
        <w:rPr>
          <w:rFonts w:ascii="宋体" w:hAnsi="宋体" w:eastAsia="宋体" w:cs="Times New Roman"/>
          <w:i w:val="0"/>
          <w:iCs w:val="0"/>
          <w:color w:val="auto"/>
          <w:kern w:val="0"/>
          <w:szCs w:val="21"/>
          <w:highlight w:val="none"/>
        </w:rPr>
        <w:t>向出具履约</w:t>
      </w:r>
      <w:r>
        <w:rPr>
          <w:rFonts w:hint="eastAsia" w:ascii="宋体" w:hAnsi="宋体" w:eastAsia="宋体" w:cs="Times New Roman"/>
          <w:i w:val="0"/>
          <w:iCs w:val="0"/>
          <w:color w:val="auto"/>
          <w:kern w:val="0"/>
          <w:szCs w:val="21"/>
          <w:highlight w:val="none"/>
        </w:rPr>
        <w:t>担保的机构</w:t>
      </w:r>
      <w:r>
        <w:rPr>
          <w:rFonts w:ascii="宋体" w:hAnsi="宋体" w:eastAsia="宋体" w:cs="Times New Roman"/>
          <w:i w:val="0"/>
          <w:iCs w:val="0"/>
          <w:color w:val="auto"/>
          <w:kern w:val="0"/>
          <w:szCs w:val="21"/>
          <w:highlight w:val="none"/>
        </w:rPr>
        <w:t>提取履约</w:t>
      </w:r>
      <w:r>
        <w:rPr>
          <w:rFonts w:hint="eastAsia" w:ascii="宋体" w:hAnsi="宋体" w:eastAsia="宋体" w:cs="Times New Roman"/>
          <w:i w:val="0"/>
          <w:iCs w:val="0"/>
          <w:color w:val="auto"/>
          <w:kern w:val="0"/>
          <w:szCs w:val="21"/>
          <w:highlight w:val="none"/>
        </w:rPr>
        <w:t>担保</w:t>
      </w:r>
      <w:r>
        <w:rPr>
          <w:rFonts w:ascii="宋体" w:hAnsi="宋体" w:eastAsia="宋体" w:cs="Times New Roman"/>
          <w:i w:val="0"/>
          <w:iCs w:val="0"/>
          <w:color w:val="auto"/>
          <w:kern w:val="0"/>
          <w:szCs w:val="21"/>
          <w:highlight w:val="none"/>
        </w:rPr>
        <w:t>金。</w:t>
      </w:r>
      <w:r>
        <w:rPr>
          <w:rFonts w:hint="eastAsia" w:ascii="宋体" w:hAnsi="宋体" w:eastAsia="宋体" w:cs="Times New Roman"/>
          <w:i w:val="0"/>
          <w:iCs w:val="0"/>
          <w:color w:val="auto"/>
          <w:kern w:val="0"/>
          <w:szCs w:val="21"/>
          <w:highlight w:val="none"/>
        </w:rPr>
        <w:t>在不可撤销银行履约保函</w:t>
      </w:r>
      <w:r>
        <w:rPr>
          <w:rFonts w:hint="eastAsia" w:ascii="宋体" w:hAnsi="宋体" w:eastAsia="宋体" w:cs="Times New Roman"/>
          <w:i w:val="0"/>
          <w:iCs w:val="0"/>
          <w:color w:val="auto"/>
          <w:kern w:val="0"/>
          <w:szCs w:val="21"/>
          <w:highlight w:val="none"/>
          <w:lang w:eastAsia="zh-CN"/>
        </w:rPr>
        <w:t>（</w:t>
      </w:r>
      <w:r>
        <w:rPr>
          <w:rFonts w:hint="eastAsia" w:ascii="宋体" w:hAnsi="宋体" w:eastAsia="宋体" w:cs="Times New Roman"/>
          <w:i w:val="0"/>
          <w:iCs w:val="0"/>
          <w:color w:val="auto"/>
          <w:kern w:val="0"/>
          <w:szCs w:val="21"/>
          <w:highlight w:val="none"/>
        </w:rPr>
        <w:t>或履约保证保险</w:t>
      </w:r>
      <w:r>
        <w:rPr>
          <w:rFonts w:hint="eastAsia" w:ascii="宋体" w:hAnsi="宋体" w:eastAsia="宋体" w:cs="Times New Roman"/>
          <w:i w:val="0"/>
          <w:iCs w:val="0"/>
          <w:color w:val="auto"/>
          <w:kern w:val="0"/>
          <w:szCs w:val="21"/>
          <w:highlight w:val="none"/>
          <w:lang w:val="en-US" w:eastAsia="zh-CN"/>
        </w:rPr>
        <w:t>或</w:t>
      </w:r>
      <w:r>
        <w:rPr>
          <w:rFonts w:hint="eastAsia" w:ascii="宋体" w:hAnsi="宋体" w:eastAsia="宋体" w:cs="Times New Roman"/>
          <w:i w:val="0"/>
          <w:iCs w:val="0"/>
          <w:color w:val="auto"/>
          <w:kern w:val="0"/>
          <w:szCs w:val="21"/>
          <w:highlight w:val="none"/>
        </w:rPr>
        <w:t>担保公司履约担保书</w:t>
      </w:r>
      <w:r>
        <w:rPr>
          <w:rFonts w:hint="eastAsia" w:ascii="宋体" w:hAnsi="宋体" w:eastAsia="宋体" w:cs="Times New Roman"/>
          <w:i w:val="0"/>
          <w:iCs w:val="0"/>
          <w:color w:val="auto"/>
          <w:kern w:val="0"/>
          <w:szCs w:val="21"/>
          <w:highlight w:val="none"/>
          <w:lang w:eastAsia="zh-CN"/>
        </w:rPr>
        <w:t>）</w:t>
      </w:r>
      <w:r>
        <w:rPr>
          <w:rFonts w:hint="eastAsia" w:ascii="宋体" w:hAnsi="宋体" w:eastAsia="宋体" w:cs="Times New Roman"/>
          <w:i w:val="0"/>
          <w:iCs w:val="0"/>
          <w:color w:val="auto"/>
          <w:kern w:val="0"/>
          <w:szCs w:val="21"/>
          <w:highlight w:val="none"/>
        </w:rPr>
        <w:t>到期后中标</w:t>
      </w:r>
      <w:r>
        <w:rPr>
          <w:rFonts w:ascii="宋体" w:hAnsi="宋体" w:eastAsia="宋体" w:cs="Times New Roman"/>
          <w:i w:val="0"/>
          <w:iCs w:val="0"/>
          <w:color w:val="auto"/>
          <w:kern w:val="0"/>
          <w:szCs w:val="21"/>
          <w:highlight w:val="none"/>
        </w:rPr>
        <w:t>人</w:t>
      </w:r>
      <w:r>
        <w:rPr>
          <w:rFonts w:hint="eastAsia" w:ascii="宋体" w:hAnsi="宋体" w:eastAsia="宋体" w:cs="Times New Roman"/>
          <w:i w:val="0"/>
          <w:iCs w:val="0"/>
          <w:color w:val="auto"/>
          <w:kern w:val="0"/>
          <w:szCs w:val="21"/>
          <w:highlight w:val="none"/>
        </w:rPr>
        <w:t>未按招标人要求重新提供的，招标人有权要求中标</w:t>
      </w:r>
      <w:r>
        <w:rPr>
          <w:rFonts w:ascii="宋体" w:hAnsi="宋体" w:eastAsia="宋体" w:cs="Times New Roman"/>
          <w:i w:val="0"/>
          <w:iCs w:val="0"/>
          <w:color w:val="auto"/>
          <w:kern w:val="0"/>
          <w:szCs w:val="21"/>
          <w:highlight w:val="none"/>
        </w:rPr>
        <w:t>人</w:t>
      </w:r>
      <w:r>
        <w:rPr>
          <w:rFonts w:hint="eastAsia" w:ascii="宋体" w:hAnsi="宋体" w:eastAsia="宋体" w:cs="Times New Roman"/>
          <w:i w:val="0"/>
          <w:iCs w:val="0"/>
          <w:color w:val="auto"/>
          <w:kern w:val="0"/>
          <w:szCs w:val="21"/>
          <w:highlight w:val="none"/>
        </w:rPr>
        <w:t>以履约担保金额为限承担违约金，违约金可直接从未付采购合同费用中扣除</w:t>
      </w:r>
      <w:r>
        <w:rPr>
          <w:rFonts w:ascii="宋体" w:hAnsi="宋体" w:eastAsia="宋体" w:cs="Times New Roman"/>
          <w:i w:val="0"/>
          <w:iCs w:val="0"/>
          <w:color w:val="auto"/>
          <w:kern w:val="0"/>
          <w:szCs w:val="21"/>
          <w:highlight w:val="none"/>
        </w:rPr>
        <w:t>。</w:t>
      </w:r>
    </w:p>
    <w:p w14:paraId="6E7FBAA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color w:val="auto"/>
          <w:kern w:val="0"/>
          <w:szCs w:val="21"/>
          <w:highlight w:val="none"/>
        </w:rPr>
      </w:pPr>
      <w:r>
        <w:rPr>
          <w:rFonts w:hint="eastAsia" w:ascii="宋体" w:hAnsi="宋体" w:eastAsia="宋体" w:cs="Times New Roman"/>
          <w:i w:val="0"/>
          <w:iCs w:val="0"/>
          <w:color w:val="auto"/>
          <w:kern w:val="0"/>
          <w:szCs w:val="21"/>
          <w:highlight w:val="none"/>
        </w:rPr>
        <w:t>（</w:t>
      </w:r>
      <w:r>
        <w:rPr>
          <w:rFonts w:ascii="宋体" w:hAnsi="宋体" w:eastAsia="宋体" w:cs="Times New Roman"/>
          <w:i w:val="0"/>
          <w:iCs w:val="0"/>
          <w:color w:val="auto"/>
          <w:kern w:val="0"/>
          <w:szCs w:val="21"/>
          <w:highlight w:val="none"/>
        </w:rPr>
        <w:t>5</w:t>
      </w:r>
      <w:r>
        <w:rPr>
          <w:rFonts w:hint="eastAsia" w:ascii="宋体" w:hAnsi="宋体" w:eastAsia="宋体" w:cs="Times New Roman"/>
          <w:i w:val="0"/>
          <w:iCs w:val="0"/>
          <w:color w:val="auto"/>
          <w:kern w:val="0"/>
          <w:szCs w:val="21"/>
          <w:highlight w:val="none"/>
        </w:rPr>
        <w:t>）在合同履行过程中，不论何种原因导致履约担保金数额不符合招标文件要求的，中标人应当在</w:t>
      </w:r>
      <w:r>
        <w:rPr>
          <w:rFonts w:ascii="宋体" w:hAnsi="宋体" w:eastAsia="宋体" w:cs="Times New Roman"/>
          <w:i w:val="0"/>
          <w:iCs w:val="0"/>
          <w:color w:val="auto"/>
          <w:kern w:val="0"/>
          <w:szCs w:val="21"/>
          <w:highlight w:val="none"/>
        </w:rPr>
        <w:t>5日内予以补足。逾期不予补足的，</w:t>
      </w:r>
      <w:r>
        <w:rPr>
          <w:rFonts w:hint="eastAsia" w:ascii="宋体" w:hAnsi="宋体" w:eastAsia="宋体" w:cs="Times New Roman"/>
          <w:i w:val="0"/>
          <w:iCs w:val="0"/>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14:paraId="75BACF3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（6）</w:t>
      </w:r>
      <w:r>
        <w:rPr>
          <w:rFonts w:hint="eastAsia" w:ascii="宋体" w:hAnsi="宋体" w:eastAsia="宋体" w:cs="宋体"/>
          <w:color w:val="auto"/>
          <w:kern w:val="0"/>
          <w:szCs w:val="21"/>
          <w:highlight w:val="none"/>
        </w:rPr>
        <w:t>不</w:t>
      </w:r>
      <w:r>
        <w:rPr>
          <w:rFonts w:hint="eastAsia" w:ascii="宋体" w:hAnsi="宋体" w:eastAsia="宋体" w:cs="Times New Roman"/>
          <w:color w:val="auto"/>
          <w:kern w:val="0"/>
          <w:szCs w:val="21"/>
          <w:highlight w:val="none"/>
        </w:rPr>
        <w:t>可撤销银行履约保函（或履约保证保险或担保公司履约担保书）应从合同签订之日起至合同期限届满并完成全部供货验收合格后二十八（28）日内</w:t>
      </w:r>
      <w:r>
        <w:rPr>
          <w:rFonts w:ascii="宋体" w:hAnsi="宋体" w:eastAsia="宋体" w:cs="Times New Roman"/>
          <w:color w:val="auto"/>
          <w:kern w:val="0"/>
          <w:szCs w:val="21"/>
          <w:highlight w:val="none"/>
        </w:rPr>
        <w:t>保持有效</w:t>
      </w:r>
      <w:r>
        <w:rPr>
          <w:rFonts w:hint="eastAsia" w:ascii="宋体" w:hAnsi="宋体" w:eastAsia="宋体" w:cs="宋体"/>
          <w:color w:val="auto"/>
          <w:kern w:val="0"/>
          <w:szCs w:val="21"/>
          <w:highlight w:val="none"/>
        </w:rPr>
        <w:t>。</w:t>
      </w:r>
    </w:p>
    <w:p w14:paraId="759AEB5A">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35.4  履约保证金应用本合同货币。</w:t>
      </w:r>
    </w:p>
    <w:p w14:paraId="3FCACD8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35.5  中标人</w:t>
      </w:r>
      <w:r>
        <w:rPr>
          <w:rFonts w:ascii="宋体" w:hAnsi="宋体" w:eastAsia="宋体" w:cs="Times New Roman"/>
          <w:i w:val="0"/>
          <w:iCs w:val="0"/>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i w:val="0"/>
          <w:iCs w:val="0"/>
          <w:color w:val="auto"/>
          <w:kern w:val="0"/>
          <w:szCs w:val="21"/>
          <w:highlight w:val="none"/>
        </w:rPr>
        <w:t>中标</w:t>
      </w:r>
      <w:r>
        <w:rPr>
          <w:rFonts w:ascii="宋体" w:hAnsi="宋体" w:eastAsia="宋体" w:cs="Times New Roman"/>
          <w:i w:val="0"/>
          <w:iCs w:val="0"/>
          <w:color w:val="auto"/>
          <w:kern w:val="0"/>
          <w:szCs w:val="21"/>
          <w:highlight w:val="none"/>
        </w:rPr>
        <w:t>人的法人书面授权，不接受由私人账户</w:t>
      </w:r>
      <w:r>
        <w:rPr>
          <w:rFonts w:hint="eastAsia" w:ascii="宋体" w:hAnsi="宋体" w:eastAsia="宋体" w:cs="Times New Roman"/>
          <w:i w:val="0"/>
          <w:iCs w:val="0"/>
          <w:color w:val="auto"/>
          <w:kern w:val="0"/>
          <w:szCs w:val="21"/>
          <w:highlight w:val="none"/>
          <w:lang w:eastAsia="zh-CN"/>
        </w:rPr>
        <w:t>和</w:t>
      </w:r>
      <w:r>
        <w:rPr>
          <w:rFonts w:hint="eastAsia" w:ascii="宋体" w:hAnsi="宋体" w:eastAsia="宋体" w:cs="Times New Roman"/>
          <w:i w:val="0"/>
          <w:iCs w:val="0"/>
          <w:color w:val="auto"/>
          <w:kern w:val="0"/>
          <w:szCs w:val="21"/>
          <w:highlight w:val="none"/>
          <w:lang w:val="en-US" w:eastAsia="zh-CN"/>
        </w:rPr>
        <w:t>其它</w:t>
      </w:r>
      <w:r>
        <w:rPr>
          <w:rFonts w:hint="eastAsia" w:ascii="宋体" w:hAnsi="宋体" w:eastAsia="宋体" w:cs="Times New Roman"/>
          <w:i w:val="0"/>
          <w:iCs w:val="0"/>
          <w:color w:val="auto"/>
          <w:kern w:val="0"/>
          <w:szCs w:val="21"/>
          <w:highlight w:val="none"/>
          <w:lang w:eastAsia="zh-CN"/>
        </w:rPr>
        <w:t>单位</w:t>
      </w:r>
      <w:r>
        <w:rPr>
          <w:rFonts w:ascii="宋体" w:hAnsi="宋体" w:eastAsia="宋体" w:cs="Times New Roman"/>
          <w:i w:val="0"/>
          <w:iCs w:val="0"/>
          <w:color w:val="auto"/>
          <w:kern w:val="0"/>
          <w:szCs w:val="21"/>
          <w:highlight w:val="none"/>
        </w:rPr>
        <w:t>转入的保证金</w:t>
      </w:r>
      <w:r>
        <w:rPr>
          <w:rFonts w:hint="eastAsia" w:ascii="宋体" w:hAnsi="宋体" w:eastAsia="宋体" w:cs="Times New Roman"/>
          <w:i w:val="0"/>
          <w:iCs w:val="0"/>
          <w:color w:val="auto"/>
          <w:kern w:val="0"/>
          <w:szCs w:val="21"/>
          <w:highlight w:val="none"/>
        </w:rPr>
        <w:t>，也不接受现金形式提交</w:t>
      </w:r>
      <w:r>
        <w:rPr>
          <w:rFonts w:ascii="宋体" w:hAnsi="宋体" w:eastAsia="宋体" w:cs="Times New Roman"/>
          <w:i w:val="0"/>
          <w:iCs w:val="0"/>
          <w:color w:val="auto"/>
          <w:kern w:val="0"/>
          <w:szCs w:val="21"/>
          <w:highlight w:val="none"/>
        </w:rPr>
        <w:t>。履约保证金应以存入招标人指定的</w:t>
      </w:r>
      <w:r>
        <w:rPr>
          <w:rFonts w:hint="eastAsia" w:ascii="宋体" w:hAnsi="宋体" w:eastAsia="宋体" w:cs="Times New Roman"/>
          <w:i w:val="0"/>
          <w:iCs w:val="0"/>
          <w:color w:val="auto"/>
          <w:kern w:val="0"/>
          <w:szCs w:val="21"/>
          <w:highlight w:val="none"/>
        </w:rPr>
        <w:t>以下</w:t>
      </w:r>
      <w:r>
        <w:rPr>
          <w:rFonts w:ascii="宋体" w:hAnsi="宋体" w:eastAsia="宋体" w:cs="Times New Roman"/>
          <w:i w:val="0"/>
          <w:iCs w:val="0"/>
          <w:color w:val="auto"/>
          <w:kern w:val="0"/>
          <w:szCs w:val="21"/>
          <w:highlight w:val="none"/>
        </w:rPr>
        <w:t>银行账户为准</w:t>
      </w:r>
      <w:r>
        <w:rPr>
          <w:rFonts w:hint="eastAsia" w:ascii="宋体" w:hAnsi="宋体" w:eastAsia="宋体" w:cs="宋体"/>
          <w:i w:val="0"/>
          <w:iCs w:val="0"/>
          <w:color w:val="auto"/>
          <w:kern w:val="0"/>
          <w:szCs w:val="21"/>
          <w:highlight w:val="none"/>
        </w:rPr>
        <w:t>。</w:t>
      </w:r>
    </w:p>
    <w:p w14:paraId="5870BAC9">
      <w:pPr>
        <w:tabs>
          <w:tab w:val="left" w:pos="360"/>
          <w:tab w:val="left" w:pos="4725"/>
        </w:tabs>
        <w:autoSpaceDE w:val="0"/>
        <w:autoSpaceDN w:val="0"/>
        <w:adjustRightInd w:val="0"/>
        <w:spacing w:line="360" w:lineRule="auto"/>
        <w:ind w:firstLine="632" w:firstLineChars="300"/>
        <w:jc w:val="left"/>
        <w:rPr>
          <w:rFonts w:ascii="宋体" w:hAnsi="宋体" w:eastAsia="宋体" w:cs="宋体"/>
          <w:b/>
          <w:i w:val="0"/>
          <w:iCs w:val="0"/>
          <w:color w:val="auto"/>
          <w:kern w:val="0"/>
          <w:szCs w:val="21"/>
          <w:highlight w:val="none"/>
        </w:rPr>
      </w:pPr>
      <w:r>
        <w:rPr>
          <w:rFonts w:hint="eastAsia" w:ascii="宋体" w:hAnsi="宋体" w:eastAsia="宋体" w:cs="宋体"/>
          <w:b/>
          <w:i w:val="0"/>
          <w:iCs w:val="0"/>
          <w:color w:val="auto"/>
          <w:kern w:val="0"/>
          <w:szCs w:val="21"/>
          <w:highlight w:val="none"/>
        </w:rPr>
        <w:t>履约保证金账户：</w:t>
      </w:r>
      <w:r>
        <w:rPr>
          <w:rFonts w:hint="eastAsia" w:ascii="宋体" w:hAnsi="宋体" w:eastAsia="宋体" w:cs="宋体"/>
          <w:b/>
          <w:i w:val="0"/>
          <w:iCs w:val="0"/>
          <w:color w:val="auto"/>
          <w:kern w:val="0"/>
          <w:szCs w:val="21"/>
          <w:highlight w:val="none"/>
          <w:u w:val="single"/>
        </w:rPr>
        <w:t>（特别提醒，本账户非投标保证金账户）</w:t>
      </w:r>
    </w:p>
    <w:p w14:paraId="5E4EAAA2">
      <w:pPr>
        <w:autoSpaceDE w:val="0"/>
        <w:autoSpaceDN w:val="0"/>
        <w:adjustRightInd w:val="0"/>
        <w:snapToGrid w:val="0"/>
        <w:spacing w:line="360" w:lineRule="auto"/>
        <w:ind w:firstLine="632" w:firstLineChars="300"/>
        <w:jc w:val="left"/>
        <w:rPr>
          <w:rFonts w:hint="eastAsia" w:ascii="宋体" w:hAnsi="宋体" w:eastAsia="宋体" w:cs="Times New Roman"/>
          <w:b/>
          <w:i w:val="0"/>
          <w:iCs w:val="0"/>
          <w:color w:val="auto"/>
          <w:kern w:val="0"/>
          <w:szCs w:val="21"/>
          <w:highlight w:val="none"/>
        </w:rPr>
      </w:pPr>
      <w:r>
        <w:rPr>
          <w:rFonts w:hint="eastAsia" w:ascii="宋体" w:hAnsi="宋体" w:eastAsia="宋体" w:cs="Times New Roman"/>
          <w:b/>
          <w:i w:val="0"/>
          <w:iCs w:val="0"/>
          <w:color w:val="auto"/>
          <w:kern w:val="0"/>
          <w:szCs w:val="21"/>
          <w:highlight w:val="none"/>
          <w:lang w:val="zh-CN" w:eastAsia="zh-CN"/>
        </w:rPr>
        <w:t>东莞市水务环境投资控股集团供水有限公司</w:t>
      </w:r>
    </w:p>
    <w:p w14:paraId="1091E111">
      <w:pPr>
        <w:autoSpaceDE w:val="0"/>
        <w:autoSpaceDN w:val="0"/>
        <w:adjustRightInd w:val="0"/>
        <w:snapToGrid w:val="0"/>
        <w:spacing w:line="360" w:lineRule="auto"/>
        <w:ind w:firstLine="632" w:firstLineChars="300"/>
        <w:jc w:val="left"/>
        <w:rPr>
          <w:rFonts w:ascii="宋体" w:hAnsi="宋体" w:eastAsia="宋体" w:cs="Times New Roman"/>
          <w:b/>
          <w:i w:val="0"/>
          <w:iCs w:val="0"/>
          <w:color w:val="auto"/>
          <w:kern w:val="0"/>
          <w:szCs w:val="21"/>
          <w:highlight w:val="none"/>
        </w:rPr>
      </w:pPr>
      <w:r>
        <w:rPr>
          <w:rFonts w:hint="eastAsia" w:ascii="宋体" w:hAnsi="宋体" w:eastAsia="宋体" w:cs="Times New Roman"/>
          <w:b/>
          <w:i w:val="0"/>
          <w:iCs w:val="0"/>
          <w:color w:val="auto"/>
          <w:kern w:val="0"/>
          <w:szCs w:val="21"/>
          <w:highlight w:val="none"/>
        </w:rPr>
        <w:t>开户名称：</w:t>
      </w:r>
      <w:r>
        <w:rPr>
          <w:rFonts w:hint="eastAsia" w:ascii="宋体" w:hAnsi="宋体" w:eastAsia="宋体" w:cs="宋体"/>
          <w:b/>
          <w:color w:val="auto"/>
          <w:kern w:val="0"/>
          <w:szCs w:val="21"/>
          <w:highlight w:val="none"/>
          <w:lang w:eastAsia="zh-CN"/>
        </w:rPr>
        <w:t>东莞市水务环境投资控股集团供水有限公司</w:t>
      </w:r>
    </w:p>
    <w:p w14:paraId="3F507C9A">
      <w:pPr>
        <w:autoSpaceDE w:val="0"/>
        <w:autoSpaceDN w:val="0"/>
        <w:adjustRightInd w:val="0"/>
        <w:snapToGrid w:val="0"/>
        <w:spacing w:line="360" w:lineRule="auto"/>
        <w:ind w:firstLine="632" w:firstLineChars="300"/>
        <w:jc w:val="left"/>
        <w:rPr>
          <w:rFonts w:ascii="宋体" w:hAnsi="宋体" w:eastAsia="宋体" w:cs="Times New Roman"/>
          <w:b/>
          <w:i w:val="0"/>
          <w:iCs w:val="0"/>
          <w:color w:val="auto"/>
          <w:kern w:val="0"/>
          <w:szCs w:val="21"/>
          <w:highlight w:val="none"/>
        </w:rPr>
      </w:pPr>
      <w:r>
        <w:rPr>
          <w:rFonts w:hint="eastAsia" w:ascii="宋体" w:hAnsi="宋体" w:eastAsia="宋体" w:cs="Times New Roman"/>
          <w:b/>
          <w:i w:val="0"/>
          <w:iCs w:val="0"/>
          <w:color w:val="auto"/>
          <w:kern w:val="0"/>
          <w:szCs w:val="21"/>
          <w:highlight w:val="none"/>
        </w:rPr>
        <w:t>银行账号：4400 1778 8080 5999 9998</w:t>
      </w:r>
    </w:p>
    <w:p w14:paraId="171C52A4">
      <w:pPr>
        <w:autoSpaceDE w:val="0"/>
        <w:autoSpaceDN w:val="0"/>
        <w:adjustRightInd w:val="0"/>
        <w:snapToGrid w:val="0"/>
        <w:spacing w:line="360" w:lineRule="auto"/>
        <w:ind w:firstLine="632" w:firstLineChars="300"/>
        <w:jc w:val="left"/>
        <w:rPr>
          <w:rFonts w:ascii="宋体" w:hAnsi="宋体" w:eastAsia="宋体" w:cs="Times New Roman"/>
          <w:b/>
          <w:i w:val="0"/>
          <w:iCs w:val="0"/>
          <w:color w:val="auto"/>
          <w:kern w:val="0"/>
          <w:szCs w:val="21"/>
          <w:highlight w:val="none"/>
        </w:rPr>
      </w:pPr>
      <w:r>
        <w:rPr>
          <w:rFonts w:hint="eastAsia" w:ascii="宋体" w:hAnsi="宋体" w:eastAsia="宋体" w:cs="Times New Roman"/>
          <w:b/>
          <w:i w:val="0"/>
          <w:iCs w:val="0"/>
          <w:color w:val="auto"/>
          <w:kern w:val="0"/>
          <w:szCs w:val="21"/>
          <w:highlight w:val="none"/>
        </w:rPr>
        <w:t>开户银行：建行东莞分行营业部</w:t>
      </w:r>
    </w:p>
    <w:p w14:paraId="04E5707B">
      <w:pPr>
        <w:autoSpaceDE w:val="0"/>
        <w:autoSpaceDN w:val="0"/>
        <w:adjustRightInd w:val="0"/>
        <w:spacing w:line="360" w:lineRule="auto"/>
        <w:ind w:left="420" w:leftChars="-100" w:hanging="630" w:hangingChars="300"/>
        <w:jc w:val="left"/>
        <w:rPr>
          <w:rFonts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35.6</w:t>
      </w:r>
      <w:r>
        <w:rPr>
          <w:rFonts w:ascii="宋体" w:hAnsi="宋体" w:eastAsia="宋体" w:cs="宋体"/>
          <w:i w:val="0"/>
          <w:iCs w:val="0"/>
          <w:color w:val="auto"/>
          <w:kern w:val="0"/>
          <w:szCs w:val="21"/>
          <w:highlight w:val="none"/>
        </w:rPr>
        <w:t xml:space="preserve">  </w:t>
      </w:r>
      <w:r>
        <w:rPr>
          <w:rFonts w:hint="eastAsia" w:ascii="宋体" w:hAnsi="宋体" w:eastAsia="宋体" w:cs="宋体"/>
          <w:i w:val="0"/>
          <w:iCs w:val="0"/>
          <w:color w:val="auto"/>
          <w:kern w:val="0"/>
          <w:szCs w:val="21"/>
          <w:highlight w:val="none"/>
        </w:rPr>
        <w:t>中标</w:t>
      </w:r>
      <w:r>
        <w:rPr>
          <w:rFonts w:hint="eastAsia" w:ascii="宋体" w:hAnsi="宋体" w:eastAsia="宋体" w:cs="Times New Roman"/>
          <w:i w:val="0"/>
          <w:iCs w:val="0"/>
          <w:color w:val="auto"/>
          <w:kern w:val="0"/>
          <w:szCs w:val="24"/>
          <w:highlight w:val="none"/>
        </w:rPr>
        <w:t>单位提交了履约担保后，当履约保证金转达招标人履约保证金账户后，</w:t>
      </w:r>
      <w:r>
        <w:rPr>
          <w:rFonts w:hint="eastAsia" w:ascii="宋体" w:hAnsi="宋体" w:eastAsia="宋体" w:cs="Times New Roman"/>
          <w:i w:val="0"/>
          <w:iCs w:val="0"/>
          <w:color w:val="auto"/>
          <w:szCs w:val="21"/>
          <w:highlight w:val="none"/>
          <w:lang w:val="zh-CN"/>
        </w:rPr>
        <w:t>中标</w:t>
      </w:r>
      <w:r>
        <w:rPr>
          <w:rFonts w:hint="eastAsia" w:ascii="宋体" w:hAnsi="宋体" w:eastAsia="宋体" w:cs="Times New Roman"/>
          <w:i w:val="0"/>
          <w:iCs w:val="0"/>
          <w:color w:val="auto"/>
          <w:kern w:val="0"/>
          <w:szCs w:val="24"/>
          <w:highlight w:val="none"/>
        </w:rPr>
        <w:t>人将履约保证金的汇款凭证用A4纸复印件（</w:t>
      </w:r>
      <w:r>
        <w:rPr>
          <w:rFonts w:hint="eastAsia" w:ascii="宋体" w:hAnsi="宋体" w:eastAsia="宋体" w:cs="Times New Roman"/>
          <w:bCs/>
          <w:i w:val="0"/>
          <w:iCs w:val="0"/>
          <w:color w:val="auto"/>
          <w:kern w:val="0"/>
          <w:szCs w:val="24"/>
          <w:highlight w:val="none"/>
        </w:rPr>
        <w:t>注明</w:t>
      </w:r>
      <w:r>
        <w:rPr>
          <w:rFonts w:hint="eastAsia" w:ascii="宋体" w:hAnsi="宋体" w:eastAsia="宋体" w:cs="Times New Roman"/>
          <w:bCs/>
          <w:i w:val="0"/>
          <w:iCs w:val="0"/>
          <w:color w:val="auto"/>
          <w:szCs w:val="21"/>
          <w:highlight w:val="none"/>
          <w:lang w:val="zh-CN"/>
        </w:rPr>
        <w:t>招标</w:t>
      </w:r>
      <w:r>
        <w:rPr>
          <w:rFonts w:hint="eastAsia" w:ascii="宋体" w:hAnsi="宋体" w:eastAsia="宋体" w:cs="Times New Roman"/>
          <w:bCs/>
          <w:i w:val="0"/>
          <w:iCs w:val="0"/>
          <w:color w:val="auto"/>
          <w:kern w:val="0"/>
          <w:szCs w:val="24"/>
          <w:highlight w:val="none"/>
        </w:rPr>
        <w:t>编号</w:t>
      </w:r>
      <w:r>
        <w:rPr>
          <w:rFonts w:hint="eastAsia" w:ascii="宋体" w:hAnsi="宋体" w:eastAsia="宋体" w:cs="Times New Roman"/>
          <w:i w:val="0"/>
          <w:iCs w:val="0"/>
          <w:color w:val="auto"/>
          <w:kern w:val="0"/>
          <w:szCs w:val="24"/>
          <w:highlight w:val="none"/>
        </w:rPr>
        <w:t>）一式二份并加盖</w:t>
      </w:r>
      <w:r>
        <w:rPr>
          <w:rFonts w:hint="eastAsia" w:ascii="宋体" w:hAnsi="宋体" w:eastAsia="宋体" w:cs="Times New Roman"/>
          <w:i w:val="0"/>
          <w:iCs w:val="0"/>
          <w:color w:val="auto"/>
          <w:szCs w:val="21"/>
          <w:highlight w:val="none"/>
          <w:lang w:val="zh-CN"/>
        </w:rPr>
        <w:t>中标</w:t>
      </w:r>
      <w:r>
        <w:rPr>
          <w:rFonts w:hint="eastAsia" w:ascii="宋体" w:hAnsi="宋体" w:eastAsia="宋体" w:cs="Times New Roman"/>
          <w:i w:val="0"/>
          <w:iCs w:val="0"/>
          <w:color w:val="auto"/>
          <w:kern w:val="0"/>
          <w:szCs w:val="24"/>
          <w:highlight w:val="none"/>
        </w:rPr>
        <w:t>人的公章送招标代理机构，[或当中标人采取不可撤销银行履约保函（</w:t>
      </w:r>
      <w:r>
        <w:rPr>
          <w:rFonts w:hint="eastAsia" w:ascii="宋体" w:hAnsi="宋体" w:eastAsia="宋体" w:cs="Times New Roman"/>
          <w:i w:val="0"/>
          <w:iCs w:val="0"/>
          <w:color w:val="auto"/>
          <w:kern w:val="0"/>
          <w:szCs w:val="21"/>
          <w:highlight w:val="none"/>
        </w:rPr>
        <w:t>或履约保证保险</w:t>
      </w:r>
      <w:r>
        <w:rPr>
          <w:rFonts w:hint="eastAsia" w:ascii="宋体" w:hAnsi="宋体" w:eastAsia="宋体" w:cs="Times New Roman"/>
          <w:i w:val="0"/>
          <w:iCs w:val="0"/>
          <w:color w:val="auto"/>
          <w:kern w:val="0"/>
          <w:szCs w:val="24"/>
          <w:highlight w:val="none"/>
        </w:rPr>
        <w:t>或担保公司履约担保书）的方式缴纳履约担保时，中标人将不可撤销银行履约保函（</w:t>
      </w:r>
      <w:r>
        <w:rPr>
          <w:rFonts w:hint="eastAsia" w:ascii="宋体" w:hAnsi="宋体" w:eastAsia="宋体" w:cs="Times New Roman"/>
          <w:i w:val="0"/>
          <w:iCs w:val="0"/>
          <w:color w:val="auto"/>
          <w:kern w:val="0"/>
          <w:szCs w:val="21"/>
          <w:highlight w:val="none"/>
        </w:rPr>
        <w:t>或履约保证保险</w:t>
      </w:r>
      <w:r>
        <w:rPr>
          <w:rFonts w:hint="eastAsia" w:ascii="宋体" w:hAnsi="宋体" w:eastAsia="宋体" w:cs="Times New Roman"/>
          <w:i w:val="0"/>
          <w:iCs w:val="0"/>
          <w:color w:val="auto"/>
          <w:kern w:val="0"/>
          <w:szCs w:val="24"/>
          <w:highlight w:val="none"/>
        </w:rPr>
        <w:t>或担保公司履约担保书）原件</w:t>
      </w:r>
      <w:r>
        <w:rPr>
          <w:rFonts w:hint="eastAsia" w:ascii="宋体" w:hAnsi="宋体" w:eastAsia="宋体" w:cs="Times New Roman"/>
          <w:i w:val="0"/>
          <w:iCs w:val="0"/>
          <w:color w:val="auto"/>
          <w:szCs w:val="21"/>
          <w:highlight w:val="none"/>
          <w:lang w:val="zh-CN"/>
        </w:rPr>
        <w:t>交给招标人，由招标人在</w:t>
      </w:r>
      <w:r>
        <w:rPr>
          <w:rFonts w:hint="eastAsia" w:ascii="宋体" w:hAnsi="宋体" w:eastAsia="宋体" w:cs="Times New Roman"/>
          <w:i w:val="0"/>
          <w:iCs w:val="0"/>
          <w:color w:val="auto"/>
          <w:kern w:val="0"/>
          <w:szCs w:val="24"/>
          <w:highlight w:val="none"/>
        </w:rPr>
        <w:t>履约保函一式两份复印件上</w:t>
      </w:r>
      <w:r>
        <w:rPr>
          <w:rFonts w:hint="eastAsia" w:ascii="宋体" w:hAnsi="宋体" w:eastAsia="宋体" w:cs="Times New Roman"/>
          <w:i w:val="0"/>
          <w:iCs w:val="0"/>
          <w:color w:val="auto"/>
          <w:szCs w:val="21"/>
          <w:highlight w:val="none"/>
          <w:lang w:val="zh-CN"/>
        </w:rPr>
        <w:t>注明“原件已收”及签收人、日期后，中标人在每份复印件上</w:t>
      </w:r>
      <w:r>
        <w:rPr>
          <w:rFonts w:hint="eastAsia" w:ascii="宋体" w:hAnsi="宋体" w:eastAsia="宋体" w:cs="Times New Roman"/>
          <w:i w:val="0"/>
          <w:iCs w:val="0"/>
          <w:color w:val="auto"/>
          <w:kern w:val="0"/>
          <w:szCs w:val="24"/>
          <w:highlight w:val="none"/>
        </w:rPr>
        <w:t>加盖</w:t>
      </w:r>
      <w:r>
        <w:rPr>
          <w:rFonts w:hint="eastAsia" w:ascii="宋体" w:hAnsi="宋体" w:eastAsia="宋体" w:cs="Times New Roman"/>
          <w:i w:val="0"/>
          <w:iCs w:val="0"/>
          <w:color w:val="auto"/>
          <w:szCs w:val="21"/>
          <w:highlight w:val="none"/>
          <w:lang w:val="zh-CN"/>
        </w:rPr>
        <w:t>中标</w:t>
      </w:r>
      <w:r>
        <w:rPr>
          <w:rFonts w:hint="eastAsia" w:ascii="宋体" w:hAnsi="宋体" w:eastAsia="宋体" w:cs="Times New Roman"/>
          <w:i w:val="0"/>
          <w:iCs w:val="0"/>
          <w:color w:val="auto"/>
          <w:kern w:val="0"/>
          <w:szCs w:val="24"/>
          <w:highlight w:val="none"/>
        </w:rPr>
        <w:t>人的公章，送招标代理机构]</w:t>
      </w:r>
      <w:r>
        <w:rPr>
          <w:rFonts w:hint="eastAsia" w:ascii="宋体" w:hAnsi="宋体" w:eastAsia="宋体" w:cs="宋体"/>
          <w:i w:val="0"/>
          <w:iCs w:val="0"/>
          <w:color w:val="auto"/>
          <w:kern w:val="0"/>
          <w:szCs w:val="21"/>
          <w:highlight w:val="none"/>
        </w:rPr>
        <w:t>。</w:t>
      </w:r>
    </w:p>
    <w:p w14:paraId="46035B8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color w:val="auto"/>
          <w:kern w:val="0"/>
          <w:szCs w:val="24"/>
          <w:highlight w:val="none"/>
        </w:rPr>
      </w:pPr>
      <w:r>
        <w:rPr>
          <w:rFonts w:hint="eastAsia" w:ascii="宋体" w:hAnsi="宋体" w:eastAsia="宋体" w:cs="Times New Roman"/>
          <w:i w:val="0"/>
          <w:iCs w:val="0"/>
          <w:color w:val="auto"/>
          <w:kern w:val="0"/>
          <w:szCs w:val="24"/>
          <w:highlight w:val="none"/>
        </w:rPr>
        <w:t>35.7</w:t>
      </w:r>
      <w:r>
        <w:rPr>
          <w:rFonts w:ascii="宋体" w:hAnsi="宋体" w:eastAsia="宋体" w:cs="Times New Roman"/>
          <w:i w:val="0"/>
          <w:iCs w:val="0"/>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在合同期限届满并完成全部供货验收合格后二十八（28）日</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w:t>
      </w:r>
      <w:r>
        <w:rPr>
          <w:rFonts w:hint="eastAsia" w:ascii="宋体" w:hAnsi="宋体" w:eastAsia="宋体" w:cs="宋体"/>
          <w:color w:val="auto"/>
          <w:kern w:val="0"/>
          <w:szCs w:val="21"/>
          <w:highlight w:val="none"/>
        </w:rPr>
        <w:t>户。</w:t>
      </w:r>
    </w:p>
    <w:bookmarkEnd w:id="367"/>
    <w:bookmarkEnd w:id="368"/>
    <w:p w14:paraId="6D58F000">
      <w:pPr>
        <w:autoSpaceDE w:val="0"/>
        <w:autoSpaceDN w:val="0"/>
        <w:adjustRightInd w:val="0"/>
        <w:snapToGrid w:val="0"/>
        <w:spacing w:line="360" w:lineRule="auto"/>
        <w:ind w:left="315" w:leftChars="-100" w:hanging="525" w:hangingChars="250"/>
        <w:jc w:val="left"/>
        <w:rPr>
          <w:rFonts w:ascii="宋体" w:hAnsi="宋体" w:eastAsia="宋体" w:cs="宋体"/>
          <w:i w:val="0"/>
          <w:iCs w:val="0"/>
          <w:color w:val="auto"/>
          <w:szCs w:val="21"/>
          <w:highlight w:val="none"/>
          <w:lang w:val="zh-CN"/>
        </w:rPr>
      </w:pPr>
      <w:bookmarkStart w:id="369" w:name="_Toc450662888"/>
    </w:p>
    <w:p w14:paraId="2CF38827">
      <w:pPr>
        <w:tabs>
          <w:tab w:val="left" w:pos="465"/>
        </w:tabs>
        <w:autoSpaceDE w:val="0"/>
        <w:autoSpaceDN w:val="0"/>
        <w:adjustRightInd w:val="0"/>
        <w:spacing w:line="360" w:lineRule="auto"/>
        <w:ind w:left="357" w:leftChars="-100" w:hanging="567"/>
        <w:jc w:val="left"/>
        <w:outlineLvl w:val="2"/>
        <w:rPr>
          <w:rFonts w:ascii="宋体" w:hAnsi="宋体" w:eastAsia="宋体" w:cs="宋体"/>
          <w:i w:val="0"/>
          <w:iCs w:val="0"/>
          <w:color w:val="auto"/>
          <w:szCs w:val="21"/>
          <w:highlight w:val="none"/>
          <w:lang w:val="zh-CN"/>
        </w:rPr>
      </w:pPr>
      <w:bookmarkStart w:id="370" w:name="_Toc14372"/>
      <w:bookmarkStart w:id="371" w:name="_Toc142508354"/>
      <w:bookmarkStart w:id="372" w:name="_Toc29977"/>
      <w:bookmarkStart w:id="373" w:name="_Toc28921_WPSOffice_Level3"/>
      <w:bookmarkStart w:id="374" w:name="_Toc486167703"/>
      <w:bookmarkStart w:id="375" w:name="_Toc3026"/>
      <w:bookmarkStart w:id="376" w:name="_Toc11444"/>
      <w:r>
        <w:rPr>
          <w:rFonts w:hint="eastAsia" w:ascii="宋体" w:hAnsi="宋体" w:eastAsia="宋体" w:cs="宋体"/>
          <w:i w:val="0"/>
          <w:iCs w:val="0"/>
          <w:color w:val="auto"/>
          <w:szCs w:val="21"/>
          <w:highlight w:val="none"/>
        </w:rPr>
        <w:t>3</w:t>
      </w:r>
      <w:r>
        <w:rPr>
          <w:rFonts w:hint="eastAsia" w:ascii="宋体" w:hAnsi="宋体" w:eastAsia="宋体" w:cs="宋体"/>
          <w:i w:val="0"/>
          <w:iCs w:val="0"/>
          <w:color w:val="auto"/>
          <w:szCs w:val="21"/>
          <w:highlight w:val="none"/>
          <w:lang w:val="en-US" w:eastAsia="zh-CN"/>
        </w:rPr>
        <w:t>6</w:t>
      </w:r>
      <w:r>
        <w:rPr>
          <w:rFonts w:ascii="宋体" w:hAnsi="宋体" w:eastAsia="宋体" w:cs="宋体"/>
          <w:i w:val="0"/>
          <w:iCs w:val="0"/>
          <w:color w:val="auto"/>
          <w:szCs w:val="21"/>
          <w:highlight w:val="none"/>
          <w:lang w:val="zh-CN"/>
        </w:rPr>
        <w:t xml:space="preserve"> </w:t>
      </w:r>
      <w:r>
        <w:rPr>
          <w:rFonts w:hint="eastAsia" w:ascii="宋体" w:hAnsi="宋体" w:eastAsia="宋体" w:cs="宋体"/>
          <w:i w:val="0"/>
          <w:iCs w:val="0"/>
          <w:color w:val="auto"/>
          <w:szCs w:val="21"/>
          <w:highlight w:val="none"/>
          <w:lang w:val="zh-CN"/>
        </w:rPr>
        <w:t>中标服务费</w:t>
      </w:r>
      <w:bookmarkEnd w:id="369"/>
      <w:bookmarkEnd w:id="370"/>
      <w:bookmarkEnd w:id="371"/>
      <w:bookmarkEnd w:id="372"/>
      <w:bookmarkEnd w:id="373"/>
      <w:bookmarkEnd w:id="374"/>
      <w:bookmarkEnd w:id="375"/>
      <w:bookmarkEnd w:id="376"/>
    </w:p>
    <w:p w14:paraId="1BC6841E">
      <w:pPr>
        <w:pStyle w:val="1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val="0"/>
          <w:color w:val="auto"/>
          <w:szCs w:val="21"/>
          <w:highlight w:val="none"/>
          <w:lang w:val="en-US" w:eastAsia="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.1 </w:t>
      </w:r>
      <w:r>
        <w:rPr>
          <w:rFonts w:hint="eastAsia" w:ascii="宋体" w:hAnsi="宋体" w:eastAsia="宋体" w:cs="宋体"/>
          <w:color w:val="auto"/>
          <w:szCs w:val="21"/>
          <w:highlight w:val="none"/>
        </w:rPr>
        <w:t>中标人应向招标代理机构一次性交纳</w:t>
      </w:r>
      <w:r>
        <w:rPr>
          <w:rFonts w:hint="eastAsia" w:ascii="宋体" w:hAnsi="宋体" w:eastAsia="宋体" w:cs="宋体"/>
          <w:color w:val="auto"/>
          <w:szCs w:val="21"/>
          <w:highlight w:val="none"/>
          <w:lang w:val="en-US" w:eastAsia="zh-CN"/>
        </w:rPr>
        <w:t>代理</w:t>
      </w:r>
      <w:r>
        <w:rPr>
          <w:rFonts w:hint="eastAsia" w:ascii="宋体" w:hAnsi="宋体" w:eastAsia="宋体" w:cs="宋体"/>
          <w:color w:val="auto"/>
          <w:szCs w:val="21"/>
          <w:highlight w:val="none"/>
        </w:rPr>
        <w:t>服务费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本项目按货物招标计算服务费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代理服务费</w:t>
      </w:r>
      <w:r>
        <w:rPr>
          <w:rFonts w:hint="eastAsia" w:ascii="宋体" w:hAnsi="宋体" w:eastAsia="宋体" w:cs="宋体"/>
          <w:b w:val="0"/>
          <w:color w:val="auto"/>
          <w:szCs w:val="21"/>
          <w:highlight w:val="none"/>
          <w:lang w:val="en-US" w:eastAsia="zh-CN"/>
        </w:rPr>
        <w:t>以中标金额（</w:t>
      </w:r>
      <w:r>
        <w:rPr>
          <w:rFonts w:hint="eastAsia" w:ascii="宋体" w:hAnsi="宋体" w:eastAsia="宋体" w:cs="宋体"/>
          <w:highlight w:val="none"/>
          <w:lang w:val="en-US" w:eastAsia="zh-CN"/>
        </w:rPr>
        <w:t>投标报价采用填报投标折扣系数的方式的，中标金额按中标折扣系数*本项目的不含税暂定采购金额计算</w:t>
      </w:r>
      <w:r>
        <w:rPr>
          <w:rFonts w:hint="eastAsia" w:ascii="宋体" w:hAnsi="宋体" w:eastAsia="宋体" w:cs="宋体"/>
          <w:b w:val="0"/>
          <w:color w:val="auto"/>
          <w:szCs w:val="21"/>
          <w:highlight w:val="none"/>
          <w:lang w:val="en-US" w:eastAsia="zh-CN"/>
        </w:rPr>
        <w:t>）计算，依次按以下第（1）（2）款计算得出服务费基价，服务费基价</w:t>
      </w:r>
      <w:r>
        <w:rPr>
          <w:rFonts w:hint="eastAsia" w:ascii="宋体" w:hAnsi="宋体" w:eastAsia="宋体" w:cs="宋体"/>
          <w:b w:val="0"/>
          <w:color w:val="auto"/>
          <w:szCs w:val="21"/>
          <w:highlight w:val="none"/>
          <w:lang w:val="zh-CN" w:eastAsia="zh-CN"/>
        </w:rPr>
        <w:t>实行全额分档折扣计算，</w:t>
      </w:r>
      <w:r>
        <w:rPr>
          <w:rFonts w:hint="eastAsia" w:ascii="宋体" w:hAnsi="宋体" w:eastAsia="宋体" w:cs="宋体"/>
          <w:b w:val="0"/>
          <w:color w:val="auto"/>
          <w:szCs w:val="21"/>
          <w:highlight w:val="none"/>
          <w:lang w:val="en-US" w:eastAsia="zh-CN"/>
        </w:rPr>
        <w:t>按第（3）款计算折扣得出代理服务费</w:t>
      </w:r>
      <w:r>
        <w:rPr>
          <w:rFonts w:hint="eastAsia" w:ascii="宋体" w:hAnsi="宋体" w:eastAsia="宋体" w:cs="宋体"/>
          <w:b w:val="0"/>
          <w:color w:val="auto"/>
          <w:szCs w:val="21"/>
          <w:highlight w:val="none"/>
          <w:lang w:val="zh-CN"/>
        </w:rPr>
        <w:t>，</w:t>
      </w:r>
      <w:r>
        <w:rPr>
          <w:rFonts w:hint="eastAsia" w:ascii="宋体" w:hAnsi="宋体" w:eastAsia="宋体" w:cs="宋体"/>
          <w:b w:val="0"/>
          <w:color w:val="auto"/>
          <w:szCs w:val="21"/>
          <w:highlight w:val="none"/>
          <w:lang w:val="en-US" w:eastAsia="zh-CN"/>
        </w:rPr>
        <w:t>具体如下。</w:t>
      </w:r>
    </w:p>
    <w:p w14:paraId="60B338DF">
      <w:pPr>
        <w:tabs>
          <w:tab w:val="left" w:pos="567"/>
        </w:tabs>
        <w:autoSpaceDE w:val="0"/>
        <w:autoSpaceDN w:val="0"/>
        <w:adjustRightInd w:val="0"/>
        <w:spacing w:line="360" w:lineRule="auto"/>
        <w:ind w:left="0" w:leftChars="0" w:firstLine="420" w:firstLineChars="200"/>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（1）</w:t>
      </w:r>
      <w:r>
        <w:rPr>
          <w:rFonts w:hint="eastAsia" w:ascii="宋体" w:hAnsi="宋体" w:eastAsia="宋体" w:cs="宋体"/>
          <w:b w:val="0"/>
          <w:color w:val="auto"/>
          <w:szCs w:val="21"/>
          <w:highlight w:val="none"/>
          <w:lang w:val="zh-CN"/>
        </w:rPr>
        <w:t>参照</w:t>
      </w:r>
      <w:r>
        <w:rPr>
          <w:rFonts w:hint="eastAsia" w:ascii="宋体" w:hAnsi="宋体" w:eastAsia="宋体" w:cs="宋体"/>
          <w:b w:val="0"/>
          <w:color w:val="auto"/>
          <w:szCs w:val="21"/>
          <w:highlight w:val="none"/>
          <w:lang w:val="en-US" w:eastAsia="zh-CN"/>
        </w:rPr>
        <w:t>以下标准按差额定率累进法计算：</w:t>
      </w:r>
    </w:p>
    <w:tbl>
      <w:tblPr>
        <w:tblStyle w:val="39"/>
        <w:tblW w:w="10182"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544"/>
        <w:gridCol w:w="2544"/>
        <w:gridCol w:w="2544"/>
        <w:gridCol w:w="2550"/>
      </w:tblGrid>
      <w:tr w14:paraId="254C80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544" w:type="dxa"/>
            <w:vMerge w:val="restart"/>
            <w:shd w:val="clear" w:color="auto" w:fill="auto"/>
            <w:tcMar>
              <w:top w:w="0" w:type="dxa"/>
              <w:left w:w="0" w:type="dxa"/>
              <w:bottom w:w="0" w:type="dxa"/>
              <w:right w:w="0" w:type="dxa"/>
            </w:tcMar>
            <w:vAlign w:val="center"/>
          </w:tcPr>
          <w:p w14:paraId="0BF28AD2">
            <w:pPr>
              <w:keepNext w:val="0"/>
              <w:keepLines w:val="0"/>
              <w:widowControl/>
              <w:suppressLineNumbers w:val="0"/>
              <w:shd w:val="clear"/>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2"/>
                <w:sz w:val="21"/>
                <w:szCs w:val="21"/>
                <w:highlight w:val="none"/>
                <w:lang w:val="en-US" w:eastAsia="zh-CN" w:bidi="ar"/>
              </w:rPr>
              <w:t>中标金额（万元）</w:t>
            </w:r>
          </w:p>
        </w:tc>
        <w:tc>
          <w:tcPr>
            <w:tcW w:w="7638" w:type="dxa"/>
            <w:gridSpan w:val="3"/>
            <w:shd w:val="clear" w:color="auto" w:fill="auto"/>
            <w:tcMar>
              <w:top w:w="0" w:type="dxa"/>
              <w:left w:w="0" w:type="dxa"/>
              <w:bottom w:w="0" w:type="dxa"/>
              <w:right w:w="0" w:type="dxa"/>
            </w:tcMar>
            <w:vAlign w:val="center"/>
          </w:tcPr>
          <w:p w14:paraId="3CB593BA">
            <w:pPr>
              <w:keepNext w:val="0"/>
              <w:keepLines w:val="0"/>
              <w:widowControl/>
              <w:suppressLineNumbers w:val="0"/>
              <w:shd w:val="clear"/>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2"/>
                <w:sz w:val="21"/>
                <w:szCs w:val="21"/>
                <w:highlight w:val="none"/>
                <w:lang w:val="en-US" w:eastAsia="zh-CN" w:bidi="ar"/>
              </w:rPr>
              <w:t>服务类型</w:t>
            </w:r>
          </w:p>
        </w:tc>
      </w:tr>
      <w:tr w14:paraId="3F27EF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544" w:type="dxa"/>
            <w:vMerge w:val="continue"/>
            <w:shd w:val="clear" w:color="auto" w:fill="auto"/>
            <w:tcMar>
              <w:top w:w="0" w:type="dxa"/>
              <w:left w:w="0" w:type="dxa"/>
              <w:bottom w:w="0" w:type="dxa"/>
              <w:right w:w="0" w:type="dxa"/>
            </w:tcMar>
            <w:vAlign w:val="center"/>
          </w:tcPr>
          <w:p w14:paraId="75448385">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p>
        </w:tc>
        <w:tc>
          <w:tcPr>
            <w:tcW w:w="7638" w:type="dxa"/>
            <w:gridSpan w:val="3"/>
            <w:shd w:val="clear" w:color="auto" w:fill="auto"/>
            <w:tcMar>
              <w:top w:w="0" w:type="dxa"/>
              <w:left w:w="0" w:type="dxa"/>
              <w:bottom w:w="0" w:type="dxa"/>
              <w:right w:w="0" w:type="dxa"/>
            </w:tcMar>
            <w:vAlign w:val="center"/>
          </w:tcPr>
          <w:p w14:paraId="7A3CB8A8">
            <w:pPr>
              <w:keepNext w:val="0"/>
              <w:keepLines w:val="0"/>
              <w:widowControl/>
              <w:suppressLineNumbers w:val="0"/>
              <w:shd w:val="clear"/>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2"/>
                <w:sz w:val="21"/>
                <w:szCs w:val="21"/>
                <w:highlight w:val="none"/>
                <w:lang w:val="en-US" w:eastAsia="zh-CN" w:bidi="ar"/>
              </w:rPr>
              <w:t>费率</w:t>
            </w:r>
          </w:p>
        </w:tc>
      </w:tr>
      <w:tr w14:paraId="38D902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544" w:type="dxa"/>
            <w:vMerge w:val="continue"/>
            <w:shd w:val="clear" w:color="auto" w:fill="auto"/>
            <w:tcMar>
              <w:top w:w="0" w:type="dxa"/>
              <w:left w:w="0" w:type="dxa"/>
              <w:bottom w:w="0" w:type="dxa"/>
              <w:right w:w="0" w:type="dxa"/>
            </w:tcMar>
            <w:vAlign w:val="center"/>
          </w:tcPr>
          <w:p w14:paraId="14FE7B58">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p>
        </w:tc>
        <w:tc>
          <w:tcPr>
            <w:tcW w:w="2544" w:type="dxa"/>
            <w:shd w:val="clear" w:color="auto" w:fill="auto"/>
            <w:tcMar>
              <w:top w:w="0" w:type="dxa"/>
              <w:left w:w="0" w:type="dxa"/>
              <w:bottom w:w="0" w:type="dxa"/>
              <w:right w:w="0" w:type="dxa"/>
            </w:tcMar>
            <w:vAlign w:val="center"/>
          </w:tcPr>
          <w:p w14:paraId="6B62B143">
            <w:pPr>
              <w:keepNext w:val="0"/>
              <w:keepLines w:val="0"/>
              <w:widowControl/>
              <w:suppressLineNumbers w:val="0"/>
              <w:shd w:val="clear"/>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2"/>
                <w:sz w:val="21"/>
                <w:szCs w:val="21"/>
                <w:highlight w:val="none"/>
                <w:lang w:val="en-US" w:eastAsia="zh-CN" w:bidi="ar"/>
              </w:rPr>
              <w:t>货物招标</w:t>
            </w:r>
          </w:p>
        </w:tc>
        <w:tc>
          <w:tcPr>
            <w:tcW w:w="2544" w:type="dxa"/>
            <w:shd w:val="clear" w:color="auto" w:fill="auto"/>
            <w:tcMar>
              <w:top w:w="0" w:type="dxa"/>
              <w:left w:w="0" w:type="dxa"/>
              <w:bottom w:w="0" w:type="dxa"/>
              <w:right w:w="0" w:type="dxa"/>
            </w:tcMar>
            <w:vAlign w:val="center"/>
          </w:tcPr>
          <w:p w14:paraId="4F9A71CA">
            <w:pPr>
              <w:keepNext w:val="0"/>
              <w:keepLines w:val="0"/>
              <w:widowControl/>
              <w:suppressLineNumbers w:val="0"/>
              <w:shd w:val="clear"/>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2"/>
                <w:sz w:val="21"/>
                <w:szCs w:val="21"/>
                <w:highlight w:val="none"/>
                <w:lang w:val="en-US" w:eastAsia="zh-CN" w:bidi="ar"/>
              </w:rPr>
              <w:t>服务招标</w:t>
            </w:r>
          </w:p>
        </w:tc>
        <w:tc>
          <w:tcPr>
            <w:tcW w:w="2550" w:type="dxa"/>
            <w:shd w:val="clear" w:color="auto" w:fill="auto"/>
            <w:tcMar>
              <w:top w:w="0" w:type="dxa"/>
              <w:left w:w="0" w:type="dxa"/>
              <w:bottom w:w="0" w:type="dxa"/>
              <w:right w:w="0" w:type="dxa"/>
            </w:tcMar>
            <w:vAlign w:val="center"/>
          </w:tcPr>
          <w:p w14:paraId="3793F785">
            <w:pPr>
              <w:keepNext w:val="0"/>
              <w:keepLines w:val="0"/>
              <w:widowControl/>
              <w:suppressLineNumbers w:val="0"/>
              <w:shd w:val="clear"/>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2"/>
                <w:sz w:val="21"/>
                <w:szCs w:val="21"/>
                <w:highlight w:val="none"/>
                <w:lang w:val="en-US" w:eastAsia="zh-CN" w:bidi="ar"/>
              </w:rPr>
              <w:t>工程招标</w:t>
            </w:r>
          </w:p>
        </w:tc>
      </w:tr>
      <w:tr w14:paraId="16A724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544" w:type="dxa"/>
            <w:shd w:val="clear" w:color="auto" w:fill="auto"/>
            <w:tcMar>
              <w:top w:w="0" w:type="dxa"/>
              <w:left w:w="0" w:type="dxa"/>
              <w:bottom w:w="0" w:type="dxa"/>
              <w:right w:w="0" w:type="dxa"/>
            </w:tcMar>
            <w:vAlign w:val="center"/>
          </w:tcPr>
          <w:p w14:paraId="7D92C7B5">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100以下</w:t>
            </w:r>
          </w:p>
        </w:tc>
        <w:tc>
          <w:tcPr>
            <w:tcW w:w="2544" w:type="dxa"/>
            <w:shd w:val="clear" w:color="auto" w:fill="auto"/>
            <w:tcMar>
              <w:top w:w="0" w:type="dxa"/>
              <w:left w:w="0" w:type="dxa"/>
              <w:bottom w:w="0" w:type="dxa"/>
              <w:right w:w="0" w:type="dxa"/>
            </w:tcMar>
            <w:vAlign w:val="center"/>
          </w:tcPr>
          <w:p w14:paraId="002805A7">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1.5%</w:t>
            </w:r>
          </w:p>
        </w:tc>
        <w:tc>
          <w:tcPr>
            <w:tcW w:w="2544" w:type="dxa"/>
            <w:shd w:val="clear" w:color="auto" w:fill="auto"/>
            <w:tcMar>
              <w:top w:w="0" w:type="dxa"/>
              <w:left w:w="0" w:type="dxa"/>
              <w:bottom w:w="0" w:type="dxa"/>
              <w:right w:w="0" w:type="dxa"/>
            </w:tcMar>
            <w:vAlign w:val="center"/>
          </w:tcPr>
          <w:p w14:paraId="54F02BDA">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1.5%</w:t>
            </w:r>
          </w:p>
        </w:tc>
        <w:tc>
          <w:tcPr>
            <w:tcW w:w="2550" w:type="dxa"/>
            <w:shd w:val="clear" w:color="auto" w:fill="auto"/>
            <w:tcMar>
              <w:top w:w="0" w:type="dxa"/>
              <w:left w:w="0" w:type="dxa"/>
              <w:bottom w:w="0" w:type="dxa"/>
              <w:right w:w="0" w:type="dxa"/>
            </w:tcMar>
            <w:vAlign w:val="center"/>
          </w:tcPr>
          <w:p w14:paraId="19E69FCA">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w:t>
            </w:r>
          </w:p>
        </w:tc>
      </w:tr>
      <w:tr w14:paraId="723BFB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544" w:type="dxa"/>
            <w:shd w:val="clear" w:color="auto" w:fill="auto"/>
            <w:tcMar>
              <w:top w:w="0" w:type="dxa"/>
              <w:left w:w="0" w:type="dxa"/>
              <w:bottom w:w="0" w:type="dxa"/>
              <w:right w:w="0" w:type="dxa"/>
            </w:tcMar>
            <w:vAlign w:val="center"/>
          </w:tcPr>
          <w:p w14:paraId="53639275">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100-500</w:t>
            </w:r>
          </w:p>
        </w:tc>
        <w:tc>
          <w:tcPr>
            <w:tcW w:w="2544" w:type="dxa"/>
            <w:shd w:val="clear" w:color="auto" w:fill="auto"/>
            <w:tcMar>
              <w:top w:w="0" w:type="dxa"/>
              <w:left w:w="0" w:type="dxa"/>
              <w:bottom w:w="0" w:type="dxa"/>
              <w:right w:w="0" w:type="dxa"/>
            </w:tcMar>
            <w:vAlign w:val="center"/>
          </w:tcPr>
          <w:p w14:paraId="65D6356B">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1.1%</w:t>
            </w:r>
          </w:p>
        </w:tc>
        <w:tc>
          <w:tcPr>
            <w:tcW w:w="2544" w:type="dxa"/>
            <w:shd w:val="clear" w:color="auto" w:fill="auto"/>
            <w:tcMar>
              <w:top w:w="0" w:type="dxa"/>
              <w:left w:w="0" w:type="dxa"/>
              <w:bottom w:w="0" w:type="dxa"/>
              <w:right w:w="0" w:type="dxa"/>
            </w:tcMar>
            <w:vAlign w:val="center"/>
          </w:tcPr>
          <w:p w14:paraId="4A69588E">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0.8%</w:t>
            </w:r>
          </w:p>
        </w:tc>
        <w:tc>
          <w:tcPr>
            <w:tcW w:w="2550" w:type="dxa"/>
            <w:shd w:val="clear" w:color="auto" w:fill="auto"/>
            <w:tcMar>
              <w:top w:w="0" w:type="dxa"/>
              <w:left w:w="0" w:type="dxa"/>
              <w:bottom w:w="0" w:type="dxa"/>
              <w:right w:w="0" w:type="dxa"/>
            </w:tcMar>
            <w:vAlign w:val="center"/>
          </w:tcPr>
          <w:p w14:paraId="234FE08C">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0.7%</w:t>
            </w:r>
          </w:p>
        </w:tc>
      </w:tr>
      <w:tr w14:paraId="6BB1DD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544" w:type="dxa"/>
            <w:shd w:val="clear" w:color="auto" w:fill="auto"/>
            <w:tcMar>
              <w:top w:w="0" w:type="dxa"/>
              <w:left w:w="0" w:type="dxa"/>
              <w:bottom w:w="0" w:type="dxa"/>
              <w:right w:w="0" w:type="dxa"/>
            </w:tcMar>
            <w:vAlign w:val="center"/>
          </w:tcPr>
          <w:p w14:paraId="14650335">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500-1000</w:t>
            </w:r>
          </w:p>
        </w:tc>
        <w:tc>
          <w:tcPr>
            <w:tcW w:w="2544" w:type="dxa"/>
            <w:shd w:val="clear" w:color="auto" w:fill="auto"/>
            <w:tcMar>
              <w:top w:w="0" w:type="dxa"/>
              <w:left w:w="0" w:type="dxa"/>
              <w:bottom w:w="0" w:type="dxa"/>
              <w:right w:w="0" w:type="dxa"/>
            </w:tcMar>
            <w:vAlign w:val="center"/>
          </w:tcPr>
          <w:p w14:paraId="38840384">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0.8%</w:t>
            </w:r>
          </w:p>
        </w:tc>
        <w:tc>
          <w:tcPr>
            <w:tcW w:w="2544" w:type="dxa"/>
            <w:shd w:val="clear" w:color="auto" w:fill="auto"/>
            <w:tcMar>
              <w:top w:w="0" w:type="dxa"/>
              <w:left w:w="0" w:type="dxa"/>
              <w:bottom w:w="0" w:type="dxa"/>
              <w:right w:w="0" w:type="dxa"/>
            </w:tcMar>
            <w:vAlign w:val="center"/>
          </w:tcPr>
          <w:p w14:paraId="338C75F9">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0.45%</w:t>
            </w:r>
          </w:p>
        </w:tc>
        <w:tc>
          <w:tcPr>
            <w:tcW w:w="2550" w:type="dxa"/>
            <w:shd w:val="clear" w:color="auto" w:fill="auto"/>
            <w:tcMar>
              <w:top w:w="0" w:type="dxa"/>
              <w:left w:w="0" w:type="dxa"/>
              <w:bottom w:w="0" w:type="dxa"/>
              <w:right w:w="0" w:type="dxa"/>
            </w:tcMar>
            <w:vAlign w:val="center"/>
          </w:tcPr>
          <w:p w14:paraId="53440A38">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0.55%</w:t>
            </w:r>
          </w:p>
        </w:tc>
      </w:tr>
      <w:tr w14:paraId="569D8F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544" w:type="dxa"/>
            <w:shd w:val="clear" w:color="auto" w:fill="auto"/>
            <w:tcMar>
              <w:top w:w="0" w:type="dxa"/>
              <w:left w:w="0" w:type="dxa"/>
              <w:bottom w:w="0" w:type="dxa"/>
              <w:right w:w="0" w:type="dxa"/>
            </w:tcMar>
            <w:vAlign w:val="center"/>
          </w:tcPr>
          <w:p w14:paraId="73773290">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1000-5000</w:t>
            </w:r>
          </w:p>
        </w:tc>
        <w:tc>
          <w:tcPr>
            <w:tcW w:w="2544" w:type="dxa"/>
            <w:shd w:val="clear" w:color="auto" w:fill="auto"/>
            <w:tcMar>
              <w:top w:w="0" w:type="dxa"/>
              <w:left w:w="0" w:type="dxa"/>
              <w:bottom w:w="0" w:type="dxa"/>
              <w:right w:w="0" w:type="dxa"/>
            </w:tcMar>
            <w:vAlign w:val="center"/>
          </w:tcPr>
          <w:p w14:paraId="2085DAE6">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0.5%</w:t>
            </w:r>
          </w:p>
        </w:tc>
        <w:tc>
          <w:tcPr>
            <w:tcW w:w="2544" w:type="dxa"/>
            <w:shd w:val="clear" w:color="auto" w:fill="auto"/>
            <w:tcMar>
              <w:top w:w="0" w:type="dxa"/>
              <w:left w:w="0" w:type="dxa"/>
              <w:bottom w:w="0" w:type="dxa"/>
              <w:right w:w="0" w:type="dxa"/>
            </w:tcMar>
            <w:vAlign w:val="center"/>
          </w:tcPr>
          <w:p w14:paraId="1001E6AD">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0.25%</w:t>
            </w:r>
          </w:p>
        </w:tc>
        <w:tc>
          <w:tcPr>
            <w:tcW w:w="2550" w:type="dxa"/>
            <w:shd w:val="clear" w:color="auto" w:fill="auto"/>
            <w:tcMar>
              <w:top w:w="0" w:type="dxa"/>
              <w:left w:w="0" w:type="dxa"/>
              <w:bottom w:w="0" w:type="dxa"/>
              <w:right w:w="0" w:type="dxa"/>
            </w:tcMar>
            <w:vAlign w:val="center"/>
          </w:tcPr>
          <w:p w14:paraId="1F35718A">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0.36%</w:t>
            </w:r>
          </w:p>
        </w:tc>
      </w:tr>
      <w:tr w14:paraId="38A872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544" w:type="dxa"/>
            <w:shd w:val="clear" w:color="auto" w:fill="auto"/>
            <w:tcMar>
              <w:top w:w="0" w:type="dxa"/>
              <w:left w:w="0" w:type="dxa"/>
              <w:bottom w:w="0" w:type="dxa"/>
              <w:right w:w="0" w:type="dxa"/>
            </w:tcMar>
            <w:vAlign w:val="center"/>
          </w:tcPr>
          <w:p w14:paraId="5D85FA23">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5000-10000</w:t>
            </w:r>
          </w:p>
        </w:tc>
        <w:tc>
          <w:tcPr>
            <w:tcW w:w="2544" w:type="dxa"/>
            <w:shd w:val="clear" w:color="auto" w:fill="auto"/>
            <w:tcMar>
              <w:top w:w="0" w:type="dxa"/>
              <w:left w:w="0" w:type="dxa"/>
              <w:bottom w:w="0" w:type="dxa"/>
              <w:right w:w="0" w:type="dxa"/>
            </w:tcMar>
            <w:vAlign w:val="center"/>
          </w:tcPr>
          <w:p w14:paraId="25324A96">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0.25%</w:t>
            </w:r>
          </w:p>
        </w:tc>
        <w:tc>
          <w:tcPr>
            <w:tcW w:w="2544" w:type="dxa"/>
            <w:shd w:val="clear" w:color="auto" w:fill="auto"/>
            <w:tcMar>
              <w:top w:w="0" w:type="dxa"/>
              <w:left w:w="0" w:type="dxa"/>
              <w:bottom w:w="0" w:type="dxa"/>
              <w:right w:w="0" w:type="dxa"/>
            </w:tcMar>
            <w:vAlign w:val="center"/>
          </w:tcPr>
          <w:p w14:paraId="255E556C">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0.1%</w:t>
            </w:r>
          </w:p>
        </w:tc>
        <w:tc>
          <w:tcPr>
            <w:tcW w:w="2550" w:type="dxa"/>
            <w:shd w:val="clear" w:color="auto" w:fill="auto"/>
            <w:tcMar>
              <w:top w:w="0" w:type="dxa"/>
              <w:left w:w="0" w:type="dxa"/>
              <w:bottom w:w="0" w:type="dxa"/>
              <w:right w:w="0" w:type="dxa"/>
            </w:tcMar>
            <w:vAlign w:val="center"/>
          </w:tcPr>
          <w:p w14:paraId="0CC803B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0.2%</w:t>
            </w:r>
          </w:p>
        </w:tc>
      </w:tr>
      <w:tr w14:paraId="01C781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544" w:type="dxa"/>
            <w:shd w:val="clear" w:color="auto" w:fill="auto"/>
            <w:tcMar>
              <w:top w:w="0" w:type="dxa"/>
              <w:left w:w="0" w:type="dxa"/>
              <w:bottom w:w="0" w:type="dxa"/>
              <w:right w:w="0" w:type="dxa"/>
            </w:tcMar>
            <w:vAlign w:val="center"/>
          </w:tcPr>
          <w:p w14:paraId="0D14E75B">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10000-100000</w:t>
            </w:r>
          </w:p>
        </w:tc>
        <w:tc>
          <w:tcPr>
            <w:tcW w:w="2544" w:type="dxa"/>
            <w:shd w:val="clear" w:color="auto" w:fill="auto"/>
            <w:tcMar>
              <w:top w:w="0" w:type="dxa"/>
              <w:left w:w="0" w:type="dxa"/>
              <w:bottom w:w="0" w:type="dxa"/>
              <w:right w:w="0" w:type="dxa"/>
            </w:tcMar>
            <w:vAlign w:val="center"/>
          </w:tcPr>
          <w:p w14:paraId="6C0924DC">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0.05%</w:t>
            </w:r>
          </w:p>
        </w:tc>
        <w:tc>
          <w:tcPr>
            <w:tcW w:w="2544" w:type="dxa"/>
            <w:shd w:val="clear" w:color="auto" w:fill="auto"/>
            <w:tcMar>
              <w:top w:w="0" w:type="dxa"/>
              <w:left w:w="0" w:type="dxa"/>
              <w:bottom w:w="0" w:type="dxa"/>
              <w:right w:w="0" w:type="dxa"/>
            </w:tcMar>
            <w:vAlign w:val="center"/>
          </w:tcPr>
          <w:p w14:paraId="7771E725">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0.05%</w:t>
            </w:r>
          </w:p>
        </w:tc>
        <w:tc>
          <w:tcPr>
            <w:tcW w:w="2550" w:type="dxa"/>
            <w:shd w:val="clear" w:color="auto" w:fill="auto"/>
            <w:tcMar>
              <w:top w:w="0" w:type="dxa"/>
              <w:left w:w="0" w:type="dxa"/>
              <w:bottom w:w="0" w:type="dxa"/>
              <w:right w:w="0" w:type="dxa"/>
            </w:tcMar>
            <w:vAlign w:val="center"/>
          </w:tcPr>
          <w:p w14:paraId="3AAFB236">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0.05%</w:t>
            </w:r>
          </w:p>
        </w:tc>
      </w:tr>
      <w:tr w14:paraId="28A4B2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544" w:type="dxa"/>
            <w:shd w:val="clear" w:color="auto" w:fill="auto"/>
            <w:tcMar>
              <w:top w:w="0" w:type="dxa"/>
              <w:left w:w="0" w:type="dxa"/>
              <w:bottom w:w="0" w:type="dxa"/>
              <w:right w:w="0" w:type="dxa"/>
            </w:tcMar>
            <w:vAlign w:val="center"/>
          </w:tcPr>
          <w:p w14:paraId="3F082493">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1000000以上</w:t>
            </w:r>
          </w:p>
        </w:tc>
        <w:tc>
          <w:tcPr>
            <w:tcW w:w="2544" w:type="dxa"/>
            <w:shd w:val="clear" w:color="auto" w:fill="auto"/>
            <w:tcMar>
              <w:top w:w="0" w:type="dxa"/>
              <w:left w:w="0" w:type="dxa"/>
              <w:bottom w:w="0" w:type="dxa"/>
              <w:right w:w="0" w:type="dxa"/>
            </w:tcMar>
            <w:vAlign w:val="center"/>
          </w:tcPr>
          <w:p w14:paraId="7A69AF95">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0.01%</w:t>
            </w:r>
          </w:p>
        </w:tc>
        <w:tc>
          <w:tcPr>
            <w:tcW w:w="2544" w:type="dxa"/>
            <w:shd w:val="clear" w:color="auto" w:fill="auto"/>
            <w:tcMar>
              <w:top w:w="0" w:type="dxa"/>
              <w:left w:w="0" w:type="dxa"/>
              <w:bottom w:w="0" w:type="dxa"/>
              <w:right w:w="0" w:type="dxa"/>
            </w:tcMar>
            <w:vAlign w:val="center"/>
          </w:tcPr>
          <w:p w14:paraId="6CEC7BB6">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0.01%</w:t>
            </w:r>
          </w:p>
        </w:tc>
        <w:tc>
          <w:tcPr>
            <w:tcW w:w="2550" w:type="dxa"/>
            <w:shd w:val="clear" w:color="auto" w:fill="auto"/>
            <w:tcMar>
              <w:top w:w="0" w:type="dxa"/>
              <w:left w:w="0" w:type="dxa"/>
              <w:bottom w:w="0" w:type="dxa"/>
              <w:right w:w="0" w:type="dxa"/>
            </w:tcMar>
            <w:vAlign w:val="center"/>
          </w:tcPr>
          <w:p w14:paraId="68491ECD">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0.01%</w:t>
            </w:r>
          </w:p>
        </w:tc>
      </w:tr>
    </w:tbl>
    <w:p w14:paraId="5F009930">
      <w:pPr>
        <w:keepNext w:val="0"/>
        <w:keepLines w:val="0"/>
        <w:pageBreakBefore w:val="0"/>
        <w:widowControl/>
        <w:tabs>
          <w:tab w:val="left" w:pos="567"/>
        </w:tabs>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color w:val="auto"/>
          <w:szCs w:val="21"/>
          <w:highlight w:val="none"/>
          <w:lang w:val="en-US"/>
        </w:rPr>
      </w:pPr>
      <w:r>
        <w:rPr>
          <w:rFonts w:hint="eastAsia" w:ascii="宋体" w:hAnsi="宋体" w:eastAsia="宋体" w:cs="宋体"/>
          <w:b w:val="0"/>
          <w:color w:val="auto"/>
          <w:szCs w:val="21"/>
          <w:highlight w:val="none"/>
          <w:lang w:val="en-US" w:eastAsia="zh-CN"/>
        </w:rPr>
        <w:t>（2）降低中标金额在5亿元以上招标代理服务收费标准，并设置收费上限。货物、服务、工程招标代理服务收费差额费率：中标金额在5—10亿元的为0.035%；10—50亿元的为0.008%；50—100亿元为0.006%；100亿元以上为0.004%。货物、服务、工程一次招标（完成一次招标投标全流程）代理服务费最高限额分别为350万元、300万元和450万元，并按各标段中标金额比例计算各标段招标代理服务费。</w:t>
      </w:r>
    </w:p>
    <w:p w14:paraId="5A7BDE43">
      <w:pPr>
        <w:tabs>
          <w:tab w:val="left" w:pos="567"/>
        </w:tabs>
        <w:autoSpaceDE w:val="0"/>
        <w:autoSpaceDN w:val="0"/>
        <w:adjustRightInd w:val="0"/>
        <w:spacing w:line="360" w:lineRule="auto"/>
        <w:ind w:left="0" w:leftChars="0" w:firstLine="420" w:firstLineChars="200"/>
        <w:jc w:val="left"/>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3）服务费基价实行全额分档折扣计算，得出代理服务费。具体为：服务费基价10万元（不含）以下的，按80%执行；服务费基价10万元（含）—20万元（不含）的，按70%执行；服务费基价20万元（含）—30万元（不含）的，按60%执行；服务费基价30万元（含）以上的，按50%计取，且单个项目最高代理费为30万元封顶</w:t>
      </w:r>
      <w:r>
        <w:rPr>
          <w:rFonts w:hint="eastAsia" w:ascii="宋体" w:hAnsi="宋体" w:eastAsia="宋体" w:cs="宋体"/>
          <w:b w:val="0"/>
          <w:color w:val="auto"/>
          <w:szCs w:val="21"/>
          <w:highlight w:val="none"/>
          <w:lang w:val="en-US"/>
        </w:rPr>
        <w:t>。</w:t>
      </w:r>
      <w:r>
        <w:rPr>
          <w:rFonts w:hint="eastAsia" w:ascii="宋体" w:hAnsi="宋体" w:eastAsia="宋体" w:cs="宋体"/>
          <w:b w:val="0"/>
          <w:color w:val="auto"/>
          <w:szCs w:val="21"/>
          <w:highlight w:val="none"/>
          <w:lang w:val="en-US" w:eastAsia="zh-CN"/>
        </w:rPr>
        <w:t>同时，为保障项目服务质量与库管理的可持续性，设置单个项目代理费最低为8000元，即按上述收费标准计取后不足8000元的，以8000元作为代理费。</w:t>
      </w:r>
    </w:p>
    <w:p w14:paraId="15889461">
      <w:pPr>
        <w:tabs>
          <w:tab w:val="left" w:pos="567"/>
        </w:tabs>
        <w:autoSpaceDE w:val="0"/>
        <w:autoSpaceDN w:val="0"/>
        <w:adjustRightInd w:val="0"/>
        <w:spacing w:line="360" w:lineRule="auto"/>
        <w:ind w:left="0" w:leftChars="0" w:firstLine="420" w:firstLineChars="200"/>
        <w:jc w:val="left"/>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例子：某项目招标代理业务中标金额为2000万元（货物类），计算代理服务费额如下：</w:t>
      </w:r>
    </w:p>
    <w:p w14:paraId="143E5733">
      <w:pPr>
        <w:tabs>
          <w:tab w:val="left" w:pos="567"/>
        </w:tabs>
        <w:autoSpaceDE w:val="0"/>
        <w:autoSpaceDN w:val="0"/>
        <w:adjustRightInd w:val="0"/>
        <w:spacing w:line="360" w:lineRule="auto"/>
        <w:ind w:left="0" w:leftChars="0"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100</w:t>
      </w:r>
      <w:r>
        <w:rPr>
          <w:rFonts w:hint="eastAsia" w:ascii="宋体" w:hAnsi="宋体" w:eastAsia="宋体" w:cs="宋体"/>
          <w:color w:val="auto"/>
          <w:szCs w:val="21"/>
          <w:highlight w:val="none"/>
          <w:lang w:val="en-US" w:eastAsia="zh-CN"/>
        </w:rPr>
        <w:t>万元部分</w:t>
      </w:r>
      <w:r>
        <w:rPr>
          <w:rFonts w:hint="default" w:ascii="宋体" w:hAnsi="宋体" w:eastAsia="宋体" w:cs="宋体"/>
          <w:color w:val="auto"/>
          <w:szCs w:val="21"/>
          <w:highlight w:val="none"/>
        </w:rPr>
        <w:t>：100</w:t>
      </w:r>
      <w:r>
        <w:rPr>
          <w:rFonts w:hint="eastAsia" w:ascii="宋体" w:hAnsi="宋体" w:eastAsia="宋体" w:cs="宋体"/>
          <w:color w:val="auto"/>
          <w:szCs w:val="21"/>
          <w:highlight w:val="none"/>
          <w:lang w:val="en-US" w:eastAsia="zh-CN"/>
        </w:rPr>
        <w:t>万元</w:t>
      </w:r>
      <w:r>
        <w:rPr>
          <w:rFonts w:hint="default" w:ascii="宋体" w:hAnsi="宋体" w:eastAsia="宋体" w:cs="宋体"/>
          <w:color w:val="auto"/>
          <w:szCs w:val="21"/>
          <w:highlight w:val="none"/>
        </w:rPr>
        <w:t>×1.5</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=15000元</w:t>
      </w:r>
    </w:p>
    <w:p w14:paraId="2334B289">
      <w:pPr>
        <w:tabs>
          <w:tab w:val="left" w:pos="567"/>
        </w:tabs>
        <w:autoSpaceDE w:val="0"/>
        <w:autoSpaceDN w:val="0"/>
        <w:adjustRightInd w:val="0"/>
        <w:spacing w:line="360" w:lineRule="auto"/>
        <w:ind w:left="0" w:leftChars="0"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100</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500</w:t>
      </w:r>
      <w:r>
        <w:rPr>
          <w:rFonts w:hint="eastAsia" w:ascii="宋体" w:hAnsi="宋体" w:eastAsia="宋体" w:cs="宋体"/>
          <w:color w:val="auto"/>
          <w:szCs w:val="21"/>
          <w:highlight w:val="none"/>
          <w:lang w:val="en-US" w:eastAsia="zh-CN"/>
        </w:rPr>
        <w:t>万元部分</w:t>
      </w:r>
      <w:r>
        <w:rPr>
          <w:rFonts w:hint="default" w:ascii="宋体" w:hAnsi="宋体" w:eastAsia="宋体" w:cs="宋体"/>
          <w:color w:val="auto"/>
          <w:szCs w:val="21"/>
          <w:highlight w:val="none"/>
        </w:rPr>
        <w:t>：400</w:t>
      </w:r>
      <w:r>
        <w:rPr>
          <w:rFonts w:hint="eastAsia" w:ascii="宋体" w:hAnsi="宋体" w:eastAsia="宋体" w:cs="宋体"/>
          <w:color w:val="auto"/>
          <w:szCs w:val="21"/>
          <w:highlight w:val="none"/>
          <w:lang w:val="en-US" w:eastAsia="zh-CN"/>
        </w:rPr>
        <w:t>万元</w:t>
      </w:r>
      <w:r>
        <w:rPr>
          <w:rFonts w:hint="default"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=44000元</w:t>
      </w:r>
    </w:p>
    <w:p w14:paraId="1EBB9BFF">
      <w:pPr>
        <w:tabs>
          <w:tab w:val="left" w:pos="567"/>
        </w:tabs>
        <w:autoSpaceDE w:val="0"/>
        <w:autoSpaceDN w:val="0"/>
        <w:adjustRightInd w:val="0"/>
        <w:spacing w:line="360" w:lineRule="auto"/>
        <w:ind w:left="0" w:leftChars="0"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500</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1000</w:t>
      </w:r>
      <w:r>
        <w:rPr>
          <w:rFonts w:hint="eastAsia" w:ascii="宋体" w:hAnsi="宋体" w:eastAsia="宋体" w:cs="宋体"/>
          <w:color w:val="auto"/>
          <w:szCs w:val="21"/>
          <w:highlight w:val="none"/>
          <w:lang w:val="en-US" w:eastAsia="zh-CN"/>
        </w:rPr>
        <w:t>万元部分</w:t>
      </w:r>
      <w:r>
        <w:rPr>
          <w:rFonts w:hint="default" w:ascii="宋体" w:hAnsi="宋体" w:eastAsia="宋体" w:cs="宋体"/>
          <w:color w:val="auto"/>
          <w:szCs w:val="21"/>
          <w:highlight w:val="none"/>
        </w:rPr>
        <w:t>：500</w:t>
      </w:r>
      <w:r>
        <w:rPr>
          <w:rFonts w:hint="eastAsia" w:ascii="宋体" w:hAnsi="宋体" w:eastAsia="宋体" w:cs="宋体"/>
          <w:color w:val="auto"/>
          <w:szCs w:val="21"/>
          <w:highlight w:val="none"/>
          <w:lang w:val="en-US" w:eastAsia="zh-CN"/>
        </w:rPr>
        <w:t>万元</w:t>
      </w:r>
      <w:r>
        <w:rPr>
          <w:rFonts w:hint="default" w:ascii="宋体" w:hAnsi="宋体" w:eastAsia="宋体" w:cs="宋体"/>
          <w:color w:val="auto"/>
          <w:szCs w:val="21"/>
          <w:highlight w:val="none"/>
        </w:rPr>
        <w:t>×0.8</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=40000元</w:t>
      </w:r>
    </w:p>
    <w:p w14:paraId="40DC8DBE">
      <w:pPr>
        <w:tabs>
          <w:tab w:val="left" w:pos="567"/>
        </w:tabs>
        <w:autoSpaceDE w:val="0"/>
        <w:autoSpaceDN w:val="0"/>
        <w:adjustRightInd w:val="0"/>
        <w:spacing w:line="360" w:lineRule="auto"/>
        <w:ind w:left="0" w:leftChars="0"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1000</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2000</w:t>
      </w:r>
      <w:r>
        <w:rPr>
          <w:rFonts w:hint="eastAsia" w:ascii="宋体" w:hAnsi="宋体" w:eastAsia="宋体" w:cs="宋体"/>
          <w:color w:val="auto"/>
          <w:szCs w:val="21"/>
          <w:highlight w:val="none"/>
          <w:lang w:val="en-US" w:eastAsia="zh-CN"/>
        </w:rPr>
        <w:t>万元部分</w:t>
      </w:r>
      <w:r>
        <w:rPr>
          <w:rFonts w:hint="default" w:ascii="宋体" w:hAnsi="宋体" w:eastAsia="宋体" w:cs="宋体"/>
          <w:color w:val="auto"/>
          <w:szCs w:val="21"/>
          <w:highlight w:val="none"/>
        </w:rPr>
        <w:t>：1000</w:t>
      </w:r>
      <w:r>
        <w:rPr>
          <w:rFonts w:hint="eastAsia" w:ascii="宋体" w:hAnsi="宋体" w:eastAsia="宋体" w:cs="宋体"/>
          <w:color w:val="auto"/>
          <w:szCs w:val="21"/>
          <w:highlight w:val="none"/>
          <w:lang w:val="en-US" w:eastAsia="zh-CN"/>
        </w:rPr>
        <w:t>万元</w:t>
      </w:r>
      <w:r>
        <w:rPr>
          <w:rFonts w:hint="default" w:ascii="宋体" w:hAnsi="宋体" w:eastAsia="宋体" w:cs="宋体"/>
          <w:color w:val="auto"/>
          <w:szCs w:val="21"/>
          <w:highlight w:val="none"/>
        </w:rPr>
        <w:t>×0.5</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=50000元</w:t>
      </w:r>
    </w:p>
    <w:p w14:paraId="04DF7531">
      <w:pPr>
        <w:tabs>
          <w:tab w:val="left" w:pos="567"/>
        </w:tabs>
        <w:autoSpaceDE w:val="0"/>
        <w:autoSpaceDN w:val="0"/>
        <w:adjustRightInd w:val="0"/>
        <w:spacing w:line="360" w:lineRule="auto"/>
        <w:ind w:left="0" w:leftChars="0"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各</w:t>
      </w:r>
      <w:r>
        <w:rPr>
          <w:rFonts w:hint="eastAsia" w:ascii="宋体" w:hAnsi="宋体" w:eastAsia="宋体" w:cs="宋体"/>
          <w:color w:val="auto"/>
          <w:szCs w:val="21"/>
          <w:highlight w:val="none"/>
          <w:lang w:val="en-US" w:eastAsia="zh-CN"/>
        </w:rPr>
        <w:t>部分</w:t>
      </w:r>
      <w:r>
        <w:rPr>
          <w:rFonts w:hint="default" w:ascii="宋体" w:hAnsi="宋体" w:eastAsia="宋体" w:cs="宋体"/>
          <w:color w:val="auto"/>
          <w:szCs w:val="21"/>
          <w:highlight w:val="none"/>
        </w:rPr>
        <w:t>累计得</w:t>
      </w:r>
      <w:r>
        <w:rPr>
          <w:rFonts w:hint="eastAsia" w:ascii="宋体" w:hAnsi="宋体" w:eastAsia="宋体" w:cs="宋体"/>
          <w:color w:val="auto"/>
          <w:szCs w:val="21"/>
          <w:highlight w:val="none"/>
          <w:lang w:val="en-US" w:eastAsia="zh-CN"/>
        </w:rPr>
        <w:t>出</w:t>
      </w:r>
      <w:r>
        <w:rPr>
          <w:rFonts w:hint="eastAsia" w:ascii="宋体" w:hAnsi="宋体" w:eastAsia="宋体" w:cs="宋体"/>
          <w:b w:val="0"/>
          <w:color w:val="auto"/>
          <w:szCs w:val="21"/>
          <w:highlight w:val="none"/>
          <w:lang w:val="en-US" w:eastAsia="zh-CN"/>
        </w:rPr>
        <w:t>服务费基价</w:t>
      </w:r>
      <w:r>
        <w:rPr>
          <w:rFonts w:hint="default" w:ascii="宋体" w:hAnsi="宋体" w:eastAsia="宋体" w:cs="宋体"/>
          <w:color w:val="auto"/>
          <w:szCs w:val="21"/>
          <w:highlight w:val="none"/>
        </w:rPr>
        <w:t>：149000.00元</w:t>
      </w:r>
    </w:p>
    <w:p w14:paraId="169F2DB1">
      <w:pPr>
        <w:tabs>
          <w:tab w:val="left" w:pos="567"/>
        </w:tabs>
        <w:autoSpaceDE w:val="0"/>
        <w:autoSpaceDN w:val="0"/>
        <w:adjustRightInd w:val="0"/>
        <w:spacing w:line="360" w:lineRule="auto"/>
        <w:ind w:left="0" w:leftChars="0" w:firstLine="420" w:firstLineChars="200"/>
        <w:jc w:val="left"/>
        <w:rPr>
          <w:rFonts w:hint="eastAsia" w:ascii="宋体" w:hAnsi="宋体" w:eastAsia="宋体" w:cs="宋体"/>
          <w:color w:val="auto"/>
          <w:szCs w:val="21"/>
          <w:highlight w:val="none"/>
          <w:lang w:val="zh-CN"/>
        </w:rPr>
      </w:pPr>
      <w:r>
        <w:rPr>
          <w:rFonts w:hint="default"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7</w:t>
      </w:r>
      <w:r>
        <w:rPr>
          <w:rFonts w:hint="default"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计算得</w:t>
      </w:r>
      <w:r>
        <w:rPr>
          <w:rFonts w:hint="eastAsia" w:ascii="宋体" w:hAnsi="宋体" w:eastAsia="宋体" w:cs="宋体"/>
          <w:color w:val="auto"/>
          <w:szCs w:val="21"/>
          <w:highlight w:val="none"/>
          <w:lang w:val="en-US" w:eastAsia="zh-CN"/>
        </w:rPr>
        <w:t>出代理服务费</w:t>
      </w:r>
      <w:r>
        <w:rPr>
          <w:rFonts w:hint="default" w:ascii="宋体" w:hAnsi="宋体" w:eastAsia="宋体" w:cs="宋体"/>
          <w:color w:val="auto"/>
          <w:szCs w:val="21"/>
          <w:highlight w:val="none"/>
        </w:rPr>
        <w:t>：149000</w:t>
      </w:r>
      <w:r>
        <w:rPr>
          <w:rFonts w:hint="eastAsia" w:ascii="宋体" w:hAnsi="宋体" w:eastAsia="宋体" w:cs="宋体"/>
          <w:color w:val="auto"/>
          <w:szCs w:val="21"/>
          <w:highlight w:val="none"/>
          <w:lang w:val="en-US" w:eastAsia="zh-CN"/>
        </w:rPr>
        <w:t>元</w:t>
      </w:r>
      <w:r>
        <w:rPr>
          <w:rFonts w:hint="default"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70%=104300</w:t>
      </w:r>
      <w:r>
        <w:rPr>
          <w:rFonts w:hint="default" w:ascii="宋体" w:hAnsi="宋体" w:eastAsia="宋体" w:cs="宋体"/>
          <w:color w:val="auto"/>
          <w:szCs w:val="21"/>
          <w:highlight w:val="none"/>
        </w:rPr>
        <w:t>元</w:t>
      </w:r>
    </w:p>
    <w:p w14:paraId="00581650">
      <w:pPr>
        <w:autoSpaceDE w:val="0"/>
        <w:autoSpaceDN w:val="0"/>
        <w:adjustRightInd w:val="0"/>
        <w:spacing w:line="360" w:lineRule="auto"/>
        <w:ind w:left="357" w:leftChars="-100" w:hanging="567" w:hangingChars="270"/>
        <w:jc w:val="left"/>
        <w:rPr>
          <w:rFonts w:hint="eastAsia" w:ascii="宋体" w:hAnsi="宋体" w:eastAsia="宋体" w:cs="宋体"/>
          <w:color w:val="auto"/>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.2 </w:t>
      </w:r>
      <w:r>
        <w:rPr>
          <w:rFonts w:hint="eastAsia" w:ascii="宋体" w:hAnsi="宋体" w:eastAsia="宋体" w:cs="宋体"/>
          <w:color w:val="auto"/>
          <w:highlight w:val="none"/>
        </w:rPr>
        <w:t>中标人收到中标通知后，须在15日内向招标代理机构交纳中标服务费用及领取《中标通知书》原件，否则视为放弃中标权利和义务。</w:t>
      </w:r>
    </w:p>
    <w:p w14:paraId="651E1281">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中标服务费只接受以银行转账、电汇方式交纳。</w:t>
      </w:r>
    </w:p>
    <w:p w14:paraId="0F6E3EC5">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中标服务费汇入账号</w:t>
      </w:r>
      <w:r>
        <w:rPr>
          <w:rFonts w:hint="eastAsia" w:ascii="宋体" w:hAnsi="宋体" w:eastAsia="宋体" w:cs="宋体"/>
          <w:b/>
          <w:bCs/>
          <w:color w:val="auto"/>
          <w:szCs w:val="21"/>
          <w:highlight w:val="none"/>
          <w:lang w:val="zh-CN"/>
        </w:rPr>
        <w:t>（特别提醒，本账户非投标保证金汇入账户</w:t>
      </w:r>
      <w:r>
        <w:rPr>
          <w:rFonts w:hint="eastAsia" w:ascii="宋体" w:hAnsi="宋体" w:eastAsia="宋体" w:cs="宋体"/>
          <w:b/>
          <w:bCs/>
          <w:color w:val="auto"/>
          <w:szCs w:val="21"/>
          <w:highlight w:val="none"/>
          <w:lang w:eastAsia="zh-CN"/>
        </w:rPr>
        <w:t>）</w:t>
      </w:r>
      <w:r>
        <w:rPr>
          <w:rFonts w:hint="eastAsia" w:ascii="宋体" w:hAnsi="宋体" w:eastAsia="宋体" w:cs="宋体"/>
          <w:color w:val="auto"/>
          <w:szCs w:val="21"/>
          <w:highlight w:val="none"/>
        </w:rPr>
        <w:t>：</w:t>
      </w:r>
    </w:p>
    <w:p w14:paraId="33DAA013">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开户名称：</w:t>
      </w:r>
      <w:r>
        <w:rPr>
          <w:rFonts w:hint="eastAsia" w:ascii="宋体" w:hAnsi="宋体" w:eastAsia="宋体" w:cs="宋体"/>
          <w:color w:val="auto"/>
          <w:kern w:val="0"/>
          <w:szCs w:val="21"/>
          <w:highlight w:val="none"/>
        </w:rPr>
        <w:t>广西同泽工程项目管理股份有限公司东莞分公司</w:t>
      </w:r>
    </w:p>
    <w:p w14:paraId="6501FA84">
      <w:pPr>
        <w:autoSpaceDE w:val="0"/>
        <w:autoSpaceDN w:val="0"/>
        <w:adjustRightInd w:val="0"/>
        <w:spacing w:line="360" w:lineRule="auto"/>
        <w:ind w:left="357" w:leftChars="-100" w:hanging="567" w:hangingChars="270"/>
        <w:jc w:val="left"/>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 xml:space="preserve">     银行帐号：</w:t>
      </w:r>
      <w:r>
        <w:rPr>
          <w:rFonts w:hint="eastAsia" w:ascii="宋体" w:hAnsi="宋体" w:eastAsia="宋体" w:cs="宋体"/>
          <w:color w:val="auto"/>
          <w:kern w:val="0"/>
          <w:szCs w:val="21"/>
          <w:highlight w:val="none"/>
        </w:rPr>
        <w:t>2010045209100165935</w:t>
      </w:r>
      <w:r>
        <w:rPr>
          <w:rFonts w:hint="eastAsia" w:ascii="宋体" w:hAnsi="宋体" w:eastAsia="宋体" w:cs="宋体"/>
          <w:color w:val="auto"/>
          <w:kern w:val="0"/>
          <w:szCs w:val="21"/>
          <w:highlight w:val="none"/>
          <w:lang w:val="en-US" w:eastAsia="zh-CN"/>
        </w:rPr>
        <w:t xml:space="preserve"> </w:t>
      </w:r>
    </w:p>
    <w:p w14:paraId="2A14CF13">
      <w:pPr>
        <w:autoSpaceDE w:val="0"/>
        <w:autoSpaceDN w:val="0"/>
        <w:adjustRightInd w:val="0"/>
        <w:spacing w:line="360" w:lineRule="auto"/>
        <w:ind w:left="357" w:leftChars="-100" w:hanging="567" w:hangingChars="27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 xml:space="preserve">     开户银行：</w:t>
      </w:r>
      <w:r>
        <w:rPr>
          <w:rFonts w:hint="eastAsia" w:ascii="宋体" w:hAnsi="宋体" w:eastAsia="宋体" w:cs="宋体"/>
          <w:color w:val="auto"/>
          <w:kern w:val="0"/>
          <w:szCs w:val="21"/>
          <w:highlight w:val="none"/>
        </w:rPr>
        <w:t>中国工商银行股份有限公司东莞会展支行</w:t>
      </w:r>
    </w:p>
    <w:p w14:paraId="5F130F76">
      <w:pPr>
        <w:autoSpaceDE w:val="0"/>
        <w:autoSpaceDN w:val="0"/>
        <w:adjustRightInd w:val="0"/>
        <w:spacing w:line="360" w:lineRule="auto"/>
        <w:ind w:left="357" w:leftChars="-100" w:hanging="567" w:hangingChars="270"/>
        <w:jc w:val="left"/>
        <w:rPr>
          <w:rFonts w:hint="eastAsia" w:ascii="宋体" w:hAnsi="宋体" w:eastAsia="宋体" w:cs="宋体"/>
          <w:i w:val="0"/>
          <w:iCs w:val="0"/>
          <w:color w:val="auto"/>
          <w:kern w:val="0"/>
          <w:szCs w:val="21"/>
          <w:highlight w:val="none"/>
          <w:lang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.4 </w:t>
      </w:r>
      <w:r>
        <w:rPr>
          <w:rFonts w:ascii="宋体" w:hAnsi="宋体" w:eastAsia="宋体" w:cs="宋体"/>
          <w:color w:val="auto"/>
          <w:szCs w:val="21"/>
          <w:highlight w:val="none"/>
        </w:rPr>
        <w:t>中标人如未按第3</w:t>
      </w:r>
      <w:r>
        <w:rPr>
          <w:rFonts w:hint="eastAsia" w:ascii="宋体" w:hAnsi="宋体" w:eastAsia="宋体" w:cs="宋体"/>
          <w:color w:val="auto"/>
          <w:szCs w:val="21"/>
          <w:highlight w:val="none"/>
          <w:lang w:val="en-US" w:eastAsia="zh-CN"/>
        </w:rPr>
        <w:t>6</w:t>
      </w:r>
      <w:r>
        <w:rPr>
          <w:rFonts w:ascii="宋体" w:hAnsi="宋体" w:eastAsia="宋体" w:cs="宋体"/>
          <w:color w:val="auto"/>
          <w:szCs w:val="21"/>
          <w:highlight w:val="none"/>
        </w:rPr>
        <w:t>.1款、第3</w:t>
      </w:r>
      <w:r>
        <w:rPr>
          <w:rFonts w:hint="eastAsia" w:ascii="宋体" w:hAnsi="宋体" w:eastAsia="宋体" w:cs="宋体"/>
          <w:color w:val="auto"/>
          <w:szCs w:val="21"/>
          <w:highlight w:val="none"/>
          <w:lang w:val="en-US" w:eastAsia="zh-CN"/>
        </w:rPr>
        <w:t>6</w:t>
      </w:r>
      <w:r>
        <w:rPr>
          <w:rFonts w:ascii="宋体" w:hAnsi="宋体" w:eastAsia="宋体" w:cs="宋体"/>
          <w:color w:val="auto"/>
          <w:szCs w:val="21"/>
          <w:highlight w:val="none"/>
        </w:rPr>
        <w:t>.2款规定办理，将不予退还其投标保证金</w:t>
      </w:r>
      <w:r>
        <w:rPr>
          <w:rFonts w:hint="eastAsia" w:ascii="宋体" w:hAnsi="宋体" w:eastAsia="宋体" w:cs="宋体"/>
          <w:color w:val="auto"/>
          <w:szCs w:val="21"/>
          <w:highlight w:val="none"/>
        </w:rPr>
        <w:t>。</w:t>
      </w:r>
    </w:p>
    <w:p w14:paraId="4F51FFF3">
      <w:pPr>
        <w:autoSpaceDE w:val="0"/>
        <w:autoSpaceDN w:val="0"/>
        <w:adjustRightInd w:val="0"/>
        <w:snapToGrid w:val="0"/>
        <w:spacing w:line="360" w:lineRule="auto"/>
        <w:ind w:left="315" w:leftChars="-100" w:hanging="525" w:hangingChars="250"/>
        <w:jc w:val="left"/>
        <w:rPr>
          <w:rFonts w:ascii="宋体" w:hAnsi="宋体" w:eastAsia="宋体" w:cs="宋体"/>
          <w:i w:val="0"/>
          <w:iCs w:val="0"/>
          <w:color w:val="auto"/>
          <w:szCs w:val="21"/>
          <w:highlight w:val="none"/>
          <w:lang w:val="zh-CN"/>
        </w:rPr>
      </w:pPr>
      <w:bookmarkStart w:id="377" w:name="_Toc450662889"/>
    </w:p>
    <w:p w14:paraId="717927D0">
      <w:pPr>
        <w:tabs>
          <w:tab w:val="left" w:pos="360"/>
        </w:tabs>
        <w:autoSpaceDE w:val="0"/>
        <w:autoSpaceDN w:val="0"/>
        <w:adjustRightInd w:val="0"/>
        <w:spacing w:line="360" w:lineRule="auto"/>
        <w:ind w:left="357" w:leftChars="-100" w:hanging="567"/>
        <w:jc w:val="left"/>
        <w:outlineLvl w:val="2"/>
        <w:rPr>
          <w:rFonts w:ascii="宋体" w:hAnsi="宋体" w:eastAsia="宋体" w:cs="宋体"/>
          <w:i w:val="0"/>
          <w:iCs w:val="0"/>
          <w:color w:val="auto"/>
          <w:szCs w:val="21"/>
          <w:highlight w:val="none"/>
          <w:lang w:val="zh-CN"/>
        </w:rPr>
      </w:pPr>
      <w:bookmarkStart w:id="378" w:name="_Toc16761"/>
      <w:bookmarkStart w:id="379" w:name="_Toc486167704"/>
      <w:bookmarkStart w:id="380" w:name="_Toc11664"/>
      <w:bookmarkStart w:id="381" w:name="_Toc26292"/>
      <w:bookmarkStart w:id="382" w:name="_Toc142508355"/>
      <w:bookmarkStart w:id="383" w:name="_Toc6764_WPSOffice_Level3"/>
      <w:bookmarkStart w:id="384" w:name="_Toc22292"/>
      <w:r>
        <w:rPr>
          <w:rFonts w:hint="eastAsia" w:ascii="宋体" w:hAnsi="宋体" w:eastAsia="宋体" w:cs="宋体"/>
          <w:i w:val="0"/>
          <w:iCs w:val="0"/>
          <w:color w:val="auto"/>
          <w:szCs w:val="21"/>
          <w:highlight w:val="none"/>
        </w:rPr>
        <w:t>3</w:t>
      </w:r>
      <w:r>
        <w:rPr>
          <w:rFonts w:hint="eastAsia" w:ascii="宋体" w:hAnsi="宋体" w:eastAsia="宋体" w:cs="宋体"/>
          <w:i w:val="0"/>
          <w:iCs w:val="0"/>
          <w:color w:val="auto"/>
          <w:szCs w:val="21"/>
          <w:highlight w:val="none"/>
          <w:lang w:val="en-US" w:eastAsia="zh-CN"/>
        </w:rPr>
        <w:t>7</w:t>
      </w:r>
      <w:r>
        <w:rPr>
          <w:rFonts w:hint="eastAsia" w:ascii="宋体" w:hAnsi="宋体" w:eastAsia="宋体" w:cs="宋体"/>
          <w:i w:val="0"/>
          <w:iCs w:val="0"/>
          <w:color w:val="auto"/>
          <w:szCs w:val="21"/>
          <w:highlight w:val="none"/>
          <w:lang w:val="zh-CN"/>
        </w:rPr>
        <w:t xml:space="preserve"> 发票</w:t>
      </w:r>
      <w:bookmarkEnd w:id="377"/>
      <w:bookmarkEnd w:id="378"/>
      <w:bookmarkEnd w:id="379"/>
      <w:bookmarkEnd w:id="380"/>
      <w:bookmarkEnd w:id="381"/>
      <w:bookmarkEnd w:id="382"/>
      <w:bookmarkEnd w:id="383"/>
      <w:bookmarkEnd w:id="384"/>
    </w:p>
    <w:p w14:paraId="2EA6B4C2">
      <w:pPr>
        <w:autoSpaceDE w:val="0"/>
        <w:autoSpaceDN w:val="0"/>
        <w:adjustRightInd w:val="0"/>
        <w:snapToGrid w:val="0"/>
        <w:spacing w:line="360" w:lineRule="auto"/>
        <w:ind w:left="315" w:leftChars="-100" w:hanging="525" w:hangingChars="250"/>
        <w:jc w:val="left"/>
        <w:rPr>
          <w:rFonts w:ascii="宋体" w:hAnsi="宋体" w:eastAsia="宋体" w:cs="Times New Roman"/>
          <w:i w:val="0"/>
          <w:iCs w:val="0"/>
          <w:color w:val="auto"/>
          <w:szCs w:val="21"/>
          <w:highlight w:val="none"/>
          <w:lang w:val="zh-CN"/>
        </w:rPr>
      </w:pPr>
      <w:r>
        <w:rPr>
          <w:rFonts w:hint="eastAsia" w:ascii="宋体" w:hAnsi="宋体" w:eastAsia="宋体" w:cs="宋体"/>
          <w:i w:val="0"/>
          <w:iCs w:val="0"/>
          <w:color w:val="auto"/>
          <w:szCs w:val="21"/>
          <w:highlight w:val="none"/>
        </w:rPr>
        <w:t>3</w:t>
      </w:r>
      <w:r>
        <w:rPr>
          <w:rFonts w:hint="eastAsia" w:ascii="宋体" w:hAnsi="宋体" w:eastAsia="宋体" w:cs="宋体"/>
          <w:i w:val="0"/>
          <w:iCs w:val="0"/>
          <w:color w:val="auto"/>
          <w:szCs w:val="21"/>
          <w:highlight w:val="none"/>
          <w:lang w:val="en-US" w:eastAsia="zh-CN"/>
        </w:rPr>
        <w:t>7</w:t>
      </w:r>
      <w:r>
        <w:rPr>
          <w:rFonts w:hint="eastAsia" w:ascii="宋体" w:hAnsi="宋体" w:eastAsia="宋体" w:cs="宋体"/>
          <w:i w:val="0"/>
          <w:iCs w:val="0"/>
          <w:color w:val="auto"/>
          <w:szCs w:val="21"/>
          <w:highlight w:val="none"/>
          <w:lang w:val="zh-CN"/>
        </w:rPr>
        <w:t>.1</w:t>
      </w:r>
      <w:r>
        <w:rPr>
          <w:rFonts w:hint="eastAsia" w:ascii="宋体" w:hAnsi="宋体" w:eastAsia="宋体" w:cs="宋体"/>
          <w:i w:val="0"/>
          <w:iCs w:val="0"/>
          <w:color w:val="auto"/>
          <w:szCs w:val="21"/>
          <w:highlight w:val="none"/>
          <w:lang w:val="en-US" w:eastAsia="zh-CN"/>
        </w:rPr>
        <w:t xml:space="preserve"> </w:t>
      </w:r>
      <w:r>
        <w:rPr>
          <w:rFonts w:hint="eastAsia" w:ascii="宋体" w:hAnsi="宋体" w:eastAsia="宋体" w:cs="Times New Roman"/>
          <w:i w:val="0"/>
          <w:iCs w:val="0"/>
          <w:color w:val="auto"/>
          <w:szCs w:val="21"/>
          <w:highlight w:val="none"/>
          <w:lang w:val="zh-CN"/>
        </w:rPr>
        <w:t>该项目获得中标的中标人在执行合同过程中，向</w:t>
      </w:r>
      <w:r>
        <w:rPr>
          <w:rFonts w:hint="eastAsia" w:ascii="宋体" w:hAnsi="宋体" w:eastAsia="宋体" w:cs="宋体"/>
          <w:color w:val="auto"/>
          <w:szCs w:val="21"/>
          <w:highlight w:val="none"/>
          <w:lang w:val="zh-CN"/>
        </w:rPr>
        <w:t>招标人</w:t>
      </w:r>
      <w:r>
        <w:rPr>
          <w:rFonts w:hint="eastAsia" w:ascii="宋体" w:hAnsi="宋体" w:eastAsia="宋体" w:cs="Times New Roman"/>
          <w:i w:val="0"/>
          <w:iCs w:val="0"/>
          <w:color w:val="auto"/>
          <w:szCs w:val="21"/>
          <w:highlight w:val="none"/>
          <w:lang w:val="zh-CN"/>
        </w:rPr>
        <w:t>出具的发票必须是由中标人开具，不得以其他单位或个人名义出具，本项目中标人向</w:t>
      </w:r>
      <w:r>
        <w:rPr>
          <w:rFonts w:hint="eastAsia" w:ascii="宋体" w:hAnsi="宋体" w:eastAsia="宋体" w:cs="宋体"/>
          <w:color w:val="auto"/>
          <w:szCs w:val="21"/>
          <w:highlight w:val="none"/>
          <w:lang w:val="zh-CN"/>
        </w:rPr>
        <w:t>招标人</w:t>
      </w:r>
      <w:r>
        <w:rPr>
          <w:rFonts w:hint="eastAsia" w:ascii="宋体" w:hAnsi="宋体" w:eastAsia="宋体" w:cs="Times New Roman"/>
          <w:i w:val="0"/>
          <w:iCs w:val="0"/>
          <w:color w:val="auto"/>
          <w:szCs w:val="21"/>
          <w:highlight w:val="none"/>
          <w:lang w:val="zh-CN"/>
        </w:rPr>
        <w:t>出具的发票类型为增值税普通发票。</w:t>
      </w:r>
      <w:bookmarkStart w:id="385" w:name="_Toc31106_WPSOffice_Level3"/>
      <w:bookmarkStart w:id="386" w:name="_Toc486167705"/>
    </w:p>
    <w:p w14:paraId="33839F85">
      <w:pPr>
        <w:autoSpaceDE w:val="0"/>
        <w:autoSpaceDN w:val="0"/>
        <w:adjustRightInd w:val="0"/>
        <w:snapToGrid w:val="0"/>
        <w:spacing w:line="360" w:lineRule="auto"/>
        <w:ind w:left="315" w:leftChars="-100" w:hanging="525" w:hangingChars="250"/>
        <w:jc w:val="left"/>
        <w:rPr>
          <w:rFonts w:ascii="宋体" w:hAnsi="宋体" w:eastAsia="宋体" w:cs="Times New Roman"/>
          <w:i w:val="0"/>
          <w:iCs w:val="0"/>
          <w:color w:val="auto"/>
          <w:szCs w:val="21"/>
          <w:highlight w:val="none"/>
        </w:rPr>
      </w:pPr>
    </w:p>
    <w:p w14:paraId="1DA569B2">
      <w:pPr>
        <w:tabs>
          <w:tab w:val="left" w:pos="360"/>
        </w:tabs>
        <w:autoSpaceDE w:val="0"/>
        <w:autoSpaceDN w:val="0"/>
        <w:adjustRightInd w:val="0"/>
        <w:spacing w:line="360" w:lineRule="auto"/>
        <w:ind w:left="357" w:leftChars="-100" w:hanging="567"/>
        <w:jc w:val="left"/>
        <w:outlineLvl w:val="2"/>
        <w:rPr>
          <w:rFonts w:ascii="宋体" w:hAnsi="宋体" w:eastAsia="宋体" w:cs="宋体"/>
          <w:b/>
          <w:i w:val="0"/>
          <w:iCs w:val="0"/>
          <w:color w:val="auto"/>
          <w:szCs w:val="21"/>
          <w:highlight w:val="none"/>
        </w:rPr>
      </w:pPr>
      <w:bookmarkStart w:id="387" w:name="_Toc26910"/>
      <w:bookmarkStart w:id="388" w:name="_Toc4658"/>
      <w:bookmarkStart w:id="389" w:name="_Toc142508356"/>
      <w:bookmarkStart w:id="390" w:name="_Toc16304"/>
      <w:bookmarkStart w:id="391" w:name="_Toc17751"/>
      <w:r>
        <w:rPr>
          <w:rFonts w:ascii="宋体" w:hAnsi="宋体" w:eastAsia="宋体" w:cs="宋体"/>
          <w:b/>
          <w:i w:val="0"/>
          <w:iCs w:val="0"/>
          <w:color w:val="auto"/>
          <w:szCs w:val="21"/>
          <w:highlight w:val="none"/>
        </w:rPr>
        <w:t>3</w:t>
      </w:r>
      <w:r>
        <w:rPr>
          <w:rFonts w:hint="eastAsia" w:ascii="宋体" w:hAnsi="宋体" w:eastAsia="宋体" w:cs="宋体"/>
          <w:b/>
          <w:i w:val="0"/>
          <w:iCs w:val="0"/>
          <w:color w:val="auto"/>
          <w:szCs w:val="21"/>
          <w:highlight w:val="none"/>
          <w:lang w:val="en-US" w:eastAsia="zh-CN"/>
        </w:rPr>
        <w:t>8</w:t>
      </w:r>
      <w:r>
        <w:rPr>
          <w:rFonts w:ascii="宋体" w:hAnsi="宋体" w:eastAsia="宋体" w:cs="宋体"/>
          <w:b/>
          <w:i w:val="0"/>
          <w:iCs w:val="0"/>
          <w:color w:val="auto"/>
          <w:szCs w:val="21"/>
          <w:highlight w:val="none"/>
        </w:rPr>
        <w:t xml:space="preserve"> 招标相关补充约定</w:t>
      </w:r>
      <w:bookmarkEnd w:id="387"/>
      <w:bookmarkEnd w:id="388"/>
      <w:bookmarkEnd w:id="389"/>
      <w:bookmarkEnd w:id="390"/>
      <w:bookmarkEnd w:id="391"/>
    </w:p>
    <w:p w14:paraId="00002045">
      <w:pPr>
        <w:autoSpaceDE w:val="0"/>
        <w:autoSpaceDN w:val="0"/>
        <w:adjustRightInd w:val="0"/>
        <w:snapToGrid w:val="0"/>
        <w:spacing w:line="360" w:lineRule="auto"/>
        <w:ind w:left="317" w:leftChars="-100" w:hanging="527" w:hangingChars="250"/>
        <w:jc w:val="left"/>
        <w:rPr>
          <w:rFonts w:ascii="宋体" w:hAnsi="宋体" w:eastAsia="宋体" w:cs="Times New Roman"/>
          <w:b/>
          <w:i w:val="0"/>
          <w:iCs w:val="0"/>
          <w:color w:val="auto"/>
          <w:szCs w:val="21"/>
          <w:highlight w:val="none"/>
        </w:rPr>
      </w:pPr>
      <w:r>
        <w:rPr>
          <w:rFonts w:ascii="宋体" w:hAnsi="宋体" w:eastAsia="宋体" w:cs="Times New Roman"/>
          <w:b/>
          <w:i w:val="0"/>
          <w:iCs w:val="0"/>
          <w:color w:val="auto"/>
          <w:szCs w:val="21"/>
          <w:highlight w:val="none"/>
        </w:rPr>
        <w:t>3</w:t>
      </w:r>
      <w:r>
        <w:rPr>
          <w:rFonts w:hint="eastAsia" w:ascii="宋体" w:hAnsi="宋体" w:eastAsia="宋体" w:cs="Times New Roman"/>
          <w:b/>
          <w:i w:val="0"/>
          <w:iCs w:val="0"/>
          <w:color w:val="auto"/>
          <w:szCs w:val="21"/>
          <w:highlight w:val="none"/>
          <w:lang w:val="en-US" w:eastAsia="zh-CN"/>
        </w:rPr>
        <w:t>8</w:t>
      </w:r>
      <w:r>
        <w:rPr>
          <w:rFonts w:ascii="宋体" w:hAnsi="宋体" w:eastAsia="宋体" w:cs="Times New Roman"/>
          <w:b/>
          <w:i w:val="0"/>
          <w:iCs w:val="0"/>
          <w:color w:val="auto"/>
          <w:szCs w:val="21"/>
          <w:highlight w:val="none"/>
        </w:rPr>
        <w:t>.1</w:t>
      </w:r>
      <w:r>
        <w:rPr>
          <w:rFonts w:ascii="宋体" w:hAnsi="宋体" w:eastAsia="宋体" w:cs="Times New Roman"/>
          <w:b/>
          <w:i w:val="0"/>
          <w:iCs w:val="0"/>
          <w:color w:val="auto"/>
          <w:szCs w:val="21"/>
          <w:highlight w:val="none"/>
        </w:rPr>
        <w:tab/>
      </w:r>
      <w:r>
        <w:rPr>
          <w:rFonts w:ascii="宋体" w:hAnsi="宋体" w:eastAsia="宋体" w:cs="Times New Roman"/>
          <w:b/>
          <w:i w:val="0"/>
          <w:iCs w:val="0"/>
          <w:color w:val="auto"/>
          <w:szCs w:val="21"/>
          <w:highlight w:val="none"/>
        </w:rPr>
        <w:t>本项目投标人须知第2条所述行政处罚信息，以开标</w:t>
      </w:r>
      <w:r>
        <w:rPr>
          <w:rFonts w:hint="eastAsia" w:ascii="宋体" w:hAnsi="宋体" w:eastAsia="宋体" w:cs="Times New Roman"/>
          <w:b/>
          <w:i w:val="0"/>
          <w:iCs w:val="0"/>
          <w:color w:val="auto"/>
          <w:szCs w:val="21"/>
          <w:highlight w:val="none"/>
          <w:lang w:val="en-US" w:eastAsia="zh-CN"/>
        </w:rPr>
        <w:t>当天</w:t>
      </w:r>
      <w:r>
        <w:rPr>
          <w:rFonts w:ascii="宋体" w:hAnsi="宋体" w:eastAsia="宋体" w:cs="Times New Roman"/>
          <w:b/>
          <w:i w:val="0"/>
          <w:iCs w:val="0"/>
          <w:color w:val="auto"/>
          <w:szCs w:val="21"/>
          <w:highlight w:val="none"/>
        </w:rPr>
        <w:t>在“信用中国”网站（www.creditchina.gov.cn）查询结果为准</w:t>
      </w:r>
      <w:r>
        <w:rPr>
          <w:rFonts w:hint="eastAsia" w:ascii="宋体" w:hAnsi="宋体" w:eastAsia="宋体" w:cs="Times New Roman"/>
          <w:b/>
          <w:i w:val="0"/>
          <w:iCs w:val="0"/>
          <w:color w:val="auto"/>
          <w:szCs w:val="21"/>
          <w:highlight w:val="none"/>
        </w:rPr>
        <w:t>，或以司法、仲裁机构等出具的生效文件予以认定,时间以认定文件的落款时间为准</w:t>
      </w:r>
      <w:r>
        <w:rPr>
          <w:rFonts w:ascii="宋体" w:hAnsi="宋体" w:eastAsia="宋体" w:cs="Times New Roman"/>
          <w:b/>
          <w:i w:val="0"/>
          <w:iCs w:val="0"/>
          <w:color w:val="auto"/>
          <w:szCs w:val="21"/>
          <w:highlight w:val="none"/>
        </w:rPr>
        <w:t>。开标结束后，有关投标单位的行政处罚信息，以</w:t>
      </w:r>
      <w:r>
        <w:rPr>
          <w:rFonts w:hint="eastAsia" w:ascii="宋体" w:hAnsi="宋体" w:eastAsia="宋体" w:cs="Times New Roman"/>
          <w:b/>
          <w:i w:val="0"/>
          <w:iCs w:val="0"/>
          <w:color w:val="auto"/>
          <w:szCs w:val="21"/>
          <w:highlight w:val="none"/>
          <w:lang w:val="en-US" w:eastAsia="zh-CN"/>
        </w:rPr>
        <w:t>开标当天查询</w:t>
      </w:r>
      <w:r>
        <w:rPr>
          <w:rFonts w:ascii="宋体" w:hAnsi="宋体" w:eastAsia="宋体" w:cs="Times New Roman"/>
          <w:b/>
          <w:i w:val="0"/>
          <w:iCs w:val="0"/>
          <w:color w:val="auto"/>
          <w:szCs w:val="21"/>
          <w:highlight w:val="none"/>
        </w:rPr>
        <w:t>结果为准；结果公示期间，如投标人对有关投标单位的行政处罚信息存在异议，但不涉及第一中标候选人的，视为对中标结果没有造成实质影响。</w:t>
      </w:r>
    </w:p>
    <w:p w14:paraId="28345F40">
      <w:pPr>
        <w:autoSpaceDE w:val="0"/>
        <w:autoSpaceDN w:val="0"/>
        <w:adjustRightInd w:val="0"/>
        <w:snapToGrid w:val="0"/>
        <w:spacing w:line="360" w:lineRule="auto"/>
        <w:ind w:left="315" w:leftChars="-100" w:hanging="525" w:hangingChars="250"/>
        <w:jc w:val="left"/>
        <w:rPr>
          <w:rFonts w:ascii="宋体" w:hAnsi="宋体" w:eastAsia="宋体" w:cs="Times New Roman"/>
          <w:i w:val="0"/>
          <w:iCs w:val="0"/>
          <w:color w:val="auto"/>
          <w:szCs w:val="21"/>
          <w:highlight w:val="none"/>
        </w:rPr>
      </w:pPr>
    </w:p>
    <w:p w14:paraId="1FE4D7FE">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b/>
          <w:bCs/>
          <w:i w:val="0"/>
          <w:iCs w:val="0"/>
          <w:color w:val="auto"/>
          <w:kern w:val="44"/>
          <w:sz w:val="32"/>
          <w:szCs w:val="32"/>
          <w:highlight w:val="none"/>
          <w:lang w:val="zh-CN"/>
        </w:rPr>
      </w:pPr>
      <w:bookmarkStart w:id="392" w:name="_Toc26725"/>
      <w:bookmarkStart w:id="393" w:name="_Toc142508357"/>
      <w:bookmarkStart w:id="394" w:name="_Toc10481"/>
      <w:bookmarkStart w:id="395" w:name="_Toc27512"/>
      <w:bookmarkStart w:id="396" w:name="_Toc25568"/>
      <w:r>
        <w:rPr>
          <w:rFonts w:hint="eastAsia" w:ascii="宋体" w:hAnsi="宋体" w:eastAsia="宋体" w:cs="宋体"/>
          <w:i w:val="0"/>
          <w:iCs w:val="0"/>
          <w:color w:val="auto"/>
          <w:szCs w:val="21"/>
          <w:highlight w:val="none"/>
          <w:lang w:val="en-US" w:eastAsia="zh-CN"/>
        </w:rPr>
        <w:t>39</w:t>
      </w:r>
      <w:r>
        <w:rPr>
          <w:rFonts w:hint="eastAsia" w:ascii="宋体" w:hAnsi="宋体" w:eastAsia="宋体" w:cs="宋体"/>
          <w:i w:val="0"/>
          <w:iCs w:val="0"/>
          <w:color w:val="auto"/>
          <w:szCs w:val="21"/>
          <w:highlight w:val="none"/>
        </w:rPr>
        <w:t xml:space="preserve"> 本次招标活动的最终解释权归招标代理机构及招标人所有。</w:t>
      </w:r>
      <w:bookmarkEnd w:id="385"/>
      <w:bookmarkEnd w:id="386"/>
      <w:bookmarkEnd w:id="392"/>
      <w:bookmarkEnd w:id="393"/>
      <w:bookmarkEnd w:id="394"/>
      <w:bookmarkEnd w:id="395"/>
      <w:bookmarkEnd w:id="396"/>
    </w:p>
    <w:p w14:paraId="5704DB83">
      <w:pPr>
        <w:pageBreakBefore/>
        <w:numPr>
          <w:ilvl w:val="-1"/>
          <w:numId w:val="0"/>
        </w:numPr>
        <w:tabs>
          <w:tab w:val="left" w:pos="1080"/>
        </w:tabs>
        <w:autoSpaceDE w:val="0"/>
        <w:autoSpaceDN w:val="0"/>
        <w:adjustRightInd w:val="0"/>
        <w:spacing w:line="360" w:lineRule="auto"/>
        <w:ind w:left="357" w:leftChars="-100" w:hanging="567"/>
        <w:jc w:val="center"/>
        <w:outlineLvl w:val="0"/>
        <w:rPr>
          <w:rFonts w:ascii="宋体" w:hAnsi="宋体" w:eastAsia="宋体" w:cs="宋体"/>
          <w:b/>
          <w:bCs/>
          <w:i w:val="0"/>
          <w:iCs w:val="0"/>
          <w:color w:val="auto"/>
          <w:kern w:val="44"/>
          <w:sz w:val="32"/>
          <w:szCs w:val="32"/>
          <w:highlight w:val="none"/>
          <w:lang w:val="zh-CN"/>
        </w:rPr>
      </w:pPr>
      <w:bookmarkStart w:id="397" w:name="_Toc450662891"/>
      <w:bookmarkStart w:id="398" w:name="_Toc22963"/>
      <w:bookmarkStart w:id="399" w:name="_Toc28218"/>
      <w:bookmarkStart w:id="400" w:name="_Toc486167706"/>
      <w:bookmarkStart w:id="401" w:name="_Toc22400"/>
      <w:bookmarkStart w:id="402" w:name="_Toc27939_WPSOffice_Level1"/>
      <w:bookmarkStart w:id="403" w:name="_Toc142508358"/>
      <w:bookmarkStart w:id="404" w:name="_Toc4217"/>
      <w:r>
        <w:rPr>
          <w:rFonts w:hint="eastAsia" w:ascii="宋体" w:hAnsi="宋体" w:eastAsia="宋体" w:cs="宋体"/>
          <w:b/>
          <w:bCs/>
          <w:i w:val="0"/>
          <w:iCs w:val="0"/>
          <w:color w:val="auto"/>
          <w:kern w:val="44"/>
          <w:sz w:val="32"/>
          <w:szCs w:val="32"/>
          <w:highlight w:val="none"/>
          <w:lang w:val="en-US" w:eastAsia="zh-CN"/>
        </w:rPr>
        <w:t>第三篇</w:t>
      </w:r>
      <w:r>
        <w:rPr>
          <w:rFonts w:hint="eastAsia" w:ascii="宋体" w:hAnsi="宋体" w:eastAsia="宋体" w:cs="宋体"/>
          <w:b/>
          <w:bCs/>
          <w:i w:val="0"/>
          <w:iCs w:val="0"/>
          <w:color w:val="auto"/>
          <w:kern w:val="44"/>
          <w:sz w:val="32"/>
          <w:szCs w:val="32"/>
          <w:highlight w:val="none"/>
          <w:lang w:val="zh-CN" w:eastAsia="zh-CN"/>
        </w:rPr>
        <w:t xml:space="preserve"> </w:t>
      </w:r>
      <w:r>
        <w:rPr>
          <w:rFonts w:hint="eastAsia" w:ascii="宋体" w:hAnsi="宋体" w:eastAsia="宋体" w:cs="宋体"/>
          <w:b/>
          <w:bCs/>
          <w:i w:val="0"/>
          <w:iCs w:val="0"/>
          <w:color w:val="auto"/>
          <w:kern w:val="44"/>
          <w:sz w:val="32"/>
          <w:szCs w:val="32"/>
          <w:highlight w:val="none"/>
          <w:lang w:val="zh-CN"/>
        </w:rPr>
        <w:t>用户需求书</w:t>
      </w:r>
      <w:bookmarkEnd w:id="397"/>
      <w:bookmarkEnd w:id="398"/>
      <w:bookmarkEnd w:id="399"/>
      <w:bookmarkEnd w:id="400"/>
      <w:bookmarkEnd w:id="401"/>
      <w:bookmarkEnd w:id="402"/>
      <w:bookmarkEnd w:id="403"/>
      <w:bookmarkEnd w:id="404"/>
    </w:p>
    <w:p w14:paraId="1FF91FA2">
      <w:pPr>
        <w:keepNext w:val="0"/>
        <w:keepLines w:val="0"/>
        <w:pageBreakBefore w:val="0"/>
        <w:widowControl w:val="0"/>
        <w:kinsoku/>
        <w:wordWrap/>
        <w:overflowPunct/>
        <w:topLinePunct w:val="0"/>
        <w:bidi w:val="0"/>
        <w:snapToGrid/>
        <w:spacing w:line="360" w:lineRule="auto"/>
        <w:jc w:val="center"/>
        <w:textAlignment w:val="auto"/>
        <w:outlineLvl w:val="1"/>
        <w:rPr>
          <w:rFonts w:hint="eastAsia" w:ascii="宋体" w:hAnsi="宋体" w:eastAsia="宋体" w:cs="宋体"/>
          <w:b/>
          <w:color w:val="auto"/>
          <w:sz w:val="21"/>
          <w:szCs w:val="21"/>
          <w:highlight w:val="none"/>
          <w:lang w:val="zh-CN" w:eastAsia="zh-CN"/>
        </w:rPr>
      </w:pPr>
      <w:bookmarkStart w:id="405" w:name="_Toc1465"/>
      <w:bookmarkStart w:id="406" w:name="_Toc14902"/>
      <w:bookmarkStart w:id="407" w:name="_Toc21124"/>
      <w:r>
        <w:rPr>
          <w:rFonts w:hint="eastAsia" w:ascii="宋体" w:hAnsi="宋体" w:eastAsia="宋体" w:cs="宋体"/>
          <w:b/>
          <w:color w:val="auto"/>
          <w:sz w:val="21"/>
          <w:szCs w:val="21"/>
          <w:highlight w:val="none"/>
          <w:lang w:val="zh-CN" w:eastAsia="zh-CN"/>
        </w:rPr>
        <w:t>用户需求书</w:t>
      </w:r>
      <w:bookmarkEnd w:id="405"/>
    </w:p>
    <w:p w14:paraId="2BE7178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outlineLvl w:val="1"/>
        <w:rPr>
          <w:rFonts w:hint="eastAsia" w:ascii="宋体" w:hAnsi="宋体" w:eastAsia="宋体" w:cs="宋体"/>
          <w:b/>
          <w:bCs/>
          <w:color w:val="auto"/>
          <w:kern w:val="2"/>
          <w:sz w:val="21"/>
          <w:szCs w:val="21"/>
          <w:highlight w:val="none"/>
          <w:lang w:val="zh-CN"/>
        </w:rPr>
      </w:pPr>
      <w:bookmarkStart w:id="408" w:name="_Toc23419"/>
      <w:r>
        <w:rPr>
          <w:rFonts w:hint="eastAsia" w:ascii="宋体" w:hAnsi="宋体" w:eastAsia="宋体" w:cs="宋体"/>
          <w:b/>
          <w:bCs/>
          <w:color w:val="auto"/>
          <w:kern w:val="2"/>
          <w:sz w:val="21"/>
          <w:szCs w:val="21"/>
          <w:highlight w:val="none"/>
          <w:lang w:val="zh-CN"/>
        </w:rPr>
        <w:t>项目概况</w:t>
      </w:r>
      <w:bookmarkEnd w:id="408"/>
    </w:p>
    <w:p w14:paraId="09AB8324">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根据《中华人民共和国计量法》《饮用冷水水表检定规程》等法律法规要求，为</w:t>
      </w:r>
      <w:r>
        <w:rPr>
          <w:rFonts w:hint="eastAsia" w:ascii="宋体" w:hAnsi="宋体" w:eastAsia="宋体" w:cs="宋体"/>
          <w:color w:val="auto"/>
          <w:kern w:val="2"/>
          <w:sz w:val="21"/>
          <w:szCs w:val="21"/>
          <w:highlight w:val="none"/>
          <w:lang w:val="en-US" w:eastAsia="zh-CN"/>
        </w:rPr>
        <w:t>保障供水计量合法依规，提升智能水表覆盖率，推进水表轮换及供水计量智能化</w:t>
      </w:r>
      <w:r>
        <w:rPr>
          <w:rFonts w:hint="eastAsia" w:ascii="宋体" w:hAnsi="宋体" w:eastAsia="宋体" w:cs="宋体"/>
          <w:color w:val="auto"/>
          <w:kern w:val="2"/>
          <w:sz w:val="21"/>
          <w:szCs w:val="21"/>
          <w:highlight w:val="none"/>
          <w:lang w:val="zh-CN"/>
        </w:rPr>
        <w:t>，东莞市水务环境投资控股集团供水有限公司现开展</w:t>
      </w:r>
      <w:r>
        <w:rPr>
          <w:rFonts w:hint="eastAsia" w:ascii="宋体" w:hAnsi="宋体" w:eastAsia="宋体" w:cs="宋体"/>
          <w:color w:val="auto"/>
          <w:kern w:val="2"/>
          <w:sz w:val="21"/>
          <w:szCs w:val="21"/>
          <w:highlight w:val="none"/>
          <w:lang w:val="en-US" w:eastAsia="zh-CN"/>
        </w:rPr>
        <w:t>东莞市供水计量设施更新项目（2026-2027年计量仪表)-电磁水表</w:t>
      </w:r>
      <w:r>
        <w:rPr>
          <w:rFonts w:hint="eastAsia" w:ascii="宋体" w:hAnsi="宋体" w:eastAsia="宋体" w:cs="宋体"/>
          <w:color w:val="auto"/>
          <w:kern w:val="2"/>
          <w:sz w:val="21"/>
          <w:szCs w:val="21"/>
          <w:highlight w:val="none"/>
          <w:lang w:val="zh-CN"/>
        </w:rPr>
        <w:t>，通过公开招标的方式采购DN</w:t>
      </w:r>
      <w:r>
        <w:rPr>
          <w:rFonts w:hint="eastAsia" w:ascii="宋体" w:hAnsi="宋体" w:eastAsia="宋体" w:cs="宋体"/>
          <w:color w:val="auto"/>
          <w:kern w:val="2"/>
          <w:sz w:val="21"/>
          <w:szCs w:val="21"/>
          <w:highlight w:val="none"/>
          <w:lang w:val="en-US" w:eastAsia="zh-CN"/>
        </w:rPr>
        <w:t>80</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DN3</w:t>
      </w:r>
      <w:r>
        <w:rPr>
          <w:rFonts w:hint="eastAsia" w:ascii="宋体" w:hAnsi="宋体" w:eastAsia="宋体" w:cs="宋体"/>
          <w:color w:val="auto"/>
          <w:kern w:val="2"/>
          <w:sz w:val="21"/>
          <w:szCs w:val="21"/>
          <w:highlight w:val="none"/>
          <w:lang w:val="zh-CN"/>
        </w:rPr>
        <w:t>00</w:t>
      </w:r>
      <w:r>
        <w:rPr>
          <w:rFonts w:hint="eastAsia" w:ascii="宋体" w:hAnsi="宋体" w:eastAsia="宋体" w:cs="宋体"/>
          <w:color w:val="auto"/>
          <w:kern w:val="2"/>
          <w:sz w:val="21"/>
          <w:szCs w:val="21"/>
          <w:highlight w:val="none"/>
          <w:lang w:val="en-US" w:eastAsia="zh-CN"/>
        </w:rPr>
        <w:t>电磁水表</w:t>
      </w:r>
      <w:r>
        <w:rPr>
          <w:rFonts w:hint="eastAsia" w:ascii="宋体" w:hAnsi="宋体" w:eastAsia="宋体" w:cs="宋体"/>
          <w:color w:val="auto"/>
          <w:kern w:val="2"/>
          <w:sz w:val="21"/>
          <w:szCs w:val="21"/>
          <w:highlight w:val="none"/>
          <w:lang w:val="zh-CN"/>
        </w:rPr>
        <w:t>一批，暂定数量为1040</w:t>
      </w:r>
      <w:r>
        <w:rPr>
          <w:rFonts w:hint="eastAsia" w:ascii="宋体" w:hAnsi="宋体" w:eastAsia="宋体" w:cs="宋体"/>
          <w:color w:val="auto"/>
          <w:sz w:val="21"/>
          <w:szCs w:val="21"/>
          <w:highlight w:val="none"/>
        </w:rPr>
        <w:t>台</w:t>
      </w:r>
      <w:r>
        <w:rPr>
          <w:rFonts w:hint="eastAsia" w:ascii="宋体" w:hAnsi="宋体" w:eastAsia="宋体" w:cs="宋体"/>
          <w:color w:val="auto"/>
          <w:kern w:val="2"/>
          <w:sz w:val="21"/>
          <w:szCs w:val="21"/>
          <w:highlight w:val="none"/>
          <w:lang w:val="zh-CN" w:eastAsia="zh-CN"/>
        </w:rPr>
        <w:t>。</w:t>
      </w:r>
    </w:p>
    <w:p w14:paraId="7FD22D97">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rPr>
        <w:t>本用户需求书采购清单中的货物数量为暂定数量，仅为便于投标人投标报价使用，不作为招标人最终采购数量的保证。</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的最终采购数量以</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实际采购且经</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验收合格的货物数量为准，</w:t>
      </w:r>
      <w:r>
        <w:rPr>
          <w:rFonts w:hint="eastAsia" w:ascii="宋体" w:hAnsi="宋体" w:eastAsia="宋体" w:cs="宋体"/>
          <w:color w:val="auto"/>
          <w:kern w:val="2"/>
          <w:sz w:val="21"/>
          <w:szCs w:val="21"/>
          <w:highlight w:val="none"/>
          <w:lang w:val="en-US"/>
        </w:rPr>
        <w:t>按实结算。供货期为合同签订之日起</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en-US"/>
        </w:rPr>
        <w:t>年。</w:t>
      </w:r>
    </w:p>
    <w:p w14:paraId="55DC05BD">
      <w:pPr>
        <w:rPr>
          <w:rFonts w:hint="eastAsia" w:ascii="宋体" w:hAnsi="宋体" w:eastAsia="宋体" w:cs="宋体"/>
          <w:b/>
          <w:bCs/>
          <w:color w:val="auto"/>
          <w:kern w:val="2"/>
          <w:sz w:val="21"/>
          <w:szCs w:val="21"/>
          <w:highlight w:val="none"/>
          <w:lang w:val="en-US" w:eastAsia="zh-CN"/>
        </w:rPr>
      </w:pPr>
    </w:p>
    <w:p w14:paraId="4571F8C7">
      <w:pPr>
        <w:pStyle w:val="29"/>
        <w:keepNext w:val="0"/>
        <w:keepLines w:val="0"/>
        <w:pageBreakBefore w:val="0"/>
        <w:tabs>
          <w:tab w:val="left" w:pos="567"/>
        </w:tabs>
        <w:kinsoku/>
        <w:wordWrap/>
        <w:topLinePunct w:val="0"/>
        <w:bidi w:val="0"/>
        <w:spacing w:before="0" w:beforeAutospacing="0" w:after="0" w:line="360" w:lineRule="auto"/>
        <w:ind w:right="0"/>
        <w:jc w:val="left"/>
        <w:outlineLvl w:val="1"/>
        <w:rPr>
          <w:rFonts w:hint="eastAsia" w:ascii="宋体" w:hAnsi="宋体" w:eastAsia="宋体" w:cs="宋体"/>
          <w:color w:val="auto"/>
          <w:sz w:val="21"/>
          <w:szCs w:val="21"/>
          <w:highlight w:val="none"/>
        </w:rPr>
      </w:pPr>
      <w:bookmarkStart w:id="409" w:name="_Toc6722"/>
      <w:bookmarkStart w:id="410" w:name="_Toc4081"/>
      <w:bookmarkStart w:id="411" w:name="_Toc10322"/>
      <w:r>
        <w:rPr>
          <w:rFonts w:hint="eastAsia" w:ascii="宋体" w:hAnsi="宋体" w:eastAsia="宋体" w:cs="宋体"/>
          <w:bCs w:val="0"/>
          <w:color w:val="auto"/>
          <w:sz w:val="21"/>
          <w:szCs w:val="21"/>
          <w:highlight w:val="none"/>
          <w:lang w:val="en-US" w:eastAsia="zh-CN"/>
        </w:rPr>
        <w:t>一</w:t>
      </w:r>
      <w:r>
        <w:rPr>
          <w:rFonts w:hint="eastAsia" w:ascii="宋体" w:hAnsi="宋体" w:eastAsia="宋体" w:cs="宋体"/>
          <w:bCs w:val="0"/>
          <w:color w:val="auto"/>
          <w:sz w:val="21"/>
          <w:szCs w:val="21"/>
          <w:highlight w:val="none"/>
        </w:rPr>
        <w:t>、</w:t>
      </w:r>
      <w:r>
        <w:rPr>
          <w:rFonts w:hint="eastAsia" w:ascii="宋体" w:hAnsi="宋体" w:eastAsia="宋体" w:cs="宋体"/>
          <w:color w:val="auto"/>
          <w:sz w:val="21"/>
          <w:szCs w:val="21"/>
          <w:highlight w:val="none"/>
        </w:rPr>
        <w:t>总体要求</w:t>
      </w:r>
      <w:bookmarkEnd w:id="409"/>
      <w:bookmarkEnd w:id="410"/>
      <w:bookmarkEnd w:id="411"/>
    </w:p>
    <w:p w14:paraId="79AE4FF3">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本次采购项目的水表为全新产品，在中国境内可依常规安全合法使用，符合中华人民共和国国家安全质量标准、环保标准或行业标准，适用于自来水行业的居民饮用水计量使用。</w:t>
      </w:r>
    </w:p>
    <w:p w14:paraId="2BDAD5AF">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rPr>
        <w:t>须遵循的法律、法规、标准和规范（包含但不局限于以下内容，另本要求中提及的规范标准等如非最新版本，应以最新版本为准）：</w:t>
      </w:r>
    </w:p>
    <w:p w14:paraId="40505CE6">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778-2018《饮用冷水水表和热水水表》标准</w:t>
      </w:r>
    </w:p>
    <w:p w14:paraId="2B9A1292">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162-2019中华人民共和国国家计量检定规程《</w:t>
      </w:r>
      <w:r>
        <w:rPr>
          <w:rFonts w:hint="eastAsia" w:ascii="宋体" w:hAnsi="宋体" w:eastAsia="宋体" w:cs="宋体"/>
          <w:color w:val="auto"/>
          <w:sz w:val="21"/>
          <w:szCs w:val="21"/>
          <w:highlight w:val="none"/>
          <w:lang w:val="en-US" w:eastAsia="zh-CN"/>
        </w:rPr>
        <w:t>饮用</w:t>
      </w:r>
      <w:r>
        <w:rPr>
          <w:rFonts w:hint="eastAsia" w:ascii="宋体" w:hAnsi="宋体" w:eastAsia="宋体" w:cs="宋体"/>
          <w:color w:val="auto"/>
          <w:sz w:val="21"/>
          <w:szCs w:val="21"/>
          <w:highlight w:val="none"/>
        </w:rPr>
        <w:t>冷水水表》</w:t>
      </w:r>
    </w:p>
    <w:p w14:paraId="3AD74FBD">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17219</w:t>
      </w:r>
      <w:r>
        <w:rPr>
          <w:rFonts w:hint="eastAsia" w:ascii="宋体" w:hAnsi="宋体" w:eastAsia="宋体" w:cs="宋体"/>
          <w:color w:val="auto"/>
          <w:sz w:val="21"/>
          <w:szCs w:val="21"/>
          <w:highlight w:val="none"/>
          <w:lang w:val="en-US" w:eastAsia="zh-CN"/>
        </w:rPr>
        <w:t>-1998</w:t>
      </w:r>
      <w:r>
        <w:rPr>
          <w:rFonts w:hint="eastAsia" w:ascii="宋体" w:hAnsi="宋体" w:eastAsia="宋体" w:cs="宋体"/>
          <w:color w:val="auto"/>
          <w:sz w:val="21"/>
          <w:szCs w:val="21"/>
          <w:highlight w:val="none"/>
        </w:rPr>
        <w:t>《生活饮用水输配水设备及防护材料的安全性评价标准》</w:t>
      </w:r>
    </w:p>
    <w:p w14:paraId="6F024B62">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CJ</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266-2008《饮用水冷水水表安全规则》</w:t>
      </w:r>
    </w:p>
    <w:p w14:paraId="6C6FD51B">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CJ/T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188-2018《户用计量仪表数据传输技术条件》 </w:t>
      </w:r>
    </w:p>
    <w:p w14:paraId="1DCFEFE2">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25480-2010《仪器仪表运输、贮存基本环境条件及试验方法》</w:t>
      </w:r>
    </w:p>
    <w:p w14:paraId="5EDBE86A">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CJ/T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224-2012《电子远传水表》</w:t>
      </w:r>
    </w:p>
    <w:p w14:paraId="734F162F">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CJ/T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535</w:t>
      </w:r>
      <w:r>
        <w:rPr>
          <w:rFonts w:hint="eastAsia" w:ascii="宋体" w:hAnsi="宋体" w:eastAsia="宋体" w:cs="宋体"/>
          <w:color w:val="auto"/>
          <w:sz w:val="21"/>
          <w:szCs w:val="21"/>
          <w:highlight w:val="none"/>
          <w:lang w:val="en-US" w:eastAsia="zh-CN"/>
        </w:rPr>
        <w:t>-2018</w:t>
      </w:r>
      <w:r>
        <w:rPr>
          <w:rFonts w:hint="eastAsia" w:ascii="宋体" w:hAnsi="宋体" w:eastAsia="宋体" w:cs="宋体"/>
          <w:color w:val="auto"/>
          <w:sz w:val="21"/>
          <w:szCs w:val="21"/>
          <w:highlight w:val="none"/>
        </w:rPr>
        <w:t>《物联网水表》</w:t>
      </w:r>
    </w:p>
    <w:p w14:paraId="0DC09FE7">
      <w:pPr>
        <w:pStyle w:val="18"/>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GB/T</w:t>
      </w:r>
      <w:r>
        <w:rPr>
          <w:rFonts w:hint="eastAsia" w:hAnsi="宋体" w:cs="宋体"/>
          <w:b w:val="0"/>
          <w:bCs w:val="0"/>
          <w:color w:val="auto"/>
          <w:sz w:val="21"/>
          <w:szCs w:val="21"/>
          <w:highlight w:val="none"/>
          <w:lang w:val="en-US" w:eastAsia="zh-CN" w:bidi="ar-SA"/>
        </w:rPr>
        <w:t xml:space="preserve"> </w:t>
      </w:r>
      <w:r>
        <w:rPr>
          <w:rFonts w:hint="eastAsia" w:ascii="宋体" w:hAnsi="宋体" w:eastAsia="宋体" w:cs="宋体"/>
          <w:b w:val="0"/>
          <w:bCs w:val="0"/>
          <w:color w:val="auto"/>
          <w:sz w:val="21"/>
          <w:szCs w:val="21"/>
          <w:highlight w:val="none"/>
          <w:lang w:val="en-US" w:eastAsia="zh-CN" w:bidi="ar-SA"/>
        </w:rPr>
        <w:t>4208-2017《外壳防护等级（IP代码）》</w:t>
      </w:r>
    </w:p>
    <w:p w14:paraId="45481606">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17626.2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2018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电磁兼容 试验和测量技术 静电放电抗扰度试验</w:t>
      </w:r>
      <w:r>
        <w:rPr>
          <w:rFonts w:hint="eastAsia" w:ascii="宋体" w:hAnsi="宋体" w:eastAsia="宋体" w:cs="宋体"/>
          <w:color w:val="auto"/>
          <w:sz w:val="21"/>
          <w:szCs w:val="21"/>
          <w:highlight w:val="none"/>
          <w:lang w:eastAsia="zh-CN"/>
        </w:rPr>
        <w:t>》</w:t>
      </w:r>
    </w:p>
    <w:p w14:paraId="0E0A805F">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17626.4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2018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电磁兼容 试验和测量技术 电快速瞬变脉冲群抗扰度试验</w:t>
      </w:r>
      <w:r>
        <w:rPr>
          <w:rFonts w:hint="eastAsia" w:ascii="宋体" w:hAnsi="宋体" w:eastAsia="宋体" w:cs="宋体"/>
          <w:color w:val="auto"/>
          <w:sz w:val="21"/>
          <w:szCs w:val="21"/>
          <w:highlight w:val="none"/>
          <w:lang w:eastAsia="zh-CN"/>
        </w:rPr>
        <w:t>》</w:t>
      </w:r>
    </w:p>
    <w:p w14:paraId="0693921C">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17626.5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2019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电磁兼容 试验和测量技术 浪涌(冲击)抗扰度试验</w:t>
      </w:r>
      <w:r>
        <w:rPr>
          <w:rFonts w:hint="eastAsia" w:ascii="宋体" w:hAnsi="宋体" w:eastAsia="宋体" w:cs="宋体"/>
          <w:color w:val="auto"/>
          <w:sz w:val="21"/>
          <w:szCs w:val="21"/>
          <w:highlight w:val="none"/>
          <w:lang w:eastAsia="zh-CN"/>
        </w:rPr>
        <w:t>》</w:t>
      </w:r>
    </w:p>
    <w:p w14:paraId="68A64AE1">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17626.8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2006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电磁兼容 试验和测量技术 工频磁场抗扰度试验</w:t>
      </w:r>
      <w:r>
        <w:rPr>
          <w:rFonts w:hint="eastAsia" w:ascii="宋体" w:hAnsi="宋体" w:eastAsia="宋体" w:cs="宋体"/>
          <w:color w:val="auto"/>
          <w:sz w:val="21"/>
          <w:szCs w:val="21"/>
          <w:highlight w:val="none"/>
          <w:lang w:eastAsia="zh-CN"/>
        </w:rPr>
        <w:t>》</w:t>
      </w:r>
    </w:p>
    <w:p w14:paraId="768484E1">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GB/T 2423.1</w:t>
      </w:r>
      <w:r>
        <w:rPr>
          <w:rFonts w:hint="eastAsia" w:ascii="宋体" w:hAnsi="宋体" w:eastAsia="宋体" w:cs="宋体"/>
          <w:bCs w:val="0"/>
          <w:color w:val="auto"/>
          <w:sz w:val="21"/>
          <w:szCs w:val="21"/>
          <w:highlight w:val="none"/>
          <w:lang w:val="en-US" w:eastAsia="zh-CN"/>
        </w:rPr>
        <w:t>-2008</w:t>
      </w:r>
      <w:r>
        <w:rPr>
          <w:rFonts w:hint="eastAsia" w:ascii="宋体" w:hAnsi="宋体" w:eastAsia="宋体" w:cs="宋体"/>
          <w:bCs w:val="0"/>
          <w:color w:val="auto"/>
          <w:sz w:val="21"/>
          <w:szCs w:val="21"/>
          <w:highlight w:val="none"/>
        </w:rPr>
        <w:t>《电工电子产品环境试验</w:t>
      </w:r>
      <w:r>
        <w:rPr>
          <w:rFonts w:hint="eastAsia" w:ascii="宋体" w:hAnsi="宋体" w:eastAsia="宋体" w:cs="宋体"/>
          <w:bCs w:val="0"/>
          <w:color w:val="auto"/>
          <w:sz w:val="21"/>
          <w:szCs w:val="21"/>
          <w:highlight w:val="none"/>
          <w:lang w:val="en-US" w:eastAsia="zh-CN"/>
        </w:rPr>
        <w:t xml:space="preserve"> </w:t>
      </w:r>
      <w:r>
        <w:rPr>
          <w:rFonts w:hint="eastAsia" w:ascii="宋体" w:hAnsi="宋体" w:eastAsia="宋体" w:cs="宋体"/>
          <w:bCs w:val="0"/>
          <w:color w:val="auto"/>
          <w:sz w:val="21"/>
          <w:szCs w:val="21"/>
          <w:highlight w:val="none"/>
        </w:rPr>
        <w:t>第2部分</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rPr>
        <w:t>试验方法</w:t>
      </w:r>
      <w:r>
        <w:rPr>
          <w:rFonts w:hint="eastAsia" w:ascii="宋体" w:hAnsi="宋体" w:eastAsia="宋体" w:cs="宋体"/>
          <w:bCs w:val="0"/>
          <w:color w:val="auto"/>
          <w:sz w:val="21"/>
          <w:szCs w:val="21"/>
          <w:highlight w:val="none"/>
          <w:lang w:val="en-US" w:eastAsia="zh-CN"/>
        </w:rPr>
        <w:t xml:space="preserve"> </w:t>
      </w:r>
      <w:r>
        <w:rPr>
          <w:rFonts w:hint="eastAsia" w:ascii="宋体" w:hAnsi="宋体" w:eastAsia="宋体" w:cs="宋体"/>
          <w:bCs w:val="0"/>
          <w:color w:val="auto"/>
          <w:sz w:val="21"/>
          <w:szCs w:val="21"/>
          <w:highlight w:val="none"/>
        </w:rPr>
        <w:t>试验A：低温》</w:t>
      </w:r>
    </w:p>
    <w:p w14:paraId="3FAD9E33">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2423.2</w:t>
      </w:r>
      <w:r>
        <w:rPr>
          <w:rFonts w:hint="eastAsia" w:ascii="宋体" w:hAnsi="宋体" w:eastAsia="宋体" w:cs="宋体"/>
          <w:color w:val="auto"/>
          <w:sz w:val="21"/>
          <w:szCs w:val="21"/>
          <w:highlight w:val="none"/>
          <w:lang w:val="en-US" w:eastAsia="zh-CN"/>
        </w:rPr>
        <w:t>-2008</w:t>
      </w:r>
      <w:r>
        <w:rPr>
          <w:rFonts w:hint="eastAsia" w:ascii="宋体" w:hAnsi="宋体" w:eastAsia="宋体" w:cs="宋体"/>
          <w:bCs w:val="0"/>
          <w:color w:val="auto"/>
          <w:sz w:val="21"/>
          <w:szCs w:val="21"/>
          <w:highlight w:val="none"/>
        </w:rPr>
        <w:t>《</w:t>
      </w:r>
      <w:r>
        <w:rPr>
          <w:rFonts w:hint="eastAsia" w:ascii="宋体" w:hAnsi="宋体" w:eastAsia="宋体" w:cs="宋体"/>
          <w:color w:val="auto"/>
          <w:sz w:val="21"/>
          <w:szCs w:val="21"/>
          <w:highlight w:val="none"/>
        </w:rPr>
        <w:t>电工电子产品环境试验</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第2部分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试验方法</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试验B：高温</w:t>
      </w:r>
      <w:r>
        <w:rPr>
          <w:rFonts w:hint="eastAsia" w:ascii="宋体" w:hAnsi="宋体" w:eastAsia="宋体" w:cs="宋体"/>
          <w:bCs w:val="0"/>
          <w:color w:val="auto"/>
          <w:sz w:val="21"/>
          <w:szCs w:val="21"/>
          <w:highlight w:val="none"/>
        </w:rPr>
        <w:t>》</w:t>
      </w:r>
    </w:p>
    <w:p w14:paraId="516D8497">
      <w:pPr>
        <w:pStyle w:val="37"/>
        <w:keepNext w:val="0"/>
        <w:keepLines w:val="0"/>
        <w:pageBreakBefore w:val="0"/>
        <w:kinsoku/>
        <w:wordWrap/>
        <w:topLinePunct w:val="0"/>
        <w:bidi w:val="0"/>
        <w:spacing w:beforeAutospacing="0" w:after="0" w:line="360" w:lineRule="auto"/>
        <w:ind w:left="0" w:leftChars="0" w:right="0" w:firstLine="420" w:firstLineChars="20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.3</w:t>
      </w:r>
      <w:r>
        <w:rPr>
          <w:rFonts w:hint="eastAsia" w:ascii="宋体" w:hAnsi="宋体" w:eastAsia="宋体" w:cs="宋体"/>
          <w:color w:val="auto"/>
          <w:sz w:val="21"/>
          <w:szCs w:val="21"/>
          <w:highlight w:val="none"/>
          <w:lang w:val="en-US" w:eastAsia="zh-CN"/>
        </w:rPr>
        <w:t xml:space="preserve"> 采购</w:t>
      </w:r>
      <w:r>
        <w:rPr>
          <w:rFonts w:hint="eastAsia" w:ascii="宋体" w:hAnsi="宋体" w:eastAsia="宋体" w:cs="宋体"/>
          <w:b w:val="0"/>
          <w:bCs/>
          <w:color w:val="auto"/>
          <w:sz w:val="21"/>
          <w:szCs w:val="21"/>
          <w:highlight w:val="none"/>
          <w:lang w:val="en-US" w:eastAsia="zh-CN"/>
        </w:rPr>
        <w:t>清单</w:t>
      </w:r>
    </w:p>
    <w:tbl>
      <w:tblPr>
        <w:tblStyle w:val="39"/>
        <w:tblW w:w="103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4"/>
        <w:gridCol w:w="1545"/>
        <w:gridCol w:w="1484"/>
        <w:gridCol w:w="1193"/>
        <w:gridCol w:w="1448"/>
        <w:gridCol w:w="3476"/>
      </w:tblGrid>
      <w:tr w14:paraId="6CD89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4" w:type="dxa"/>
            <w:tcBorders>
              <w:top w:val="single" w:color="000000" w:sz="4" w:space="0"/>
              <w:left w:val="single" w:color="000000" w:sz="4" w:space="0"/>
              <w:bottom w:val="single" w:color="000000" w:sz="4" w:space="0"/>
              <w:right w:val="single" w:color="000000" w:sz="4" w:space="0"/>
            </w:tcBorders>
            <w:noWrap w:val="0"/>
            <w:vAlign w:val="center"/>
          </w:tcPr>
          <w:p w14:paraId="397DA76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60C4E58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货物名称</w:t>
            </w:r>
          </w:p>
        </w:tc>
        <w:tc>
          <w:tcPr>
            <w:tcW w:w="1484" w:type="dxa"/>
            <w:tcBorders>
              <w:top w:val="single" w:color="000000" w:sz="4" w:space="0"/>
              <w:left w:val="single" w:color="000000" w:sz="4" w:space="0"/>
              <w:bottom w:val="single" w:color="000000" w:sz="4" w:space="0"/>
              <w:right w:val="single" w:color="000000" w:sz="4" w:space="0"/>
            </w:tcBorders>
            <w:noWrap/>
            <w:vAlign w:val="center"/>
          </w:tcPr>
          <w:p w14:paraId="139A06E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规格型号</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4C52161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14:paraId="5A4E892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3476" w:type="dxa"/>
            <w:tcBorders>
              <w:top w:val="single" w:color="000000" w:sz="4" w:space="0"/>
              <w:left w:val="single" w:color="000000" w:sz="4" w:space="0"/>
              <w:bottom w:val="single" w:color="000000" w:sz="4" w:space="0"/>
              <w:right w:val="single" w:color="000000" w:sz="4" w:space="0"/>
            </w:tcBorders>
            <w:noWrap w:val="0"/>
            <w:vAlign w:val="center"/>
          </w:tcPr>
          <w:p w14:paraId="677412F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492A3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9A5078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45" w:type="dxa"/>
            <w:vMerge w:val="restart"/>
            <w:tcBorders>
              <w:top w:val="single" w:color="000000" w:sz="4" w:space="0"/>
              <w:left w:val="single" w:color="000000" w:sz="4" w:space="0"/>
              <w:right w:val="single" w:color="000000" w:sz="4" w:space="0"/>
            </w:tcBorders>
            <w:noWrap w:val="0"/>
            <w:vAlign w:val="center"/>
          </w:tcPr>
          <w:p w14:paraId="212F578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电磁水表</w:t>
            </w:r>
          </w:p>
        </w:tc>
        <w:tc>
          <w:tcPr>
            <w:tcW w:w="1484" w:type="dxa"/>
            <w:tcBorders>
              <w:top w:val="single" w:color="000000" w:sz="4" w:space="0"/>
              <w:left w:val="single" w:color="000000" w:sz="4" w:space="0"/>
              <w:bottom w:val="single" w:color="000000" w:sz="4" w:space="0"/>
              <w:right w:val="single" w:color="000000" w:sz="4" w:space="0"/>
            </w:tcBorders>
            <w:noWrap/>
            <w:vAlign w:val="center"/>
          </w:tcPr>
          <w:p w14:paraId="2898FEE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684ED14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7910D6BA">
            <w:pPr>
              <w:keepNext w:val="0"/>
              <w:keepLines w:val="0"/>
              <w:widowControl/>
              <w:suppressLineNumbers w:val="0"/>
              <w:autoSpaceDE w:val="0"/>
              <w:autoSpaceDN w:val="0"/>
              <w:adjustRightInd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404</w:t>
            </w:r>
          </w:p>
        </w:tc>
        <w:tc>
          <w:tcPr>
            <w:tcW w:w="3476" w:type="dxa"/>
            <w:vMerge w:val="restart"/>
            <w:tcBorders>
              <w:top w:val="single" w:color="000000" w:sz="4" w:space="0"/>
              <w:left w:val="single" w:color="000000" w:sz="4" w:space="0"/>
              <w:right w:val="single" w:color="000000" w:sz="4" w:space="0"/>
            </w:tcBorders>
            <w:noWrap/>
            <w:vAlign w:val="center"/>
          </w:tcPr>
          <w:p w14:paraId="0798BB23">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val="0"/>
              <w:spacing w:beforeAutospacing="0" w:line="360" w:lineRule="auto"/>
              <w:ind w:left="0" w:leftChars="0" w:right="0" w:firstLine="0" w:firstLineChars="0"/>
              <w:jc w:val="left"/>
              <w:textAlignment w:val="center"/>
              <w:rPr>
                <w:rFonts w:hint="eastAsia" w:ascii="宋体" w:hAnsi="宋体" w:eastAsia="宋体" w:cs="宋体"/>
                <w:bCs w:val="0"/>
                <w:color w:val="auto"/>
                <w:kern w:val="0"/>
                <w:sz w:val="21"/>
                <w:szCs w:val="21"/>
                <w:highlight w:val="none"/>
                <w:lang w:val="en-US" w:eastAsia="zh-CN" w:bidi="ar"/>
              </w:rPr>
            </w:pPr>
            <w:r>
              <w:rPr>
                <w:rFonts w:hint="eastAsia" w:ascii="宋体" w:hAnsi="宋体" w:eastAsia="宋体" w:cs="宋体"/>
                <w:bCs w:val="0"/>
                <w:color w:val="auto"/>
                <w:kern w:val="0"/>
                <w:sz w:val="21"/>
                <w:szCs w:val="21"/>
                <w:highlight w:val="none"/>
                <w:lang w:val="en-US" w:eastAsia="zh-CN" w:bidi="ar"/>
              </w:rPr>
              <w:t>1.配件要求：每台电磁水表需包含1套远传模块和2个垫圈，不含法兰。</w:t>
            </w:r>
          </w:p>
          <w:p w14:paraId="109F8BCC">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val="0"/>
              <w:spacing w:beforeAutospacing="0" w:line="360" w:lineRule="auto"/>
              <w:ind w:left="0" w:leftChars="0" w:right="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u w:val="none"/>
                <w:lang w:val="en-US" w:eastAsia="zh-CN" w:bidi="ar"/>
              </w:rPr>
              <w:t>2.由中标人负责执行首次检定工作，含运输费、装卸费和水表检定费。</w:t>
            </w:r>
          </w:p>
        </w:tc>
      </w:tr>
      <w:tr w14:paraId="01FD4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99309E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545" w:type="dxa"/>
            <w:vMerge w:val="continue"/>
            <w:tcBorders>
              <w:left w:val="single" w:color="000000" w:sz="4" w:space="0"/>
              <w:right w:val="single" w:color="000000" w:sz="4" w:space="0"/>
            </w:tcBorders>
            <w:noWrap w:val="0"/>
            <w:vAlign w:val="center"/>
          </w:tcPr>
          <w:p w14:paraId="2D62CE43">
            <w:pPr>
              <w:keepNext w:val="0"/>
              <w:keepLines w:val="0"/>
              <w:pageBreakBefore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rPr>
                <w:rFonts w:hint="eastAsia" w:ascii="宋体" w:hAnsi="宋体" w:eastAsia="宋体" w:cs="宋体"/>
                <w:i w:val="0"/>
                <w:iCs w:val="0"/>
                <w:color w:val="auto"/>
                <w:sz w:val="21"/>
                <w:szCs w:val="21"/>
                <w:highlight w:val="none"/>
                <w:u w:val="none"/>
              </w:rPr>
            </w:pPr>
          </w:p>
        </w:tc>
        <w:tc>
          <w:tcPr>
            <w:tcW w:w="1484" w:type="dxa"/>
            <w:tcBorders>
              <w:top w:val="single" w:color="000000" w:sz="4" w:space="0"/>
              <w:left w:val="single" w:color="000000" w:sz="4" w:space="0"/>
              <w:bottom w:val="single" w:color="000000" w:sz="4" w:space="0"/>
              <w:right w:val="single" w:color="000000" w:sz="4" w:space="0"/>
            </w:tcBorders>
            <w:noWrap/>
            <w:vAlign w:val="center"/>
          </w:tcPr>
          <w:p w14:paraId="0AE9F6C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0CD02AC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45BB1F73">
            <w:pPr>
              <w:keepNext w:val="0"/>
              <w:keepLines w:val="0"/>
              <w:widowControl/>
              <w:suppressLineNumbers w:val="0"/>
              <w:autoSpaceDE w:val="0"/>
              <w:autoSpaceDN w:val="0"/>
              <w:adjustRightInd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443</w:t>
            </w:r>
          </w:p>
        </w:tc>
        <w:tc>
          <w:tcPr>
            <w:tcW w:w="3476" w:type="dxa"/>
            <w:vMerge w:val="continue"/>
            <w:tcBorders>
              <w:left w:val="single" w:color="000000" w:sz="4" w:space="0"/>
              <w:right w:val="single" w:color="000000" w:sz="4" w:space="0"/>
            </w:tcBorders>
            <w:noWrap/>
            <w:vAlign w:val="center"/>
          </w:tcPr>
          <w:p w14:paraId="3A2009C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8B4C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CA0BE7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545" w:type="dxa"/>
            <w:vMerge w:val="continue"/>
            <w:tcBorders>
              <w:left w:val="single" w:color="000000" w:sz="4" w:space="0"/>
              <w:right w:val="single" w:color="000000" w:sz="4" w:space="0"/>
            </w:tcBorders>
            <w:noWrap w:val="0"/>
            <w:vAlign w:val="center"/>
          </w:tcPr>
          <w:p w14:paraId="4E1576E1">
            <w:pPr>
              <w:keepNext w:val="0"/>
              <w:keepLines w:val="0"/>
              <w:pageBreakBefore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rPr>
                <w:rFonts w:hint="eastAsia" w:ascii="宋体" w:hAnsi="宋体" w:eastAsia="宋体" w:cs="宋体"/>
                <w:i w:val="0"/>
                <w:iCs w:val="0"/>
                <w:color w:val="auto"/>
                <w:sz w:val="21"/>
                <w:szCs w:val="21"/>
                <w:highlight w:val="none"/>
                <w:u w:val="none"/>
              </w:rPr>
            </w:pPr>
          </w:p>
        </w:tc>
        <w:tc>
          <w:tcPr>
            <w:tcW w:w="1484" w:type="dxa"/>
            <w:tcBorders>
              <w:top w:val="single" w:color="000000" w:sz="4" w:space="0"/>
              <w:left w:val="single" w:color="000000" w:sz="4" w:space="0"/>
              <w:bottom w:val="single" w:color="000000" w:sz="4" w:space="0"/>
              <w:right w:val="single" w:color="000000" w:sz="4" w:space="0"/>
            </w:tcBorders>
            <w:noWrap/>
            <w:vAlign w:val="center"/>
          </w:tcPr>
          <w:p w14:paraId="565A0C1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41F76E4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48F935AC">
            <w:pPr>
              <w:keepNext w:val="0"/>
              <w:keepLines w:val="0"/>
              <w:widowControl/>
              <w:suppressLineNumbers w:val="0"/>
              <w:autoSpaceDE w:val="0"/>
              <w:autoSpaceDN w:val="0"/>
              <w:adjustRightInd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101</w:t>
            </w:r>
          </w:p>
        </w:tc>
        <w:tc>
          <w:tcPr>
            <w:tcW w:w="3476" w:type="dxa"/>
            <w:vMerge w:val="continue"/>
            <w:tcBorders>
              <w:left w:val="single" w:color="000000" w:sz="4" w:space="0"/>
              <w:right w:val="single" w:color="000000" w:sz="4" w:space="0"/>
            </w:tcBorders>
            <w:noWrap/>
            <w:vAlign w:val="center"/>
          </w:tcPr>
          <w:p w14:paraId="1F0A875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4A74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F54DAD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545" w:type="dxa"/>
            <w:vMerge w:val="continue"/>
            <w:tcBorders>
              <w:left w:val="single" w:color="000000" w:sz="4" w:space="0"/>
              <w:right w:val="single" w:color="000000" w:sz="4" w:space="0"/>
            </w:tcBorders>
            <w:noWrap w:val="0"/>
            <w:vAlign w:val="center"/>
          </w:tcPr>
          <w:p w14:paraId="0005E090">
            <w:pPr>
              <w:keepNext w:val="0"/>
              <w:keepLines w:val="0"/>
              <w:pageBreakBefore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rPr>
                <w:rFonts w:hint="eastAsia" w:ascii="宋体" w:hAnsi="宋体" w:eastAsia="宋体" w:cs="宋体"/>
                <w:i w:val="0"/>
                <w:iCs w:val="0"/>
                <w:color w:val="auto"/>
                <w:sz w:val="21"/>
                <w:szCs w:val="21"/>
                <w:highlight w:val="none"/>
                <w:u w:val="none"/>
              </w:rPr>
            </w:pPr>
          </w:p>
        </w:tc>
        <w:tc>
          <w:tcPr>
            <w:tcW w:w="1484" w:type="dxa"/>
            <w:tcBorders>
              <w:top w:val="single" w:color="000000" w:sz="4" w:space="0"/>
              <w:left w:val="single" w:color="000000" w:sz="4" w:space="0"/>
              <w:bottom w:val="single" w:color="000000" w:sz="4" w:space="0"/>
              <w:right w:val="single" w:color="000000" w:sz="4" w:space="0"/>
            </w:tcBorders>
            <w:noWrap/>
            <w:vAlign w:val="center"/>
          </w:tcPr>
          <w:p w14:paraId="3AEEFB9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60D32AC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34477447">
            <w:pPr>
              <w:keepNext w:val="0"/>
              <w:keepLines w:val="0"/>
              <w:widowControl/>
              <w:suppressLineNumbers w:val="0"/>
              <w:autoSpaceDE w:val="0"/>
              <w:autoSpaceDN w:val="0"/>
              <w:adjustRightInd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51</w:t>
            </w:r>
          </w:p>
        </w:tc>
        <w:tc>
          <w:tcPr>
            <w:tcW w:w="3476" w:type="dxa"/>
            <w:vMerge w:val="continue"/>
            <w:tcBorders>
              <w:left w:val="single" w:color="000000" w:sz="4" w:space="0"/>
              <w:right w:val="single" w:color="000000" w:sz="4" w:space="0"/>
            </w:tcBorders>
            <w:noWrap/>
            <w:vAlign w:val="center"/>
          </w:tcPr>
          <w:p w14:paraId="6E9681C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5AB9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8D02A0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545" w:type="dxa"/>
            <w:vMerge w:val="continue"/>
            <w:tcBorders>
              <w:left w:val="single" w:color="000000" w:sz="4" w:space="0"/>
              <w:right w:val="single" w:color="000000" w:sz="4" w:space="0"/>
            </w:tcBorders>
            <w:noWrap w:val="0"/>
            <w:vAlign w:val="center"/>
          </w:tcPr>
          <w:p w14:paraId="51F5F5A8">
            <w:pPr>
              <w:keepNext w:val="0"/>
              <w:keepLines w:val="0"/>
              <w:pageBreakBefore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rPr>
                <w:rFonts w:hint="eastAsia" w:ascii="宋体" w:hAnsi="宋体" w:eastAsia="宋体" w:cs="宋体"/>
                <w:i w:val="0"/>
                <w:iCs w:val="0"/>
                <w:color w:val="auto"/>
                <w:sz w:val="21"/>
                <w:szCs w:val="21"/>
                <w:highlight w:val="none"/>
                <w:u w:val="none"/>
              </w:rPr>
            </w:pPr>
          </w:p>
        </w:tc>
        <w:tc>
          <w:tcPr>
            <w:tcW w:w="1484" w:type="dxa"/>
            <w:tcBorders>
              <w:top w:val="single" w:color="000000" w:sz="4" w:space="0"/>
              <w:left w:val="single" w:color="000000" w:sz="4" w:space="0"/>
              <w:bottom w:val="single" w:color="000000" w:sz="4" w:space="0"/>
              <w:right w:val="single" w:color="000000" w:sz="4" w:space="0"/>
            </w:tcBorders>
            <w:noWrap/>
            <w:vAlign w:val="center"/>
          </w:tcPr>
          <w:p w14:paraId="2F8CAC6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DN250</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03ACCA5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75F4FE30">
            <w:pPr>
              <w:keepNext w:val="0"/>
              <w:keepLines w:val="0"/>
              <w:widowControl/>
              <w:suppressLineNumbers w:val="0"/>
              <w:autoSpaceDE w:val="0"/>
              <w:autoSpaceDN w:val="0"/>
              <w:adjustRightInd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3476" w:type="dxa"/>
            <w:vMerge w:val="continue"/>
            <w:tcBorders>
              <w:left w:val="single" w:color="000000" w:sz="4" w:space="0"/>
              <w:right w:val="single" w:color="000000" w:sz="4" w:space="0"/>
            </w:tcBorders>
            <w:noWrap/>
            <w:vAlign w:val="center"/>
          </w:tcPr>
          <w:p w14:paraId="05655E6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2C31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4B42F2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545" w:type="dxa"/>
            <w:vMerge w:val="continue"/>
            <w:tcBorders>
              <w:left w:val="single" w:color="000000" w:sz="4" w:space="0"/>
              <w:bottom w:val="single" w:color="000000" w:sz="4" w:space="0"/>
              <w:right w:val="single" w:color="000000" w:sz="4" w:space="0"/>
            </w:tcBorders>
            <w:noWrap w:val="0"/>
            <w:vAlign w:val="center"/>
          </w:tcPr>
          <w:p w14:paraId="0C39C6CD">
            <w:pPr>
              <w:keepNext w:val="0"/>
              <w:keepLines w:val="0"/>
              <w:pageBreakBefore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rPr>
                <w:rFonts w:hint="eastAsia" w:ascii="宋体" w:hAnsi="宋体" w:eastAsia="宋体" w:cs="宋体"/>
                <w:i w:val="0"/>
                <w:iCs w:val="0"/>
                <w:color w:val="auto"/>
                <w:sz w:val="21"/>
                <w:szCs w:val="21"/>
                <w:highlight w:val="none"/>
                <w:u w:val="none"/>
              </w:rPr>
            </w:pPr>
          </w:p>
        </w:tc>
        <w:tc>
          <w:tcPr>
            <w:tcW w:w="1484" w:type="dxa"/>
            <w:tcBorders>
              <w:top w:val="single" w:color="000000" w:sz="4" w:space="0"/>
              <w:left w:val="single" w:color="000000" w:sz="4" w:space="0"/>
              <w:bottom w:val="single" w:color="000000" w:sz="4" w:space="0"/>
              <w:right w:val="single" w:color="000000" w:sz="4" w:space="0"/>
            </w:tcBorders>
            <w:noWrap/>
            <w:vAlign w:val="center"/>
          </w:tcPr>
          <w:p w14:paraId="6050FAA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DN300</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212C35D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73532214">
            <w:pPr>
              <w:keepNext w:val="0"/>
              <w:keepLines w:val="0"/>
              <w:widowControl/>
              <w:suppressLineNumbers w:val="0"/>
              <w:autoSpaceDE w:val="0"/>
              <w:autoSpaceDN w:val="0"/>
              <w:adjustRightInd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37</w:t>
            </w:r>
          </w:p>
        </w:tc>
        <w:tc>
          <w:tcPr>
            <w:tcW w:w="3476" w:type="dxa"/>
            <w:vMerge w:val="continue"/>
            <w:tcBorders>
              <w:left w:val="single" w:color="000000" w:sz="4" w:space="0"/>
              <w:bottom w:val="single" w:color="000000" w:sz="4" w:space="0"/>
              <w:right w:val="single" w:color="000000" w:sz="4" w:space="0"/>
            </w:tcBorders>
            <w:noWrap/>
            <w:vAlign w:val="center"/>
          </w:tcPr>
          <w:p w14:paraId="76DBEC0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E2D2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2FD668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3029" w:type="dxa"/>
            <w:gridSpan w:val="2"/>
            <w:tcBorders>
              <w:top w:val="single" w:color="000000" w:sz="4" w:space="0"/>
              <w:left w:val="single" w:color="000000" w:sz="4" w:space="0"/>
              <w:bottom w:val="single" w:color="000000" w:sz="4" w:space="0"/>
              <w:right w:val="single" w:color="000000" w:sz="4" w:space="0"/>
            </w:tcBorders>
            <w:noWrap w:val="0"/>
            <w:vAlign w:val="center"/>
          </w:tcPr>
          <w:p w14:paraId="4E9BB06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汇总</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1E99222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4989EF7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1040</w:t>
            </w:r>
          </w:p>
        </w:tc>
        <w:tc>
          <w:tcPr>
            <w:tcW w:w="3476" w:type="dxa"/>
            <w:tcBorders>
              <w:left w:val="single" w:color="000000" w:sz="4" w:space="0"/>
              <w:bottom w:val="single" w:color="000000" w:sz="4" w:space="0"/>
              <w:right w:val="single" w:color="000000" w:sz="4" w:space="0"/>
            </w:tcBorders>
            <w:noWrap/>
            <w:vAlign w:val="center"/>
          </w:tcPr>
          <w:p w14:paraId="2578113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bl>
    <w:p w14:paraId="76CA2292">
      <w:pPr>
        <w:pStyle w:val="210"/>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kern w:val="0"/>
          <w:sz w:val="21"/>
          <w:szCs w:val="21"/>
          <w:highlight w:val="none"/>
          <w:lang w:val="en-US" w:eastAsia="zh-CN"/>
        </w:rPr>
      </w:pPr>
    </w:p>
    <w:p w14:paraId="6D6AA8DB">
      <w:pPr>
        <w:pStyle w:val="29"/>
        <w:keepNext w:val="0"/>
        <w:keepLines w:val="0"/>
        <w:pageBreakBefore w:val="0"/>
        <w:tabs>
          <w:tab w:val="left" w:pos="567"/>
        </w:tabs>
        <w:kinsoku/>
        <w:wordWrap/>
        <w:topLinePunct w:val="0"/>
        <w:bidi w:val="0"/>
        <w:spacing w:before="0" w:beforeAutospacing="0" w:after="0" w:line="360" w:lineRule="auto"/>
        <w:ind w:right="0"/>
        <w:jc w:val="left"/>
        <w:outlineLvl w:val="1"/>
        <w:rPr>
          <w:rFonts w:hint="eastAsia" w:ascii="宋体" w:hAnsi="宋体" w:eastAsia="宋体" w:cs="宋体"/>
          <w:color w:val="auto"/>
          <w:kern w:val="0"/>
          <w:sz w:val="21"/>
          <w:szCs w:val="21"/>
          <w:highlight w:val="none"/>
          <w:lang w:val="en-US" w:eastAsia="zh-CN"/>
        </w:rPr>
      </w:pPr>
      <w:bookmarkStart w:id="412" w:name="_Toc5186"/>
      <w:bookmarkStart w:id="413" w:name="_Toc26761"/>
      <w:bookmarkStart w:id="414" w:name="_Toc11301"/>
      <w:r>
        <w:rPr>
          <w:rFonts w:hint="eastAsia" w:ascii="宋体" w:hAnsi="宋体" w:eastAsia="宋体" w:cs="宋体"/>
          <w:bCs w:val="0"/>
          <w:color w:val="auto"/>
          <w:sz w:val="21"/>
          <w:szCs w:val="21"/>
          <w:highlight w:val="none"/>
          <w:lang w:val="en-US" w:eastAsia="zh-CN"/>
        </w:rPr>
        <w:t>二</w:t>
      </w:r>
      <w:r>
        <w:rPr>
          <w:rFonts w:hint="eastAsia" w:ascii="宋体" w:hAnsi="宋体" w:eastAsia="宋体" w:cs="宋体"/>
          <w:bCs w:val="0"/>
          <w:color w:val="auto"/>
          <w:sz w:val="21"/>
          <w:szCs w:val="21"/>
          <w:highlight w:val="none"/>
        </w:rPr>
        <w:t>、水表技术要求</w:t>
      </w:r>
      <w:bookmarkEnd w:id="412"/>
      <w:bookmarkEnd w:id="413"/>
      <w:bookmarkEnd w:id="414"/>
    </w:p>
    <w:p w14:paraId="45DA3594">
      <w:pPr>
        <w:pStyle w:val="210"/>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 xml:space="preserve"> 基本要求</w:t>
      </w:r>
      <w:r>
        <w:rPr>
          <w:rFonts w:hint="eastAsia" w:ascii="宋体" w:hAnsi="宋体" w:eastAsia="宋体" w:cs="宋体"/>
          <w:color w:val="auto"/>
          <w:kern w:val="0"/>
          <w:sz w:val="21"/>
          <w:szCs w:val="21"/>
          <w:highlight w:val="none"/>
        </w:rPr>
        <w:t>：</w:t>
      </w:r>
    </w:p>
    <w:p w14:paraId="0C621927">
      <w:pPr>
        <w:pStyle w:val="210"/>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.1.1</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介质温度范围：0-30℃。</w:t>
      </w:r>
    </w:p>
    <w:p w14:paraId="4D69082B">
      <w:pPr>
        <w:pStyle w:val="210"/>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.1.2</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工作环境温度范围：0-55℃。</w:t>
      </w:r>
    </w:p>
    <w:p w14:paraId="02AE5BD7">
      <w:pPr>
        <w:pStyle w:val="210"/>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kern w:val="0"/>
          <w:sz w:val="21"/>
          <w:szCs w:val="21"/>
          <w:highlight w:val="none"/>
        </w:rPr>
        <w:t>.1.3</w:t>
      </w:r>
      <w:r>
        <w:rPr>
          <w:rFonts w:hint="eastAsia" w:ascii="宋体" w:hAnsi="宋体" w:eastAsia="宋体" w:cs="宋体"/>
          <w:b w:val="0"/>
          <w:bCs w:val="0"/>
          <w:color w:val="auto"/>
          <w:kern w:val="0"/>
          <w:sz w:val="21"/>
          <w:szCs w:val="21"/>
          <w:highlight w:val="none"/>
          <w:lang w:val="en-US" w:eastAsia="zh-CN"/>
        </w:rPr>
        <w:t xml:space="preserve"> </w:t>
      </w:r>
      <w:r>
        <w:rPr>
          <w:rFonts w:hint="eastAsia" w:ascii="宋体" w:hAnsi="宋体" w:eastAsia="宋体" w:cs="宋体"/>
          <w:b w:val="0"/>
          <w:bCs w:val="0"/>
          <w:color w:val="auto"/>
          <w:kern w:val="0"/>
          <w:sz w:val="21"/>
          <w:szCs w:val="21"/>
          <w:highlight w:val="none"/>
        </w:rPr>
        <w:t>防护等级：IP68。</w:t>
      </w:r>
    </w:p>
    <w:p w14:paraId="263DBA97">
      <w:pPr>
        <w:pStyle w:val="210"/>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4 </w:t>
      </w:r>
      <w:r>
        <w:rPr>
          <w:rFonts w:hint="eastAsia" w:ascii="宋体" w:hAnsi="宋体" w:eastAsia="宋体" w:cs="宋体"/>
          <w:color w:val="auto"/>
          <w:kern w:val="0"/>
          <w:sz w:val="21"/>
          <w:szCs w:val="21"/>
          <w:highlight w:val="none"/>
        </w:rPr>
        <w:t>电磁环境等级：</w:t>
      </w:r>
      <w:r>
        <w:rPr>
          <w:rFonts w:hint="eastAsia" w:ascii="宋体" w:hAnsi="宋体" w:eastAsia="宋体" w:cs="宋体"/>
          <w:color w:val="auto"/>
          <w:kern w:val="0"/>
          <w:sz w:val="21"/>
          <w:szCs w:val="21"/>
          <w:highlight w:val="none"/>
          <w:lang w:val="en-US" w:eastAsia="zh-CN"/>
        </w:rPr>
        <w:t>E2级</w:t>
      </w:r>
      <w:r>
        <w:rPr>
          <w:rFonts w:hint="eastAsia" w:ascii="宋体" w:hAnsi="宋体" w:eastAsia="宋体" w:cs="宋体"/>
          <w:color w:val="auto"/>
          <w:kern w:val="0"/>
          <w:sz w:val="21"/>
          <w:szCs w:val="21"/>
          <w:highlight w:val="none"/>
        </w:rPr>
        <w:t>。</w:t>
      </w:r>
    </w:p>
    <w:p w14:paraId="44ADDFF4">
      <w:pPr>
        <w:pStyle w:val="210"/>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 基表</w:t>
      </w:r>
      <w:r>
        <w:rPr>
          <w:rFonts w:hint="eastAsia" w:ascii="宋体" w:hAnsi="宋体" w:eastAsia="宋体" w:cs="宋体"/>
          <w:color w:val="auto"/>
          <w:kern w:val="0"/>
          <w:sz w:val="21"/>
          <w:szCs w:val="21"/>
          <w:highlight w:val="none"/>
        </w:rPr>
        <w:t>：</w:t>
      </w:r>
    </w:p>
    <w:p w14:paraId="2F32BBD6">
      <w:pPr>
        <w:pStyle w:val="210"/>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1 </w:t>
      </w:r>
      <w:r>
        <w:rPr>
          <w:rFonts w:hint="eastAsia" w:ascii="宋体" w:hAnsi="宋体" w:eastAsia="宋体" w:cs="宋体"/>
          <w:color w:val="auto"/>
          <w:kern w:val="0"/>
          <w:sz w:val="21"/>
          <w:szCs w:val="21"/>
          <w:highlight w:val="none"/>
        </w:rPr>
        <w:t>压力等级：</w:t>
      </w:r>
      <w:r>
        <w:rPr>
          <w:rFonts w:hint="eastAsia" w:ascii="宋体" w:hAnsi="宋体" w:eastAsia="宋体" w:cs="宋体"/>
          <w:color w:val="auto"/>
          <w:kern w:val="0"/>
          <w:sz w:val="21"/>
          <w:szCs w:val="21"/>
          <w:highlight w:val="none"/>
          <w:lang w:val="en-US" w:eastAsia="zh-CN"/>
        </w:rPr>
        <w:t>不低于</w:t>
      </w:r>
      <w:r>
        <w:rPr>
          <w:rFonts w:hint="eastAsia" w:ascii="宋体" w:hAnsi="宋体" w:eastAsia="宋体" w:cs="宋体"/>
          <w:color w:val="auto"/>
          <w:kern w:val="0"/>
          <w:sz w:val="21"/>
          <w:szCs w:val="21"/>
          <w:highlight w:val="none"/>
        </w:rPr>
        <w:t>MAP10。</w:t>
      </w:r>
    </w:p>
    <w:p w14:paraId="5AD7B186">
      <w:pPr>
        <w:pStyle w:val="210"/>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 xml:space="preserve">2 </w:t>
      </w:r>
      <w:r>
        <w:rPr>
          <w:rFonts w:hint="eastAsia" w:ascii="宋体" w:hAnsi="宋体" w:eastAsia="宋体" w:cs="宋体"/>
          <w:b w:val="0"/>
          <w:bCs w:val="0"/>
          <w:color w:val="auto"/>
          <w:kern w:val="0"/>
          <w:sz w:val="21"/>
          <w:szCs w:val="21"/>
          <w:highlight w:val="none"/>
        </w:rPr>
        <w:t>水表准确度等级：2级。</w:t>
      </w:r>
    </w:p>
    <w:p w14:paraId="2E4D6518">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bCs w:val="0"/>
          <w:color w:val="auto"/>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 结构形式为</w:t>
      </w:r>
      <w:r>
        <w:rPr>
          <w:rFonts w:hint="eastAsia" w:ascii="宋体" w:hAnsi="宋体" w:eastAsia="宋体" w:cs="宋体"/>
          <w:bCs w:val="0"/>
          <w:color w:val="auto"/>
          <w:sz w:val="21"/>
          <w:szCs w:val="21"/>
          <w:highlight w:val="none"/>
        </w:rPr>
        <w:t>管道式锂电型电磁</w:t>
      </w:r>
      <w:r>
        <w:rPr>
          <w:rFonts w:hint="eastAsia" w:ascii="宋体" w:hAnsi="宋体" w:eastAsia="宋体" w:cs="宋体"/>
          <w:bCs w:val="0"/>
          <w:color w:val="auto"/>
          <w:sz w:val="21"/>
          <w:szCs w:val="21"/>
          <w:highlight w:val="none"/>
          <w:lang w:val="en-US" w:eastAsia="zh-CN"/>
        </w:rPr>
        <w:t>水表。</w:t>
      </w:r>
    </w:p>
    <w:p w14:paraId="3414FB41">
      <w:pPr>
        <w:pStyle w:val="210"/>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 xml:space="preserve">4 </w:t>
      </w:r>
      <w:r>
        <w:rPr>
          <w:rFonts w:hint="eastAsia" w:ascii="宋体" w:hAnsi="宋体" w:eastAsia="宋体" w:cs="宋体"/>
          <w:b w:val="0"/>
          <w:bCs w:val="0"/>
          <w:color w:val="auto"/>
          <w:kern w:val="0"/>
          <w:sz w:val="21"/>
          <w:szCs w:val="21"/>
          <w:highlight w:val="none"/>
        </w:rPr>
        <w:t>流量参数要求</w:t>
      </w:r>
    </w:p>
    <w:tbl>
      <w:tblPr>
        <w:tblStyle w:val="39"/>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4"/>
        <w:gridCol w:w="1566"/>
        <w:gridCol w:w="2298"/>
        <w:gridCol w:w="2523"/>
        <w:gridCol w:w="2209"/>
      </w:tblGrid>
      <w:tr w14:paraId="1826B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4" w:type="dxa"/>
            <w:noWrap/>
            <w:vAlign w:val="center"/>
          </w:tcPr>
          <w:p w14:paraId="49B63C76">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水表类型</w:t>
            </w:r>
          </w:p>
        </w:tc>
        <w:tc>
          <w:tcPr>
            <w:tcW w:w="1566" w:type="dxa"/>
            <w:noWrap/>
            <w:vAlign w:val="center"/>
          </w:tcPr>
          <w:p w14:paraId="0E10D736">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公称口径</w:t>
            </w:r>
          </w:p>
          <w:p w14:paraId="555C652E">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DN(mm)</w:t>
            </w:r>
          </w:p>
        </w:tc>
        <w:tc>
          <w:tcPr>
            <w:tcW w:w="2298" w:type="dxa"/>
            <w:noWrap/>
            <w:vAlign w:val="center"/>
          </w:tcPr>
          <w:p w14:paraId="1F02A7F4">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常用流量</w:t>
            </w:r>
          </w:p>
          <w:p w14:paraId="34C2718C">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Q3（m³/h）</w:t>
            </w:r>
          </w:p>
        </w:tc>
        <w:tc>
          <w:tcPr>
            <w:tcW w:w="2523" w:type="dxa"/>
            <w:noWrap/>
            <w:vAlign w:val="center"/>
          </w:tcPr>
          <w:p w14:paraId="00036244">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常用流量/最小流量</w:t>
            </w:r>
          </w:p>
          <w:p w14:paraId="30E6E3BC">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Q3/Q1</w:t>
            </w:r>
          </w:p>
        </w:tc>
        <w:tc>
          <w:tcPr>
            <w:tcW w:w="2209" w:type="dxa"/>
            <w:noWrap/>
            <w:vAlign w:val="center"/>
          </w:tcPr>
          <w:p w14:paraId="27332CBF">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分界流量/最小流量Q2/Q1</w:t>
            </w:r>
          </w:p>
        </w:tc>
      </w:tr>
      <w:tr w14:paraId="374B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4" w:type="dxa"/>
            <w:vMerge w:val="restart"/>
            <w:noWrap/>
            <w:vAlign w:val="center"/>
          </w:tcPr>
          <w:p w14:paraId="4311DA37">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电磁水表</w:t>
            </w:r>
          </w:p>
        </w:tc>
        <w:tc>
          <w:tcPr>
            <w:tcW w:w="1566" w:type="dxa"/>
            <w:noWrap/>
            <w:vAlign w:val="center"/>
          </w:tcPr>
          <w:p w14:paraId="5BD3AAE4">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2298" w:type="dxa"/>
            <w:noWrap/>
            <w:vAlign w:val="center"/>
          </w:tcPr>
          <w:p w14:paraId="1E9BBE13">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100</w:t>
            </w:r>
          </w:p>
        </w:tc>
        <w:tc>
          <w:tcPr>
            <w:tcW w:w="2523" w:type="dxa"/>
            <w:noWrap/>
            <w:vAlign w:val="center"/>
          </w:tcPr>
          <w:p w14:paraId="3041111E">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≥250</w:t>
            </w:r>
          </w:p>
        </w:tc>
        <w:tc>
          <w:tcPr>
            <w:tcW w:w="2209" w:type="dxa"/>
            <w:noWrap/>
            <w:vAlign w:val="center"/>
          </w:tcPr>
          <w:p w14:paraId="602BC2E2">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w:t>
            </w:r>
          </w:p>
        </w:tc>
      </w:tr>
      <w:tr w14:paraId="05D57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4" w:type="dxa"/>
            <w:vMerge w:val="continue"/>
            <w:noWrap/>
            <w:vAlign w:val="center"/>
          </w:tcPr>
          <w:p w14:paraId="1CA71D60">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566" w:type="dxa"/>
            <w:noWrap/>
            <w:vAlign w:val="center"/>
          </w:tcPr>
          <w:p w14:paraId="546AA64D">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2298" w:type="dxa"/>
            <w:noWrap/>
            <w:vAlign w:val="center"/>
          </w:tcPr>
          <w:p w14:paraId="092A152C">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250</w:t>
            </w:r>
          </w:p>
        </w:tc>
        <w:tc>
          <w:tcPr>
            <w:tcW w:w="2523" w:type="dxa"/>
            <w:noWrap/>
            <w:vAlign w:val="center"/>
          </w:tcPr>
          <w:p w14:paraId="04A2D7F2">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≥250</w:t>
            </w:r>
          </w:p>
        </w:tc>
        <w:tc>
          <w:tcPr>
            <w:tcW w:w="2209" w:type="dxa"/>
            <w:noWrap/>
            <w:vAlign w:val="center"/>
          </w:tcPr>
          <w:p w14:paraId="14768AB0">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w:t>
            </w:r>
          </w:p>
        </w:tc>
      </w:tr>
      <w:tr w14:paraId="0C9FC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4" w:type="dxa"/>
            <w:vMerge w:val="continue"/>
            <w:noWrap/>
            <w:vAlign w:val="center"/>
          </w:tcPr>
          <w:p w14:paraId="1444FA17">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566" w:type="dxa"/>
            <w:noWrap/>
            <w:vAlign w:val="center"/>
          </w:tcPr>
          <w:p w14:paraId="41FE09E2">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DN150</w:t>
            </w:r>
          </w:p>
        </w:tc>
        <w:tc>
          <w:tcPr>
            <w:tcW w:w="2298" w:type="dxa"/>
            <w:noWrap/>
            <w:vAlign w:val="center"/>
          </w:tcPr>
          <w:p w14:paraId="20F5BA89">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400</w:t>
            </w:r>
          </w:p>
        </w:tc>
        <w:tc>
          <w:tcPr>
            <w:tcW w:w="2523" w:type="dxa"/>
            <w:noWrap/>
            <w:vAlign w:val="center"/>
          </w:tcPr>
          <w:p w14:paraId="4B73A2B3">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≥250</w:t>
            </w:r>
          </w:p>
        </w:tc>
        <w:tc>
          <w:tcPr>
            <w:tcW w:w="2209" w:type="dxa"/>
            <w:noWrap/>
            <w:vAlign w:val="center"/>
          </w:tcPr>
          <w:p w14:paraId="762AE7B0">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w:t>
            </w:r>
          </w:p>
        </w:tc>
      </w:tr>
      <w:tr w14:paraId="34F7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4" w:type="dxa"/>
            <w:vMerge w:val="continue"/>
            <w:noWrap/>
            <w:vAlign w:val="center"/>
          </w:tcPr>
          <w:p w14:paraId="6F875D2C">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566" w:type="dxa"/>
            <w:noWrap/>
            <w:vAlign w:val="center"/>
          </w:tcPr>
          <w:p w14:paraId="459B3B52">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DN200</w:t>
            </w:r>
          </w:p>
        </w:tc>
        <w:tc>
          <w:tcPr>
            <w:tcW w:w="2298" w:type="dxa"/>
            <w:noWrap/>
            <w:vAlign w:val="center"/>
          </w:tcPr>
          <w:p w14:paraId="687B8CE0">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630</w:t>
            </w:r>
          </w:p>
        </w:tc>
        <w:tc>
          <w:tcPr>
            <w:tcW w:w="2523" w:type="dxa"/>
            <w:noWrap/>
            <w:vAlign w:val="center"/>
          </w:tcPr>
          <w:p w14:paraId="655910DE">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≥250</w:t>
            </w:r>
          </w:p>
        </w:tc>
        <w:tc>
          <w:tcPr>
            <w:tcW w:w="2209" w:type="dxa"/>
            <w:noWrap/>
            <w:vAlign w:val="center"/>
          </w:tcPr>
          <w:p w14:paraId="50E000D3">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w:t>
            </w:r>
          </w:p>
        </w:tc>
      </w:tr>
      <w:tr w14:paraId="545A3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4" w:type="dxa"/>
            <w:vMerge w:val="continue"/>
            <w:noWrap/>
            <w:vAlign w:val="center"/>
          </w:tcPr>
          <w:p w14:paraId="1997BF62">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566" w:type="dxa"/>
            <w:noWrap/>
            <w:vAlign w:val="center"/>
          </w:tcPr>
          <w:p w14:paraId="24A72D91">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DN250</w:t>
            </w:r>
          </w:p>
        </w:tc>
        <w:tc>
          <w:tcPr>
            <w:tcW w:w="2298" w:type="dxa"/>
            <w:noWrap/>
            <w:vAlign w:val="center"/>
          </w:tcPr>
          <w:p w14:paraId="0ACFE4B9">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1000</w:t>
            </w:r>
          </w:p>
        </w:tc>
        <w:tc>
          <w:tcPr>
            <w:tcW w:w="2523" w:type="dxa"/>
            <w:noWrap/>
            <w:vAlign w:val="center"/>
          </w:tcPr>
          <w:p w14:paraId="1A3DBCE9">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≥250</w:t>
            </w:r>
          </w:p>
        </w:tc>
        <w:tc>
          <w:tcPr>
            <w:tcW w:w="2209" w:type="dxa"/>
            <w:noWrap/>
            <w:vAlign w:val="center"/>
          </w:tcPr>
          <w:p w14:paraId="4C4788B7">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w:t>
            </w:r>
          </w:p>
        </w:tc>
      </w:tr>
      <w:tr w14:paraId="4BEE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4" w:type="dxa"/>
            <w:vMerge w:val="continue"/>
            <w:noWrap/>
            <w:vAlign w:val="center"/>
          </w:tcPr>
          <w:p w14:paraId="353E3482">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566" w:type="dxa"/>
            <w:noWrap/>
            <w:vAlign w:val="center"/>
          </w:tcPr>
          <w:p w14:paraId="487B2075">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DN300</w:t>
            </w:r>
          </w:p>
        </w:tc>
        <w:tc>
          <w:tcPr>
            <w:tcW w:w="2298" w:type="dxa"/>
            <w:noWrap/>
            <w:vAlign w:val="center"/>
          </w:tcPr>
          <w:p w14:paraId="59CF28C1">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1600</w:t>
            </w:r>
          </w:p>
        </w:tc>
        <w:tc>
          <w:tcPr>
            <w:tcW w:w="2523" w:type="dxa"/>
            <w:noWrap/>
            <w:vAlign w:val="center"/>
          </w:tcPr>
          <w:p w14:paraId="5F7862E2">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≥250</w:t>
            </w:r>
          </w:p>
        </w:tc>
        <w:tc>
          <w:tcPr>
            <w:tcW w:w="2209" w:type="dxa"/>
            <w:noWrap/>
            <w:vAlign w:val="center"/>
          </w:tcPr>
          <w:p w14:paraId="797B4C3C">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w:t>
            </w:r>
          </w:p>
        </w:tc>
      </w:tr>
    </w:tbl>
    <w:p w14:paraId="02731D85">
      <w:pPr>
        <w:pStyle w:val="210"/>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val="en-US" w:eastAsia="zh-CN"/>
        </w:rPr>
        <w:t>2.2.5与饮用水接触的水表设备和防护材料不得污染水质，须符合《生活饮用水输配水设备及防护材料卫生安全评价标准》的卫生安全要求。</w:t>
      </w:r>
    </w:p>
    <w:p w14:paraId="2F108222">
      <w:pPr>
        <w:pStyle w:val="210"/>
        <w:spacing w:line="360" w:lineRule="auto"/>
        <w:ind w:firstLineChars="200"/>
        <w:rPr>
          <w:rFonts w:hint="eastAsia" w:ascii="宋体" w:hAnsi="宋体" w:eastAsia="宋体" w:cs="宋体"/>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w:t>
      </w:r>
      <w:r>
        <w:rPr>
          <w:rFonts w:hint="eastAsia" w:ascii="宋体" w:hAnsi="宋体" w:eastAsia="宋体" w:cs="宋体"/>
          <w:color w:val="auto"/>
          <w:kern w:val="2"/>
          <w:sz w:val="21"/>
          <w:szCs w:val="21"/>
          <w:highlight w:val="none"/>
          <w:lang w:val="en-US" w:eastAsia="zh-CN"/>
        </w:rPr>
        <w:t>2.2.6 水表应印有“</w:t>
      </w:r>
      <w:r>
        <w:rPr>
          <w:rFonts w:hint="eastAsia" w:ascii="宋体" w:hAnsi="宋体" w:eastAsia="宋体" w:cs="宋体"/>
          <w:color w:val="auto"/>
          <w:kern w:val="2"/>
          <w:sz w:val="21"/>
          <w:szCs w:val="21"/>
          <w:highlight w:val="none"/>
          <w:lang w:val="en-US" w:eastAsia="zh-CN" w:bidi="ar-SA"/>
        </w:rPr>
        <w:t>东莞水务环境集团</w:t>
      </w:r>
      <w:r>
        <w:rPr>
          <w:rFonts w:hint="eastAsia" w:ascii="宋体" w:hAnsi="宋体" w:eastAsia="宋体" w:cs="宋体"/>
          <w:color w:val="auto"/>
          <w:kern w:val="2"/>
          <w:sz w:val="21"/>
          <w:szCs w:val="21"/>
          <w:highlight w:val="none"/>
          <w:lang w:val="en-US" w:eastAsia="zh-CN"/>
        </w:rPr>
        <w:t>供水公司L0G0+客服热线96968”字样（具体样式中标后由招标人提供），其中印刷费计入投标报价。水表外壳、指示装置或铭牌、不可分离的表盖上，应集中或分散标明计量参数、流向箭头、公称口径、制造年月和编号等信息。</w:t>
      </w:r>
    </w:p>
    <w:p w14:paraId="616D1613">
      <w:pPr>
        <w:pStyle w:val="210"/>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default"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尺寸要求：</w:t>
      </w:r>
    </w:p>
    <w:tbl>
      <w:tblPr>
        <w:tblStyle w:val="39"/>
        <w:tblW w:w="10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2"/>
        <w:gridCol w:w="2489"/>
        <w:gridCol w:w="1321"/>
        <w:gridCol w:w="2434"/>
      </w:tblGrid>
      <w:tr w14:paraId="451F2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2" w:type="dxa"/>
            <w:noWrap w:val="0"/>
            <w:vAlign w:val="center"/>
          </w:tcPr>
          <w:p w14:paraId="24E2C78C">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类型</w:t>
            </w:r>
          </w:p>
        </w:tc>
        <w:tc>
          <w:tcPr>
            <w:tcW w:w="2489" w:type="dxa"/>
            <w:noWrap w:val="0"/>
            <w:vAlign w:val="center"/>
          </w:tcPr>
          <w:p w14:paraId="73C8EE96">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公称口径</w:t>
            </w:r>
          </w:p>
          <w:p w14:paraId="6968008D">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DN(mm)</w:t>
            </w:r>
          </w:p>
        </w:tc>
        <w:tc>
          <w:tcPr>
            <w:tcW w:w="1321" w:type="dxa"/>
            <w:noWrap w:val="0"/>
            <w:vAlign w:val="center"/>
          </w:tcPr>
          <w:p w14:paraId="0D835D4B">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长度(mm)</w:t>
            </w:r>
          </w:p>
        </w:tc>
        <w:tc>
          <w:tcPr>
            <w:tcW w:w="2434" w:type="dxa"/>
            <w:noWrap w:val="0"/>
            <w:vAlign w:val="center"/>
          </w:tcPr>
          <w:p w14:paraId="50DC7FED">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法兰连接</w:t>
            </w:r>
          </w:p>
          <w:p w14:paraId="6F079099">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螺栓孔数</w:t>
            </w:r>
          </w:p>
        </w:tc>
      </w:tr>
      <w:tr w14:paraId="741BB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2" w:type="dxa"/>
            <w:vMerge w:val="restart"/>
            <w:noWrap w:val="0"/>
            <w:vAlign w:val="center"/>
          </w:tcPr>
          <w:p w14:paraId="74DA62C2">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电磁水表</w:t>
            </w:r>
          </w:p>
        </w:tc>
        <w:tc>
          <w:tcPr>
            <w:tcW w:w="2489" w:type="dxa"/>
            <w:noWrap w:val="0"/>
            <w:vAlign w:val="center"/>
          </w:tcPr>
          <w:p w14:paraId="476605B5">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1321" w:type="dxa"/>
            <w:noWrap w:val="0"/>
            <w:vAlign w:val="center"/>
          </w:tcPr>
          <w:p w14:paraId="104B869C">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225</w:t>
            </w:r>
          </w:p>
        </w:tc>
        <w:tc>
          <w:tcPr>
            <w:tcW w:w="2434" w:type="dxa"/>
            <w:noWrap w:val="0"/>
            <w:vAlign w:val="center"/>
          </w:tcPr>
          <w:p w14:paraId="76AF2B82">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w:t>
            </w:r>
          </w:p>
        </w:tc>
      </w:tr>
      <w:tr w14:paraId="73F9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2" w:type="dxa"/>
            <w:vMerge w:val="continue"/>
            <w:noWrap w:val="0"/>
            <w:vAlign w:val="center"/>
          </w:tcPr>
          <w:p w14:paraId="7770C8C4">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489" w:type="dxa"/>
            <w:noWrap w:val="0"/>
            <w:vAlign w:val="center"/>
          </w:tcPr>
          <w:p w14:paraId="5E582489">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1321" w:type="dxa"/>
            <w:noWrap w:val="0"/>
            <w:vAlign w:val="center"/>
          </w:tcPr>
          <w:p w14:paraId="205EC6E4">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250</w:t>
            </w:r>
          </w:p>
        </w:tc>
        <w:tc>
          <w:tcPr>
            <w:tcW w:w="2434" w:type="dxa"/>
            <w:noWrap w:val="0"/>
            <w:vAlign w:val="center"/>
          </w:tcPr>
          <w:p w14:paraId="59A75935">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w:t>
            </w:r>
          </w:p>
        </w:tc>
      </w:tr>
      <w:tr w14:paraId="7DDF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2" w:type="dxa"/>
            <w:vMerge w:val="continue"/>
            <w:noWrap w:val="0"/>
            <w:vAlign w:val="center"/>
          </w:tcPr>
          <w:p w14:paraId="77C6D195">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489" w:type="dxa"/>
            <w:noWrap w:val="0"/>
            <w:vAlign w:val="center"/>
          </w:tcPr>
          <w:p w14:paraId="4ECFC6FA">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DN150</w:t>
            </w:r>
          </w:p>
        </w:tc>
        <w:tc>
          <w:tcPr>
            <w:tcW w:w="1321" w:type="dxa"/>
            <w:noWrap w:val="0"/>
            <w:vAlign w:val="center"/>
          </w:tcPr>
          <w:p w14:paraId="36F1195D">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300</w:t>
            </w:r>
          </w:p>
        </w:tc>
        <w:tc>
          <w:tcPr>
            <w:tcW w:w="2434" w:type="dxa"/>
            <w:noWrap w:val="0"/>
            <w:vAlign w:val="center"/>
          </w:tcPr>
          <w:p w14:paraId="74BB7E34">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w:t>
            </w:r>
          </w:p>
        </w:tc>
      </w:tr>
      <w:tr w14:paraId="3D4A5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2" w:type="dxa"/>
            <w:vMerge w:val="continue"/>
            <w:noWrap w:val="0"/>
            <w:vAlign w:val="center"/>
          </w:tcPr>
          <w:p w14:paraId="37AD859D">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489" w:type="dxa"/>
            <w:noWrap w:val="0"/>
            <w:vAlign w:val="center"/>
          </w:tcPr>
          <w:p w14:paraId="323AAEFA">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DN200</w:t>
            </w:r>
          </w:p>
        </w:tc>
        <w:tc>
          <w:tcPr>
            <w:tcW w:w="1321" w:type="dxa"/>
            <w:noWrap w:val="0"/>
            <w:vAlign w:val="center"/>
          </w:tcPr>
          <w:p w14:paraId="4C14EA5B">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350</w:t>
            </w:r>
          </w:p>
        </w:tc>
        <w:tc>
          <w:tcPr>
            <w:tcW w:w="2434" w:type="dxa"/>
            <w:noWrap w:val="0"/>
            <w:vAlign w:val="center"/>
          </w:tcPr>
          <w:p w14:paraId="0EEB9CD7">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w:t>
            </w:r>
          </w:p>
        </w:tc>
      </w:tr>
      <w:tr w14:paraId="2873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2" w:type="dxa"/>
            <w:vMerge w:val="continue"/>
            <w:noWrap w:val="0"/>
            <w:vAlign w:val="center"/>
          </w:tcPr>
          <w:p w14:paraId="08545ED0">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489" w:type="dxa"/>
            <w:noWrap w:val="0"/>
            <w:vAlign w:val="center"/>
          </w:tcPr>
          <w:p w14:paraId="743E9AD4">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DN250</w:t>
            </w:r>
          </w:p>
        </w:tc>
        <w:tc>
          <w:tcPr>
            <w:tcW w:w="1321" w:type="dxa"/>
            <w:noWrap w:val="0"/>
            <w:vAlign w:val="center"/>
          </w:tcPr>
          <w:p w14:paraId="5949C828">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450</w:t>
            </w:r>
          </w:p>
        </w:tc>
        <w:tc>
          <w:tcPr>
            <w:tcW w:w="2434" w:type="dxa"/>
            <w:noWrap w:val="0"/>
            <w:vAlign w:val="center"/>
          </w:tcPr>
          <w:p w14:paraId="3E04B47E">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w:t>
            </w:r>
          </w:p>
        </w:tc>
      </w:tr>
      <w:tr w14:paraId="1321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2" w:type="dxa"/>
            <w:vMerge w:val="continue"/>
            <w:noWrap w:val="0"/>
            <w:vAlign w:val="center"/>
          </w:tcPr>
          <w:p w14:paraId="06904C74">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489" w:type="dxa"/>
            <w:noWrap w:val="0"/>
            <w:vAlign w:val="center"/>
          </w:tcPr>
          <w:p w14:paraId="6C80E300">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DN300</w:t>
            </w:r>
          </w:p>
        </w:tc>
        <w:tc>
          <w:tcPr>
            <w:tcW w:w="1321" w:type="dxa"/>
            <w:noWrap w:val="0"/>
            <w:vAlign w:val="center"/>
          </w:tcPr>
          <w:p w14:paraId="0A6FDDBA">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500</w:t>
            </w:r>
          </w:p>
        </w:tc>
        <w:tc>
          <w:tcPr>
            <w:tcW w:w="2434" w:type="dxa"/>
            <w:noWrap w:val="0"/>
            <w:vAlign w:val="center"/>
          </w:tcPr>
          <w:p w14:paraId="1503E27F">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w:t>
            </w:r>
          </w:p>
        </w:tc>
      </w:tr>
    </w:tbl>
    <w:p w14:paraId="43697A09">
      <w:pPr>
        <w:pStyle w:val="210"/>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default"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环境等级：</w:t>
      </w:r>
      <w:r>
        <w:rPr>
          <w:rFonts w:hint="eastAsia" w:ascii="宋体" w:hAnsi="宋体" w:eastAsia="宋体" w:cs="宋体"/>
          <w:color w:val="auto"/>
          <w:kern w:val="0"/>
          <w:sz w:val="21"/>
          <w:szCs w:val="21"/>
          <w:highlight w:val="none"/>
          <w:lang w:val="en-US" w:eastAsia="zh-CN"/>
        </w:rPr>
        <w:t>C级或</w:t>
      </w:r>
      <w:r>
        <w:rPr>
          <w:rFonts w:hint="eastAsia" w:ascii="宋体" w:hAnsi="宋体" w:eastAsia="宋体" w:cs="宋体"/>
          <w:color w:val="auto"/>
          <w:kern w:val="0"/>
          <w:sz w:val="21"/>
          <w:szCs w:val="21"/>
          <w:highlight w:val="none"/>
        </w:rPr>
        <w:t>O级（安装在室外的固定水表）。</w:t>
      </w:r>
    </w:p>
    <w:p w14:paraId="77E883CD">
      <w:pPr>
        <w:pStyle w:val="210"/>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default"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sz w:val="21"/>
          <w:szCs w:val="21"/>
          <w:highlight w:val="none"/>
        </w:rPr>
        <w:t>采用法兰连接，连接件必须符合建设部CJ</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266-2008承压件尺寸和重量要求。</w:t>
      </w:r>
    </w:p>
    <w:p w14:paraId="019684ED">
      <w:pPr>
        <w:pStyle w:val="210"/>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r>
        <w:rPr>
          <w:rFonts w:hint="default"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 xml:space="preserve"> 表体材质</w:t>
      </w:r>
      <w:r>
        <w:rPr>
          <w:rFonts w:hint="eastAsia" w:ascii="宋体" w:hAnsi="宋体" w:eastAsia="宋体" w:cs="宋体"/>
          <w:color w:val="auto"/>
          <w:sz w:val="21"/>
          <w:szCs w:val="21"/>
          <w:highlight w:val="none"/>
        </w:rPr>
        <w:t>为碳钢（防腐处理）</w:t>
      </w:r>
      <w:r>
        <w:rPr>
          <w:rFonts w:hint="eastAsia" w:ascii="宋体" w:hAnsi="宋体" w:eastAsia="宋体" w:cs="宋体"/>
          <w:color w:val="auto"/>
          <w:sz w:val="21"/>
          <w:szCs w:val="21"/>
          <w:highlight w:val="none"/>
          <w:lang w:val="en-US" w:eastAsia="zh-CN"/>
        </w:rPr>
        <w:t>或不锈钢（</w:t>
      </w:r>
      <w:r>
        <w:rPr>
          <w:rFonts w:hint="eastAsia" w:ascii="宋体" w:hAnsi="宋体" w:eastAsia="宋体" w:cs="宋体"/>
          <w:color w:val="auto"/>
          <w:kern w:val="0"/>
          <w:szCs w:val="21"/>
          <w:highlight w:val="none"/>
          <w:lang w:val="en-US" w:eastAsia="zh-CN"/>
        </w:rPr>
        <w:t>不低于304不锈钢</w:t>
      </w:r>
      <w:r>
        <w:rPr>
          <w:rFonts w:hint="eastAsia" w:ascii="宋体" w:hAnsi="宋体" w:eastAsia="宋体" w:cs="宋体"/>
          <w:color w:val="auto"/>
          <w:sz w:val="21"/>
          <w:szCs w:val="21"/>
          <w:highlight w:val="none"/>
          <w:lang w:val="en-US" w:eastAsia="zh-CN"/>
        </w:rPr>
        <w:t>）。</w:t>
      </w:r>
    </w:p>
    <w:p w14:paraId="5C1D4047">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2.2.1</w:t>
      </w: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传感器内衬材料：涉水橡胶或符合饮用水卫生标准的衬里材料。</w:t>
      </w:r>
    </w:p>
    <w:p w14:paraId="5E7579A8">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2.2.1</w:t>
      </w:r>
      <w:r>
        <w:rPr>
          <w:rFonts w:hint="default"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电极材质：不锈钢</w:t>
      </w:r>
      <w:r>
        <w:rPr>
          <w:rFonts w:hint="eastAsia" w:ascii="宋体" w:hAnsi="宋体" w:eastAsia="宋体" w:cs="宋体"/>
          <w:color w:val="auto"/>
          <w:sz w:val="21"/>
          <w:szCs w:val="21"/>
          <w:highlight w:val="none"/>
          <w:lang w:val="en-US" w:eastAsia="zh-CN"/>
        </w:rPr>
        <w:t>316L</w:t>
      </w:r>
      <w:r>
        <w:rPr>
          <w:rFonts w:hint="eastAsia" w:ascii="宋体" w:hAnsi="宋体" w:eastAsia="宋体" w:cs="宋体"/>
          <w:color w:val="auto"/>
          <w:sz w:val="21"/>
          <w:szCs w:val="21"/>
          <w:highlight w:val="none"/>
        </w:rPr>
        <w:t>。</w:t>
      </w:r>
    </w:p>
    <w:p w14:paraId="5C2C414E">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2.2.1</w:t>
      </w:r>
      <w:r>
        <w:rPr>
          <w:rFonts w:hint="default"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设备电源：内置锂电池</w:t>
      </w:r>
      <w:r>
        <w:rPr>
          <w:rFonts w:hint="eastAsia" w:ascii="宋体" w:hAnsi="宋体" w:eastAsia="宋体" w:cs="宋体"/>
          <w:color w:val="auto"/>
          <w:sz w:val="21"/>
          <w:szCs w:val="21"/>
          <w:highlight w:val="none"/>
          <w:lang w:val="en-US" w:eastAsia="zh-CN"/>
        </w:rPr>
        <w:t>或内置锂电池+直流电双电源供电</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内置计量</w:t>
      </w:r>
      <w:r>
        <w:rPr>
          <w:rFonts w:hint="eastAsia" w:ascii="宋体" w:hAnsi="宋体" w:eastAsia="宋体" w:cs="宋体"/>
          <w:color w:val="auto"/>
          <w:sz w:val="21"/>
          <w:szCs w:val="21"/>
          <w:highlight w:val="none"/>
        </w:rPr>
        <w:t>电池设计寿命</w:t>
      </w:r>
      <w:r>
        <w:rPr>
          <w:rFonts w:hint="eastAsia" w:ascii="宋体" w:hAnsi="宋体" w:eastAsia="宋体" w:cs="宋体"/>
          <w:color w:val="auto"/>
          <w:sz w:val="21"/>
          <w:szCs w:val="21"/>
          <w:highlight w:val="none"/>
          <w:lang w:val="en-US" w:eastAsia="zh-CN"/>
        </w:rPr>
        <w:t>至少为6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且</w:t>
      </w:r>
      <w:r>
        <w:rPr>
          <w:rFonts w:hint="eastAsia" w:ascii="宋体" w:hAnsi="宋体" w:eastAsia="宋体" w:cs="宋体"/>
          <w:color w:val="auto"/>
          <w:sz w:val="21"/>
          <w:szCs w:val="21"/>
          <w:highlight w:val="none"/>
        </w:rPr>
        <w:t>在不影响计量及通讯的情况下，电池可更换</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lang w:val="en-US"/>
        </w:rPr>
        <w:t>必须采取安全保护措施，保证电池不发生爆炸或自燃</w:t>
      </w:r>
      <w:r>
        <w:rPr>
          <w:rFonts w:hint="eastAsia" w:ascii="宋体" w:hAnsi="宋体" w:eastAsia="宋体" w:cs="宋体"/>
          <w:color w:val="auto"/>
          <w:sz w:val="21"/>
          <w:szCs w:val="21"/>
          <w:highlight w:val="none"/>
        </w:rPr>
        <w:t>。</w:t>
      </w:r>
    </w:p>
    <w:p w14:paraId="1F4178C2">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2.2.1</w:t>
      </w:r>
      <w:r>
        <w:rPr>
          <w:rFonts w:hint="default"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流向测量：正向流、反向流测量，且反向流的Q3/Q1应与正向流相同。</w:t>
      </w:r>
    </w:p>
    <w:p w14:paraId="7D71CF81">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2.2.1</w:t>
      </w:r>
      <w:r>
        <w:rPr>
          <w:rFonts w:hint="default"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主界面应可显示：正向累计流量、正向瞬时流量、反向累计流量、反向瞬时流量、电池电量低信号提示或电池使用时间（单位：小时）提示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可显示仪表诊断及报警状态。</w:t>
      </w:r>
    </w:p>
    <w:p w14:paraId="71FFAC91">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2.2.1</w:t>
      </w:r>
      <w:r>
        <w:rPr>
          <w:rFonts w:hint="default"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十位显示累计流量（</w:t>
      </w:r>
      <w:r>
        <w:rPr>
          <w:rFonts w:hint="eastAsia" w:ascii="宋体" w:hAnsi="宋体" w:eastAsia="宋体" w:cs="宋体"/>
          <w:color w:val="auto"/>
          <w:sz w:val="21"/>
          <w:szCs w:val="21"/>
          <w:highlight w:val="none"/>
          <w:lang w:val="en-US" w:eastAsia="zh-CN"/>
        </w:rPr>
        <w:t>分辨力≥0.001m³</w:t>
      </w:r>
      <w:r>
        <w:rPr>
          <w:rFonts w:hint="eastAsia" w:ascii="宋体" w:hAnsi="宋体" w:eastAsia="宋体" w:cs="宋体"/>
          <w:color w:val="auto"/>
          <w:sz w:val="21"/>
          <w:szCs w:val="21"/>
          <w:highlight w:val="none"/>
        </w:rPr>
        <w:t>），五位显示瞬时流量（</w:t>
      </w:r>
      <w:r>
        <w:rPr>
          <w:rFonts w:hint="eastAsia" w:ascii="宋体" w:hAnsi="宋体" w:eastAsia="宋体" w:cs="宋体"/>
          <w:color w:val="auto"/>
          <w:sz w:val="21"/>
          <w:szCs w:val="21"/>
          <w:highlight w:val="none"/>
          <w:lang w:val="en-US" w:eastAsia="zh-CN"/>
        </w:rPr>
        <w:t>分辨率≥0.01m³/h</w:t>
      </w:r>
      <w:r>
        <w:rPr>
          <w:rFonts w:hint="eastAsia" w:ascii="宋体" w:hAnsi="宋体" w:eastAsia="宋体" w:cs="宋体"/>
          <w:color w:val="auto"/>
          <w:sz w:val="21"/>
          <w:szCs w:val="21"/>
          <w:highlight w:val="none"/>
        </w:rPr>
        <w:t>），可自动调整精度，LCD显示屏需具有优秀的耐日光老化性能；水表直读方便，加装的电子装置不应妨碍水表读数。</w:t>
      </w:r>
    </w:p>
    <w:p w14:paraId="7B205EBE">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bCs w:val="0"/>
          <w:color w:val="auto"/>
          <w:sz w:val="21"/>
          <w:szCs w:val="21"/>
          <w:highlight w:val="none"/>
        </w:rPr>
      </w:pPr>
      <w:r>
        <w:rPr>
          <w:rFonts w:hint="eastAsia" w:ascii="宋体" w:hAnsi="宋体" w:eastAsia="宋体" w:cs="宋体"/>
          <w:color w:val="auto"/>
          <w:sz w:val="21"/>
          <w:szCs w:val="21"/>
          <w:highlight w:val="none"/>
          <w:lang w:val="en-US" w:eastAsia="zh-CN"/>
        </w:rPr>
        <w:t>2.2.1</w:t>
      </w:r>
      <w:r>
        <w:rPr>
          <w:rFonts w:hint="default"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测量参数：</w:t>
      </w:r>
      <w:r>
        <w:rPr>
          <w:rFonts w:hint="eastAsia" w:ascii="宋体" w:hAnsi="宋体" w:eastAsia="宋体" w:cs="宋体"/>
          <w:color w:val="auto"/>
          <w:sz w:val="21"/>
          <w:szCs w:val="21"/>
          <w:highlight w:val="none"/>
          <w:lang w:val="en-US" w:eastAsia="zh-CN"/>
        </w:rPr>
        <w:t>正反向</w:t>
      </w:r>
      <w:r>
        <w:rPr>
          <w:rFonts w:hint="eastAsia" w:ascii="宋体" w:hAnsi="宋体" w:eastAsia="宋体" w:cs="宋体"/>
          <w:bCs w:val="0"/>
          <w:color w:val="auto"/>
          <w:sz w:val="21"/>
          <w:szCs w:val="21"/>
          <w:highlight w:val="none"/>
        </w:rPr>
        <w:t>瞬时流量、累计流量等，支持双向计量。</w:t>
      </w:r>
    </w:p>
    <w:p w14:paraId="3A9CE3E4">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2.2.1</w:t>
      </w:r>
      <w:r>
        <w:rPr>
          <w:rFonts w:hint="default"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支持RS485串口通讯。</w:t>
      </w:r>
    </w:p>
    <w:p w14:paraId="17E430AF">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2.2.1</w:t>
      </w:r>
      <w:r>
        <w:rPr>
          <w:rFonts w:hint="default"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测量模式：仅一种测量模式。</w:t>
      </w:r>
    </w:p>
    <w:p w14:paraId="53EB83B6">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w:t>
      </w:r>
      <w:r>
        <w:rPr>
          <w:rFonts w:hint="default"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电磁水表出厂后，计量参数不可更改，不可复零测量。</w:t>
      </w:r>
    </w:p>
    <w:p w14:paraId="7F6568FF">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w:t>
      </w:r>
      <w:r>
        <w:rPr>
          <w:rFonts w:hint="default"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数据存储：电磁水表内置数据存贮芯片，记录仪表工作全过程，数据保存10年以上，掉电（失电）时水表累计读数及设定参数保存不变，可随时与终端连接读取数据。</w:t>
      </w:r>
    </w:p>
    <w:p w14:paraId="6909114B">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w:t>
      </w:r>
      <w:r>
        <w:rPr>
          <w:rFonts w:hint="default"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内置接地电极（不锈钢电极），安装无需再接地线。具备双层屏蔽（可防磁干扰）防雷功能，短路保护。</w:t>
      </w:r>
    </w:p>
    <w:p w14:paraId="1BDC9C6A">
      <w:pPr>
        <w:pStyle w:val="37"/>
        <w:keepNext w:val="0"/>
        <w:keepLines w:val="0"/>
        <w:pageBreakBefore w:val="0"/>
        <w:kinsoku/>
        <w:wordWrap/>
        <w:topLinePunct w:val="0"/>
        <w:bidi w:val="0"/>
        <w:spacing w:beforeAutospacing="0" w:after="0" w:line="360" w:lineRule="auto"/>
        <w:ind w:left="0" w:leftChars="0" w:right="0"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★2.2.</w:t>
      </w:r>
      <w:r>
        <w:rPr>
          <w:rFonts w:hint="default" w:ascii="宋体" w:hAnsi="宋体" w:eastAsia="宋体" w:cs="宋体"/>
          <w:b w:val="0"/>
          <w:bCs w:val="0"/>
          <w:color w:val="auto"/>
          <w:sz w:val="21"/>
          <w:szCs w:val="21"/>
          <w:highlight w:val="none"/>
          <w:lang w:val="en-US" w:eastAsia="zh-CN"/>
        </w:rPr>
        <w:t>23</w:t>
      </w:r>
      <w:r>
        <w:rPr>
          <w:rFonts w:hint="eastAsia" w:ascii="宋体" w:hAnsi="宋体" w:eastAsia="宋体" w:cs="宋体"/>
          <w:b w:val="0"/>
          <w:bCs w:val="0"/>
          <w:color w:val="auto"/>
          <w:sz w:val="21"/>
          <w:szCs w:val="21"/>
          <w:highlight w:val="none"/>
          <w:lang w:val="en-US" w:eastAsia="zh-CN"/>
        </w:rPr>
        <w:t xml:space="preserve"> 首次检定：中标人在交货的同时，需提交货物出厂合格证明和东莞地区法定计量检定机构出具的水表检定合格证书或校准证书，并对所提交证书的真实性及准确性承担责任</w:t>
      </w:r>
      <w:r>
        <w:rPr>
          <w:rFonts w:hint="eastAsia" w:ascii="宋体" w:hAnsi="宋体" w:eastAsia="宋体" w:cs="宋体"/>
          <w:b/>
          <w:bCs/>
          <w:color w:val="auto"/>
          <w:kern w:val="0"/>
          <w:sz w:val="21"/>
          <w:szCs w:val="21"/>
          <w:highlight w:val="none"/>
        </w:rPr>
        <w:t>（投标阶段需就上述事项提供相关承诺文件）</w:t>
      </w:r>
      <w:r>
        <w:rPr>
          <w:rFonts w:hint="eastAsia" w:ascii="宋体" w:hAnsi="宋体" w:eastAsia="宋体" w:cs="宋体"/>
          <w:b w:val="0"/>
          <w:bCs w:val="0"/>
          <w:color w:val="auto"/>
          <w:sz w:val="21"/>
          <w:szCs w:val="21"/>
          <w:highlight w:val="none"/>
          <w:lang w:val="en-US" w:eastAsia="zh-CN"/>
        </w:rPr>
        <w:t>。</w:t>
      </w:r>
    </w:p>
    <w:p w14:paraId="413697A4">
      <w:pPr>
        <w:pStyle w:val="210"/>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3 </w:t>
      </w:r>
      <w:r>
        <w:rPr>
          <w:rFonts w:hint="eastAsia" w:ascii="宋体" w:hAnsi="宋体" w:eastAsia="宋体" w:cs="宋体"/>
          <w:color w:val="auto"/>
          <w:kern w:val="0"/>
          <w:sz w:val="21"/>
          <w:szCs w:val="21"/>
          <w:highlight w:val="none"/>
        </w:rPr>
        <w:t>远传模块要求：</w:t>
      </w:r>
    </w:p>
    <w:p w14:paraId="3D04E143">
      <w:pPr>
        <w:pStyle w:val="210"/>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远传模块直接安装在水表上，要求安装牢固可靠，</w:t>
      </w:r>
      <w:r>
        <w:rPr>
          <w:rFonts w:hint="eastAsia" w:ascii="宋体" w:hAnsi="宋体" w:eastAsia="宋体" w:cs="宋体"/>
          <w:color w:val="auto"/>
          <w:sz w:val="21"/>
          <w:szCs w:val="21"/>
          <w:highlight w:val="none"/>
        </w:rPr>
        <w:t>远传模块</w:t>
      </w:r>
      <w:r>
        <w:rPr>
          <w:rFonts w:hint="eastAsia" w:ascii="宋体" w:hAnsi="宋体" w:eastAsia="宋体" w:cs="宋体"/>
          <w:color w:val="auto"/>
          <w:sz w:val="21"/>
          <w:szCs w:val="21"/>
          <w:highlight w:val="none"/>
          <w:lang w:val="en-US" w:eastAsia="zh-CN"/>
        </w:rPr>
        <w:t>与基表</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安装</w:t>
      </w:r>
      <w:r>
        <w:rPr>
          <w:rFonts w:hint="eastAsia" w:ascii="宋体" w:hAnsi="宋体" w:eastAsia="宋体" w:cs="宋体"/>
          <w:color w:val="auto"/>
          <w:sz w:val="21"/>
          <w:szCs w:val="21"/>
          <w:highlight w:val="none"/>
        </w:rPr>
        <w:t>结合应无妨碍检定和读数的缺陷。</w:t>
      </w:r>
    </w:p>
    <w:p w14:paraId="5CEA50FF">
      <w:pPr>
        <w:pStyle w:val="210"/>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数据采集：支持采集累计正、反向累计流量数据，数据采集精确到0.1m³或1m³，支持时钟同步功能和低电压报警功能。默认上报频次为2次/日，水量数据采集周期为15分钟/次。可通过应用平台进行高频率上报周期设置，最小做到15分钟周期上报，最小数据采集和存储时间间隔为1分钟。</w:t>
      </w:r>
    </w:p>
    <w:p w14:paraId="3BF6EA44">
      <w:pPr>
        <w:pStyle w:val="210"/>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 xml:space="preserve"> 通讯</w:t>
      </w:r>
      <w:r>
        <w:rPr>
          <w:rFonts w:hint="eastAsia" w:ascii="宋体" w:hAnsi="宋体" w:eastAsia="宋体" w:cs="宋体"/>
          <w:color w:val="auto"/>
          <w:kern w:val="0"/>
          <w:sz w:val="21"/>
          <w:szCs w:val="21"/>
          <w:highlight w:val="none"/>
        </w:rPr>
        <w:t>电池：锂电池，在上报频次为2次/日时，保证可连续使用≥</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年，且必须采取安全保护措施，保证电池不发生爆炸或自燃，</w:t>
      </w:r>
      <w:r>
        <w:rPr>
          <w:rFonts w:hint="eastAsia" w:ascii="宋体" w:hAnsi="宋体" w:eastAsia="宋体" w:cs="宋体"/>
          <w:color w:val="auto"/>
          <w:sz w:val="21"/>
          <w:szCs w:val="21"/>
          <w:highlight w:val="none"/>
        </w:rPr>
        <w:t>使用寿命未达到</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年的，由供商应负责免费更换电池。</w:t>
      </w:r>
    </w:p>
    <w:p w14:paraId="65537386">
      <w:pPr>
        <w:pStyle w:val="210"/>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数据存储：采集周期为15分钟/次时，可存储数据≥30天，当存储介质存满时，新采集的数据自动覆盖最早数据。</w:t>
      </w:r>
    </w:p>
    <w:p w14:paraId="25BF6397">
      <w:pPr>
        <w:pStyle w:val="210"/>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 xml:space="preserve"> 日</w:t>
      </w:r>
      <w:r>
        <w:rPr>
          <w:rFonts w:hint="eastAsia" w:ascii="宋体" w:hAnsi="宋体" w:eastAsia="宋体" w:cs="宋体"/>
          <w:color w:val="auto"/>
          <w:kern w:val="0"/>
          <w:sz w:val="21"/>
          <w:szCs w:val="21"/>
          <w:highlight w:val="none"/>
        </w:rPr>
        <w:t>数据传输成功率≥99%</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抄读准确率≥99%</w:t>
      </w:r>
      <w:r>
        <w:rPr>
          <w:rFonts w:hint="eastAsia" w:ascii="宋体" w:hAnsi="宋体" w:eastAsia="宋体" w:cs="宋体"/>
          <w:b/>
          <w:bCs/>
          <w:color w:val="auto"/>
          <w:kern w:val="0"/>
          <w:sz w:val="21"/>
          <w:szCs w:val="21"/>
          <w:highlight w:val="none"/>
        </w:rPr>
        <w:t>（投标人提供相关水表用户使用情况及证明材料）。</w:t>
      </w:r>
    </w:p>
    <w:p w14:paraId="621A5E64">
      <w:pPr>
        <w:pStyle w:val="210"/>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6 </w:t>
      </w:r>
      <w:r>
        <w:rPr>
          <w:rFonts w:hint="eastAsia" w:ascii="宋体" w:hAnsi="宋体" w:eastAsia="宋体" w:cs="宋体"/>
          <w:color w:val="auto"/>
          <w:kern w:val="0"/>
          <w:sz w:val="21"/>
          <w:szCs w:val="21"/>
          <w:highlight w:val="none"/>
        </w:rPr>
        <w:t>远程模块</w:t>
      </w:r>
      <w:r>
        <w:rPr>
          <w:rFonts w:hint="eastAsia" w:ascii="宋体" w:hAnsi="宋体" w:eastAsia="宋体" w:cs="宋体"/>
          <w:color w:val="auto"/>
          <w:sz w:val="21"/>
          <w:szCs w:val="21"/>
          <w:highlight w:val="none"/>
        </w:rPr>
        <w:t>须印有统一的识别标识及设备编号，</w:t>
      </w:r>
      <w:r>
        <w:rPr>
          <w:rFonts w:hint="eastAsia" w:ascii="宋体" w:hAnsi="宋体" w:eastAsia="宋体" w:cs="宋体"/>
          <w:color w:val="auto"/>
          <w:kern w:val="0"/>
          <w:sz w:val="21"/>
          <w:szCs w:val="21"/>
          <w:highlight w:val="none"/>
        </w:rPr>
        <w:t>其组件、外壳和连接线材应采用阻燃材质。</w:t>
      </w:r>
    </w:p>
    <w:p w14:paraId="27A734AE">
      <w:pPr>
        <w:pStyle w:val="210"/>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 xml:space="preserve">7 </w:t>
      </w:r>
      <w:r>
        <w:rPr>
          <w:rFonts w:hint="eastAsia" w:ascii="宋体" w:hAnsi="宋体" w:eastAsia="宋体" w:cs="宋体"/>
          <w:b w:val="0"/>
          <w:bCs w:val="0"/>
          <w:color w:val="auto"/>
          <w:kern w:val="0"/>
          <w:sz w:val="21"/>
          <w:szCs w:val="21"/>
          <w:highlight w:val="none"/>
        </w:rPr>
        <w:t>水表远传模块采用无线通讯，应取得工信部颁发的入网许可证、无线电核准证书，通讯方式：支持NB-IoT无线物联网远传通讯。采用东莞本地通信运营商的通讯网络实现数据传输，并提供属地化日常通信运维服务</w:t>
      </w:r>
      <w:r>
        <w:rPr>
          <w:rFonts w:hint="eastAsia" w:ascii="宋体" w:hAnsi="宋体" w:eastAsia="宋体" w:cs="宋体"/>
          <w:b/>
          <w:bCs/>
          <w:color w:val="auto"/>
          <w:kern w:val="0"/>
          <w:sz w:val="21"/>
          <w:szCs w:val="21"/>
          <w:highlight w:val="none"/>
        </w:rPr>
        <w:t>（需提供产品说明书和相关承诺文件）</w:t>
      </w:r>
      <w:r>
        <w:rPr>
          <w:rFonts w:hint="eastAsia" w:ascii="宋体" w:hAnsi="宋体" w:eastAsia="宋体" w:cs="宋体"/>
          <w:b w:val="0"/>
          <w:bCs w:val="0"/>
          <w:color w:val="auto"/>
          <w:kern w:val="0"/>
          <w:sz w:val="21"/>
          <w:szCs w:val="21"/>
          <w:highlight w:val="none"/>
        </w:rPr>
        <w:t>。</w:t>
      </w:r>
    </w:p>
    <w:p w14:paraId="6E1AB459">
      <w:pPr>
        <w:pStyle w:val="210"/>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8 </w:t>
      </w:r>
      <w:r>
        <w:rPr>
          <w:rFonts w:hint="eastAsia" w:ascii="宋体" w:hAnsi="宋体" w:eastAsia="宋体" w:cs="宋体"/>
          <w:color w:val="auto"/>
          <w:kern w:val="0"/>
          <w:sz w:val="21"/>
          <w:szCs w:val="21"/>
          <w:highlight w:val="none"/>
        </w:rPr>
        <w:t>若处于NB-IOT信号接收不利点，投标人应采取措施，例如与运营商协调网络优化、转用4G移动通讯网络等方法，提升网络性能质量，确保数据传输成功率达到要求。采取措施所发生的所有费用，由投标人负责。</w:t>
      </w:r>
    </w:p>
    <w:p w14:paraId="66F62000">
      <w:pPr>
        <w:pStyle w:val="210"/>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9 </w:t>
      </w:r>
      <w:r>
        <w:rPr>
          <w:rFonts w:hint="eastAsia" w:ascii="宋体" w:hAnsi="宋体" w:eastAsia="宋体" w:cs="宋体"/>
          <w:color w:val="auto"/>
          <w:sz w:val="21"/>
          <w:szCs w:val="21"/>
          <w:highlight w:val="none"/>
        </w:rPr>
        <w:t>远传参数设置：可通过有线连接、手机蓝牙连接或近端手持终端设备进行参数设置和远传设备调试。</w:t>
      </w:r>
    </w:p>
    <w:p w14:paraId="7945D498">
      <w:pPr>
        <w:pStyle w:val="210"/>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 xml:space="preserve">10 </w:t>
      </w:r>
      <w:r>
        <w:rPr>
          <w:rFonts w:hint="eastAsia" w:ascii="宋体" w:hAnsi="宋体" w:eastAsia="宋体" w:cs="宋体"/>
          <w:b w:val="0"/>
          <w:bCs w:val="0"/>
          <w:color w:val="auto"/>
          <w:kern w:val="0"/>
          <w:sz w:val="21"/>
          <w:szCs w:val="21"/>
          <w:highlight w:val="none"/>
        </w:rPr>
        <w:t>远传模块的通讯协议需符合招标人物联网终端传输规约的有关要求</w:t>
      </w:r>
      <w:r>
        <w:rPr>
          <w:rFonts w:hint="eastAsia" w:ascii="宋体" w:hAnsi="宋体" w:eastAsia="宋体" w:cs="宋体"/>
          <w:b/>
          <w:bCs/>
          <w:color w:val="auto"/>
          <w:kern w:val="0"/>
          <w:sz w:val="21"/>
          <w:szCs w:val="21"/>
          <w:highlight w:val="none"/>
        </w:rPr>
        <w:t>（需提供相关承诺文件）</w:t>
      </w:r>
      <w:r>
        <w:rPr>
          <w:rFonts w:hint="eastAsia" w:ascii="宋体" w:hAnsi="宋体" w:eastAsia="宋体" w:cs="宋体"/>
          <w:b w:val="0"/>
          <w:bCs w:val="0"/>
          <w:color w:val="auto"/>
          <w:kern w:val="0"/>
          <w:sz w:val="21"/>
          <w:szCs w:val="21"/>
          <w:highlight w:val="none"/>
        </w:rPr>
        <w:t>。</w:t>
      </w:r>
    </w:p>
    <w:p w14:paraId="621276C3">
      <w:pPr>
        <w:pStyle w:val="210"/>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 xml:space="preserve">11 </w:t>
      </w:r>
      <w:r>
        <w:rPr>
          <w:rFonts w:hint="eastAsia" w:ascii="宋体" w:hAnsi="宋体" w:eastAsia="宋体" w:cs="宋体"/>
          <w:b w:val="0"/>
          <w:bCs w:val="0"/>
          <w:color w:val="auto"/>
          <w:kern w:val="0"/>
          <w:sz w:val="21"/>
          <w:szCs w:val="21"/>
          <w:highlight w:val="none"/>
        </w:rPr>
        <w:t>平台对接：所有数据按招标人要求无缝融合到招标人</w:t>
      </w:r>
      <w:r>
        <w:rPr>
          <w:rFonts w:hint="eastAsia" w:ascii="宋体" w:hAnsi="宋体" w:eastAsia="宋体" w:cs="宋体"/>
          <w:b w:val="0"/>
          <w:bCs w:val="0"/>
          <w:color w:val="auto"/>
          <w:kern w:val="0"/>
          <w:sz w:val="21"/>
          <w:szCs w:val="21"/>
          <w:highlight w:val="none"/>
          <w:lang w:val="en-US" w:eastAsia="zh-CN"/>
        </w:rPr>
        <w:t>智能水表</w:t>
      </w:r>
      <w:r>
        <w:rPr>
          <w:rFonts w:hint="eastAsia" w:ascii="宋体" w:hAnsi="宋体" w:eastAsia="宋体" w:cs="宋体"/>
          <w:b w:val="0"/>
          <w:bCs w:val="0"/>
          <w:color w:val="auto"/>
          <w:kern w:val="0"/>
          <w:sz w:val="21"/>
          <w:szCs w:val="21"/>
          <w:highlight w:val="none"/>
        </w:rPr>
        <w:t>管理系统，</w:t>
      </w:r>
      <w:r>
        <w:rPr>
          <w:rFonts w:hint="eastAsia" w:ascii="宋体" w:hAnsi="宋体" w:eastAsia="宋体" w:cs="宋体"/>
          <w:b w:val="0"/>
          <w:bCs w:val="0"/>
          <w:color w:val="auto"/>
          <w:kern w:val="0"/>
          <w:sz w:val="21"/>
          <w:szCs w:val="21"/>
          <w:highlight w:val="none"/>
          <w:lang w:val="en-US" w:eastAsia="zh-CN"/>
        </w:rPr>
        <w:t>中标人需</w:t>
      </w:r>
      <w:r>
        <w:rPr>
          <w:rFonts w:hint="eastAsia" w:ascii="宋体" w:hAnsi="宋体" w:eastAsia="宋体" w:cs="宋体"/>
          <w:b w:val="0"/>
          <w:bCs w:val="0"/>
          <w:color w:val="auto"/>
          <w:kern w:val="0"/>
          <w:sz w:val="21"/>
          <w:szCs w:val="21"/>
          <w:highlight w:val="none"/>
        </w:rPr>
        <w:t>无偿</w:t>
      </w:r>
      <w:r>
        <w:rPr>
          <w:rFonts w:hint="eastAsia" w:ascii="宋体" w:hAnsi="宋体" w:eastAsia="宋体" w:cs="宋体"/>
          <w:b w:val="0"/>
          <w:bCs w:val="0"/>
          <w:color w:val="auto"/>
          <w:kern w:val="0"/>
          <w:sz w:val="21"/>
          <w:szCs w:val="21"/>
          <w:highlight w:val="none"/>
          <w:lang w:val="en-US" w:eastAsia="zh-CN"/>
        </w:rPr>
        <w:t>配合远传水表的</w:t>
      </w:r>
      <w:r>
        <w:rPr>
          <w:rFonts w:hint="eastAsia" w:ascii="宋体" w:hAnsi="宋体" w:eastAsia="宋体" w:cs="宋体"/>
          <w:b w:val="0"/>
          <w:bCs w:val="0"/>
          <w:color w:val="auto"/>
          <w:kern w:val="0"/>
          <w:sz w:val="21"/>
          <w:szCs w:val="21"/>
          <w:highlight w:val="none"/>
        </w:rPr>
        <w:t>接入工作</w:t>
      </w:r>
      <w:r>
        <w:rPr>
          <w:rFonts w:hint="eastAsia" w:ascii="宋体" w:hAnsi="宋体" w:eastAsia="宋体" w:cs="宋体"/>
          <w:b/>
          <w:bCs/>
          <w:color w:val="auto"/>
          <w:kern w:val="0"/>
          <w:sz w:val="21"/>
          <w:szCs w:val="21"/>
          <w:highlight w:val="none"/>
        </w:rPr>
        <w:t>（需提供可无缝接入</w:t>
      </w:r>
      <w:r>
        <w:rPr>
          <w:rFonts w:hint="eastAsia" w:ascii="宋体" w:hAnsi="宋体" w:eastAsia="宋体" w:cs="宋体"/>
          <w:b/>
          <w:bCs/>
          <w:color w:val="auto"/>
          <w:kern w:val="0"/>
          <w:sz w:val="21"/>
          <w:szCs w:val="21"/>
          <w:highlight w:val="none"/>
          <w:lang w:val="en-US" w:eastAsia="zh-CN"/>
        </w:rPr>
        <w:t>招</w:t>
      </w:r>
      <w:r>
        <w:rPr>
          <w:rFonts w:hint="eastAsia" w:ascii="宋体" w:hAnsi="宋体" w:eastAsia="宋体" w:cs="宋体"/>
          <w:b/>
          <w:bCs/>
          <w:color w:val="auto"/>
          <w:kern w:val="0"/>
          <w:sz w:val="21"/>
          <w:szCs w:val="21"/>
          <w:highlight w:val="none"/>
        </w:rPr>
        <w:t>标人所指定的系统管理平台的承诺函）</w:t>
      </w:r>
      <w:r>
        <w:rPr>
          <w:rFonts w:hint="eastAsia" w:ascii="宋体" w:hAnsi="宋体" w:eastAsia="宋体" w:cs="宋体"/>
          <w:b w:val="0"/>
          <w:bCs w:val="0"/>
          <w:color w:val="auto"/>
          <w:kern w:val="0"/>
          <w:sz w:val="21"/>
          <w:szCs w:val="21"/>
          <w:highlight w:val="none"/>
        </w:rPr>
        <w:t>。</w:t>
      </w:r>
    </w:p>
    <w:p w14:paraId="3A530E71">
      <w:pPr>
        <w:pStyle w:val="37"/>
        <w:keepNext w:val="0"/>
        <w:keepLines w:val="0"/>
        <w:pageBreakBefore w:val="0"/>
        <w:kinsoku/>
        <w:wordWrap/>
        <w:topLinePunct w:val="0"/>
        <w:bidi w:val="0"/>
        <w:spacing w:beforeAutospacing="0" w:after="0" w:line="360" w:lineRule="auto"/>
        <w:ind w:left="0" w:leftChars="0" w:right="0" w:firstLine="420" w:firstLineChars="200"/>
        <w:jc w:val="left"/>
        <w:rPr>
          <w:rFonts w:hint="eastAsia" w:ascii="宋体" w:hAnsi="宋体" w:eastAsia="宋体" w:cs="宋体"/>
          <w:color w:val="auto"/>
          <w:sz w:val="21"/>
          <w:szCs w:val="21"/>
          <w:highlight w:val="none"/>
        </w:rPr>
      </w:pPr>
    </w:p>
    <w:p w14:paraId="3BA56F3C">
      <w:pPr>
        <w:pStyle w:val="12"/>
        <w:keepNext w:val="0"/>
        <w:keepLines w:val="0"/>
        <w:pageBreakBefore w:val="0"/>
        <w:kinsoku/>
        <w:wordWrap/>
        <w:topLinePunct w:val="0"/>
        <w:bidi w:val="0"/>
        <w:spacing w:beforeAutospacing="0" w:line="360" w:lineRule="auto"/>
        <w:ind w:left="0" w:leftChars="0" w:right="0" w:firstLine="0" w:firstLineChars="0"/>
        <w:jc w:val="left"/>
        <w:outlineLvl w:val="1"/>
        <w:rPr>
          <w:rFonts w:hint="eastAsia" w:ascii="宋体" w:hAnsi="宋体" w:eastAsia="宋体" w:cs="宋体"/>
          <w:b/>
          <w:bCs/>
          <w:color w:val="auto"/>
          <w:sz w:val="21"/>
          <w:szCs w:val="21"/>
          <w:highlight w:val="none"/>
        </w:rPr>
      </w:pPr>
      <w:bookmarkStart w:id="415" w:name="_Toc21210"/>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物联网终端传输规约要求</w:t>
      </w:r>
      <w:bookmarkEnd w:id="415"/>
    </w:p>
    <w:p w14:paraId="3D9C4C14">
      <w:pPr>
        <w:pStyle w:val="12"/>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投标人的投标产品需符合招标人物联网终端传输规约要求，包括但不限于以下协议框架、应用数据结构等，其他相关要求可于中标后咨询招标人。</w:t>
      </w:r>
    </w:p>
    <w:p w14:paraId="0C2AB596">
      <w:pPr>
        <w:keepNext w:val="0"/>
        <w:keepLines w:val="0"/>
        <w:pageBreakBefore w:val="0"/>
        <w:numPr>
          <w:ilvl w:val="0"/>
          <w:numId w:val="0"/>
        </w:numPr>
        <w:kinsoku/>
        <w:wordWrap/>
        <w:topLinePunct w:val="0"/>
        <w:bidi w:val="0"/>
        <w:spacing w:beforeAutospacing="0" w:line="360" w:lineRule="auto"/>
        <w:ind w:left="0" w:leftChars="0" w:right="0" w:firstLine="422" w:firstLineChars="200"/>
        <w:jc w:val="left"/>
        <w:outlineLvl w:val="9"/>
        <w:rPr>
          <w:rFonts w:hint="eastAsia" w:ascii="宋体" w:hAnsi="宋体" w:eastAsia="宋体" w:cs="宋体"/>
          <w:b/>
          <w:bCs/>
          <w:color w:val="auto"/>
          <w:sz w:val="21"/>
          <w:szCs w:val="21"/>
          <w:highlight w:val="none"/>
          <w:lang w:eastAsia="zh-CN"/>
        </w:rPr>
      </w:pPr>
      <w:bookmarkStart w:id="416" w:name="_Toc1507"/>
      <w:bookmarkStart w:id="417" w:name="_Toc22048"/>
      <w:r>
        <w:rPr>
          <w:rFonts w:hint="eastAsia" w:ascii="宋体" w:hAnsi="宋体" w:eastAsia="宋体" w:cs="宋体"/>
          <w:b/>
          <w:bCs/>
          <w:color w:val="auto"/>
          <w:kern w:val="0"/>
          <w:sz w:val="21"/>
          <w:szCs w:val="21"/>
          <w:highlight w:val="none"/>
          <w:lang w:val="en-US" w:eastAsia="zh-CN" w:bidi="ar-SA"/>
        </w:rPr>
        <w:t>3.1</w:t>
      </w:r>
      <w:r>
        <w:rPr>
          <w:rFonts w:hint="eastAsia" w:ascii="宋体" w:hAnsi="宋体" w:eastAsia="宋体" w:cs="宋体"/>
          <w:b/>
          <w:bCs/>
          <w:color w:val="auto"/>
          <w:sz w:val="21"/>
          <w:szCs w:val="21"/>
          <w:highlight w:val="none"/>
          <w:lang w:eastAsia="zh-CN"/>
        </w:rPr>
        <w:t>协议框架</w:t>
      </w:r>
      <w:bookmarkEnd w:id="416"/>
      <w:bookmarkEnd w:id="417"/>
    </w:p>
    <w:p w14:paraId="36E7B625">
      <w:pPr>
        <w:keepNext w:val="0"/>
        <w:keepLines w:val="0"/>
        <w:pageBreakBefore w:val="0"/>
        <w:numPr>
          <w:ilvl w:val="1"/>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eastAsia="zh-CN"/>
        </w:rPr>
      </w:pPr>
      <w:bookmarkStart w:id="418" w:name="_Toc3529"/>
      <w:bookmarkStart w:id="419" w:name="_Toc1129"/>
      <w:r>
        <w:rPr>
          <w:rFonts w:hint="eastAsia" w:ascii="宋体" w:hAnsi="宋体" w:eastAsia="宋体" w:cs="宋体"/>
          <w:b w:val="0"/>
          <w:bCs w:val="0"/>
          <w:color w:val="auto"/>
          <w:kern w:val="0"/>
          <w:sz w:val="21"/>
          <w:szCs w:val="21"/>
          <w:highlight w:val="none"/>
          <w:lang w:val="en-US" w:eastAsia="zh-CN" w:bidi="ar-SA"/>
        </w:rPr>
        <w:t xml:space="preserve">3.1.1 </w:t>
      </w:r>
      <w:r>
        <w:rPr>
          <w:rFonts w:hint="eastAsia" w:ascii="宋体" w:hAnsi="宋体" w:eastAsia="宋体" w:cs="宋体"/>
          <w:b w:val="0"/>
          <w:bCs w:val="0"/>
          <w:color w:val="auto"/>
          <w:sz w:val="21"/>
          <w:szCs w:val="21"/>
          <w:highlight w:val="none"/>
          <w:lang w:eastAsia="zh-CN"/>
        </w:rPr>
        <w:t>上行框架</w:t>
      </w:r>
      <w:bookmarkEnd w:id="418"/>
      <w:bookmarkEnd w:id="419"/>
    </w:p>
    <w:p w14:paraId="20654473">
      <w:pPr>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上行框架规定了所有从设备端发往平台端的数据帧的基础格式，结构如下：</w:t>
      </w:r>
    </w:p>
    <w:tbl>
      <w:tblPr>
        <w:tblStyle w:val="4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820"/>
        <w:gridCol w:w="1095"/>
        <w:gridCol w:w="4730"/>
      </w:tblGrid>
      <w:tr w14:paraId="5F4D5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1871AA1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eastAsia="zh-CN"/>
              </w:rPr>
              <w:t>帧起始符（</w:t>
            </w:r>
            <w:r>
              <w:rPr>
                <w:rFonts w:hint="eastAsia" w:ascii="宋体" w:hAnsi="宋体" w:eastAsia="宋体" w:cs="宋体"/>
                <w:b w:val="0"/>
                <w:bCs w:val="0"/>
                <w:color w:val="auto"/>
                <w:sz w:val="21"/>
                <w:szCs w:val="21"/>
                <w:highlight w:val="none"/>
                <w:vertAlign w:val="baseline"/>
                <w:lang w:val="en-US" w:eastAsia="zh-CN"/>
              </w:rPr>
              <w:t>68H</w:t>
            </w:r>
            <w:r>
              <w:rPr>
                <w:rFonts w:hint="eastAsia" w:ascii="宋体" w:hAnsi="宋体" w:eastAsia="宋体" w:cs="宋体"/>
                <w:b w:val="0"/>
                <w:bCs w:val="0"/>
                <w:color w:val="auto"/>
                <w:sz w:val="21"/>
                <w:szCs w:val="21"/>
                <w:highlight w:val="none"/>
                <w:vertAlign w:val="baseline"/>
                <w:lang w:eastAsia="zh-CN"/>
              </w:rPr>
              <w:t>）</w:t>
            </w:r>
          </w:p>
        </w:tc>
        <w:tc>
          <w:tcPr>
            <w:tcW w:w="1095" w:type="dxa"/>
            <w:noWrap w:val="0"/>
            <w:vAlign w:val="center"/>
          </w:tcPr>
          <w:p w14:paraId="43695C0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44EB7BF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val="en-US" w:eastAsia="zh-CN"/>
              </w:rPr>
              <w:t>固定值</w:t>
            </w:r>
          </w:p>
        </w:tc>
      </w:tr>
      <w:tr w14:paraId="7D8E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7F58912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帧长度</w:t>
            </w:r>
          </w:p>
        </w:tc>
        <w:tc>
          <w:tcPr>
            <w:tcW w:w="1095" w:type="dxa"/>
            <w:noWrap w:val="0"/>
            <w:vAlign w:val="center"/>
          </w:tcPr>
          <w:p w14:paraId="44E87A4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2Byte</w:t>
            </w:r>
          </w:p>
        </w:tc>
        <w:tc>
          <w:tcPr>
            <w:tcW w:w="4730" w:type="dxa"/>
            <w:noWrap w:val="0"/>
            <w:vAlign w:val="center"/>
          </w:tcPr>
          <w:p w14:paraId="1BDB9A2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从</w:t>
            </w:r>
            <w:r>
              <w:rPr>
                <w:rFonts w:hint="eastAsia" w:ascii="宋体" w:hAnsi="宋体" w:eastAsia="宋体" w:cs="宋体"/>
                <w:b w:val="0"/>
                <w:bCs w:val="0"/>
                <w:color w:val="auto"/>
                <w:sz w:val="21"/>
                <w:szCs w:val="21"/>
                <w:highlight w:val="none"/>
                <w:vertAlign w:val="baseline"/>
                <w:lang w:eastAsia="zh-CN"/>
              </w:rPr>
              <w:t>帧起始符（</w:t>
            </w:r>
            <w:r>
              <w:rPr>
                <w:rFonts w:hint="eastAsia" w:ascii="宋体" w:hAnsi="宋体" w:eastAsia="宋体" w:cs="宋体"/>
                <w:b w:val="0"/>
                <w:bCs w:val="0"/>
                <w:color w:val="auto"/>
                <w:sz w:val="21"/>
                <w:szCs w:val="21"/>
                <w:highlight w:val="none"/>
                <w:vertAlign w:val="baseline"/>
                <w:lang w:val="en-US" w:eastAsia="zh-CN"/>
              </w:rPr>
              <w:t>68H</w:t>
            </w:r>
            <w:r>
              <w:rPr>
                <w:rFonts w:hint="eastAsia" w:ascii="宋体" w:hAnsi="宋体" w:eastAsia="宋体" w:cs="宋体"/>
                <w:b w:val="0"/>
                <w:bCs w:val="0"/>
                <w:color w:val="auto"/>
                <w:sz w:val="21"/>
                <w:szCs w:val="21"/>
                <w:highlight w:val="none"/>
                <w:vertAlign w:val="baseline"/>
                <w:lang w:eastAsia="zh-CN"/>
              </w:rPr>
              <w:t>）至帧结束符（</w:t>
            </w:r>
            <w:r>
              <w:rPr>
                <w:rFonts w:hint="eastAsia" w:ascii="宋体" w:hAnsi="宋体" w:eastAsia="宋体" w:cs="宋体"/>
                <w:b w:val="0"/>
                <w:bCs w:val="0"/>
                <w:color w:val="auto"/>
                <w:sz w:val="21"/>
                <w:szCs w:val="21"/>
                <w:highlight w:val="none"/>
                <w:vertAlign w:val="baseline"/>
                <w:lang w:val="en-US" w:eastAsia="zh-CN"/>
              </w:rPr>
              <w:t>16H</w:t>
            </w:r>
            <w:r>
              <w:rPr>
                <w:rFonts w:hint="eastAsia" w:ascii="宋体" w:hAnsi="宋体" w:eastAsia="宋体" w:cs="宋体"/>
                <w:b w:val="0"/>
                <w:bCs w:val="0"/>
                <w:color w:val="auto"/>
                <w:sz w:val="21"/>
                <w:szCs w:val="21"/>
                <w:highlight w:val="none"/>
                <w:vertAlign w:val="baseline"/>
                <w:lang w:eastAsia="zh-CN"/>
              </w:rPr>
              <w:t>）之间的字节总数，</w:t>
            </w:r>
            <w:r>
              <w:rPr>
                <w:rFonts w:hint="eastAsia" w:ascii="宋体" w:hAnsi="宋体" w:eastAsia="宋体" w:cs="宋体"/>
                <w:b w:val="0"/>
                <w:bCs w:val="0"/>
                <w:color w:val="auto"/>
                <w:sz w:val="21"/>
                <w:szCs w:val="21"/>
                <w:highlight w:val="none"/>
                <w:vertAlign w:val="baseline"/>
                <w:lang w:val="en-US" w:eastAsia="zh-CN"/>
              </w:rPr>
              <w:t>不含68H和16H。</w:t>
            </w:r>
          </w:p>
        </w:tc>
      </w:tr>
      <w:tr w14:paraId="68ACC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388FE93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帧标识</w:t>
            </w:r>
          </w:p>
        </w:tc>
        <w:tc>
          <w:tcPr>
            <w:tcW w:w="1095" w:type="dxa"/>
            <w:noWrap w:val="0"/>
            <w:vAlign w:val="center"/>
          </w:tcPr>
          <w:p w14:paraId="7B89F33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78101D1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eastAsia="zh-CN"/>
              </w:rPr>
              <w:t>是否加密</w:t>
            </w:r>
            <w:r>
              <w:rPr>
                <w:rFonts w:hint="eastAsia" w:ascii="宋体" w:hAnsi="宋体" w:eastAsia="宋体" w:cs="宋体"/>
                <w:b w:val="0"/>
                <w:bCs w:val="0"/>
                <w:color w:val="auto"/>
                <w:sz w:val="21"/>
                <w:szCs w:val="21"/>
                <w:highlight w:val="none"/>
                <w:vertAlign w:val="baseline"/>
                <w:lang w:val="en-US" w:eastAsia="zh-CN"/>
              </w:rPr>
              <w:t>1bit、是否分帧2bit、帧序号4bit、是否包含运行参数段1bit</w:t>
            </w:r>
          </w:p>
        </w:tc>
      </w:tr>
      <w:tr w14:paraId="7190F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5230A3F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协议版本</w:t>
            </w:r>
          </w:p>
        </w:tc>
        <w:tc>
          <w:tcPr>
            <w:tcW w:w="1095" w:type="dxa"/>
            <w:noWrap w:val="0"/>
            <w:vAlign w:val="center"/>
          </w:tcPr>
          <w:p w14:paraId="2D2907E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0813D45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eastAsia="zh-CN"/>
              </w:rPr>
              <w:t>主版本</w:t>
            </w:r>
            <w:r>
              <w:rPr>
                <w:rFonts w:hint="eastAsia" w:ascii="宋体" w:hAnsi="宋体" w:eastAsia="宋体" w:cs="宋体"/>
                <w:b w:val="0"/>
                <w:bCs w:val="0"/>
                <w:color w:val="auto"/>
                <w:sz w:val="21"/>
                <w:szCs w:val="21"/>
                <w:highlight w:val="none"/>
                <w:vertAlign w:val="baseline"/>
                <w:lang w:val="en-US" w:eastAsia="zh-CN"/>
              </w:rPr>
              <w:t>4bit、子版本4bit</w:t>
            </w:r>
          </w:p>
        </w:tc>
      </w:tr>
      <w:tr w14:paraId="05FD4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13DE92A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eastAsia="zh-CN"/>
              </w:rPr>
              <w:t>设备地址</w:t>
            </w:r>
          </w:p>
        </w:tc>
        <w:tc>
          <w:tcPr>
            <w:tcW w:w="1095" w:type="dxa"/>
            <w:noWrap w:val="0"/>
            <w:vAlign w:val="center"/>
          </w:tcPr>
          <w:p w14:paraId="133C8F5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8Byte</w:t>
            </w:r>
          </w:p>
        </w:tc>
        <w:tc>
          <w:tcPr>
            <w:tcW w:w="4730" w:type="dxa"/>
            <w:noWrap w:val="0"/>
            <w:vAlign w:val="center"/>
          </w:tcPr>
          <w:p w14:paraId="5074957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表码</w:t>
            </w:r>
          </w:p>
        </w:tc>
      </w:tr>
      <w:tr w14:paraId="32F60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6FEADD9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eastAsia="zh-CN"/>
              </w:rPr>
              <w:t>功能码</w:t>
            </w:r>
          </w:p>
        </w:tc>
        <w:tc>
          <w:tcPr>
            <w:tcW w:w="1095" w:type="dxa"/>
            <w:noWrap w:val="0"/>
            <w:vAlign w:val="center"/>
          </w:tcPr>
          <w:p w14:paraId="4CFA4C2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05270E2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eastAsia="zh-CN"/>
              </w:rPr>
              <w:t>功能码</w:t>
            </w:r>
          </w:p>
        </w:tc>
      </w:tr>
      <w:tr w14:paraId="0716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52E28AB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eastAsia="zh-CN"/>
              </w:rPr>
              <w:t>帧确认符（</w:t>
            </w:r>
            <w:r>
              <w:rPr>
                <w:rFonts w:hint="eastAsia" w:ascii="宋体" w:hAnsi="宋体" w:eastAsia="宋体" w:cs="宋体"/>
                <w:b w:val="0"/>
                <w:bCs w:val="0"/>
                <w:color w:val="auto"/>
                <w:sz w:val="21"/>
                <w:szCs w:val="21"/>
                <w:highlight w:val="none"/>
                <w:vertAlign w:val="baseline"/>
                <w:lang w:val="en-US" w:eastAsia="zh-CN"/>
              </w:rPr>
              <w:t>68H</w:t>
            </w:r>
            <w:r>
              <w:rPr>
                <w:rFonts w:hint="eastAsia" w:ascii="宋体" w:hAnsi="宋体" w:eastAsia="宋体" w:cs="宋体"/>
                <w:b w:val="0"/>
                <w:bCs w:val="0"/>
                <w:color w:val="auto"/>
                <w:sz w:val="21"/>
                <w:szCs w:val="21"/>
                <w:highlight w:val="none"/>
                <w:vertAlign w:val="baseline"/>
                <w:lang w:eastAsia="zh-CN"/>
              </w:rPr>
              <w:t>）</w:t>
            </w:r>
          </w:p>
        </w:tc>
        <w:tc>
          <w:tcPr>
            <w:tcW w:w="1095" w:type="dxa"/>
            <w:noWrap w:val="0"/>
            <w:vAlign w:val="center"/>
          </w:tcPr>
          <w:p w14:paraId="359622B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56A3898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val="en-US" w:eastAsia="zh-CN"/>
              </w:rPr>
              <w:t>固定值</w:t>
            </w:r>
          </w:p>
        </w:tc>
      </w:tr>
      <w:tr w14:paraId="29F7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restart"/>
            <w:noWrap w:val="0"/>
            <w:vAlign w:val="center"/>
          </w:tcPr>
          <w:p w14:paraId="5C11A6B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运行参数段</w:t>
            </w:r>
          </w:p>
        </w:tc>
        <w:tc>
          <w:tcPr>
            <w:tcW w:w="2820" w:type="dxa"/>
            <w:noWrap w:val="0"/>
            <w:vAlign w:val="center"/>
          </w:tcPr>
          <w:p w14:paraId="599BB10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设备标识</w:t>
            </w:r>
          </w:p>
        </w:tc>
        <w:tc>
          <w:tcPr>
            <w:tcW w:w="1095" w:type="dxa"/>
            <w:noWrap w:val="0"/>
            <w:vAlign w:val="center"/>
          </w:tcPr>
          <w:p w14:paraId="1E8AF5E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5C82377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包含设备工作模式（1Bit）、设备类型（7Bit）</w:t>
            </w:r>
          </w:p>
        </w:tc>
      </w:tr>
      <w:tr w14:paraId="60EE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5AFBA5D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2820" w:type="dxa"/>
            <w:noWrap w:val="0"/>
            <w:vAlign w:val="center"/>
          </w:tcPr>
          <w:p w14:paraId="702CF83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设备电压</w:t>
            </w:r>
          </w:p>
        </w:tc>
        <w:tc>
          <w:tcPr>
            <w:tcW w:w="1095" w:type="dxa"/>
            <w:noWrap w:val="0"/>
            <w:vAlign w:val="center"/>
          </w:tcPr>
          <w:p w14:paraId="5EFDB53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2Byte</w:t>
            </w:r>
          </w:p>
        </w:tc>
        <w:tc>
          <w:tcPr>
            <w:tcW w:w="4730" w:type="dxa"/>
            <w:noWrap w:val="0"/>
            <w:vAlign w:val="center"/>
          </w:tcPr>
          <w:p w14:paraId="6228FCC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7259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753A25E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c>
          <w:tcPr>
            <w:tcW w:w="2820" w:type="dxa"/>
            <w:noWrap w:val="0"/>
            <w:vAlign w:val="center"/>
          </w:tcPr>
          <w:p w14:paraId="68B9CB4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信号强度</w:t>
            </w:r>
          </w:p>
        </w:tc>
        <w:tc>
          <w:tcPr>
            <w:tcW w:w="1095" w:type="dxa"/>
            <w:noWrap w:val="0"/>
            <w:vAlign w:val="center"/>
          </w:tcPr>
          <w:p w14:paraId="1FBAC00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1D1C709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521F4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007B2BF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c>
          <w:tcPr>
            <w:tcW w:w="2820" w:type="dxa"/>
            <w:noWrap w:val="0"/>
            <w:vAlign w:val="center"/>
          </w:tcPr>
          <w:p w14:paraId="096BA28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接收功率</w:t>
            </w:r>
          </w:p>
        </w:tc>
        <w:tc>
          <w:tcPr>
            <w:tcW w:w="1095" w:type="dxa"/>
            <w:noWrap w:val="0"/>
            <w:vAlign w:val="center"/>
          </w:tcPr>
          <w:p w14:paraId="56F4BC6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2Byte</w:t>
            </w:r>
          </w:p>
        </w:tc>
        <w:tc>
          <w:tcPr>
            <w:tcW w:w="4730" w:type="dxa"/>
            <w:noWrap w:val="0"/>
            <w:vAlign w:val="center"/>
          </w:tcPr>
          <w:p w14:paraId="2AB2EBE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57BFE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7069FBA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c>
          <w:tcPr>
            <w:tcW w:w="2820" w:type="dxa"/>
            <w:noWrap w:val="0"/>
            <w:vAlign w:val="center"/>
          </w:tcPr>
          <w:p w14:paraId="6EA3290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信噪比</w:t>
            </w:r>
          </w:p>
        </w:tc>
        <w:tc>
          <w:tcPr>
            <w:tcW w:w="1095" w:type="dxa"/>
            <w:noWrap w:val="0"/>
            <w:vAlign w:val="center"/>
          </w:tcPr>
          <w:p w14:paraId="4033A27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2Byte</w:t>
            </w:r>
          </w:p>
        </w:tc>
        <w:tc>
          <w:tcPr>
            <w:tcW w:w="4730" w:type="dxa"/>
            <w:noWrap w:val="0"/>
            <w:vAlign w:val="center"/>
          </w:tcPr>
          <w:p w14:paraId="1188C76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4F97C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31E6C0E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c>
          <w:tcPr>
            <w:tcW w:w="2820" w:type="dxa"/>
            <w:noWrap w:val="0"/>
            <w:vAlign w:val="center"/>
          </w:tcPr>
          <w:p w14:paraId="124088C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覆盖等级</w:t>
            </w:r>
          </w:p>
        </w:tc>
        <w:tc>
          <w:tcPr>
            <w:tcW w:w="1095" w:type="dxa"/>
            <w:noWrap w:val="0"/>
            <w:vAlign w:val="center"/>
          </w:tcPr>
          <w:p w14:paraId="5F39285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27F6DE9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0773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5C1C4C6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c>
          <w:tcPr>
            <w:tcW w:w="2820" w:type="dxa"/>
            <w:noWrap w:val="0"/>
            <w:vAlign w:val="center"/>
          </w:tcPr>
          <w:p w14:paraId="09A066B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小区ID</w:t>
            </w:r>
          </w:p>
        </w:tc>
        <w:tc>
          <w:tcPr>
            <w:tcW w:w="1095" w:type="dxa"/>
            <w:noWrap w:val="0"/>
            <w:vAlign w:val="center"/>
          </w:tcPr>
          <w:p w14:paraId="7704456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4Byte</w:t>
            </w:r>
          </w:p>
        </w:tc>
        <w:tc>
          <w:tcPr>
            <w:tcW w:w="4730" w:type="dxa"/>
            <w:noWrap w:val="0"/>
            <w:vAlign w:val="center"/>
          </w:tcPr>
          <w:p w14:paraId="3DD91F6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68D0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042E7E1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c>
          <w:tcPr>
            <w:tcW w:w="2820" w:type="dxa"/>
            <w:noWrap w:val="0"/>
            <w:vAlign w:val="center"/>
          </w:tcPr>
          <w:p w14:paraId="6589F48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IMEI标识</w:t>
            </w:r>
          </w:p>
        </w:tc>
        <w:tc>
          <w:tcPr>
            <w:tcW w:w="1095" w:type="dxa"/>
            <w:noWrap w:val="0"/>
            <w:vAlign w:val="center"/>
          </w:tcPr>
          <w:p w14:paraId="177C7BF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8Byte</w:t>
            </w:r>
          </w:p>
        </w:tc>
        <w:tc>
          <w:tcPr>
            <w:tcW w:w="4730" w:type="dxa"/>
            <w:noWrap w:val="0"/>
            <w:vAlign w:val="center"/>
          </w:tcPr>
          <w:p w14:paraId="00B8435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BCD</w:t>
            </w:r>
          </w:p>
        </w:tc>
      </w:tr>
      <w:tr w14:paraId="2EBD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5F094FC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c>
          <w:tcPr>
            <w:tcW w:w="2820" w:type="dxa"/>
            <w:noWrap w:val="0"/>
            <w:vAlign w:val="center"/>
          </w:tcPr>
          <w:p w14:paraId="28204B3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SIM标识</w:t>
            </w:r>
          </w:p>
        </w:tc>
        <w:tc>
          <w:tcPr>
            <w:tcW w:w="1095" w:type="dxa"/>
            <w:noWrap w:val="0"/>
            <w:vAlign w:val="center"/>
          </w:tcPr>
          <w:p w14:paraId="7C78A87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10Byte</w:t>
            </w:r>
          </w:p>
        </w:tc>
        <w:tc>
          <w:tcPr>
            <w:tcW w:w="4730" w:type="dxa"/>
            <w:noWrap w:val="0"/>
            <w:vAlign w:val="center"/>
          </w:tcPr>
          <w:p w14:paraId="1340DE2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BCD</w:t>
            </w:r>
          </w:p>
        </w:tc>
      </w:tr>
      <w:tr w14:paraId="5011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5C4DF47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指令MID</w:t>
            </w:r>
          </w:p>
        </w:tc>
        <w:tc>
          <w:tcPr>
            <w:tcW w:w="1095" w:type="dxa"/>
            <w:noWrap w:val="0"/>
            <w:vAlign w:val="center"/>
          </w:tcPr>
          <w:p w14:paraId="4B50CA2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2Byte</w:t>
            </w:r>
          </w:p>
        </w:tc>
        <w:tc>
          <w:tcPr>
            <w:tcW w:w="4730" w:type="dxa"/>
            <w:noWrap w:val="0"/>
            <w:vAlign w:val="center"/>
          </w:tcPr>
          <w:p w14:paraId="06FD907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val="en-US" w:eastAsia="zh-CN"/>
              </w:rPr>
              <w:t>指令标识，高字节在前，发起方生成，接收方原码返回</w:t>
            </w:r>
          </w:p>
        </w:tc>
      </w:tr>
      <w:tr w14:paraId="09B1D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3B36BB6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功能数据段</w:t>
            </w:r>
          </w:p>
        </w:tc>
        <w:tc>
          <w:tcPr>
            <w:tcW w:w="1095" w:type="dxa"/>
            <w:noWrap w:val="0"/>
            <w:vAlign w:val="center"/>
          </w:tcPr>
          <w:p w14:paraId="2015D54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变长</w:t>
            </w:r>
          </w:p>
        </w:tc>
        <w:tc>
          <w:tcPr>
            <w:tcW w:w="4730" w:type="dxa"/>
            <w:noWrap w:val="0"/>
            <w:vAlign w:val="center"/>
          </w:tcPr>
          <w:p w14:paraId="66F489E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eastAsia="zh-CN"/>
              </w:rPr>
              <w:t>由功能码决定</w:t>
            </w:r>
          </w:p>
        </w:tc>
      </w:tr>
      <w:tr w14:paraId="2D101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38C9907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帧校验</w:t>
            </w:r>
          </w:p>
        </w:tc>
        <w:tc>
          <w:tcPr>
            <w:tcW w:w="1095" w:type="dxa"/>
            <w:noWrap w:val="0"/>
            <w:vAlign w:val="center"/>
          </w:tcPr>
          <w:p w14:paraId="1CF259B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7C7C39F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4F252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12A0F71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帧结束符（16H）</w:t>
            </w:r>
          </w:p>
        </w:tc>
        <w:tc>
          <w:tcPr>
            <w:tcW w:w="1095" w:type="dxa"/>
            <w:noWrap w:val="0"/>
            <w:vAlign w:val="center"/>
          </w:tcPr>
          <w:p w14:paraId="782192B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61D7D1F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固定值</w:t>
            </w:r>
          </w:p>
        </w:tc>
      </w:tr>
    </w:tbl>
    <w:p w14:paraId="7C23C864">
      <w:pPr>
        <w:keepNext w:val="0"/>
        <w:keepLines w:val="0"/>
        <w:pageBreakBefore w:val="0"/>
        <w:numPr>
          <w:ilvl w:val="1"/>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eastAsia="zh-CN"/>
        </w:rPr>
      </w:pPr>
      <w:bookmarkStart w:id="420" w:name="_Toc29169"/>
      <w:bookmarkStart w:id="421" w:name="_Toc30665"/>
      <w:r>
        <w:rPr>
          <w:rFonts w:hint="eastAsia" w:ascii="宋体" w:hAnsi="宋体" w:eastAsia="宋体" w:cs="宋体"/>
          <w:b w:val="0"/>
          <w:bCs w:val="0"/>
          <w:color w:val="auto"/>
          <w:kern w:val="0"/>
          <w:sz w:val="21"/>
          <w:szCs w:val="21"/>
          <w:highlight w:val="none"/>
          <w:lang w:val="en-US" w:eastAsia="zh-CN" w:bidi="ar-SA"/>
        </w:rPr>
        <w:t xml:space="preserve">3.1.2 </w:t>
      </w:r>
      <w:r>
        <w:rPr>
          <w:rFonts w:hint="eastAsia" w:ascii="宋体" w:hAnsi="宋体" w:eastAsia="宋体" w:cs="宋体"/>
          <w:b w:val="0"/>
          <w:bCs w:val="0"/>
          <w:color w:val="auto"/>
          <w:sz w:val="21"/>
          <w:szCs w:val="21"/>
          <w:highlight w:val="none"/>
          <w:lang w:eastAsia="zh-CN"/>
        </w:rPr>
        <w:t>下行框架</w:t>
      </w:r>
      <w:bookmarkEnd w:id="420"/>
      <w:bookmarkEnd w:id="421"/>
    </w:p>
    <w:p w14:paraId="19D474B4">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下行框架规定了所有从平台端发往设备端的数据帧的基础格式，结构如下：</w:t>
      </w:r>
    </w:p>
    <w:tbl>
      <w:tblPr>
        <w:tblStyle w:val="4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5"/>
        <w:gridCol w:w="1095"/>
        <w:gridCol w:w="4730"/>
      </w:tblGrid>
      <w:tr w14:paraId="1724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74EE3BE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eastAsia="zh-CN"/>
              </w:rPr>
              <w:t>帧起始符（</w:t>
            </w:r>
            <w:r>
              <w:rPr>
                <w:rFonts w:hint="eastAsia" w:ascii="宋体" w:hAnsi="宋体" w:eastAsia="宋体" w:cs="宋体"/>
                <w:b w:val="0"/>
                <w:bCs w:val="0"/>
                <w:color w:val="auto"/>
                <w:sz w:val="21"/>
                <w:szCs w:val="21"/>
                <w:highlight w:val="none"/>
                <w:vertAlign w:val="baseline"/>
                <w:lang w:val="en-US" w:eastAsia="zh-CN"/>
              </w:rPr>
              <w:t>68H</w:t>
            </w:r>
            <w:r>
              <w:rPr>
                <w:rFonts w:hint="eastAsia" w:ascii="宋体" w:hAnsi="宋体" w:eastAsia="宋体" w:cs="宋体"/>
                <w:b w:val="0"/>
                <w:bCs w:val="0"/>
                <w:color w:val="auto"/>
                <w:sz w:val="21"/>
                <w:szCs w:val="21"/>
                <w:highlight w:val="none"/>
                <w:vertAlign w:val="baseline"/>
                <w:lang w:eastAsia="zh-CN"/>
              </w:rPr>
              <w:t>）</w:t>
            </w:r>
          </w:p>
        </w:tc>
        <w:tc>
          <w:tcPr>
            <w:tcW w:w="1095" w:type="dxa"/>
            <w:noWrap w:val="0"/>
            <w:vAlign w:val="center"/>
          </w:tcPr>
          <w:p w14:paraId="39A2E2A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60994B6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val="en-US" w:eastAsia="zh-CN"/>
              </w:rPr>
              <w:t>固定值</w:t>
            </w:r>
          </w:p>
        </w:tc>
      </w:tr>
      <w:tr w14:paraId="0BB5E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144EE84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帧长度</w:t>
            </w:r>
          </w:p>
        </w:tc>
        <w:tc>
          <w:tcPr>
            <w:tcW w:w="1095" w:type="dxa"/>
            <w:noWrap w:val="0"/>
            <w:vAlign w:val="center"/>
          </w:tcPr>
          <w:p w14:paraId="7589274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2Byte</w:t>
            </w:r>
          </w:p>
        </w:tc>
        <w:tc>
          <w:tcPr>
            <w:tcW w:w="4730" w:type="dxa"/>
            <w:noWrap w:val="0"/>
            <w:vAlign w:val="center"/>
          </w:tcPr>
          <w:p w14:paraId="6B62DB1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val="en-US" w:eastAsia="zh-CN"/>
              </w:rPr>
              <w:t>从</w:t>
            </w:r>
            <w:r>
              <w:rPr>
                <w:rFonts w:hint="eastAsia" w:ascii="宋体" w:hAnsi="宋体" w:eastAsia="宋体" w:cs="宋体"/>
                <w:b w:val="0"/>
                <w:bCs w:val="0"/>
                <w:color w:val="auto"/>
                <w:sz w:val="21"/>
                <w:szCs w:val="21"/>
                <w:highlight w:val="none"/>
                <w:vertAlign w:val="baseline"/>
                <w:lang w:eastAsia="zh-CN"/>
              </w:rPr>
              <w:t>帧起始符（</w:t>
            </w:r>
            <w:r>
              <w:rPr>
                <w:rFonts w:hint="eastAsia" w:ascii="宋体" w:hAnsi="宋体" w:eastAsia="宋体" w:cs="宋体"/>
                <w:b w:val="0"/>
                <w:bCs w:val="0"/>
                <w:color w:val="auto"/>
                <w:sz w:val="21"/>
                <w:szCs w:val="21"/>
                <w:highlight w:val="none"/>
                <w:vertAlign w:val="baseline"/>
                <w:lang w:val="en-US" w:eastAsia="zh-CN"/>
              </w:rPr>
              <w:t>68H</w:t>
            </w:r>
            <w:r>
              <w:rPr>
                <w:rFonts w:hint="eastAsia" w:ascii="宋体" w:hAnsi="宋体" w:eastAsia="宋体" w:cs="宋体"/>
                <w:b w:val="0"/>
                <w:bCs w:val="0"/>
                <w:color w:val="auto"/>
                <w:sz w:val="21"/>
                <w:szCs w:val="21"/>
                <w:highlight w:val="none"/>
                <w:vertAlign w:val="baseline"/>
                <w:lang w:eastAsia="zh-CN"/>
              </w:rPr>
              <w:t>）开始至帧结束符（</w:t>
            </w:r>
            <w:r>
              <w:rPr>
                <w:rFonts w:hint="eastAsia" w:ascii="宋体" w:hAnsi="宋体" w:eastAsia="宋体" w:cs="宋体"/>
                <w:b w:val="0"/>
                <w:bCs w:val="0"/>
                <w:color w:val="auto"/>
                <w:sz w:val="21"/>
                <w:szCs w:val="21"/>
                <w:highlight w:val="none"/>
                <w:vertAlign w:val="baseline"/>
                <w:lang w:val="en-US" w:eastAsia="zh-CN"/>
              </w:rPr>
              <w:t>16H</w:t>
            </w:r>
            <w:r>
              <w:rPr>
                <w:rFonts w:hint="eastAsia" w:ascii="宋体" w:hAnsi="宋体" w:eastAsia="宋体" w:cs="宋体"/>
                <w:b w:val="0"/>
                <w:bCs w:val="0"/>
                <w:color w:val="auto"/>
                <w:sz w:val="21"/>
                <w:szCs w:val="21"/>
                <w:highlight w:val="none"/>
                <w:vertAlign w:val="baseline"/>
                <w:lang w:eastAsia="zh-CN"/>
              </w:rPr>
              <w:t>）之间的字节总数</w:t>
            </w:r>
          </w:p>
        </w:tc>
      </w:tr>
      <w:tr w14:paraId="5CCA9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64DB9DC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帧标识</w:t>
            </w:r>
          </w:p>
        </w:tc>
        <w:tc>
          <w:tcPr>
            <w:tcW w:w="1095" w:type="dxa"/>
            <w:noWrap w:val="0"/>
            <w:vAlign w:val="center"/>
          </w:tcPr>
          <w:p w14:paraId="46CFF45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715B9DB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77B0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783BEDF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 xml:space="preserve">协议版本 </w:t>
            </w:r>
          </w:p>
        </w:tc>
        <w:tc>
          <w:tcPr>
            <w:tcW w:w="1095" w:type="dxa"/>
            <w:noWrap w:val="0"/>
            <w:vAlign w:val="center"/>
          </w:tcPr>
          <w:p w14:paraId="497C3FE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0CD66BD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57869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6CA1A12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eastAsia="zh-CN"/>
              </w:rPr>
              <w:t>设备地址</w:t>
            </w:r>
          </w:p>
        </w:tc>
        <w:tc>
          <w:tcPr>
            <w:tcW w:w="1095" w:type="dxa"/>
            <w:noWrap w:val="0"/>
            <w:vAlign w:val="center"/>
          </w:tcPr>
          <w:p w14:paraId="6C77059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8Byte</w:t>
            </w:r>
          </w:p>
        </w:tc>
        <w:tc>
          <w:tcPr>
            <w:tcW w:w="4730" w:type="dxa"/>
            <w:noWrap w:val="0"/>
            <w:vAlign w:val="center"/>
          </w:tcPr>
          <w:p w14:paraId="651499F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0348A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3981B2C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eastAsia="zh-CN"/>
              </w:rPr>
              <w:t>功能码</w:t>
            </w:r>
          </w:p>
        </w:tc>
        <w:tc>
          <w:tcPr>
            <w:tcW w:w="1095" w:type="dxa"/>
            <w:noWrap w:val="0"/>
            <w:vAlign w:val="center"/>
          </w:tcPr>
          <w:p w14:paraId="6F06605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22E0A57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eastAsia="zh-CN"/>
              </w:rPr>
              <w:t>功能码</w:t>
            </w:r>
          </w:p>
        </w:tc>
      </w:tr>
      <w:tr w14:paraId="31E89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tcBorders>
              <w:bottom w:val="single" w:color="auto" w:sz="4" w:space="0"/>
            </w:tcBorders>
            <w:noWrap w:val="0"/>
            <w:vAlign w:val="center"/>
          </w:tcPr>
          <w:p w14:paraId="46DF46D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eastAsia="zh-CN"/>
              </w:rPr>
              <w:t>帧确认符（</w:t>
            </w:r>
            <w:r>
              <w:rPr>
                <w:rFonts w:hint="eastAsia" w:ascii="宋体" w:hAnsi="宋体" w:eastAsia="宋体" w:cs="宋体"/>
                <w:b w:val="0"/>
                <w:bCs w:val="0"/>
                <w:color w:val="auto"/>
                <w:sz w:val="21"/>
                <w:szCs w:val="21"/>
                <w:highlight w:val="none"/>
                <w:vertAlign w:val="baseline"/>
                <w:lang w:val="en-US" w:eastAsia="zh-CN"/>
              </w:rPr>
              <w:t>68H</w:t>
            </w:r>
            <w:r>
              <w:rPr>
                <w:rFonts w:hint="eastAsia" w:ascii="宋体" w:hAnsi="宋体" w:eastAsia="宋体" w:cs="宋体"/>
                <w:b w:val="0"/>
                <w:bCs w:val="0"/>
                <w:color w:val="auto"/>
                <w:sz w:val="21"/>
                <w:szCs w:val="21"/>
                <w:highlight w:val="none"/>
                <w:vertAlign w:val="baseline"/>
                <w:lang w:eastAsia="zh-CN"/>
              </w:rPr>
              <w:t>）</w:t>
            </w:r>
          </w:p>
        </w:tc>
        <w:tc>
          <w:tcPr>
            <w:tcW w:w="1095" w:type="dxa"/>
            <w:tcBorders>
              <w:bottom w:val="single" w:color="auto" w:sz="4" w:space="0"/>
            </w:tcBorders>
            <w:noWrap w:val="0"/>
            <w:vAlign w:val="center"/>
          </w:tcPr>
          <w:p w14:paraId="0AC33FC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tcBorders>
              <w:bottom w:val="single" w:color="auto" w:sz="4" w:space="0"/>
            </w:tcBorders>
            <w:noWrap w:val="0"/>
            <w:vAlign w:val="center"/>
          </w:tcPr>
          <w:p w14:paraId="07BD630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val="en-US" w:eastAsia="zh-CN"/>
              </w:rPr>
              <w:t>固定值</w:t>
            </w:r>
          </w:p>
        </w:tc>
      </w:tr>
      <w:tr w14:paraId="5E653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tcBorders>
              <w:bottom w:val="single" w:color="auto" w:sz="4" w:space="0"/>
            </w:tcBorders>
            <w:noWrap w:val="0"/>
            <w:vAlign w:val="center"/>
          </w:tcPr>
          <w:p w14:paraId="750F9FA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val="en-US" w:eastAsia="zh-CN"/>
              </w:rPr>
              <w:t>指令MID</w:t>
            </w:r>
          </w:p>
        </w:tc>
        <w:tc>
          <w:tcPr>
            <w:tcW w:w="1095" w:type="dxa"/>
            <w:tcBorders>
              <w:bottom w:val="single" w:color="auto" w:sz="4" w:space="0"/>
            </w:tcBorders>
            <w:noWrap w:val="0"/>
            <w:vAlign w:val="center"/>
          </w:tcPr>
          <w:p w14:paraId="1A63897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2Byte</w:t>
            </w:r>
          </w:p>
        </w:tc>
        <w:tc>
          <w:tcPr>
            <w:tcW w:w="4730" w:type="dxa"/>
            <w:tcBorders>
              <w:bottom w:val="single" w:color="auto" w:sz="4" w:space="0"/>
            </w:tcBorders>
            <w:noWrap w:val="0"/>
            <w:vAlign w:val="center"/>
          </w:tcPr>
          <w:p w14:paraId="0C31CEA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指令标识，高字节在前，发起方生成，接收方原码返回</w:t>
            </w:r>
          </w:p>
        </w:tc>
      </w:tr>
      <w:tr w14:paraId="6DD31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tcBorders>
              <w:top w:val="single" w:color="auto" w:sz="4" w:space="0"/>
            </w:tcBorders>
            <w:noWrap w:val="0"/>
            <w:vAlign w:val="center"/>
          </w:tcPr>
          <w:p w14:paraId="5C35264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功能数据段</w:t>
            </w:r>
          </w:p>
        </w:tc>
        <w:tc>
          <w:tcPr>
            <w:tcW w:w="1095" w:type="dxa"/>
            <w:tcBorders>
              <w:top w:val="single" w:color="auto" w:sz="4" w:space="0"/>
            </w:tcBorders>
            <w:noWrap w:val="0"/>
            <w:vAlign w:val="center"/>
          </w:tcPr>
          <w:p w14:paraId="37F67B7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变长</w:t>
            </w:r>
          </w:p>
        </w:tc>
        <w:tc>
          <w:tcPr>
            <w:tcW w:w="4730" w:type="dxa"/>
            <w:tcBorders>
              <w:top w:val="single" w:color="auto" w:sz="4" w:space="0"/>
            </w:tcBorders>
            <w:noWrap w:val="0"/>
            <w:vAlign w:val="center"/>
          </w:tcPr>
          <w:p w14:paraId="66D95F4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eastAsia="zh-CN"/>
              </w:rPr>
              <w:t>由功能码决定</w:t>
            </w:r>
          </w:p>
        </w:tc>
      </w:tr>
      <w:tr w14:paraId="3392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780B44D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帧校验</w:t>
            </w:r>
          </w:p>
        </w:tc>
        <w:tc>
          <w:tcPr>
            <w:tcW w:w="1095" w:type="dxa"/>
            <w:noWrap w:val="0"/>
            <w:vAlign w:val="center"/>
          </w:tcPr>
          <w:p w14:paraId="4822088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25EF1FF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3449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2016D95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帧结束符（16H）</w:t>
            </w:r>
          </w:p>
        </w:tc>
        <w:tc>
          <w:tcPr>
            <w:tcW w:w="1095" w:type="dxa"/>
            <w:noWrap w:val="0"/>
            <w:vAlign w:val="center"/>
          </w:tcPr>
          <w:p w14:paraId="22A369E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578297B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固定值</w:t>
            </w:r>
          </w:p>
        </w:tc>
      </w:tr>
    </w:tbl>
    <w:p w14:paraId="47D2AB00">
      <w:pPr>
        <w:keepNext w:val="0"/>
        <w:keepLines w:val="0"/>
        <w:pageBreakBefore w:val="0"/>
        <w:numPr>
          <w:ilvl w:val="1"/>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eastAsia="zh-CN"/>
        </w:rPr>
      </w:pPr>
      <w:bookmarkStart w:id="422" w:name="_Toc23102"/>
      <w:bookmarkStart w:id="423" w:name="_Toc23358"/>
      <w:r>
        <w:rPr>
          <w:rFonts w:hint="eastAsia" w:ascii="宋体" w:hAnsi="宋体" w:eastAsia="宋体" w:cs="宋体"/>
          <w:b w:val="0"/>
          <w:bCs w:val="0"/>
          <w:color w:val="auto"/>
          <w:kern w:val="0"/>
          <w:sz w:val="21"/>
          <w:szCs w:val="21"/>
          <w:highlight w:val="none"/>
          <w:lang w:val="en-US" w:eastAsia="zh-CN" w:bidi="ar-SA"/>
        </w:rPr>
        <w:t xml:space="preserve">3.1.3 </w:t>
      </w:r>
      <w:r>
        <w:rPr>
          <w:rFonts w:hint="eastAsia" w:ascii="宋体" w:hAnsi="宋体" w:eastAsia="宋体" w:cs="宋体"/>
          <w:b w:val="0"/>
          <w:bCs w:val="0"/>
          <w:color w:val="auto"/>
          <w:sz w:val="21"/>
          <w:szCs w:val="21"/>
          <w:highlight w:val="none"/>
          <w:lang w:eastAsia="zh-CN"/>
        </w:rPr>
        <w:t>帧长度</w:t>
      </w:r>
      <w:bookmarkEnd w:id="422"/>
      <w:bookmarkEnd w:id="423"/>
    </w:p>
    <w:p w14:paraId="7DFDBA10">
      <w:pPr>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vertAlign w:val="baseline"/>
          <w:lang w:eastAsia="zh-CN"/>
        </w:rPr>
        <w:t>帧长度由</w:t>
      </w:r>
      <w:r>
        <w:rPr>
          <w:rFonts w:hint="eastAsia" w:ascii="宋体" w:hAnsi="宋体" w:eastAsia="宋体" w:cs="宋体"/>
          <w:b w:val="0"/>
          <w:bCs w:val="0"/>
          <w:color w:val="auto"/>
          <w:sz w:val="21"/>
          <w:szCs w:val="21"/>
          <w:highlight w:val="none"/>
          <w:vertAlign w:val="baseline"/>
          <w:lang w:val="en-US" w:eastAsia="zh-CN"/>
        </w:rPr>
        <w:t>2字节表示，高字节在前，低字节在后。帧长度包含从</w:t>
      </w:r>
      <w:r>
        <w:rPr>
          <w:rFonts w:hint="eastAsia" w:ascii="宋体" w:hAnsi="宋体" w:eastAsia="宋体" w:cs="宋体"/>
          <w:b w:val="0"/>
          <w:bCs w:val="0"/>
          <w:color w:val="auto"/>
          <w:sz w:val="21"/>
          <w:szCs w:val="21"/>
          <w:highlight w:val="none"/>
          <w:vertAlign w:val="baseline"/>
          <w:lang w:eastAsia="zh-CN"/>
        </w:rPr>
        <w:t>帧起始符（</w:t>
      </w:r>
      <w:r>
        <w:rPr>
          <w:rFonts w:hint="eastAsia" w:ascii="宋体" w:hAnsi="宋体" w:eastAsia="宋体" w:cs="宋体"/>
          <w:b w:val="0"/>
          <w:bCs w:val="0"/>
          <w:color w:val="auto"/>
          <w:sz w:val="21"/>
          <w:szCs w:val="21"/>
          <w:highlight w:val="none"/>
          <w:vertAlign w:val="baseline"/>
          <w:lang w:val="en-US" w:eastAsia="zh-CN"/>
        </w:rPr>
        <w:t>68H，不含</w:t>
      </w:r>
      <w:r>
        <w:rPr>
          <w:rFonts w:hint="eastAsia" w:ascii="宋体" w:hAnsi="宋体" w:eastAsia="宋体" w:cs="宋体"/>
          <w:b w:val="0"/>
          <w:bCs w:val="0"/>
          <w:color w:val="auto"/>
          <w:sz w:val="21"/>
          <w:szCs w:val="21"/>
          <w:highlight w:val="none"/>
          <w:vertAlign w:val="baseline"/>
          <w:lang w:eastAsia="zh-CN"/>
        </w:rPr>
        <w:t>）开始至帧结束符（</w:t>
      </w:r>
      <w:r>
        <w:rPr>
          <w:rFonts w:hint="eastAsia" w:ascii="宋体" w:hAnsi="宋体" w:eastAsia="宋体" w:cs="宋体"/>
          <w:b w:val="0"/>
          <w:bCs w:val="0"/>
          <w:color w:val="auto"/>
          <w:sz w:val="21"/>
          <w:szCs w:val="21"/>
          <w:highlight w:val="none"/>
          <w:vertAlign w:val="baseline"/>
          <w:lang w:val="en-US" w:eastAsia="zh-CN"/>
        </w:rPr>
        <w:t>16H，不含</w:t>
      </w:r>
      <w:r>
        <w:rPr>
          <w:rFonts w:hint="eastAsia" w:ascii="宋体" w:hAnsi="宋体" w:eastAsia="宋体" w:cs="宋体"/>
          <w:b w:val="0"/>
          <w:bCs w:val="0"/>
          <w:color w:val="auto"/>
          <w:sz w:val="21"/>
          <w:szCs w:val="21"/>
          <w:highlight w:val="none"/>
          <w:vertAlign w:val="baseline"/>
          <w:lang w:eastAsia="zh-CN"/>
        </w:rPr>
        <w:t>）之间的字节总数。</w:t>
      </w:r>
    </w:p>
    <w:p w14:paraId="1A6F0804">
      <w:pPr>
        <w:keepNext w:val="0"/>
        <w:keepLines w:val="0"/>
        <w:pageBreakBefore w:val="0"/>
        <w:numPr>
          <w:ilvl w:val="1"/>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eastAsia="zh-CN"/>
        </w:rPr>
      </w:pPr>
      <w:bookmarkStart w:id="424" w:name="_Toc30843"/>
      <w:bookmarkStart w:id="425" w:name="_Toc8399"/>
      <w:r>
        <w:rPr>
          <w:rFonts w:hint="eastAsia" w:ascii="宋体" w:hAnsi="宋体" w:eastAsia="宋体" w:cs="宋体"/>
          <w:b w:val="0"/>
          <w:bCs w:val="0"/>
          <w:color w:val="auto"/>
          <w:kern w:val="0"/>
          <w:sz w:val="21"/>
          <w:szCs w:val="21"/>
          <w:highlight w:val="none"/>
          <w:lang w:val="en-US" w:eastAsia="zh-CN" w:bidi="ar-SA"/>
        </w:rPr>
        <w:t xml:space="preserve">3.1.4 </w:t>
      </w:r>
      <w:r>
        <w:rPr>
          <w:rFonts w:hint="eastAsia" w:ascii="宋体" w:hAnsi="宋体" w:eastAsia="宋体" w:cs="宋体"/>
          <w:b w:val="0"/>
          <w:bCs w:val="0"/>
          <w:color w:val="auto"/>
          <w:sz w:val="21"/>
          <w:szCs w:val="21"/>
          <w:highlight w:val="none"/>
          <w:lang w:eastAsia="zh-CN"/>
        </w:rPr>
        <w:t>帧标识</w:t>
      </w:r>
      <w:bookmarkEnd w:id="424"/>
      <w:bookmarkEnd w:id="425"/>
    </w:p>
    <w:p w14:paraId="15A8521D">
      <w:pPr>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eastAsia="zh-CN"/>
        </w:rPr>
        <w:t>帧标识由</w:t>
      </w:r>
      <w:r>
        <w:rPr>
          <w:rFonts w:hint="eastAsia" w:ascii="宋体" w:hAnsi="宋体" w:eastAsia="宋体" w:cs="宋体"/>
          <w:b w:val="0"/>
          <w:bCs w:val="0"/>
          <w:color w:val="auto"/>
          <w:sz w:val="21"/>
          <w:szCs w:val="21"/>
          <w:highlight w:val="none"/>
          <w:vertAlign w:val="baseline"/>
          <w:lang w:val="en-US" w:eastAsia="zh-CN"/>
        </w:rPr>
        <w:t>1个字节表示，各二进制位组织格式如下：</w:t>
      </w:r>
    </w:p>
    <w:tbl>
      <w:tblPr>
        <w:tblStyle w:val="40"/>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152"/>
        <w:gridCol w:w="1152"/>
        <w:gridCol w:w="1152"/>
        <w:gridCol w:w="1152"/>
        <w:gridCol w:w="1152"/>
        <w:gridCol w:w="1152"/>
        <w:gridCol w:w="1152"/>
      </w:tblGrid>
      <w:tr w14:paraId="7F10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152" w:type="dxa"/>
            <w:noWrap w:val="0"/>
            <w:vAlign w:val="center"/>
          </w:tcPr>
          <w:p w14:paraId="4B2076F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7</w:t>
            </w:r>
          </w:p>
        </w:tc>
        <w:tc>
          <w:tcPr>
            <w:tcW w:w="1152" w:type="dxa"/>
            <w:noWrap w:val="0"/>
            <w:vAlign w:val="center"/>
          </w:tcPr>
          <w:p w14:paraId="0A476AD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w:t>
            </w:r>
          </w:p>
        </w:tc>
        <w:tc>
          <w:tcPr>
            <w:tcW w:w="1152" w:type="dxa"/>
            <w:noWrap w:val="0"/>
            <w:vAlign w:val="center"/>
          </w:tcPr>
          <w:p w14:paraId="47BB679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5</w:t>
            </w:r>
          </w:p>
        </w:tc>
        <w:tc>
          <w:tcPr>
            <w:tcW w:w="1152" w:type="dxa"/>
            <w:noWrap w:val="0"/>
            <w:vAlign w:val="center"/>
          </w:tcPr>
          <w:p w14:paraId="62BDE33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w:t>
            </w:r>
          </w:p>
        </w:tc>
        <w:tc>
          <w:tcPr>
            <w:tcW w:w="1152" w:type="dxa"/>
            <w:noWrap w:val="0"/>
            <w:vAlign w:val="center"/>
          </w:tcPr>
          <w:p w14:paraId="576A270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w:t>
            </w:r>
          </w:p>
        </w:tc>
        <w:tc>
          <w:tcPr>
            <w:tcW w:w="1152" w:type="dxa"/>
            <w:noWrap w:val="0"/>
            <w:vAlign w:val="center"/>
          </w:tcPr>
          <w:p w14:paraId="0B0F0B1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1152" w:type="dxa"/>
            <w:noWrap w:val="0"/>
            <w:vAlign w:val="center"/>
          </w:tcPr>
          <w:p w14:paraId="5759D48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1152" w:type="dxa"/>
            <w:noWrap w:val="0"/>
            <w:vAlign w:val="center"/>
          </w:tcPr>
          <w:p w14:paraId="3697DB9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w:t>
            </w:r>
          </w:p>
        </w:tc>
      </w:tr>
      <w:tr w14:paraId="66B11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2" w:type="dxa"/>
            <w:noWrap w:val="0"/>
            <w:vAlign w:val="center"/>
          </w:tcPr>
          <w:p w14:paraId="4114E3C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运行参数段标志</w:t>
            </w:r>
          </w:p>
        </w:tc>
        <w:tc>
          <w:tcPr>
            <w:tcW w:w="1152" w:type="dxa"/>
            <w:noWrap w:val="0"/>
            <w:vAlign w:val="center"/>
          </w:tcPr>
          <w:p w14:paraId="0FFA1E7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是否加密标志</w:t>
            </w:r>
          </w:p>
        </w:tc>
        <w:tc>
          <w:tcPr>
            <w:tcW w:w="1152" w:type="dxa"/>
            <w:noWrap w:val="0"/>
            <w:vAlign w:val="center"/>
          </w:tcPr>
          <w:p w14:paraId="6709FF3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分帧标识1</w:t>
            </w:r>
          </w:p>
        </w:tc>
        <w:tc>
          <w:tcPr>
            <w:tcW w:w="1152" w:type="dxa"/>
            <w:noWrap w:val="0"/>
            <w:vAlign w:val="center"/>
          </w:tcPr>
          <w:p w14:paraId="33B99E0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分帧标识2</w:t>
            </w:r>
          </w:p>
        </w:tc>
        <w:tc>
          <w:tcPr>
            <w:tcW w:w="4608" w:type="dxa"/>
            <w:gridSpan w:val="4"/>
            <w:noWrap w:val="0"/>
            <w:vAlign w:val="center"/>
          </w:tcPr>
          <w:p w14:paraId="78D430D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帧流水号</w:t>
            </w:r>
          </w:p>
        </w:tc>
      </w:tr>
    </w:tbl>
    <w:p w14:paraId="2AF09D6D">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运行参数段标志：1表示该帧数据包含运行参数数据段，0表示不含运行参数数据段。运行参数段中包含设备信息和信号信息等，详见运行参数段章节。</w:t>
      </w:r>
    </w:p>
    <w:p w14:paraId="0FF1120E">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是否加密标志：1表示功能数据段已加密，0表示未加密。本协议规定使用AES-128/ECB/PKCS7Padding对数据进行加解密。</w:t>
      </w:r>
    </w:p>
    <w:p w14:paraId="077BCF32">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分帧标识：由2个位组成，当数据量较大需要拆分为多帧传输时，每一帧都必须包含完整的帧组织框架（即每一帧都必须能够被独立解析）。</w:t>
      </w:r>
    </w:p>
    <w:p w14:paraId="52CED42D">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分帧标识组合含义见下表：</w:t>
      </w:r>
    </w:p>
    <w:tbl>
      <w:tblPr>
        <w:tblStyle w:val="40"/>
        <w:tblW w:w="6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1320"/>
        <w:gridCol w:w="3615"/>
      </w:tblGrid>
      <w:tr w14:paraId="41BFB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44" w:type="dxa"/>
            <w:noWrap w:val="0"/>
            <w:vAlign w:val="center"/>
          </w:tcPr>
          <w:p w14:paraId="6DB3B5E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分帧标识1</w:t>
            </w:r>
          </w:p>
        </w:tc>
        <w:tc>
          <w:tcPr>
            <w:tcW w:w="1320" w:type="dxa"/>
            <w:noWrap w:val="0"/>
            <w:vAlign w:val="center"/>
          </w:tcPr>
          <w:p w14:paraId="357B0E5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分帧标识2</w:t>
            </w:r>
          </w:p>
        </w:tc>
        <w:tc>
          <w:tcPr>
            <w:tcW w:w="3615" w:type="dxa"/>
            <w:noWrap w:val="0"/>
            <w:vAlign w:val="center"/>
          </w:tcPr>
          <w:p w14:paraId="01433DC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含义</w:t>
            </w:r>
          </w:p>
        </w:tc>
      </w:tr>
      <w:tr w14:paraId="23AC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44" w:type="dxa"/>
            <w:noWrap w:val="0"/>
            <w:vAlign w:val="center"/>
          </w:tcPr>
          <w:p w14:paraId="7FA5E14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w:t>
            </w:r>
          </w:p>
        </w:tc>
        <w:tc>
          <w:tcPr>
            <w:tcW w:w="1320" w:type="dxa"/>
            <w:noWrap w:val="0"/>
            <w:vAlign w:val="center"/>
          </w:tcPr>
          <w:p w14:paraId="577A78B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w:t>
            </w:r>
          </w:p>
        </w:tc>
        <w:tc>
          <w:tcPr>
            <w:tcW w:w="3615" w:type="dxa"/>
            <w:noWrap w:val="0"/>
            <w:vAlign w:val="center"/>
          </w:tcPr>
          <w:p w14:paraId="3675BCF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传输分为多帧，当前为中间帧</w:t>
            </w:r>
          </w:p>
        </w:tc>
      </w:tr>
      <w:tr w14:paraId="6B57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44" w:type="dxa"/>
            <w:noWrap w:val="0"/>
            <w:vAlign w:val="center"/>
          </w:tcPr>
          <w:p w14:paraId="203C3AD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w:t>
            </w:r>
          </w:p>
        </w:tc>
        <w:tc>
          <w:tcPr>
            <w:tcW w:w="1320" w:type="dxa"/>
            <w:noWrap w:val="0"/>
            <w:vAlign w:val="center"/>
          </w:tcPr>
          <w:p w14:paraId="6BB8541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3615" w:type="dxa"/>
            <w:noWrap w:val="0"/>
            <w:vAlign w:val="center"/>
          </w:tcPr>
          <w:p w14:paraId="0D2BEDE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传输分为多帧，当前为结束帧</w:t>
            </w:r>
          </w:p>
        </w:tc>
      </w:tr>
      <w:tr w14:paraId="77E5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44" w:type="dxa"/>
            <w:noWrap w:val="0"/>
            <w:vAlign w:val="center"/>
          </w:tcPr>
          <w:p w14:paraId="4565559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1320" w:type="dxa"/>
            <w:noWrap w:val="0"/>
            <w:vAlign w:val="center"/>
          </w:tcPr>
          <w:p w14:paraId="69226B0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w:t>
            </w:r>
          </w:p>
        </w:tc>
        <w:tc>
          <w:tcPr>
            <w:tcW w:w="3615" w:type="dxa"/>
            <w:noWrap w:val="0"/>
            <w:vAlign w:val="center"/>
          </w:tcPr>
          <w:p w14:paraId="5FCEB6A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传输分为多帧，当前为第1帧，还有后续帧</w:t>
            </w:r>
          </w:p>
        </w:tc>
      </w:tr>
      <w:tr w14:paraId="24B6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344" w:type="dxa"/>
            <w:noWrap w:val="0"/>
            <w:vAlign w:val="center"/>
          </w:tcPr>
          <w:p w14:paraId="424E2F7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1320" w:type="dxa"/>
            <w:noWrap w:val="0"/>
            <w:vAlign w:val="center"/>
          </w:tcPr>
          <w:p w14:paraId="66E786C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3615" w:type="dxa"/>
            <w:noWrap w:val="0"/>
            <w:vAlign w:val="center"/>
          </w:tcPr>
          <w:p w14:paraId="57FBB37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未分帧</w:t>
            </w:r>
          </w:p>
        </w:tc>
      </w:tr>
    </w:tbl>
    <w:p w14:paraId="796F9328">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帧流水号：由4个位组成，取值0~15。用于标识数据帧通信流水号，终端每执行一次发送流水号加1，超过15后归0。</w:t>
      </w:r>
    </w:p>
    <w:p w14:paraId="532F649D">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注意：重发数据帧流水号也应该加1，数据帧应使用指令MID来进行标识。</w:t>
      </w:r>
    </w:p>
    <w:p w14:paraId="033CF124">
      <w:pPr>
        <w:keepNext w:val="0"/>
        <w:keepLines w:val="0"/>
        <w:pageBreakBefore w:val="0"/>
        <w:numPr>
          <w:ilvl w:val="1"/>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eastAsia="zh-CN"/>
        </w:rPr>
      </w:pPr>
      <w:bookmarkStart w:id="426" w:name="_Toc1544"/>
      <w:bookmarkStart w:id="427" w:name="_Toc22589"/>
      <w:r>
        <w:rPr>
          <w:rFonts w:hint="eastAsia" w:ascii="宋体" w:hAnsi="宋体" w:eastAsia="宋体" w:cs="宋体"/>
          <w:b w:val="0"/>
          <w:bCs w:val="0"/>
          <w:color w:val="auto"/>
          <w:kern w:val="0"/>
          <w:sz w:val="21"/>
          <w:szCs w:val="21"/>
          <w:highlight w:val="none"/>
          <w:lang w:val="en-US" w:eastAsia="zh-CN" w:bidi="ar-SA"/>
        </w:rPr>
        <w:t xml:space="preserve">3.1.5 </w:t>
      </w:r>
      <w:r>
        <w:rPr>
          <w:rFonts w:hint="eastAsia" w:ascii="宋体" w:hAnsi="宋体" w:eastAsia="宋体" w:cs="宋体"/>
          <w:b w:val="0"/>
          <w:bCs w:val="0"/>
          <w:color w:val="auto"/>
          <w:sz w:val="21"/>
          <w:szCs w:val="21"/>
          <w:highlight w:val="none"/>
          <w:lang w:eastAsia="zh-CN"/>
        </w:rPr>
        <w:t>协议版本</w:t>
      </w:r>
      <w:bookmarkEnd w:id="426"/>
      <w:bookmarkEnd w:id="427"/>
    </w:p>
    <w:p w14:paraId="5A5043F1">
      <w:pPr>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协议版本号用于兼容性识别，版本号由</w:t>
      </w:r>
      <w:r>
        <w:rPr>
          <w:rFonts w:hint="eastAsia" w:ascii="宋体" w:hAnsi="宋体" w:eastAsia="宋体" w:cs="宋体"/>
          <w:b w:val="0"/>
          <w:bCs w:val="0"/>
          <w:color w:val="auto"/>
          <w:sz w:val="21"/>
          <w:szCs w:val="21"/>
          <w:highlight w:val="none"/>
          <w:lang w:val="en-US" w:eastAsia="zh-CN"/>
        </w:rPr>
        <w:t>1个字节组成，其中高4位表示主版本号，低4位表示子版本号。</w:t>
      </w:r>
    </w:p>
    <w:p w14:paraId="3BAEE27A">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必须正确上报该版本号信息，通信帧中版本号应使用该协议当前版本号。</w:t>
      </w:r>
    </w:p>
    <w:tbl>
      <w:tblPr>
        <w:tblStyle w:val="40"/>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152"/>
        <w:gridCol w:w="1152"/>
        <w:gridCol w:w="1152"/>
        <w:gridCol w:w="1152"/>
        <w:gridCol w:w="1152"/>
        <w:gridCol w:w="1152"/>
        <w:gridCol w:w="1152"/>
      </w:tblGrid>
      <w:tr w14:paraId="21E7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2" w:type="dxa"/>
            <w:noWrap w:val="0"/>
            <w:vAlign w:val="center"/>
          </w:tcPr>
          <w:p w14:paraId="633B7E86">
            <w:pPr>
              <w:pStyle w:val="18"/>
              <w:keepNext w:val="0"/>
              <w:keepLines w:val="0"/>
              <w:pageBreakBefore w:val="0"/>
              <w:widowControl w:val="0"/>
              <w:kinsoku/>
              <w:wordWrap/>
              <w:overflowPunct/>
              <w:topLinePunct w:val="0"/>
              <w:autoSpaceDE/>
              <w:autoSpaceDN/>
              <w:bidi w:val="0"/>
              <w:adjustRightInd/>
              <w:snapToGrid/>
              <w:spacing w:beforeAutospacing="0" w:line="240" w:lineRule="auto"/>
              <w:ind w:left="0" w:leftChars="0" w:right="0" w:firstLine="420" w:firstLineChars="200"/>
              <w:jc w:val="left"/>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7</w:t>
            </w:r>
          </w:p>
        </w:tc>
        <w:tc>
          <w:tcPr>
            <w:tcW w:w="1152" w:type="dxa"/>
            <w:noWrap w:val="0"/>
            <w:vAlign w:val="center"/>
          </w:tcPr>
          <w:p w14:paraId="298681D6">
            <w:pPr>
              <w:pStyle w:val="18"/>
              <w:keepNext w:val="0"/>
              <w:keepLines w:val="0"/>
              <w:pageBreakBefore w:val="0"/>
              <w:widowControl w:val="0"/>
              <w:kinsoku/>
              <w:wordWrap/>
              <w:overflowPunct/>
              <w:topLinePunct w:val="0"/>
              <w:autoSpaceDE/>
              <w:autoSpaceDN/>
              <w:bidi w:val="0"/>
              <w:adjustRightInd/>
              <w:snapToGrid/>
              <w:spacing w:beforeAutospacing="0" w:line="240" w:lineRule="auto"/>
              <w:ind w:left="0" w:leftChars="0" w:right="0" w:firstLine="420" w:firstLineChars="200"/>
              <w:jc w:val="left"/>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w:t>
            </w:r>
          </w:p>
        </w:tc>
        <w:tc>
          <w:tcPr>
            <w:tcW w:w="1152" w:type="dxa"/>
            <w:noWrap w:val="0"/>
            <w:vAlign w:val="center"/>
          </w:tcPr>
          <w:p w14:paraId="34F84AAB">
            <w:pPr>
              <w:pStyle w:val="18"/>
              <w:keepNext w:val="0"/>
              <w:keepLines w:val="0"/>
              <w:pageBreakBefore w:val="0"/>
              <w:widowControl w:val="0"/>
              <w:kinsoku/>
              <w:wordWrap/>
              <w:overflowPunct/>
              <w:topLinePunct w:val="0"/>
              <w:autoSpaceDE/>
              <w:autoSpaceDN/>
              <w:bidi w:val="0"/>
              <w:adjustRightInd/>
              <w:snapToGrid/>
              <w:spacing w:beforeAutospacing="0" w:line="240" w:lineRule="auto"/>
              <w:ind w:left="0" w:leftChars="0" w:right="0" w:firstLine="420" w:firstLineChars="200"/>
              <w:jc w:val="left"/>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5</w:t>
            </w:r>
          </w:p>
        </w:tc>
        <w:tc>
          <w:tcPr>
            <w:tcW w:w="1152" w:type="dxa"/>
            <w:noWrap w:val="0"/>
            <w:vAlign w:val="center"/>
          </w:tcPr>
          <w:p w14:paraId="5D6E9EE5">
            <w:pPr>
              <w:pStyle w:val="18"/>
              <w:keepNext w:val="0"/>
              <w:keepLines w:val="0"/>
              <w:pageBreakBefore w:val="0"/>
              <w:widowControl w:val="0"/>
              <w:kinsoku/>
              <w:wordWrap/>
              <w:overflowPunct/>
              <w:topLinePunct w:val="0"/>
              <w:autoSpaceDE/>
              <w:autoSpaceDN/>
              <w:bidi w:val="0"/>
              <w:adjustRightInd/>
              <w:snapToGrid/>
              <w:spacing w:beforeAutospacing="0" w:line="240" w:lineRule="auto"/>
              <w:ind w:left="0" w:leftChars="0" w:right="0" w:firstLine="420" w:firstLineChars="200"/>
              <w:jc w:val="left"/>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w:t>
            </w:r>
          </w:p>
        </w:tc>
        <w:tc>
          <w:tcPr>
            <w:tcW w:w="1152" w:type="dxa"/>
            <w:noWrap w:val="0"/>
            <w:vAlign w:val="center"/>
          </w:tcPr>
          <w:p w14:paraId="18C5D4E0">
            <w:pPr>
              <w:pStyle w:val="18"/>
              <w:keepNext w:val="0"/>
              <w:keepLines w:val="0"/>
              <w:pageBreakBefore w:val="0"/>
              <w:widowControl w:val="0"/>
              <w:kinsoku/>
              <w:wordWrap/>
              <w:overflowPunct/>
              <w:topLinePunct w:val="0"/>
              <w:autoSpaceDE/>
              <w:autoSpaceDN/>
              <w:bidi w:val="0"/>
              <w:adjustRightInd/>
              <w:snapToGrid/>
              <w:spacing w:beforeAutospacing="0" w:line="240" w:lineRule="auto"/>
              <w:ind w:left="0" w:leftChars="0" w:right="0" w:firstLine="420" w:firstLineChars="200"/>
              <w:jc w:val="left"/>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w:t>
            </w:r>
          </w:p>
        </w:tc>
        <w:tc>
          <w:tcPr>
            <w:tcW w:w="1152" w:type="dxa"/>
            <w:noWrap w:val="0"/>
            <w:vAlign w:val="center"/>
          </w:tcPr>
          <w:p w14:paraId="575BF5A8">
            <w:pPr>
              <w:pStyle w:val="18"/>
              <w:keepNext w:val="0"/>
              <w:keepLines w:val="0"/>
              <w:pageBreakBefore w:val="0"/>
              <w:widowControl w:val="0"/>
              <w:kinsoku/>
              <w:wordWrap/>
              <w:overflowPunct/>
              <w:topLinePunct w:val="0"/>
              <w:autoSpaceDE/>
              <w:autoSpaceDN/>
              <w:bidi w:val="0"/>
              <w:adjustRightInd/>
              <w:snapToGrid/>
              <w:spacing w:beforeAutospacing="0" w:line="240" w:lineRule="auto"/>
              <w:ind w:left="0" w:leftChars="0" w:right="0" w:firstLine="420" w:firstLineChars="200"/>
              <w:jc w:val="left"/>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1152" w:type="dxa"/>
            <w:noWrap w:val="0"/>
            <w:vAlign w:val="center"/>
          </w:tcPr>
          <w:p w14:paraId="658B603A">
            <w:pPr>
              <w:pStyle w:val="18"/>
              <w:keepNext w:val="0"/>
              <w:keepLines w:val="0"/>
              <w:pageBreakBefore w:val="0"/>
              <w:widowControl w:val="0"/>
              <w:kinsoku/>
              <w:wordWrap/>
              <w:overflowPunct/>
              <w:topLinePunct w:val="0"/>
              <w:autoSpaceDE/>
              <w:autoSpaceDN/>
              <w:bidi w:val="0"/>
              <w:adjustRightInd/>
              <w:snapToGrid/>
              <w:spacing w:beforeAutospacing="0" w:line="240" w:lineRule="auto"/>
              <w:ind w:left="0" w:leftChars="0" w:right="0" w:firstLine="420" w:firstLineChars="200"/>
              <w:jc w:val="left"/>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1152" w:type="dxa"/>
            <w:noWrap w:val="0"/>
            <w:vAlign w:val="center"/>
          </w:tcPr>
          <w:p w14:paraId="7032D741">
            <w:pPr>
              <w:pStyle w:val="18"/>
              <w:keepNext w:val="0"/>
              <w:keepLines w:val="0"/>
              <w:pageBreakBefore w:val="0"/>
              <w:widowControl w:val="0"/>
              <w:kinsoku/>
              <w:wordWrap/>
              <w:overflowPunct/>
              <w:topLinePunct w:val="0"/>
              <w:autoSpaceDE/>
              <w:autoSpaceDN/>
              <w:bidi w:val="0"/>
              <w:adjustRightInd/>
              <w:snapToGrid/>
              <w:spacing w:beforeAutospacing="0" w:line="240" w:lineRule="auto"/>
              <w:ind w:left="0" w:leftChars="0" w:right="0" w:firstLine="420" w:firstLineChars="200"/>
              <w:jc w:val="left"/>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w:t>
            </w:r>
          </w:p>
        </w:tc>
      </w:tr>
      <w:tr w14:paraId="119C2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08" w:type="dxa"/>
            <w:gridSpan w:val="4"/>
            <w:noWrap w:val="0"/>
            <w:vAlign w:val="center"/>
          </w:tcPr>
          <w:p w14:paraId="156930B9">
            <w:pPr>
              <w:pStyle w:val="18"/>
              <w:keepNext w:val="0"/>
              <w:keepLines w:val="0"/>
              <w:pageBreakBefore w:val="0"/>
              <w:widowControl w:val="0"/>
              <w:kinsoku/>
              <w:wordWrap/>
              <w:overflowPunct/>
              <w:topLinePunct w:val="0"/>
              <w:autoSpaceDE/>
              <w:autoSpaceDN/>
              <w:bidi w:val="0"/>
              <w:adjustRightInd/>
              <w:snapToGrid/>
              <w:spacing w:beforeAutospacing="0" w:line="240" w:lineRule="auto"/>
              <w:ind w:right="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主版本号</w:t>
            </w:r>
          </w:p>
        </w:tc>
        <w:tc>
          <w:tcPr>
            <w:tcW w:w="4608" w:type="dxa"/>
            <w:gridSpan w:val="4"/>
            <w:noWrap w:val="0"/>
            <w:vAlign w:val="center"/>
          </w:tcPr>
          <w:p w14:paraId="42341AF2">
            <w:pPr>
              <w:pStyle w:val="18"/>
              <w:keepNext w:val="0"/>
              <w:keepLines w:val="0"/>
              <w:pageBreakBefore w:val="0"/>
              <w:widowControl w:val="0"/>
              <w:kinsoku/>
              <w:wordWrap/>
              <w:overflowPunct/>
              <w:topLinePunct w:val="0"/>
              <w:autoSpaceDE/>
              <w:autoSpaceDN/>
              <w:bidi w:val="0"/>
              <w:adjustRightInd/>
              <w:snapToGrid/>
              <w:spacing w:beforeAutospacing="0" w:line="240" w:lineRule="auto"/>
              <w:ind w:right="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子版本号</w:t>
            </w:r>
          </w:p>
        </w:tc>
      </w:tr>
    </w:tbl>
    <w:p w14:paraId="11717B13">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strike/>
          <w:dstrike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在协议版本更新和修订时涉及到原数据结构调整的将更新主版本号，不影响原数据结构或不影响原主要指令的修订将更新子版本号。</w:t>
      </w:r>
    </w:p>
    <w:p w14:paraId="11DA6A4D">
      <w:pPr>
        <w:keepNext w:val="0"/>
        <w:keepLines w:val="0"/>
        <w:pageBreakBefore w:val="0"/>
        <w:numPr>
          <w:ilvl w:val="1"/>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eastAsia="zh-CN"/>
        </w:rPr>
      </w:pPr>
      <w:bookmarkStart w:id="428" w:name="_Toc7049"/>
      <w:bookmarkStart w:id="429" w:name="_Toc20935"/>
      <w:r>
        <w:rPr>
          <w:rFonts w:hint="eastAsia" w:ascii="宋体" w:hAnsi="宋体" w:eastAsia="宋体" w:cs="宋体"/>
          <w:b w:val="0"/>
          <w:bCs w:val="0"/>
          <w:color w:val="auto"/>
          <w:kern w:val="0"/>
          <w:sz w:val="21"/>
          <w:szCs w:val="21"/>
          <w:highlight w:val="none"/>
          <w:lang w:val="en-US" w:eastAsia="zh-CN" w:bidi="ar-SA"/>
        </w:rPr>
        <w:t xml:space="preserve">3.1.6 </w:t>
      </w:r>
      <w:r>
        <w:rPr>
          <w:rFonts w:hint="eastAsia" w:ascii="宋体" w:hAnsi="宋体" w:eastAsia="宋体" w:cs="宋体"/>
          <w:b w:val="0"/>
          <w:bCs w:val="0"/>
          <w:color w:val="auto"/>
          <w:sz w:val="21"/>
          <w:szCs w:val="21"/>
          <w:highlight w:val="none"/>
          <w:lang w:eastAsia="zh-CN"/>
        </w:rPr>
        <w:t>设备地址</w:t>
      </w:r>
      <w:bookmarkEnd w:id="428"/>
      <w:bookmarkEnd w:id="429"/>
    </w:p>
    <w:p w14:paraId="1C2F350E">
      <w:pPr>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设备地址由</w:t>
      </w:r>
      <w:r>
        <w:rPr>
          <w:rFonts w:hint="eastAsia" w:ascii="宋体" w:hAnsi="宋体" w:eastAsia="宋体" w:cs="宋体"/>
          <w:b w:val="0"/>
          <w:bCs w:val="0"/>
          <w:color w:val="auto"/>
          <w:sz w:val="21"/>
          <w:szCs w:val="21"/>
          <w:highlight w:val="none"/>
          <w:lang w:val="en-US" w:eastAsia="zh-CN"/>
        </w:rPr>
        <w:t>8字节的BCD码组成，设备地址规范如下图所示，不同类型设备需注意各部分代表不同含义。</w:t>
      </w:r>
    </w:p>
    <w:p w14:paraId="149A580C">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厂商代码（1字节BCD）+年份（1字节BCD）+6字节BCD</w:t>
      </w:r>
    </w:p>
    <w:p w14:paraId="3A62BCA8">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drawing>
          <wp:inline distT="0" distB="0" distL="114300" distR="114300">
            <wp:extent cx="4248150" cy="431165"/>
            <wp:effectExtent l="0" t="0" r="0" b="698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1"/>
                    <a:srcRect t="31413"/>
                    <a:stretch>
                      <a:fillRect/>
                    </a:stretch>
                  </pic:blipFill>
                  <pic:spPr>
                    <a:xfrm>
                      <a:off x="0" y="0"/>
                      <a:ext cx="4248150" cy="431165"/>
                    </a:xfrm>
                    <a:prstGeom prst="rect">
                      <a:avLst/>
                    </a:prstGeom>
                    <a:noFill/>
                    <a:ln>
                      <a:noFill/>
                    </a:ln>
                  </pic:spPr>
                </pic:pic>
              </a:graphicData>
            </a:graphic>
          </wp:inline>
        </w:drawing>
      </w:r>
    </w:p>
    <w:p w14:paraId="00778AD4">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◆设备为一体式水表（设备类型代码：1、2）：</w:t>
      </w:r>
    </w:p>
    <w:p w14:paraId="3AB684CC">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【2位厂商代码】：水表厂商代码，由信息部统一管理和分配；</w:t>
      </w:r>
    </w:p>
    <w:p w14:paraId="61E38B70">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【2位年份】：水表出厂年份；</w:t>
      </w:r>
    </w:p>
    <w:p w14:paraId="4222308E">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【12位厂家自编BCD码】：水表表码，与表身码、表头显示码一致；</w:t>
      </w:r>
    </w:p>
    <w:p w14:paraId="5280FBBE">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◆设备为分体式远传终端（采集智能水表）（设备类型代码：5）：</w:t>
      </w:r>
    </w:p>
    <w:p w14:paraId="01B3402D">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【2位厂商代码】：远传终端厂商代码，由信息部统一管理和分配；</w:t>
      </w:r>
    </w:p>
    <w:p w14:paraId="5B6F6AAE">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【2位年份】：远传终端出厂年份；</w:t>
      </w:r>
    </w:p>
    <w:p w14:paraId="5E3DFBCD">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位厂家自编BCD码】：水表表码，与表身码、表头显示码一致（可以理解为将水表表码透传到平台。具备表码输出的表头建议动态读取表头输出的表码做为此部分内容，尽量不要配置为常量值，也必须避免出现上传平台的表码与现场水表表码不符）；</w:t>
      </w:r>
    </w:p>
    <w:p w14:paraId="1FEE0F92">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◆其它远传设备：</w:t>
      </w:r>
    </w:p>
    <w:p w14:paraId="6D9DB877">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【2位厂商代码】：设备厂商代码，由信息部统一管理和分配；</w:t>
      </w:r>
    </w:p>
    <w:p w14:paraId="768750E1">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【2位年份】：设备出厂年份；</w:t>
      </w:r>
    </w:p>
    <w:p w14:paraId="6B9A80E2">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【12位厂家自编BCD码】：设备出厂编号；</w:t>
      </w:r>
    </w:p>
    <w:p w14:paraId="4BA773B1">
      <w:pPr>
        <w:keepNext w:val="0"/>
        <w:keepLines w:val="0"/>
        <w:pageBreakBefore w:val="0"/>
        <w:numPr>
          <w:ilvl w:val="1"/>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eastAsia="zh-CN"/>
        </w:rPr>
      </w:pPr>
      <w:bookmarkStart w:id="430" w:name="_Toc5822"/>
      <w:bookmarkStart w:id="431" w:name="_Toc538"/>
      <w:r>
        <w:rPr>
          <w:rFonts w:hint="eastAsia" w:ascii="宋体" w:hAnsi="宋体" w:eastAsia="宋体" w:cs="宋体"/>
          <w:b w:val="0"/>
          <w:bCs w:val="0"/>
          <w:color w:val="auto"/>
          <w:kern w:val="0"/>
          <w:sz w:val="21"/>
          <w:szCs w:val="21"/>
          <w:highlight w:val="none"/>
          <w:lang w:val="en-US" w:eastAsia="zh-CN" w:bidi="ar-SA"/>
        </w:rPr>
        <w:t xml:space="preserve">3.1.7 </w:t>
      </w:r>
      <w:r>
        <w:rPr>
          <w:rFonts w:hint="eastAsia" w:ascii="宋体" w:hAnsi="宋体" w:eastAsia="宋体" w:cs="宋体"/>
          <w:b w:val="0"/>
          <w:bCs w:val="0"/>
          <w:color w:val="auto"/>
          <w:sz w:val="21"/>
          <w:szCs w:val="21"/>
          <w:highlight w:val="none"/>
          <w:lang w:eastAsia="zh-CN"/>
        </w:rPr>
        <w:t>功能码</w:t>
      </w:r>
      <w:bookmarkEnd w:id="430"/>
      <w:bookmarkEnd w:id="431"/>
    </w:p>
    <w:p w14:paraId="50D49CD8">
      <w:pPr>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功能码由</w:t>
      </w:r>
      <w:r>
        <w:rPr>
          <w:rFonts w:hint="eastAsia" w:ascii="宋体" w:hAnsi="宋体" w:eastAsia="宋体" w:cs="宋体"/>
          <w:b w:val="0"/>
          <w:bCs w:val="0"/>
          <w:color w:val="auto"/>
          <w:sz w:val="21"/>
          <w:szCs w:val="21"/>
          <w:highlight w:val="none"/>
          <w:lang w:val="en-US" w:eastAsia="zh-CN"/>
        </w:rPr>
        <w:t>1个字节组成，功能码决定数据段内容。部分功能码没有数据段。下表中的功能代码为十进制表示值。</w:t>
      </w:r>
    </w:p>
    <w:tbl>
      <w:tblPr>
        <w:tblStyle w:val="40"/>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5892"/>
        <w:gridCol w:w="2011"/>
      </w:tblGrid>
      <w:tr w14:paraId="1D79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4DBEEFF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功能码</w:t>
            </w:r>
          </w:p>
        </w:tc>
        <w:tc>
          <w:tcPr>
            <w:tcW w:w="5892" w:type="dxa"/>
            <w:noWrap w:val="0"/>
            <w:vAlign w:val="center"/>
          </w:tcPr>
          <w:p w14:paraId="40DB2E9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功能码用途</w:t>
            </w:r>
          </w:p>
        </w:tc>
        <w:tc>
          <w:tcPr>
            <w:tcW w:w="2011" w:type="dxa"/>
            <w:noWrap w:val="0"/>
            <w:vAlign w:val="center"/>
          </w:tcPr>
          <w:p w14:paraId="5E9380A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方向</w:t>
            </w:r>
          </w:p>
        </w:tc>
      </w:tr>
      <w:tr w14:paraId="18BD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07EA5BC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w:t>
            </w:r>
          </w:p>
        </w:tc>
        <w:tc>
          <w:tcPr>
            <w:tcW w:w="5892" w:type="dxa"/>
            <w:noWrap w:val="0"/>
            <w:vAlign w:val="center"/>
          </w:tcPr>
          <w:p w14:paraId="219970E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保留</w:t>
            </w:r>
          </w:p>
        </w:tc>
        <w:tc>
          <w:tcPr>
            <w:tcW w:w="2011" w:type="dxa"/>
            <w:noWrap w:val="0"/>
            <w:vAlign w:val="center"/>
          </w:tcPr>
          <w:p w14:paraId="2171E65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4C9A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511C89D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5892" w:type="dxa"/>
            <w:noWrap w:val="0"/>
            <w:vAlign w:val="center"/>
          </w:tcPr>
          <w:p w14:paraId="2E079B8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主动上报数据指令</w:t>
            </w:r>
          </w:p>
        </w:tc>
        <w:tc>
          <w:tcPr>
            <w:tcW w:w="2011" w:type="dxa"/>
            <w:noWrap w:val="0"/>
            <w:vAlign w:val="center"/>
          </w:tcPr>
          <w:p w14:paraId="1D3772B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设备发起</w:t>
            </w:r>
          </w:p>
        </w:tc>
      </w:tr>
      <w:tr w14:paraId="7346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42598E2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5892" w:type="dxa"/>
            <w:noWrap w:val="0"/>
            <w:vAlign w:val="center"/>
          </w:tcPr>
          <w:p w14:paraId="41CAE01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数据查询指令</w:t>
            </w:r>
          </w:p>
        </w:tc>
        <w:tc>
          <w:tcPr>
            <w:tcW w:w="2011" w:type="dxa"/>
            <w:noWrap w:val="0"/>
            <w:vAlign w:val="center"/>
          </w:tcPr>
          <w:p w14:paraId="52A0DF6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0B3F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2E1ADD7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w:t>
            </w:r>
          </w:p>
        </w:tc>
        <w:tc>
          <w:tcPr>
            <w:tcW w:w="5892" w:type="dxa"/>
            <w:noWrap w:val="0"/>
            <w:vAlign w:val="center"/>
          </w:tcPr>
          <w:p w14:paraId="6536763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告警上报指令</w:t>
            </w:r>
          </w:p>
        </w:tc>
        <w:tc>
          <w:tcPr>
            <w:tcW w:w="2011" w:type="dxa"/>
            <w:noWrap w:val="0"/>
            <w:vAlign w:val="center"/>
          </w:tcPr>
          <w:p w14:paraId="43B40BC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设备发起</w:t>
            </w:r>
          </w:p>
        </w:tc>
      </w:tr>
      <w:tr w14:paraId="13B4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2A887A3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w:t>
            </w:r>
          </w:p>
        </w:tc>
        <w:tc>
          <w:tcPr>
            <w:tcW w:w="5892" w:type="dxa"/>
            <w:noWrap w:val="0"/>
            <w:vAlign w:val="center"/>
          </w:tcPr>
          <w:p w14:paraId="59D6C9E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设置终端时钟</w:t>
            </w:r>
          </w:p>
        </w:tc>
        <w:tc>
          <w:tcPr>
            <w:tcW w:w="2011" w:type="dxa"/>
            <w:noWrap w:val="0"/>
            <w:vAlign w:val="center"/>
          </w:tcPr>
          <w:p w14:paraId="653F96D3">
            <w:pPr>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6C620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6CA137F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5</w:t>
            </w:r>
          </w:p>
        </w:tc>
        <w:tc>
          <w:tcPr>
            <w:tcW w:w="5892" w:type="dxa"/>
            <w:noWrap w:val="0"/>
            <w:vAlign w:val="center"/>
          </w:tcPr>
          <w:p w14:paraId="010384D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设置历史数据存盘间隔</w:t>
            </w:r>
          </w:p>
        </w:tc>
        <w:tc>
          <w:tcPr>
            <w:tcW w:w="2011" w:type="dxa"/>
            <w:noWrap w:val="0"/>
            <w:vAlign w:val="center"/>
          </w:tcPr>
          <w:p w14:paraId="0C4B8B46">
            <w:pPr>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23CAF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71A77C5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w:t>
            </w:r>
          </w:p>
        </w:tc>
        <w:tc>
          <w:tcPr>
            <w:tcW w:w="5892" w:type="dxa"/>
            <w:noWrap w:val="0"/>
            <w:vAlign w:val="center"/>
          </w:tcPr>
          <w:p w14:paraId="1D67534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设置主动上报参数</w:t>
            </w:r>
          </w:p>
        </w:tc>
        <w:tc>
          <w:tcPr>
            <w:tcW w:w="2011" w:type="dxa"/>
            <w:noWrap w:val="0"/>
            <w:vAlign w:val="center"/>
          </w:tcPr>
          <w:p w14:paraId="5167DECF">
            <w:pPr>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6343A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4" w:type="dxa"/>
            <w:noWrap w:val="0"/>
            <w:vAlign w:val="center"/>
          </w:tcPr>
          <w:p w14:paraId="5045AB5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7</w:t>
            </w:r>
          </w:p>
        </w:tc>
        <w:tc>
          <w:tcPr>
            <w:tcW w:w="5892" w:type="dxa"/>
            <w:noWrap w:val="0"/>
            <w:vAlign w:val="center"/>
          </w:tcPr>
          <w:p w14:paraId="188F77D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设置数据中心地址</w:t>
            </w:r>
          </w:p>
        </w:tc>
        <w:tc>
          <w:tcPr>
            <w:tcW w:w="2011" w:type="dxa"/>
            <w:noWrap w:val="0"/>
            <w:vAlign w:val="center"/>
          </w:tcPr>
          <w:p w14:paraId="6C021B68">
            <w:pPr>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6041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78F294E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w:t>
            </w:r>
          </w:p>
        </w:tc>
        <w:tc>
          <w:tcPr>
            <w:tcW w:w="5892" w:type="dxa"/>
            <w:noWrap w:val="0"/>
            <w:vAlign w:val="center"/>
          </w:tcPr>
          <w:p w14:paraId="120329D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设置终端工作模式</w:t>
            </w:r>
          </w:p>
        </w:tc>
        <w:tc>
          <w:tcPr>
            <w:tcW w:w="2011" w:type="dxa"/>
            <w:noWrap w:val="0"/>
            <w:vAlign w:val="center"/>
          </w:tcPr>
          <w:p w14:paraId="48A7E90A">
            <w:pPr>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72892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398C840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9</w:t>
            </w:r>
          </w:p>
        </w:tc>
        <w:tc>
          <w:tcPr>
            <w:tcW w:w="5892" w:type="dxa"/>
            <w:noWrap w:val="0"/>
            <w:vAlign w:val="center"/>
          </w:tcPr>
          <w:p w14:paraId="72FBE08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设置终端地址</w:t>
            </w:r>
          </w:p>
        </w:tc>
        <w:tc>
          <w:tcPr>
            <w:tcW w:w="2011" w:type="dxa"/>
            <w:noWrap w:val="0"/>
            <w:vAlign w:val="center"/>
          </w:tcPr>
          <w:p w14:paraId="120EF30F">
            <w:pPr>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11D2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22B3049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10</w:t>
            </w:r>
          </w:p>
        </w:tc>
        <w:tc>
          <w:tcPr>
            <w:tcW w:w="5892" w:type="dxa"/>
            <w:noWrap w:val="0"/>
            <w:vAlign w:val="center"/>
          </w:tcPr>
          <w:p w14:paraId="140DD57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设置加密标志</w:t>
            </w:r>
          </w:p>
        </w:tc>
        <w:tc>
          <w:tcPr>
            <w:tcW w:w="2011" w:type="dxa"/>
            <w:noWrap w:val="0"/>
            <w:vAlign w:val="center"/>
          </w:tcPr>
          <w:p w14:paraId="68109478">
            <w:pPr>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0D953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7AA7BB3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11</w:t>
            </w:r>
          </w:p>
        </w:tc>
        <w:tc>
          <w:tcPr>
            <w:tcW w:w="5892" w:type="dxa"/>
            <w:noWrap w:val="0"/>
            <w:vAlign w:val="center"/>
          </w:tcPr>
          <w:p w14:paraId="2E134D6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查询历史数据存盘间隔</w:t>
            </w:r>
          </w:p>
        </w:tc>
        <w:tc>
          <w:tcPr>
            <w:tcW w:w="2011" w:type="dxa"/>
            <w:noWrap w:val="0"/>
            <w:vAlign w:val="center"/>
          </w:tcPr>
          <w:p w14:paraId="22993405">
            <w:pPr>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4B40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5B2DC4D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12</w:t>
            </w:r>
          </w:p>
        </w:tc>
        <w:tc>
          <w:tcPr>
            <w:tcW w:w="5892" w:type="dxa"/>
            <w:noWrap w:val="0"/>
            <w:vAlign w:val="center"/>
          </w:tcPr>
          <w:p w14:paraId="73F18D1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查询主动上报参数</w:t>
            </w:r>
          </w:p>
        </w:tc>
        <w:tc>
          <w:tcPr>
            <w:tcW w:w="2011" w:type="dxa"/>
            <w:noWrap w:val="0"/>
            <w:vAlign w:val="center"/>
          </w:tcPr>
          <w:p w14:paraId="792F8C3D">
            <w:pPr>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656F9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1F668F3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13</w:t>
            </w:r>
          </w:p>
        </w:tc>
        <w:tc>
          <w:tcPr>
            <w:tcW w:w="5892" w:type="dxa"/>
            <w:noWrap w:val="0"/>
            <w:vAlign w:val="center"/>
          </w:tcPr>
          <w:p w14:paraId="5415A4D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查询数据中心地址</w:t>
            </w:r>
          </w:p>
        </w:tc>
        <w:tc>
          <w:tcPr>
            <w:tcW w:w="2011" w:type="dxa"/>
            <w:noWrap w:val="0"/>
            <w:vAlign w:val="center"/>
          </w:tcPr>
          <w:p w14:paraId="6EAD8835">
            <w:pPr>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bl>
    <w:p w14:paraId="54EFA95E">
      <w:pPr>
        <w:keepNext w:val="0"/>
        <w:keepLines w:val="0"/>
        <w:pageBreakBefore w:val="0"/>
        <w:numPr>
          <w:ilvl w:val="1"/>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eastAsia="zh-CN"/>
        </w:rPr>
      </w:pPr>
      <w:bookmarkStart w:id="432" w:name="_Toc20324"/>
      <w:bookmarkStart w:id="433" w:name="_Toc25850"/>
      <w:r>
        <w:rPr>
          <w:rFonts w:hint="eastAsia" w:ascii="宋体" w:hAnsi="宋体" w:eastAsia="宋体" w:cs="宋体"/>
          <w:b w:val="0"/>
          <w:bCs w:val="0"/>
          <w:color w:val="auto"/>
          <w:kern w:val="0"/>
          <w:sz w:val="21"/>
          <w:szCs w:val="21"/>
          <w:highlight w:val="none"/>
          <w:lang w:val="en-US" w:eastAsia="zh-CN" w:bidi="ar-SA"/>
        </w:rPr>
        <w:t xml:space="preserve">3.1.8 </w:t>
      </w:r>
      <w:r>
        <w:rPr>
          <w:rFonts w:hint="eastAsia" w:ascii="宋体" w:hAnsi="宋体" w:eastAsia="宋体" w:cs="宋体"/>
          <w:b w:val="0"/>
          <w:bCs w:val="0"/>
          <w:color w:val="auto"/>
          <w:sz w:val="21"/>
          <w:szCs w:val="21"/>
          <w:highlight w:val="none"/>
          <w:lang w:eastAsia="zh-CN"/>
        </w:rPr>
        <w:t>运行参数段</w:t>
      </w:r>
      <w:bookmarkEnd w:id="432"/>
      <w:bookmarkEnd w:id="433"/>
    </w:p>
    <w:p w14:paraId="610B6BBC">
      <w:pPr>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运行参数段用于传输设备当前工作参数数据，包括电压、信号等数据。运行参数段是一个可选数据段，是否包含运行参数段由帧标识字节中的最高位进行标识。</w:t>
      </w:r>
    </w:p>
    <w:p w14:paraId="7029AFA5">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在分帧传输时首帧必须包含运行参数段，后续帧可以不包含运行参数段。</w:t>
      </w:r>
    </w:p>
    <w:p w14:paraId="7B04394A">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运行参数段中，设备不具备条件的参数信息使用0填充。</w:t>
      </w:r>
    </w:p>
    <w:p w14:paraId="30E5BD1C">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eastAsia="zh-CN"/>
        </w:rPr>
      </w:pPr>
      <w:bookmarkStart w:id="434" w:name="_Toc16579"/>
      <w:bookmarkStart w:id="435" w:name="_Toc20049"/>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sz w:val="21"/>
          <w:szCs w:val="21"/>
          <w:highlight w:val="none"/>
          <w:lang w:eastAsia="zh-CN"/>
        </w:rPr>
        <w:t>设备标识</w:t>
      </w:r>
      <w:bookmarkEnd w:id="434"/>
      <w:bookmarkEnd w:id="435"/>
    </w:p>
    <w:p w14:paraId="611CE933">
      <w:pPr>
        <w:pStyle w:val="215"/>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设备标识由1个字节组成，其中最高位表示设备工作模式，低7位表示设备类型。</w:t>
      </w:r>
    </w:p>
    <w:tbl>
      <w:tblPr>
        <w:tblStyle w:val="40"/>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152"/>
        <w:gridCol w:w="1152"/>
        <w:gridCol w:w="1152"/>
        <w:gridCol w:w="1152"/>
        <w:gridCol w:w="1152"/>
        <w:gridCol w:w="1152"/>
        <w:gridCol w:w="1152"/>
      </w:tblGrid>
      <w:tr w14:paraId="18C6D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2" w:type="dxa"/>
            <w:noWrap w:val="0"/>
            <w:vAlign w:val="center"/>
          </w:tcPr>
          <w:p w14:paraId="69DDC47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7</w:t>
            </w:r>
          </w:p>
        </w:tc>
        <w:tc>
          <w:tcPr>
            <w:tcW w:w="1152" w:type="dxa"/>
            <w:noWrap w:val="0"/>
            <w:vAlign w:val="center"/>
          </w:tcPr>
          <w:p w14:paraId="71E9313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w:t>
            </w:r>
          </w:p>
        </w:tc>
        <w:tc>
          <w:tcPr>
            <w:tcW w:w="1152" w:type="dxa"/>
            <w:noWrap w:val="0"/>
            <w:vAlign w:val="center"/>
          </w:tcPr>
          <w:p w14:paraId="755AA55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5</w:t>
            </w:r>
          </w:p>
        </w:tc>
        <w:tc>
          <w:tcPr>
            <w:tcW w:w="1152" w:type="dxa"/>
            <w:noWrap w:val="0"/>
            <w:vAlign w:val="center"/>
          </w:tcPr>
          <w:p w14:paraId="48A18C0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w:t>
            </w:r>
          </w:p>
        </w:tc>
        <w:tc>
          <w:tcPr>
            <w:tcW w:w="1152" w:type="dxa"/>
            <w:noWrap w:val="0"/>
            <w:vAlign w:val="center"/>
          </w:tcPr>
          <w:p w14:paraId="7687475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w:t>
            </w:r>
          </w:p>
        </w:tc>
        <w:tc>
          <w:tcPr>
            <w:tcW w:w="1152" w:type="dxa"/>
            <w:noWrap w:val="0"/>
            <w:vAlign w:val="center"/>
          </w:tcPr>
          <w:p w14:paraId="300DCD5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1152" w:type="dxa"/>
            <w:noWrap w:val="0"/>
            <w:vAlign w:val="center"/>
          </w:tcPr>
          <w:p w14:paraId="0F6F961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1152" w:type="dxa"/>
            <w:noWrap w:val="0"/>
            <w:vAlign w:val="center"/>
          </w:tcPr>
          <w:p w14:paraId="017EB75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w:t>
            </w:r>
          </w:p>
        </w:tc>
      </w:tr>
      <w:tr w14:paraId="3D460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52" w:type="dxa"/>
            <w:noWrap w:val="0"/>
            <w:vAlign w:val="center"/>
          </w:tcPr>
          <w:p w14:paraId="63EB445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工作模式</w:t>
            </w:r>
          </w:p>
        </w:tc>
        <w:tc>
          <w:tcPr>
            <w:tcW w:w="8064" w:type="dxa"/>
            <w:gridSpan w:val="7"/>
            <w:noWrap w:val="0"/>
            <w:vAlign w:val="center"/>
          </w:tcPr>
          <w:p w14:paraId="5497765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设备类型代码</w:t>
            </w:r>
          </w:p>
        </w:tc>
      </w:tr>
    </w:tbl>
    <w:p w14:paraId="298C447C">
      <w:pPr>
        <w:pStyle w:val="215"/>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vertAlign w:val="baseline"/>
          <w:lang w:val="en-US" w:eastAsia="zh-CN"/>
        </w:rPr>
      </w:pPr>
    </w:p>
    <w:p w14:paraId="2593C592">
      <w:pPr>
        <w:pStyle w:val="215"/>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工作模式：0表示设备处于休眠工作模式，1表示设备处于长期在线待命状态。</w:t>
      </w:r>
    </w:p>
    <w:p w14:paraId="3C30D00D">
      <w:pPr>
        <w:pStyle w:val="215"/>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设备类型代码：表示设备种类代码，代码表见附录A。</w:t>
      </w:r>
    </w:p>
    <w:p w14:paraId="1DF46FE7">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eastAsia="zh-CN"/>
        </w:rPr>
      </w:pPr>
      <w:bookmarkStart w:id="436" w:name="_Toc8160"/>
      <w:bookmarkStart w:id="437" w:name="_Toc16474"/>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sz w:val="21"/>
          <w:szCs w:val="21"/>
          <w:highlight w:val="none"/>
          <w:lang w:eastAsia="zh-CN"/>
        </w:rPr>
        <w:t>设备电压</w:t>
      </w:r>
      <w:bookmarkEnd w:id="436"/>
      <w:bookmarkEnd w:id="437"/>
    </w:p>
    <w:p w14:paraId="16C62B74">
      <w:pPr>
        <w:pStyle w:val="215"/>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eastAsia="zh-CN"/>
        </w:rPr>
        <w:t>由</w:t>
      </w:r>
      <w:r>
        <w:rPr>
          <w:rFonts w:hint="eastAsia" w:ascii="宋体" w:hAnsi="宋体" w:eastAsia="宋体" w:cs="宋体"/>
          <w:b w:val="0"/>
          <w:bCs w:val="0"/>
          <w:color w:val="auto"/>
          <w:sz w:val="21"/>
          <w:szCs w:val="21"/>
          <w:highlight w:val="none"/>
          <w:lang w:val="en-US" w:eastAsia="zh-CN"/>
        </w:rPr>
        <w:t>2字节组成，</w:t>
      </w:r>
      <w:r>
        <w:rPr>
          <w:rFonts w:hint="eastAsia" w:ascii="宋体" w:hAnsi="宋体" w:eastAsia="宋体" w:cs="宋体"/>
          <w:b w:val="0"/>
          <w:bCs w:val="0"/>
          <w:color w:val="auto"/>
          <w:sz w:val="21"/>
          <w:szCs w:val="21"/>
          <w:highlight w:val="none"/>
          <w:vertAlign w:val="baseline"/>
          <w:lang w:val="en-US" w:eastAsia="zh-CN"/>
        </w:rPr>
        <w:t>高字节在前，低字节在后。设备上发时将电压放大100倍后使用整型传输，上位机解码时将数值还原。对于存在表芯电压与远传模块电压的设备，此处应为远传模块电压，表芯电压放在32H数据段。对于只有一个电压的设备，此处为32H数据段中的最新值。</w:t>
      </w:r>
    </w:p>
    <w:p w14:paraId="32243E68">
      <w:pPr>
        <w:pStyle w:val="215"/>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vertAlign w:val="baseline"/>
          <w:lang w:val="en-US" w:eastAsia="zh-CN"/>
        </w:rPr>
        <w:t>示例： 02H E8H = 744 * 0.01 =7.44V</w:t>
      </w:r>
    </w:p>
    <w:p w14:paraId="0CF820EE">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eastAsia="zh-CN"/>
        </w:rPr>
      </w:pPr>
      <w:bookmarkStart w:id="438" w:name="_Toc26672"/>
      <w:bookmarkStart w:id="439" w:name="_Toc9566"/>
      <w:r>
        <w:rPr>
          <w:rFonts w:hint="eastAsia" w:ascii="宋体" w:hAnsi="宋体" w:eastAsia="宋体" w:cs="宋体"/>
          <w:b w:val="0"/>
          <w:bCs w:val="0"/>
          <w:color w:val="auto"/>
          <w:kern w:val="2"/>
          <w:sz w:val="21"/>
          <w:szCs w:val="21"/>
          <w:highlight w:val="none"/>
          <w:lang w:val="en-US" w:eastAsia="zh-CN" w:bidi="ar-SA"/>
        </w:rPr>
        <w:t>（3）</w:t>
      </w:r>
      <w:r>
        <w:rPr>
          <w:rFonts w:hint="eastAsia" w:ascii="宋体" w:hAnsi="宋体" w:eastAsia="宋体" w:cs="宋体"/>
          <w:b w:val="0"/>
          <w:bCs w:val="0"/>
          <w:color w:val="auto"/>
          <w:sz w:val="21"/>
          <w:szCs w:val="21"/>
          <w:highlight w:val="none"/>
          <w:lang w:eastAsia="zh-CN"/>
        </w:rPr>
        <w:t>信号强度</w:t>
      </w:r>
      <w:bookmarkEnd w:id="438"/>
      <w:bookmarkEnd w:id="439"/>
    </w:p>
    <w:p w14:paraId="72EFF8C7">
      <w:pPr>
        <w:pStyle w:val="215"/>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信号强度（</w:t>
      </w:r>
      <w:r>
        <w:rPr>
          <w:rFonts w:hint="eastAsia" w:ascii="宋体" w:hAnsi="宋体" w:eastAsia="宋体" w:cs="宋体"/>
          <w:b w:val="0"/>
          <w:bCs w:val="0"/>
          <w:color w:val="auto"/>
          <w:sz w:val="21"/>
          <w:szCs w:val="21"/>
          <w:highlight w:val="none"/>
          <w:lang w:val="en-US" w:eastAsia="zh-CN"/>
        </w:rPr>
        <w:t>CSQ</w:t>
      </w:r>
      <w:r>
        <w:rPr>
          <w:rFonts w:hint="eastAsia" w:ascii="宋体" w:hAnsi="宋体" w:eastAsia="宋体" w:cs="宋体"/>
          <w:b w:val="0"/>
          <w:bCs w:val="0"/>
          <w:color w:val="auto"/>
          <w:sz w:val="21"/>
          <w:szCs w:val="21"/>
          <w:highlight w:val="none"/>
          <w:lang w:eastAsia="zh-CN"/>
        </w:rPr>
        <w:t>）由</w:t>
      </w:r>
      <w:r>
        <w:rPr>
          <w:rFonts w:hint="eastAsia" w:ascii="宋体" w:hAnsi="宋体" w:eastAsia="宋体" w:cs="宋体"/>
          <w:b w:val="0"/>
          <w:bCs w:val="0"/>
          <w:color w:val="auto"/>
          <w:sz w:val="21"/>
          <w:szCs w:val="21"/>
          <w:highlight w:val="none"/>
          <w:lang w:val="en-US" w:eastAsia="zh-CN"/>
        </w:rPr>
        <w:t>1字节组成。</w:t>
      </w:r>
    </w:p>
    <w:p w14:paraId="523796D3">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eastAsia="zh-CN"/>
        </w:rPr>
      </w:pPr>
      <w:bookmarkStart w:id="440" w:name="_Toc14039"/>
      <w:bookmarkStart w:id="441" w:name="_Toc7818"/>
      <w:r>
        <w:rPr>
          <w:rFonts w:hint="eastAsia" w:ascii="宋体" w:hAnsi="宋体" w:eastAsia="宋体" w:cs="宋体"/>
          <w:b w:val="0"/>
          <w:bCs w:val="0"/>
          <w:color w:val="auto"/>
          <w:kern w:val="2"/>
          <w:sz w:val="21"/>
          <w:szCs w:val="21"/>
          <w:highlight w:val="none"/>
          <w:lang w:val="en-US" w:eastAsia="zh-CN" w:bidi="ar-SA"/>
        </w:rPr>
        <w:t>（4）</w:t>
      </w:r>
      <w:r>
        <w:rPr>
          <w:rFonts w:hint="eastAsia" w:ascii="宋体" w:hAnsi="宋体" w:eastAsia="宋体" w:cs="宋体"/>
          <w:b w:val="0"/>
          <w:bCs w:val="0"/>
          <w:color w:val="auto"/>
          <w:sz w:val="21"/>
          <w:szCs w:val="21"/>
          <w:highlight w:val="none"/>
          <w:lang w:eastAsia="zh-CN"/>
        </w:rPr>
        <w:t>接收功率</w:t>
      </w:r>
      <w:bookmarkEnd w:id="440"/>
      <w:bookmarkEnd w:id="441"/>
    </w:p>
    <w:p w14:paraId="211563EF">
      <w:pPr>
        <w:pStyle w:val="215"/>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信号接收功率（</w:t>
      </w:r>
      <w:r>
        <w:rPr>
          <w:rFonts w:hint="eastAsia" w:ascii="宋体" w:hAnsi="宋体" w:eastAsia="宋体" w:cs="宋体"/>
          <w:b w:val="0"/>
          <w:bCs w:val="0"/>
          <w:color w:val="auto"/>
          <w:sz w:val="21"/>
          <w:szCs w:val="21"/>
          <w:highlight w:val="none"/>
          <w:lang w:val="en-US" w:eastAsia="zh-CN"/>
        </w:rPr>
        <w:t>RSRP</w:t>
      </w:r>
      <w:r>
        <w:rPr>
          <w:rFonts w:hint="eastAsia" w:ascii="宋体" w:hAnsi="宋体" w:eastAsia="宋体" w:cs="宋体"/>
          <w:b w:val="0"/>
          <w:bCs w:val="0"/>
          <w:color w:val="auto"/>
          <w:sz w:val="21"/>
          <w:szCs w:val="21"/>
          <w:highlight w:val="none"/>
          <w:lang w:eastAsia="zh-CN"/>
        </w:rPr>
        <w:t>）由</w:t>
      </w:r>
      <w:r>
        <w:rPr>
          <w:rFonts w:hint="eastAsia" w:ascii="宋体" w:hAnsi="宋体" w:eastAsia="宋体" w:cs="宋体"/>
          <w:b w:val="0"/>
          <w:bCs w:val="0"/>
          <w:color w:val="auto"/>
          <w:sz w:val="21"/>
          <w:szCs w:val="21"/>
          <w:highlight w:val="none"/>
          <w:lang w:val="en-US" w:eastAsia="zh-CN"/>
        </w:rPr>
        <w:t>2字节组成，</w:t>
      </w:r>
      <w:r>
        <w:rPr>
          <w:rFonts w:hint="eastAsia" w:ascii="宋体" w:hAnsi="宋体" w:eastAsia="宋体" w:cs="宋体"/>
          <w:b w:val="0"/>
          <w:bCs w:val="0"/>
          <w:color w:val="auto"/>
          <w:sz w:val="21"/>
          <w:szCs w:val="21"/>
          <w:highlight w:val="none"/>
          <w:vertAlign w:val="baseline"/>
          <w:lang w:val="en-US" w:eastAsia="zh-CN"/>
        </w:rPr>
        <w:t>高字节在前，低字节在后。</w:t>
      </w:r>
    </w:p>
    <w:p w14:paraId="1ADFCCA2">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eastAsia="zh-CN"/>
        </w:rPr>
      </w:pPr>
      <w:bookmarkStart w:id="442" w:name="_Toc11071"/>
      <w:bookmarkStart w:id="443" w:name="_Toc31979"/>
      <w:r>
        <w:rPr>
          <w:rFonts w:hint="eastAsia" w:ascii="宋体" w:hAnsi="宋体" w:eastAsia="宋体" w:cs="宋体"/>
          <w:b w:val="0"/>
          <w:bCs w:val="0"/>
          <w:color w:val="auto"/>
          <w:kern w:val="2"/>
          <w:sz w:val="21"/>
          <w:szCs w:val="21"/>
          <w:highlight w:val="none"/>
          <w:lang w:val="en-US" w:eastAsia="zh-CN" w:bidi="ar-SA"/>
        </w:rPr>
        <w:t>（5）</w:t>
      </w:r>
      <w:r>
        <w:rPr>
          <w:rFonts w:hint="eastAsia" w:ascii="宋体" w:hAnsi="宋体" w:eastAsia="宋体" w:cs="宋体"/>
          <w:b w:val="0"/>
          <w:bCs w:val="0"/>
          <w:color w:val="auto"/>
          <w:sz w:val="21"/>
          <w:szCs w:val="21"/>
          <w:highlight w:val="none"/>
          <w:lang w:eastAsia="zh-CN"/>
        </w:rPr>
        <w:t>信噪比</w:t>
      </w:r>
      <w:bookmarkEnd w:id="442"/>
      <w:bookmarkEnd w:id="443"/>
    </w:p>
    <w:p w14:paraId="31C7654A">
      <w:pPr>
        <w:pStyle w:val="215"/>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信噪比（</w:t>
      </w:r>
      <w:r>
        <w:rPr>
          <w:rFonts w:hint="eastAsia" w:ascii="宋体" w:hAnsi="宋体" w:eastAsia="宋体" w:cs="宋体"/>
          <w:b w:val="0"/>
          <w:bCs w:val="0"/>
          <w:color w:val="auto"/>
          <w:sz w:val="21"/>
          <w:szCs w:val="21"/>
          <w:highlight w:val="none"/>
          <w:lang w:val="en-US" w:eastAsia="zh-CN"/>
        </w:rPr>
        <w:t>SNR</w:t>
      </w:r>
      <w:r>
        <w:rPr>
          <w:rFonts w:hint="eastAsia" w:ascii="宋体" w:hAnsi="宋体" w:eastAsia="宋体" w:cs="宋体"/>
          <w:b w:val="0"/>
          <w:bCs w:val="0"/>
          <w:color w:val="auto"/>
          <w:sz w:val="21"/>
          <w:szCs w:val="21"/>
          <w:highlight w:val="none"/>
          <w:lang w:eastAsia="zh-CN"/>
        </w:rPr>
        <w:t>）由</w:t>
      </w:r>
      <w:r>
        <w:rPr>
          <w:rFonts w:hint="eastAsia" w:ascii="宋体" w:hAnsi="宋体" w:eastAsia="宋体" w:cs="宋体"/>
          <w:b w:val="0"/>
          <w:bCs w:val="0"/>
          <w:color w:val="auto"/>
          <w:sz w:val="21"/>
          <w:szCs w:val="21"/>
          <w:highlight w:val="none"/>
          <w:lang w:val="en-US" w:eastAsia="zh-CN"/>
        </w:rPr>
        <w:t>2字节组成，</w:t>
      </w:r>
      <w:r>
        <w:rPr>
          <w:rFonts w:hint="eastAsia" w:ascii="宋体" w:hAnsi="宋体" w:eastAsia="宋体" w:cs="宋体"/>
          <w:b w:val="0"/>
          <w:bCs w:val="0"/>
          <w:color w:val="auto"/>
          <w:sz w:val="21"/>
          <w:szCs w:val="21"/>
          <w:highlight w:val="none"/>
          <w:vertAlign w:val="baseline"/>
          <w:lang w:val="en-US" w:eastAsia="zh-CN"/>
        </w:rPr>
        <w:t>高字节在前，低字节在后。</w:t>
      </w:r>
    </w:p>
    <w:p w14:paraId="5A4F2CB0">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eastAsia="zh-CN"/>
        </w:rPr>
      </w:pPr>
      <w:bookmarkStart w:id="444" w:name="_Toc28181"/>
      <w:bookmarkStart w:id="445" w:name="_Toc26490"/>
      <w:r>
        <w:rPr>
          <w:rFonts w:hint="eastAsia" w:ascii="宋体" w:hAnsi="宋体" w:eastAsia="宋体" w:cs="宋体"/>
          <w:b w:val="0"/>
          <w:bCs w:val="0"/>
          <w:color w:val="auto"/>
          <w:kern w:val="2"/>
          <w:sz w:val="21"/>
          <w:szCs w:val="21"/>
          <w:highlight w:val="none"/>
          <w:lang w:val="en-US" w:eastAsia="zh-CN" w:bidi="ar-SA"/>
        </w:rPr>
        <w:t>（6）</w:t>
      </w:r>
      <w:r>
        <w:rPr>
          <w:rFonts w:hint="eastAsia" w:ascii="宋体" w:hAnsi="宋体" w:eastAsia="宋体" w:cs="宋体"/>
          <w:b w:val="0"/>
          <w:bCs w:val="0"/>
          <w:color w:val="auto"/>
          <w:sz w:val="21"/>
          <w:szCs w:val="21"/>
          <w:highlight w:val="none"/>
          <w:lang w:eastAsia="zh-CN"/>
        </w:rPr>
        <w:t>覆盖等级</w:t>
      </w:r>
      <w:bookmarkEnd w:id="444"/>
      <w:bookmarkEnd w:id="445"/>
    </w:p>
    <w:p w14:paraId="2E06BD1A">
      <w:pPr>
        <w:pStyle w:val="215"/>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覆盖等级（</w:t>
      </w:r>
      <w:r>
        <w:rPr>
          <w:rFonts w:hint="eastAsia" w:ascii="宋体" w:hAnsi="宋体" w:eastAsia="宋体" w:cs="宋体"/>
          <w:b w:val="0"/>
          <w:bCs w:val="0"/>
          <w:color w:val="auto"/>
          <w:sz w:val="21"/>
          <w:szCs w:val="21"/>
          <w:highlight w:val="none"/>
          <w:lang w:val="en-US" w:eastAsia="zh-CN"/>
        </w:rPr>
        <w:t>ECL</w:t>
      </w:r>
      <w:r>
        <w:rPr>
          <w:rFonts w:hint="eastAsia" w:ascii="宋体" w:hAnsi="宋体" w:eastAsia="宋体" w:cs="宋体"/>
          <w:b w:val="0"/>
          <w:bCs w:val="0"/>
          <w:color w:val="auto"/>
          <w:sz w:val="21"/>
          <w:szCs w:val="21"/>
          <w:highlight w:val="none"/>
          <w:lang w:eastAsia="zh-CN"/>
        </w:rPr>
        <w:t>）由</w:t>
      </w:r>
      <w:r>
        <w:rPr>
          <w:rFonts w:hint="eastAsia" w:ascii="宋体" w:hAnsi="宋体" w:eastAsia="宋体" w:cs="宋体"/>
          <w:b w:val="0"/>
          <w:bCs w:val="0"/>
          <w:color w:val="auto"/>
          <w:sz w:val="21"/>
          <w:szCs w:val="21"/>
          <w:highlight w:val="none"/>
          <w:lang w:val="en-US" w:eastAsia="zh-CN"/>
        </w:rPr>
        <w:t>1字节组成</w:t>
      </w:r>
      <w:r>
        <w:rPr>
          <w:rFonts w:hint="eastAsia" w:ascii="宋体" w:hAnsi="宋体" w:eastAsia="宋体" w:cs="宋体"/>
          <w:b w:val="0"/>
          <w:bCs w:val="0"/>
          <w:color w:val="auto"/>
          <w:sz w:val="21"/>
          <w:szCs w:val="21"/>
          <w:highlight w:val="none"/>
          <w:vertAlign w:val="baseline"/>
          <w:lang w:val="en-US" w:eastAsia="zh-CN"/>
        </w:rPr>
        <w:t>。</w:t>
      </w:r>
    </w:p>
    <w:p w14:paraId="3225C40F">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46" w:name="_Toc27297"/>
      <w:bookmarkStart w:id="447" w:name="_Toc16208"/>
      <w:r>
        <w:rPr>
          <w:rFonts w:hint="eastAsia" w:ascii="宋体" w:hAnsi="宋体" w:eastAsia="宋体" w:cs="宋体"/>
          <w:b w:val="0"/>
          <w:bCs w:val="0"/>
          <w:color w:val="auto"/>
          <w:kern w:val="2"/>
          <w:sz w:val="21"/>
          <w:szCs w:val="21"/>
          <w:highlight w:val="none"/>
          <w:lang w:val="en-US" w:eastAsia="zh-CN" w:bidi="ar-SA"/>
        </w:rPr>
        <w:t>（7）</w:t>
      </w:r>
      <w:r>
        <w:rPr>
          <w:rFonts w:hint="eastAsia" w:ascii="宋体" w:hAnsi="宋体" w:eastAsia="宋体" w:cs="宋体"/>
          <w:b w:val="0"/>
          <w:bCs w:val="0"/>
          <w:color w:val="auto"/>
          <w:sz w:val="21"/>
          <w:szCs w:val="21"/>
          <w:highlight w:val="none"/>
          <w:lang w:val="en-US" w:eastAsia="zh-CN"/>
        </w:rPr>
        <w:t>小区ID</w:t>
      </w:r>
      <w:bookmarkEnd w:id="446"/>
      <w:bookmarkEnd w:id="447"/>
    </w:p>
    <w:p w14:paraId="65A54E6D">
      <w:pPr>
        <w:pStyle w:val="215"/>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小区ID（PCI）</w:t>
      </w:r>
      <w:r>
        <w:rPr>
          <w:rFonts w:hint="eastAsia" w:ascii="宋体" w:hAnsi="宋体" w:eastAsia="宋体" w:cs="宋体"/>
          <w:b w:val="0"/>
          <w:bCs w:val="0"/>
          <w:color w:val="auto"/>
          <w:sz w:val="21"/>
          <w:szCs w:val="21"/>
          <w:highlight w:val="none"/>
          <w:lang w:eastAsia="zh-CN"/>
        </w:rPr>
        <w:t>由</w:t>
      </w:r>
      <w:r>
        <w:rPr>
          <w:rFonts w:hint="eastAsia" w:ascii="宋体" w:hAnsi="宋体" w:eastAsia="宋体" w:cs="宋体"/>
          <w:b w:val="0"/>
          <w:bCs w:val="0"/>
          <w:color w:val="auto"/>
          <w:sz w:val="21"/>
          <w:szCs w:val="21"/>
          <w:highlight w:val="none"/>
          <w:lang w:val="en-US" w:eastAsia="zh-CN"/>
        </w:rPr>
        <w:t>4字节组成，</w:t>
      </w:r>
      <w:r>
        <w:rPr>
          <w:rFonts w:hint="eastAsia" w:ascii="宋体" w:hAnsi="宋体" w:eastAsia="宋体" w:cs="宋体"/>
          <w:b w:val="0"/>
          <w:bCs w:val="0"/>
          <w:color w:val="auto"/>
          <w:sz w:val="21"/>
          <w:szCs w:val="21"/>
          <w:highlight w:val="none"/>
          <w:vertAlign w:val="baseline"/>
          <w:lang w:val="en-US" w:eastAsia="zh-CN"/>
        </w:rPr>
        <w:t>高字节在前，低字节在后。</w:t>
      </w:r>
    </w:p>
    <w:p w14:paraId="3D972E76">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vertAlign w:val="baseline"/>
          <w:lang w:val="en-US" w:eastAsia="zh-CN"/>
        </w:rPr>
      </w:pPr>
      <w:bookmarkStart w:id="448" w:name="_Toc9062"/>
      <w:bookmarkStart w:id="449" w:name="_Toc27930"/>
      <w:r>
        <w:rPr>
          <w:rFonts w:hint="eastAsia" w:ascii="宋体" w:hAnsi="宋体" w:eastAsia="宋体" w:cs="宋体"/>
          <w:b w:val="0"/>
          <w:bCs w:val="0"/>
          <w:color w:val="auto"/>
          <w:kern w:val="2"/>
          <w:sz w:val="21"/>
          <w:szCs w:val="21"/>
          <w:highlight w:val="none"/>
          <w:vertAlign w:val="baseline"/>
          <w:lang w:val="en-US" w:eastAsia="zh-CN" w:bidi="ar-SA"/>
        </w:rPr>
        <w:t>（8）</w:t>
      </w:r>
      <w:r>
        <w:rPr>
          <w:rFonts w:hint="eastAsia" w:ascii="宋体" w:hAnsi="宋体" w:eastAsia="宋体" w:cs="宋体"/>
          <w:b w:val="0"/>
          <w:bCs w:val="0"/>
          <w:color w:val="auto"/>
          <w:sz w:val="21"/>
          <w:szCs w:val="21"/>
          <w:highlight w:val="none"/>
          <w:vertAlign w:val="baseline"/>
          <w:lang w:val="en-US" w:eastAsia="zh-CN"/>
        </w:rPr>
        <w:t>IMEI标识</w:t>
      </w:r>
      <w:bookmarkEnd w:id="448"/>
      <w:bookmarkEnd w:id="449"/>
    </w:p>
    <w:p w14:paraId="7151B52A">
      <w:pPr>
        <w:pStyle w:val="215"/>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IMEI标识由8字节BCD组成。</w:t>
      </w:r>
    </w:p>
    <w:p w14:paraId="525A0B22">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vertAlign w:val="baseline"/>
          <w:lang w:val="en-US" w:eastAsia="zh-CN"/>
        </w:rPr>
      </w:pPr>
      <w:bookmarkStart w:id="450" w:name="_Toc26518"/>
      <w:bookmarkStart w:id="451" w:name="_Toc24068"/>
      <w:r>
        <w:rPr>
          <w:rFonts w:hint="eastAsia" w:ascii="宋体" w:hAnsi="宋体" w:eastAsia="宋体" w:cs="宋体"/>
          <w:b w:val="0"/>
          <w:bCs w:val="0"/>
          <w:color w:val="auto"/>
          <w:kern w:val="2"/>
          <w:sz w:val="21"/>
          <w:szCs w:val="21"/>
          <w:highlight w:val="none"/>
          <w:vertAlign w:val="baseline"/>
          <w:lang w:val="en-US" w:eastAsia="zh-CN" w:bidi="ar-SA"/>
        </w:rPr>
        <w:t>（9）</w:t>
      </w:r>
      <w:r>
        <w:rPr>
          <w:rFonts w:hint="eastAsia" w:ascii="宋体" w:hAnsi="宋体" w:eastAsia="宋体" w:cs="宋体"/>
          <w:b w:val="0"/>
          <w:bCs w:val="0"/>
          <w:color w:val="auto"/>
          <w:sz w:val="21"/>
          <w:szCs w:val="21"/>
          <w:highlight w:val="none"/>
          <w:vertAlign w:val="baseline"/>
          <w:lang w:val="en-US" w:eastAsia="zh-CN"/>
        </w:rPr>
        <w:t>SIM标识</w:t>
      </w:r>
      <w:bookmarkEnd w:id="450"/>
      <w:bookmarkEnd w:id="451"/>
    </w:p>
    <w:p w14:paraId="7F1BAAD1">
      <w:pPr>
        <w:pStyle w:val="215"/>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SIM标识由10字节BCD组成，即ICCID。</w:t>
      </w:r>
    </w:p>
    <w:p w14:paraId="2FAB4630">
      <w:pPr>
        <w:keepNext w:val="0"/>
        <w:keepLines w:val="0"/>
        <w:pageBreakBefore w:val="0"/>
        <w:numPr>
          <w:ilvl w:val="1"/>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52" w:name="_Toc28414"/>
      <w:bookmarkStart w:id="453" w:name="_Toc16733"/>
      <w:r>
        <w:rPr>
          <w:rFonts w:hint="eastAsia" w:ascii="宋体" w:hAnsi="宋体" w:eastAsia="宋体" w:cs="宋体"/>
          <w:b w:val="0"/>
          <w:bCs w:val="0"/>
          <w:color w:val="auto"/>
          <w:kern w:val="0"/>
          <w:sz w:val="21"/>
          <w:szCs w:val="21"/>
          <w:highlight w:val="none"/>
          <w:lang w:val="en-US" w:eastAsia="zh-CN" w:bidi="ar-SA"/>
        </w:rPr>
        <w:t xml:space="preserve">3.1.9 </w:t>
      </w:r>
      <w:r>
        <w:rPr>
          <w:rFonts w:hint="eastAsia" w:ascii="宋体" w:hAnsi="宋体" w:eastAsia="宋体" w:cs="宋体"/>
          <w:b w:val="0"/>
          <w:bCs w:val="0"/>
          <w:color w:val="auto"/>
          <w:sz w:val="21"/>
          <w:szCs w:val="21"/>
          <w:highlight w:val="none"/>
          <w:lang w:val="en-US" w:eastAsia="zh-CN"/>
        </w:rPr>
        <w:t>指令MID</w:t>
      </w:r>
      <w:bookmarkEnd w:id="452"/>
      <w:bookmarkEnd w:id="453"/>
    </w:p>
    <w:p w14:paraId="19E5165A">
      <w:pPr>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指令MID用于识别指令任务，该值由发起方生成，接收方原码返回。指令重发MID不变。功能码01数据帧MID保持为0。</w:t>
      </w:r>
    </w:p>
    <w:p w14:paraId="67FDEB79">
      <w:pPr>
        <w:keepNext w:val="0"/>
        <w:keepLines w:val="0"/>
        <w:pageBreakBefore w:val="0"/>
        <w:numPr>
          <w:ilvl w:val="1"/>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54" w:name="_Toc22850"/>
      <w:bookmarkStart w:id="455" w:name="_Toc11143"/>
      <w:r>
        <w:rPr>
          <w:rFonts w:hint="eastAsia" w:ascii="宋体" w:hAnsi="宋体" w:eastAsia="宋体" w:cs="宋体"/>
          <w:b w:val="0"/>
          <w:bCs w:val="0"/>
          <w:color w:val="auto"/>
          <w:kern w:val="0"/>
          <w:sz w:val="21"/>
          <w:szCs w:val="21"/>
          <w:highlight w:val="none"/>
          <w:lang w:val="en-US" w:eastAsia="zh-CN" w:bidi="ar-SA"/>
        </w:rPr>
        <w:t xml:space="preserve">3.1.10 </w:t>
      </w:r>
      <w:r>
        <w:rPr>
          <w:rFonts w:hint="eastAsia" w:ascii="宋体" w:hAnsi="宋体" w:eastAsia="宋体" w:cs="宋体"/>
          <w:b w:val="0"/>
          <w:bCs w:val="0"/>
          <w:color w:val="auto"/>
          <w:sz w:val="21"/>
          <w:szCs w:val="21"/>
          <w:highlight w:val="none"/>
          <w:lang w:val="en-US" w:eastAsia="zh-CN"/>
        </w:rPr>
        <w:t>功能数据段</w:t>
      </w:r>
      <w:bookmarkEnd w:id="454"/>
      <w:bookmarkEnd w:id="455"/>
    </w:p>
    <w:p w14:paraId="546271E2">
      <w:pPr>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整体协议框架中规定功能数据段为可变数据格式，数据格式和长度由功能码决定。</w:t>
      </w:r>
    </w:p>
    <w:p w14:paraId="7E19853F">
      <w:pPr>
        <w:keepNext w:val="0"/>
        <w:keepLines w:val="0"/>
        <w:pageBreakBefore w:val="0"/>
        <w:numPr>
          <w:ilvl w:val="1"/>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56" w:name="_Toc19707"/>
      <w:bookmarkStart w:id="457" w:name="_Toc25547"/>
      <w:r>
        <w:rPr>
          <w:rFonts w:hint="eastAsia" w:ascii="宋体" w:hAnsi="宋体" w:eastAsia="宋体" w:cs="宋体"/>
          <w:b w:val="0"/>
          <w:bCs w:val="0"/>
          <w:color w:val="auto"/>
          <w:kern w:val="0"/>
          <w:sz w:val="21"/>
          <w:szCs w:val="21"/>
          <w:highlight w:val="none"/>
          <w:lang w:val="en-US" w:eastAsia="zh-CN" w:bidi="ar-SA"/>
        </w:rPr>
        <w:t xml:space="preserve">3.1.11 </w:t>
      </w:r>
      <w:r>
        <w:rPr>
          <w:rFonts w:hint="eastAsia" w:ascii="宋体" w:hAnsi="宋体" w:eastAsia="宋体" w:cs="宋体"/>
          <w:b w:val="0"/>
          <w:bCs w:val="0"/>
          <w:color w:val="auto"/>
          <w:sz w:val="21"/>
          <w:szCs w:val="21"/>
          <w:highlight w:val="none"/>
          <w:lang w:val="en-US" w:eastAsia="zh-CN"/>
        </w:rPr>
        <w:t>帧校验</w:t>
      </w:r>
      <w:bookmarkEnd w:id="456"/>
      <w:bookmarkEnd w:id="457"/>
    </w:p>
    <w:p w14:paraId="5B73C5A6">
      <w:pPr>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帧校验和为1个字节，是从帧起始符（68H，包含68H）开始至校验字节前的所有字节的8位位组算术和，不考虑溢出位。若这些校验有一个失败，舍弃此帧，若无差错，则此帧数据有效。</w:t>
      </w:r>
    </w:p>
    <w:p w14:paraId="3D3CEACE">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p>
    <w:p w14:paraId="2ED1673F">
      <w:pPr>
        <w:keepNext w:val="0"/>
        <w:keepLines w:val="0"/>
        <w:pageBreakBefore w:val="0"/>
        <w:numPr>
          <w:ilvl w:val="0"/>
          <w:numId w:val="0"/>
        </w:numPr>
        <w:kinsoku/>
        <w:wordWrap/>
        <w:topLinePunct w:val="0"/>
        <w:bidi w:val="0"/>
        <w:spacing w:beforeAutospacing="0" w:line="360" w:lineRule="auto"/>
        <w:ind w:left="0" w:leftChars="0" w:right="0" w:firstLine="422" w:firstLineChars="200"/>
        <w:jc w:val="left"/>
        <w:outlineLvl w:val="9"/>
        <w:rPr>
          <w:rFonts w:hint="eastAsia" w:ascii="宋体" w:hAnsi="宋体" w:eastAsia="宋体" w:cs="宋体"/>
          <w:b/>
          <w:bCs/>
          <w:color w:val="auto"/>
          <w:sz w:val="21"/>
          <w:szCs w:val="21"/>
          <w:highlight w:val="none"/>
          <w:lang w:val="en-US" w:eastAsia="zh-CN"/>
        </w:rPr>
      </w:pPr>
      <w:bookmarkStart w:id="458" w:name="_Toc13686"/>
      <w:bookmarkStart w:id="459" w:name="_Toc17761"/>
      <w:r>
        <w:rPr>
          <w:rFonts w:hint="eastAsia" w:ascii="宋体" w:hAnsi="宋体" w:eastAsia="宋体" w:cs="宋体"/>
          <w:b/>
          <w:bCs/>
          <w:color w:val="auto"/>
          <w:kern w:val="0"/>
          <w:sz w:val="21"/>
          <w:szCs w:val="21"/>
          <w:highlight w:val="none"/>
          <w:lang w:val="en-US" w:eastAsia="zh-CN" w:bidi="ar-SA"/>
        </w:rPr>
        <w:t xml:space="preserve">3.2 </w:t>
      </w:r>
      <w:r>
        <w:rPr>
          <w:rFonts w:hint="eastAsia" w:ascii="宋体" w:hAnsi="宋体" w:eastAsia="宋体" w:cs="宋体"/>
          <w:b/>
          <w:bCs/>
          <w:color w:val="auto"/>
          <w:sz w:val="21"/>
          <w:szCs w:val="21"/>
          <w:highlight w:val="none"/>
          <w:lang w:val="en-US" w:eastAsia="zh-CN"/>
        </w:rPr>
        <w:t>应用数据结构</w:t>
      </w:r>
      <w:bookmarkEnd w:id="458"/>
      <w:bookmarkEnd w:id="459"/>
    </w:p>
    <w:p w14:paraId="6774079B">
      <w:pPr>
        <w:keepNext w:val="0"/>
        <w:keepLines w:val="0"/>
        <w:pageBreakBefore w:val="0"/>
        <w:numPr>
          <w:ilvl w:val="1"/>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60" w:name="_Toc3954"/>
      <w:bookmarkStart w:id="461" w:name="_Toc17793"/>
      <w:r>
        <w:rPr>
          <w:rFonts w:hint="eastAsia" w:ascii="宋体" w:hAnsi="宋体" w:eastAsia="宋体" w:cs="宋体"/>
          <w:b w:val="0"/>
          <w:bCs w:val="0"/>
          <w:color w:val="auto"/>
          <w:kern w:val="0"/>
          <w:sz w:val="21"/>
          <w:szCs w:val="21"/>
          <w:highlight w:val="none"/>
          <w:lang w:val="en-US" w:eastAsia="zh-CN" w:bidi="ar-SA"/>
        </w:rPr>
        <w:t xml:space="preserve">3.2.1 </w:t>
      </w:r>
      <w:r>
        <w:rPr>
          <w:rFonts w:hint="eastAsia" w:ascii="宋体" w:hAnsi="宋体" w:eastAsia="宋体" w:cs="宋体"/>
          <w:b w:val="0"/>
          <w:bCs w:val="0"/>
          <w:color w:val="auto"/>
          <w:sz w:val="21"/>
          <w:szCs w:val="21"/>
          <w:highlight w:val="none"/>
          <w:lang w:val="en-US" w:eastAsia="zh-CN"/>
        </w:rPr>
        <w:t>功能码01（主动上报数据指令）</w:t>
      </w:r>
      <w:bookmarkEnd w:id="460"/>
      <w:bookmarkEnd w:id="461"/>
    </w:p>
    <w:p w14:paraId="0A11C482">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功能码01用于设备主动周期性上报历史或实时数据，该功能码由设备端主动发起。</w:t>
      </w:r>
    </w:p>
    <w:p w14:paraId="7E691E10">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62" w:name="_Toc7468"/>
      <w:bookmarkStart w:id="463" w:name="_Toc6498"/>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sz w:val="21"/>
          <w:szCs w:val="21"/>
          <w:highlight w:val="none"/>
          <w:lang w:val="en-US" w:eastAsia="zh-CN"/>
        </w:rPr>
        <w:t>上行数据段格式</w:t>
      </w:r>
      <w:bookmarkEnd w:id="462"/>
      <w:bookmarkEnd w:id="463"/>
    </w:p>
    <w:tbl>
      <w:tblPr>
        <w:tblStyle w:val="4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2345"/>
        <w:gridCol w:w="2345"/>
        <w:gridCol w:w="2345"/>
      </w:tblGrid>
      <w:tr w14:paraId="0327C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7F33D0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0FE0C42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1FC1BCE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1A5ABB2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5C8E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398C71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数据起始时间</w:t>
            </w:r>
          </w:p>
        </w:tc>
        <w:tc>
          <w:tcPr>
            <w:tcW w:w="2345" w:type="dxa"/>
            <w:noWrap w:val="0"/>
            <w:vAlign w:val="center"/>
          </w:tcPr>
          <w:p w14:paraId="7BA4D5A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6字节</w:t>
            </w:r>
          </w:p>
        </w:tc>
        <w:tc>
          <w:tcPr>
            <w:tcW w:w="2345" w:type="dxa"/>
            <w:noWrap w:val="0"/>
            <w:vAlign w:val="center"/>
          </w:tcPr>
          <w:p w14:paraId="77472C5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BCD码：YYMMDDHHNNSS</w:t>
            </w:r>
          </w:p>
        </w:tc>
        <w:tc>
          <w:tcPr>
            <w:tcW w:w="2345" w:type="dxa"/>
            <w:noWrap w:val="0"/>
            <w:vAlign w:val="center"/>
          </w:tcPr>
          <w:p w14:paraId="58E19F2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2020-01-11 12:15:30</w:t>
            </w:r>
          </w:p>
          <w:p w14:paraId="28895C8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200111121530</w:t>
            </w:r>
          </w:p>
        </w:tc>
      </w:tr>
      <w:tr w14:paraId="71F2D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0341008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时间段个数</w:t>
            </w:r>
          </w:p>
        </w:tc>
        <w:tc>
          <w:tcPr>
            <w:tcW w:w="2345" w:type="dxa"/>
            <w:noWrap w:val="0"/>
            <w:vAlign w:val="center"/>
          </w:tcPr>
          <w:p w14:paraId="69101B6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2345" w:type="dxa"/>
            <w:noWrap w:val="0"/>
            <w:vAlign w:val="center"/>
          </w:tcPr>
          <w:p w14:paraId="30B7592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c>
          <w:tcPr>
            <w:tcW w:w="2345" w:type="dxa"/>
            <w:noWrap w:val="0"/>
            <w:vAlign w:val="center"/>
          </w:tcPr>
          <w:p w14:paraId="53059EC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37A7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D68E00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时间间隔</w:t>
            </w:r>
          </w:p>
        </w:tc>
        <w:tc>
          <w:tcPr>
            <w:tcW w:w="2345" w:type="dxa"/>
            <w:noWrap w:val="0"/>
            <w:vAlign w:val="center"/>
          </w:tcPr>
          <w:p w14:paraId="653FD33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c>
          <w:tcPr>
            <w:tcW w:w="2345" w:type="dxa"/>
            <w:noWrap w:val="0"/>
            <w:vAlign w:val="center"/>
          </w:tcPr>
          <w:p w14:paraId="0C32699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高字节在前</w:t>
            </w:r>
          </w:p>
        </w:tc>
        <w:tc>
          <w:tcPr>
            <w:tcW w:w="2345" w:type="dxa"/>
            <w:noWrap w:val="0"/>
            <w:vAlign w:val="center"/>
          </w:tcPr>
          <w:p w14:paraId="1917567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6E20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4F81C3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数据类型1数据</w:t>
            </w:r>
          </w:p>
        </w:tc>
        <w:tc>
          <w:tcPr>
            <w:tcW w:w="2345" w:type="dxa"/>
            <w:noWrap w:val="0"/>
            <w:vAlign w:val="center"/>
          </w:tcPr>
          <w:p w14:paraId="6E17F56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c>
          <w:tcPr>
            <w:tcW w:w="2345" w:type="dxa"/>
            <w:noWrap w:val="0"/>
            <w:vAlign w:val="center"/>
          </w:tcPr>
          <w:p w14:paraId="451943D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见附录C</w:t>
            </w:r>
          </w:p>
        </w:tc>
        <w:tc>
          <w:tcPr>
            <w:tcW w:w="2345" w:type="dxa"/>
            <w:noWrap w:val="0"/>
            <w:vAlign w:val="center"/>
          </w:tcPr>
          <w:p w14:paraId="5204E93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4E4FF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F049CE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数据类型2数据</w:t>
            </w:r>
          </w:p>
        </w:tc>
        <w:tc>
          <w:tcPr>
            <w:tcW w:w="2345" w:type="dxa"/>
            <w:noWrap w:val="0"/>
            <w:vAlign w:val="center"/>
          </w:tcPr>
          <w:p w14:paraId="238DF5E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c>
          <w:tcPr>
            <w:tcW w:w="2345" w:type="dxa"/>
            <w:noWrap w:val="0"/>
            <w:vAlign w:val="center"/>
          </w:tcPr>
          <w:p w14:paraId="2E747AE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见附录C</w:t>
            </w:r>
          </w:p>
        </w:tc>
        <w:tc>
          <w:tcPr>
            <w:tcW w:w="2345" w:type="dxa"/>
            <w:noWrap w:val="0"/>
            <w:vAlign w:val="center"/>
          </w:tcPr>
          <w:p w14:paraId="6A4B1E8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79158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B03987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w:t>
            </w:r>
          </w:p>
        </w:tc>
        <w:tc>
          <w:tcPr>
            <w:tcW w:w="2345" w:type="dxa"/>
            <w:noWrap w:val="0"/>
            <w:vAlign w:val="center"/>
          </w:tcPr>
          <w:p w14:paraId="7EAF652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c>
          <w:tcPr>
            <w:tcW w:w="2345" w:type="dxa"/>
            <w:noWrap w:val="0"/>
            <w:vAlign w:val="center"/>
          </w:tcPr>
          <w:p w14:paraId="505C9AB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c>
          <w:tcPr>
            <w:tcW w:w="2345" w:type="dxa"/>
            <w:noWrap w:val="0"/>
            <w:vAlign w:val="center"/>
          </w:tcPr>
          <w:p w14:paraId="7B81BC3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bl>
    <w:p w14:paraId="7BE80759">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vertAlign w:val="baseline"/>
          <w:lang w:val="en-US" w:eastAsia="zh-CN"/>
        </w:rPr>
      </w:pPr>
      <w:bookmarkStart w:id="464" w:name="_Toc32089"/>
      <w:bookmarkStart w:id="465" w:name="_Toc31227"/>
      <w:r>
        <w:rPr>
          <w:rFonts w:hint="eastAsia" w:ascii="宋体" w:hAnsi="宋体" w:eastAsia="宋体" w:cs="宋体"/>
          <w:b w:val="0"/>
          <w:bCs w:val="0"/>
          <w:color w:val="auto"/>
          <w:sz w:val="21"/>
          <w:szCs w:val="21"/>
          <w:highlight w:val="none"/>
          <w:vertAlign w:val="baseline"/>
          <w:lang w:val="en-US" w:eastAsia="zh-CN"/>
        </w:rPr>
        <w:t>（2）下行数据段格式</w:t>
      </w:r>
      <w:bookmarkEnd w:id="464"/>
      <w:bookmarkEnd w:id="465"/>
    </w:p>
    <w:tbl>
      <w:tblPr>
        <w:tblStyle w:val="4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2345"/>
        <w:gridCol w:w="2345"/>
        <w:gridCol w:w="2345"/>
      </w:tblGrid>
      <w:tr w14:paraId="7E31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33547C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0011E45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59DFDB4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4946F2E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5DCC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76EB06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平台当前时间</w:t>
            </w:r>
          </w:p>
        </w:tc>
        <w:tc>
          <w:tcPr>
            <w:tcW w:w="2345" w:type="dxa"/>
            <w:noWrap w:val="0"/>
            <w:vAlign w:val="center"/>
          </w:tcPr>
          <w:p w14:paraId="53B2EB1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6字节</w:t>
            </w:r>
          </w:p>
        </w:tc>
        <w:tc>
          <w:tcPr>
            <w:tcW w:w="2345" w:type="dxa"/>
            <w:noWrap w:val="0"/>
            <w:vAlign w:val="center"/>
          </w:tcPr>
          <w:p w14:paraId="3145CA6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BCD码：YYMMDDHHNNSS</w:t>
            </w:r>
          </w:p>
        </w:tc>
        <w:tc>
          <w:tcPr>
            <w:tcW w:w="2345" w:type="dxa"/>
            <w:noWrap w:val="0"/>
            <w:vAlign w:val="center"/>
          </w:tcPr>
          <w:p w14:paraId="2DF0161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2020-01-11 12:15:30</w:t>
            </w:r>
          </w:p>
          <w:p w14:paraId="786C2C3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200111121530</w:t>
            </w:r>
          </w:p>
        </w:tc>
      </w:tr>
    </w:tbl>
    <w:p w14:paraId="2587C5C1">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备注：设备可通过NB模组实现与基站时钟校准，也可使用该下行数据中的平台当前时间进行时钟校准。</w:t>
      </w:r>
    </w:p>
    <w:p w14:paraId="25770FAC">
      <w:pPr>
        <w:keepNext w:val="0"/>
        <w:keepLines w:val="0"/>
        <w:pageBreakBefore w:val="0"/>
        <w:numPr>
          <w:ilvl w:val="1"/>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66" w:name="_Toc13385"/>
      <w:bookmarkStart w:id="467" w:name="_Toc12245"/>
      <w:r>
        <w:rPr>
          <w:rFonts w:hint="eastAsia" w:ascii="宋体" w:hAnsi="宋体" w:eastAsia="宋体" w:cs="宋体"/>
          <w:b w:val="0"/>
          <w:bCs w:val="0"/>
          <w:color w:val="auto"/>
          <w:kern w:val="0"/>
          <w:sz w:val="21"/>
          <w:szCs w:val="21"/>
          <w:highlight w:val="none"/>
          <w:lang w:val="en-US" w:eastAsia="zh-CN" w:bidi="ar-SA"/>
        </w:rPr>
        <w:t xml:space="preserve">3.2.2 </w:t>
      </w:r>
      <w:r>
        <w:rPr>
          <w:rFonts w:hint="eastAsia" w:ascii="宋体" w:hAnsi="宋体" w:eastAsia="宋体" w:cs="宋体"/>
          <w:b w:val="0"/>
          <w:bCs w:val="0"/>
          <w:color w:val="auto"/>
          <w:sz w:val="21"/>
          <w:szCs w:val="21"/>
          <w:highlight w:val="none"/>
          <w:lang w:val="en-US" w:eastAsia="zh-CN"/>
        </w:rPr>
        <w:t>功能码02（数据查询指令）</w:t>
      </w:r>
      <w:bookmarkEnd w:id="466"/>
      <w:bookmarkEnd w:id="467"/>
    </w:p>
    <w:p w14:paraId="0CEB0571">
      <w:pPr>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功能码02由平台主动发起，用于向设备查询某一时间节点的历史数据或实时数据。</w:t>
      </w:r>
    </w:p>
    <w:p w14:paraId="722B643E">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68" w:name="_Toc24219"/>
      <w:bookmarkStart w:id="469" w:name="_Toc4655"/>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sz w:val="21"/>
          <w:szCs w:val="21"/>
          <w:highlight w:val="none"/>
          <w:lang w:val="en-US" w:eastAsia="zh-CN"/>
        </w:rPr>
        <w:t>下行数据段格式</w:t>
      </w:r>
      <w:bookmarkEnd w:id="468"/>
      <w:bookmarkEnd w:id="469"/>
    </w:p>
    <w:tbl>
      <w:tblPr>
        <w:tblStyle w:val="4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2345"/>
        <w:gridCol w:w="2345"/>
        <w:gridCol w:w="2345"/>
      </w:tblGrid>
      <w:tr w14:paraId="6E45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D27128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4997E39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0119D7E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7649DF5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6B95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33F2D0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数据起始时间</w:t>
            </w:r>
          </w:p>
        </w:tc>
        <w:tc>
          <w:tcPr>
            <w:tcW w:w="2345" w:type="dxa"/>
            <w:noWrap w:val="0"/>
            <w:vAlign w:val="center"/>
          </w:tcPr>
          <w:p w14:paraId="6541A50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6字节</w:t>
            </w:r>
          </w:p>
        </w:tc>
        <w:tc>
          <w:tcPr>
            <w:tcW w:w="2345" w:type="dxa"/>
            <w:noWrap w:val="0"/>
            <w:vAlign w:val="center"/>
          </w:tcPr>
          <w:p w14:paraId="6A2DEFA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BCD码：YYMMDDHHNNSS</w:t>
            </w:r>
          </w:p>
        </w:tc>
        <w:tc>
          <w:tcPr>
            <w:tcW w:w="2345" w:type="dxa"/>
            <w:noWrap w:val="0"/>
            <w:vAlign w:val="center"/>
          </w:tcPr>
          <w:p w14:paraId="46EBDA9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2020-01-11 12:15:30</w:t>
            </w:r>
          </w:p>
          <w:p w14:paraId="35321BD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200111121530</w:t>
            </w:r>
          </w:p>
        </w:tc>
      </w:tr>
      <w:tr w14:paraId="4625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0743817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时间段个数</w:t>
            </w:r>
          </w:p>
        </w:tc>
        <w:tc>
          <w:tcPr>
            <w:tcW w:w="2345" w:type="dxa"/>
            <w:noWrap w:val="0"/>
            <w:vAlign w:val="center"/>
          </w:tcPr>
          <w:p w14:paraId="3B590D4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2345" w:type="dxa"/>
            <w:noWrap w:val="0"/>
            <w:vAlign w:val="center"/>
          </w:tcPr>
          <w:p w14:paraId="63793E8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c>
          <w:tcPr>
            <w:tcW w:w="2345" w:type="dxa"/>
            <w:noWrap w:val="0"/>
            <w:vAlign w:val="center"/>
          </w:tcPr>
          <w:p w14:paraId="50BA355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w:t>
            </w:r>
          </w:p>
        </w:tc>
      </w:tr>
      <w:tr w14:paraId="5328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688611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时间间隔</w:t>
            </w:r>
          </w:p>
        </w:tc>
        <w:tc>
          <w:tcPr>
            <w:tcW w:w="2345" w:type="dxa"/>
            <w:noWrap w:val="0"/>
            <w:vAlign w:val="center"/>
          </w:tcPr>
          <w:p w14:paraId="6C83E76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c>
          <w:tcPr>
            <w:tcW w:w="2345" w:type="dxa"/>
            <w:noWrap w:val="0"/>
            <w:vAlign w:val="center"/>
          </w:tcPr>
          <w:p w14:paraId="6BC0FB6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高字节在前</w:t>
            </w:r>
          </w:p>
        </w:tc>
        <w:tc>
          <w:tcPr>
            <w:tcW w:w="2345" w:type="dxa"/>
            <w:noWrap w:val="0"/>
            <w:vAlign w:val="center"/>
          </w:tcPr>
          <w:p w14:paraId="08484FD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bl>
    <w:p w14:paraId="4BA9FE1B">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备注：当数据起始时间6字节BCD全部为0时返回设备当时内存实时数据，并且上报数据段中的时间为设备当前时间。</w:t>
      </w:r>
    </w:p>
    <w:p w14:paraId="7B702A43">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70" w:name="_Toc12706"/>
      <w:bookmarkStart w:id="471" w:name="_Toc32485"/>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sz w:val="21"/>
          <w:szCs w:val="21"/>
          <w:highlight w:val="none"/>
          <w:lang w:val="en-US" w:eastAsia="zh-CN"/>
        </w:rPr>
        <w:t>上行数据段格式</w:t>
      </w:r>
      <w:bookmarkEnd w:id="470"/>
      <w:bookmarkEnd w:id="471"/>
    </w:p>
    <w:tbl>
      <w:tblPr>
        <w:tblStyle w:val="4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2345"/>
        <w:gridCol w:w="2345"/>
        <w:gridCol w:w="2345"/>
      </w:tblGrid>
      <w:tr w14:paraId="4A22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00C023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24C6A06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0E353BB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767A026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326E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445B90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数据起始时间</w:t>
            </w:r>
          </w:p>
        </w:tc>
        <w:tc>
          <w:tcPr>
            <w:tcW w:w="2345" w:type="dxa"/>
            <w:noWrap w:val="0"/>
            <w:vAlign w:val="center"/>
          </w:tcPr>
          <w:p w14:paraId="7A8841C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6字节</w:t>
            </w:r>
          </w:p>
        </w:tc>
        <w:tc>
          <w:tcPr>
            <w:tcW w:w="2345" w:type="dxa"/>
            <w:noWrap w:val="0"/>
            <w:vAlign w:val="center"/>
          </w:tcPr>
          <w:p w14:paraId="459F36C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BCD码：YYMMDDHHNNSS</w:t>
            </w:r>
          </w:p>
        </w:tc>
        <w:tc>
          <w:tcPr>
            <w:tcW w:w="2345" w:type="dxa"/>
            <w:noWrap w:val="0"/>
            <w:vAlign w:val="center"/>
          </w:tcPr>
          <w:p w14:paraId="10729BD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2020-01-11 12:15:30</w:t>
            </w:r>
          </w:p>
          <w:p w14:paraId="056D880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200111121530</w:t>
            </w:r>
          </w:p>
        </w:tc>
      </w:tr>
      <w:tr w14:paraId="377EF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0093E57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时间段个数</w:t>
            </w:r>
          </w:p>
        </w:tc>
        <w:tc>
          <w:tcPr>
            <w:tcW w:w="2345" w:type="dxa"/>
            <w:noWrap w:val="0"/>
            <w:vAlign w:val="center"/>
          </w:tcPr>
          <w:p w14:paraId="6E0BDFE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2345" w:type="dxa"/>
            <w:noWrap w:val="0"/>
            <w:vAlign w:val="center"/>
          </w:tcPr>
          <w:p w14:paraId="1F733E9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c>
          <w:tcPr>
            <w:tcW w:w="2345" w:type="dxa"/>
            <w:noWrap w:val="0"/>
            <w:vAlign w:val="center"/>
          </w:tcPr>
          <w:p w14:paraId="1ABD485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40018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AABCCB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时间间隔</w:t>
            </w:r>
          </w:p>
        </w:tc>
        <w:tc>
          <w:tcPr>
            <w:tcW w:w="2345" w:type="dxa"/>
            <w:noWrap w:val="0"/>
            <w:vAlign w:val="center"/>
          </w:tcPr>
          <w:p w14:paraId="31ED21D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c>
          <w:tcPr>
            <w:tcW w:w="2345" w:type="dxa"/>
            <w:noWrap w:val="0"/>
            <w:vAlign w:val="center"/>
          </w:tcPr>
          <w:p w14:paraId="5861E6A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高字节在前</w:t>
            </w:r>
          </w:p>
        </w:tc>
        <w:tc>
          <w:tcPr>
            <w:tcW w:w="2345" w:type="dxa"/>
            <w:noWrap w:val="0"/>
            <w:vAlign w:val="center"/>
          </w:tcPr>
          <w:p w14:paraId="30EFB50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18F8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D6B604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数据类型1数据</w:t>
            </w:r>
          </w:p>
        </w:tc>
        <w:tc>
          <w:tcPr>
            <w:tcW w:w="2345" w:type="dxa"/>
            <w:noWrap w:val="0"/>
            <w:vAlign w:val="center"/>
          </w:tcPr>
          <w:p w14:paraId="2BE440C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c>
          <w:tcPr>
            <w:tcW w:w="2345" w:type="dxa"/>
            <w:noWrap w:val="0"/>
            <w:vAlign w:val="center"/>
          </w:tcPr>
          <w:p w14:paraId="1DAE4DB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见附录C</w:t>
            </w:r>
          </w:p>
        </w:tc>
        <w:tc>
          <w:tcPr>
            <w:tcW w:w="2345" w:type="dxa"/>
            <w:noWrap w:val="0"/>
            <w:vAlign w:val="center"/>
          </w:tcPr>
          <w:p w14:paraId="63ACDC2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4905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0307A43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数据类型2数据</w:t>
            </w:r>
          </w:p>
        </w:tc>
        <w:tc>
          <w:tcPr>
            <w:tcW w:w="2345" w:type="dxa"/>
            <w:noWrap w:val="0"/>
            <w:vAlign w:val="center"/>
          </w:tcPr>
          <w:p w14:paraId="76B6C42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c>
          <w:tcPr>
            <w:tcW w:w="2345" w:type="dxa"/>
            <w:noWrap w:val="0"/>
            <w:vAlign w:val="center"/>
          </w:tcPr>
          <w:p w14:paraId="374E219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见附录C</w:t>
            </w:r>
          </w:p>
        </w:tc>
        <w:tc>
          <w:tcPr>
            <w:tcW w:w="2345" w:type="dxa"/>
            <w:noWrap w:val="0"/>
            <w:vAlign w:val="center"/>
          </w:tcPr>
          <w:p w14:paraId="1541C8C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3B84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C0EC78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w:t>
            </w:r>
          </w:p>
        </w:tc>
        <w:tc>
          <w:tcPr>
            <w:tcW w:w="2345" w:type="dxa"/>
            <w:noWrap w:val="0"/>
            <w:vAlign w:val="center"/>
          </w:tcPr>
          <w:p w14:paraId="231D1B5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c>
          <w:tcPr>
            <w:tcW w:w="2345" w:type="dxa"/>
            <w:noWrap w:val="0"/>
            <w:vAlign w:val="center"/>
          </w:tcPr>
          <w:p w14:paraId="38769A7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c>
          <w:tcPr>
            <w:tcW w:w="2345" w:type="dxa"/>
            <w:noWrap w:val="0"/>
            <w:vAlign w:val="center"/>
          </w:tcPr>
          <w:p w14:paraId="46F031D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bl>
    <w:p w14:paraId="1C5D6FD8">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备注：指令执行失败则</w:t>
      </w:r>
      <w:r>
        <w:rPr>
          <w:rFonts w:hint="eastAsia" w:ascii="宋体" w:hAnsi="宋体" w:eastAsia="宋体" w:cs="宋体"/>
          <w:b w:val="0"/>
          <w:bCs w:val="0"/>
          <w:color w:val="auto"/>
          <w:sz w:val="21"/>
          <w:szCs w:val="21"/>
          <w:highlight w:val="none"/>
          <w:lang w:val="en-US" w:eastAsia="zh-CN"/>
        </w:rPr>
        <w:t>数据段全部字节置FF、并且不用上发数据类型数据段。</w:t>
      </w:r>
    </w:p>
    <w:p w14:paraId="5C618E21">
      <w:pPr>
        <w:keepNext w:val="0"/>
        <w:keepLines w:val="0"/>
        <w:pageBreakBefore w:val="0"/>
        <w:numPr>
          <w:ilvl w:val="1"/>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72" w:name="_Toc27014"/>
      <w:bookmarkStart w:id="473" w:name="_Toc14821"/>
      <w:r>
        <w:rPr>
          <w:rFonts w:hint="eastAsia" w:ascii="宋体" w:hAnsi="宋体" w:eastAsia="宋体" w:cs="宋体"/>
          <w:b w:val="0"/>
          <w:bCs w:val="0"/>
          <w:color w:val="auto"/>
          <w:kern w:val="0"/>
          <w:sz w:val="21"/>
          <w:szCs w:val="21"/>
          <w:highlight w:val="none"/>
          <w:lang w:val="en-US" w:eastAsia="zh-CN" w:bidi="ar-SA"/>
        </w:rPr>
        <w:t xml:space="preserve">3.2.3 </w:t>
      </w:r>
      <w:r>
        <w:rPr>
          <w:rFonts w:hint="eastAsia" w:ascii="宋体" w:hAnsi="宋体" w:eastAsia="宋体" w:cs="宋体"/>
          <w:b w:val="0"/>
          <w:bCs w:val="0"/>
          <w:color w:val="auto"/>
          <w:sz w:val="21"/>
          <w:szCs w:val="21"/>
          <w:highlight w:val="none"/>
          <w:lang w:val="en-US" w:eastAsia="zh-CN"/>
        </w:rPr>
        <w:t>功能码03（告警上报指令）</w:t>
      </w:r>
      <w:bookmarkEnd w:id="472"/>
      <w:bookmarkEnd w:id="473"/>
    </w:p>
    <w:p w14:paraId="6CE4343E">
      <w:pPr>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告警上报指令由设备主动发起。</w:t>
      </w:r>
    </w:p>
    <w:p w14:paraId="465B3026">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74" w:name="_Toc31263"/>
      <w:bookmarkStart w:id="475" w:name="_Toc4140"/>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sz w:val="21"/>
          <w:szCs w:val="21"/>
          <w:highlight w:val="none"/>
          <w:lang w:val="en-US" w:eastAsia="zh-CN"/>
        </w:rPr>
        <w:t>上行数据段格式</w:t>
      </w:r>
      <w:bookmarkEnd w:id="474"/>
      <w:bookmarkEnd w:id="475"/>
    </w:p>
    <w:tbl>
      <w:tblPr>
        <w:tblStyle w:val="4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2345"/>
        <w:gridCol w:w="2345"/>
        <w:gridCol w:w="2345"/>
      </w:tblGrid>
      <w:tr w14:paraId="049D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0982E46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4A938F1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5654887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205B3FE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5865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2172B9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事件代码</w:t>
            </w:r>
          </w:p>
        </w:tc>
        <w:tc>
          <w:tcPr>
            <w:tcW w:w="2345" w:type="dxa"/>
            <w:noWrap w:val="0"/>
            <w:vAlign w:val="center"/>
          </w:tcPr>
          <w:p w14:paraId="279D13E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8字节</w:t>
            </w:r>
          </w:p>
        </w:tc>
        <w:tc>
          <w:tcPr>
            <w:tcW w:w="2345" w:type="dxa"/>
            <w:noWrap w:val="0"/>
            <w:vAlign w:val="center"/>
          </w:tcPr>
          <w:p w14:paraId="340F335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高字节在前，每个二进制位代表一种事件类型。事件代码表见附录B</w:t>
            </w:r>
          </w:p>
        </w:tc>
        <w:tc>
          <w:tcPr>
            <w:tcW w:w="2345" w:type="dxa"/>
            <w:noWrap w:val="0"/>
            <w:vAlign w:val="center"/>
          </w:tcPr>
          <w:p w14:paraId="53EE853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bl>
    <w:p w14:paraId="002C4E78">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76" w:name="_Toc32247"/>
      <w:bookmarkStart w:id="477" w:name="_Toc6003"/>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sz w:val="21"/>
          <w:szCs w:val="21"/>
          <w:highlight w:val="none"/>
          <w:lang w:val="en-US" w:eastAsia="zh-CN"/>
        </w:rPr>
        <w:t>下行数据段格式</w:t>
      </w:r>
      <w:bookmarkEnd w:id="476"/>
      <w:bookmarkEnd w:id="477"/>
    </w:p>
    <w:tbl>
      <w:tblPr>
        <w:tblStyle w:val="4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2345"/>
        <w:gridCol w:w="2345"/>
        <w:gridCol w:w="2345"/>
      </w:tblGrid>
      <w:tr w14:paraId="0E55F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4C18EC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409D170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2CBE6EC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5634E4C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7DCA8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2927D8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平台当前时间</w:t>
            </w:r>
          </w:p>
        </w:tc>
        <w:tc>
          <w:tcPr>
            <w:tcW w:w="2345" w:type="dxa"/>
            <w:noWrap w:val="0"/>
            <w:vAlign w:val="center"/>
          </w:tcPr>
          <w:p w14:paraId="1F6EFA9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6字节</w:t>
            </w:r>
          </w:p>
        </w:tc>
        <w:tc>
          <w:tcPr>
            <w:tcW w:w="2345" w:type="dxa"/>
            <w:noWrap w:val="0"/>
            <w:vAlign w:val="center"/>
          </w:tcPr>
          <w:p w14:paraId="5CD8147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BCD码：YYMMDDHHNNSS</w:t>
            </w:r>
          </w:p>
        </w:tc>
        <w:tc>
          <w:tcPr>
            <w:tcW w:w="2345" w:type="dxa"/>
            <w:noWrap w:val="0"/>
            <w:vAlign w:val="center"/>
          </w:tcPr>
          <w:p w14:paraId="5C12E48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2020-01-11 12:15:30</w:t>
            </w:r>
          </w:p>
          <w:p w14:paraId="6EEEF11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200111121530</w:t>
            </w:r>
          </w:p>
        </w:tc>
      </w:tr>
    </w:tbl>
    <w:p w14:paraId="39D8F589">
      <w:pPr>
        <w:keepNext w:val="0"/>
        <w:keepLines w:val="0"/>
        <w:pageBreakBefore w:val="0"/>
        <w:numPr>
          <w:ilvl w:val="1"/>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78" w:name="_Toc30265"/>
      <w:bookmarkStart w:id="479" w:name="_Toc17278"/>
      <w:r>
        <w:rPr>
          <w:rFonts w:hint="eastAsia" w:ascii="宋体" w:hAnsi="宋体" w:eastAsia="宋体" w:cs="宋体"/>
          <w:b w:val="0"/>
          <w:bCs w:val="0"/>
          <w:color w:val="auto"/>
          <w:kern w:val="0"/>
          <w:sz w:val="21"/>
          <w:szCs w:val="21"/>
          <w:highlight w:val="none"/>
          <w:lang w:val="en-US" w:eastAsia="zh-CN" w:bidi="ar-SA"/>
        </w:rPr>
        <w:t xml:space="preserve">3.2.4 </w:t>
      </w:r>
      <w:r>
        <w:rPr>
          <w:rFonts w:hint="eastAsia" w:ascii="宋体" w:hAnsi="宋体" w:eastAsia="宋体" w:cs="宋体"/>
          <w:b w:val="0"/>
          <w:bCs w:val="0"/>
          <w:color w:val="auto"/>
          <w:sz w:val="21"/>
          <w:szCs w:val="21"/>
          <w:highlight w:val="none"/>
          <w:lang w:val="en-US" w:eastAsia="zh-CN"/>
        </w:rPr>
        <w:t>功能码04（设置终端时钟）</w:t>
      </w:r>
      <w:bookmarkEnd w:id="478"/>
      <w:bookmarkEnd w:id="479"/>
    </w:p>
    <w:p w14:paraId="5DD28D39">
      <w:pPr>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设备可通过NB模组实现时钟同步，也可通过上报数据时平台回复的下行数据帧中的时间实现时钟同步。</w:t>
      </w:r>
    </w:p>
    <w:p w14:paraId="1081A124">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除以上两种方式外本协议提供了手动设置终端时钟的方式来实现时钟同步，注意：在指令可能被缓存或滞后下发的场景下谨慎使用该方式。</w:t>
      </w:r>
    </w:p>
    <w:p w14:paraId="07CCF415">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80" w:name="_Toc6442"/>
      <w:bookmarkStart w:id="481" w:name="_Toc21504"/>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sz w:val="21"/>
          <w:szCs w:val="21"/>
          <w:highlight w:val="none"/>
          <w:lang w:val="en-US" w:eastAsia="zh-CN"/>
        </w:rPr>
        <w:t>下行数据段格式</w:t>
      </w:r>
      <w:bookmarkEnd w:id="480"/>
      <w:bookmarkEnd w:id="481"/>
    </w:p>
    <w:tbl>
      <w:tblPr>
        <w:tblStyle w:val="4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2345"/>
        <w:gridCol w:w="2345"/>
        <w:gridCol w:w="2345"/>
      </w:tblGrid>
      <w:tr w14:paraId="3D0F8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AFBF6E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4D878A0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5838C2B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1C982C3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25EDB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C31FA9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时间</w:t>
            </w:r>
          </w:p>
        </w:tc>
        <w:tc>
          <w:tcPr>
            <w:tcW w:w="2345" w:type="dxa"/>
            <w:noWrap w:val="0"/>
            <w:vAlign w:val="center"/>
          </w:tcPr>
          <w:p w14:paraId="014C002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6字节</w:t>
            </w:r>
          </w:p>
        </w:tc>
        <w:tc>
          <w:tcPr>
            <w:tcW w:w="2345" w:type="dxa"/>
            <w:noWrap w:val="0"/>
            <w:vAlign w:val="center"/>
          </w:tcPr>
          <w:p w14:paraId="613A1F0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BCD码：YYMMDDHHNNSS</w:t>
            </w:r>
          </w:p>
        </w:tc>
        <w:tc>
          <w:tcPr>
            <w:tcW w:w="2345" w:type="dxa"/>
            <w:noWrap w:val="0"/>
            <w:vAlign w:val="center"/>
          </w:tcPr>
          <w:p w14:paraId="4D4D4A0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2020-01-11 12:15:30</w:t>
            </w:r>
          </w:p>
          <w:p w14:paraId="11635DC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200111121530</w:t>
            </w:r>
          </w:p>
        </w:tc>
      </w:tr>
    </w:tbl>
    <w:p w14:paraId="7FD3F8CF">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82" w:name="_Toc27759"/>
      <w:bookmarkStart w:id="483" w:name="_Toc12596"/>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sz w:val="21"/>
          <w:szCs w:val="21"/>
          <w:highlight w:val="none"/>
          <w:lang w:val="en-US" w:eastAsia="zh-CN"/>
        </w:rPr>
        <w:t>上行数据段格式</w:t>
      </w:r>
      <w:bookmarkEnd w:id="482"/>
      <w:bookmarkEnd w:id="483"/>
    </w:p>
    <w:tbl>
      <w:tblPr>
        <w:tblStyle w:val="4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2345"/>
        <w:gridCol w:w="2345"/>
        <w:gridCol w:w="2345"/>
      </w:tblGrid>
      <w:tr w14:paraId="65621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389215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05AD112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69E4E21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5F73D8D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70BAF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C47E13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时间</w:t>
            </w:r>
          </w:p>
        </w:tc>
        <w:tc>
          <w:tcPr>
            <w:tcW w:w="2345" w:type="dxa"/>
            <w:noWrap w:val="0"/>
            <w:vAlign w:val="center"/>
          </w:tcPr>
          <w:p w14:paraId="3C5127B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6字节</w:t>
            </w:r>
          </w:p>
        </w:tc>
        <w:tc>
          <w:tcPr>
            <w:tcW w:w="2345" w:type="dxa"/>
            <w:noWrap w:val="0"/>
            <w:vAlign w:val="center"/>
          </w:tcPr>
          <w:p w14:paraId="434EA9B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成功后原码返回，失败全部置FF</w:t>
            </w:r>
          </w:p>
        </w:tc>
        <w:tc>
          <w:tcPr>
            <w:tcW w:w="2345" w:type="dxa"/>
            <w:noWrap w:val="0"/>
            <w:vAlign w:val="center"/>
          </w:tcPr>
          <w:p w14:paraId="333E820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2020-01-11 12:15:30</w:t>
            </w:r>
          </w:p>
          <w:p w14:paraId="121028B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200111121530</w:t>
            </w:r>
          </w:p>
        </w:tc>
      </w:tr>
    </w:tbl>
    <w:p w14:paraId="62CE417E">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备注：指令执行成功则原码返回，执行失败则</w:t>
      </w:r>
      <w:r>
        <w:rPr>
          <w:rFonts w:hint="eastAsia" w:ascii="宋体" w:hAnsi="宋体" w:eastAsia="宋体" w:cs="宋体"/>
          <w:b w:val="0"/>
          <w:bCs w:val="0"/>
          <w:color w:val="auto"/>
          <w:sz w:val="21"/>
          <w:szCs w:val="21"/>
          <w:highlight w:val="none"/>
          <w:lang w:val="en-US" w:eastAsia="zh-CN"/>
        </w:rPr>
        <w:t>数据段全部字节置FF。</w:t>
      </w:r>
    </w:p>
    <w:p w14:paraId="2D50A2A5">
      <w:pPr>
        <w:keepNext w:val="0"/>
        <w:keepLines w:val="0"/>
        <w:pageBreakBefore w:val="0"/>
        <w:numPr>
          <w:ilvl w:val="1"/>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84" w:name="_Toc4273"/>
      <w:bookmarkStart w:id="485" w:name="_Toc5997"/>
      <w:r>
        <w:rPr>
          <w:rFonts w:hint="eastAsia" w:ascii="宋体" w:hAnsi="宋体" w:eastAsia="宋体" w:cs="宋体"/>
          <w:b w:val="0"/>
          <w:bCs w:val="0"/>
          <w:color w:val="auto"/>
          <w:kern w:val="0"/>
          <w:sz w:val="21"/>
          <w:szCs w:val="21"/>
          <w:highlight w:val="none"/>
          <w:lang w:val="en-US" w:eastAsia="zh-CN" w:bidi="ar-SA"/>
        </w:rPr>
        <w:t xml:space="preserve">3.2.5 </w:t>
      </w:r>
      <w:r>
        <w:rPr>
          <w:rFonts w:hint="eastAsia" w:ascii="宋体" w:hAnsi="宋体" w:eastAsia="宋体" w:cs="宋体"/>
          <w:b w:val="0"/>
          <w:bCs w:val="0"/>
          <w:color w:val="auto"/>
          <w:sz w:val="21"/>
          <w:szCs w:val="21"/>
          <w:highlight w:val="none"/>
          <w:lang w:val="en-US" w:eastAsia="zh-CN"/>
        </w:rPr>
        <w:t>功能码05（设置历史数据存盘间隔）</w:t>
      </w:r>
      <w:bookmarkEnd w:id="484"/>
      <w:bookmarkEnd w:id="485"/>
    </w:p>
    <w:p w14:paraId="7B08E313">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86" w:name="_Toc14566"/>
      <w:bookmarkStart w:id="487" w:name="_Toc1783"/>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sz w:val="21"/>
          <w:szCs w:val="21"/>
          <w:highlight w:val="none"/>
          <w:lang w:val="en-US" w:eastAsia="zh-CN"/>
        </w:rPr>
        <w:t>下行数据段格式</w:t>
      </w:r>
      <w:bookmarkEnd w:id="486"/>
      <w:bookmarkEnd w:id="487"/>
    </w:p>
    <w:tbl>
      <w:tblPr>
        <w:tblStyle w:val="4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2345"/>
        <w:gridCol w:w="2345"/>
        <w:gridCol w:w="2345"/>
      </w:tblGrid>
      <w:tr w14:paraId="62839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D95CED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5243D8F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446A10F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3023C8E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2CE6D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64DD92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间隔</w:t>
            </w:r>
          </w:p>
        </w:tc>
        <w:tc>
          <w:tcPr>
            <w:tcW w:w="2345" w:type="dxa"/>
            <w:noWrap w:val="0"/>
            <w:vAlign w:val="center"/>
          </w:tcPr>
          <w:p w14:paraId="7515B7B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c>
          <w:tcPr>
            <w:tcW w:w="2345" w:type="dxa"/>
            <w:noWrap w:val="0"/>
            <w:vAlign w:val="center"/>
          </w:tcPr>
          <w:p w14:paraId="0AAFB73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分钟，高字节在前</w:t>
            </w:r>
          </w:p>
        </w:tc>
        <w:tc>
          <w:tcPr>
            <w:tcW w:w="2345" w:type="dxa"/>
            <w:noWrap w:val="0"/>
            <w:vAlign w:val="center"/>
          </w:tcPr>
          <w:p w14:paraId="714C604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bl>
    <w:p w14:paraId="4BDA1DA8">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88" w:name="_Toc4419"/>
      <w:bookmarkStart w:id="489" w:name="_Toc16040"/>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sz w:val="21"/>
          <w:szCs w:val="21"/>
          <w:highlight w:val="none"/>
          <w:lang w:val="en-US" w:eastAsia="zh-CN"/>
        </w:rPr>
        <w:t>上行数据段格式</w:t>
      </w:r>
      <w:bookmarkEnd w:id="488"/>
      <w:bookmarkEnd w:id="489"/>
    </w:p>
    <w:tbl>
      <w:tblPr>
        <w:tblStyle w:val="4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2345"/>
        <w:gridCol w:w="2345"/>
        <w:gridCol w:w="2345"/>
      </w:tblGrid>
      <w:tr w14:paraId="218B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2C6FB9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44BA169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7E925FA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446E84E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2ECA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21910A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间隔</w:t>
            </w:r>
          </w:p>
        </w:tc>
        <w:tc>
          <w:tcPr>
            <w:tcW w:w="2345" w:type="dxa"/>
            <w:noWrap w:val="0"/>
            <w:vAlign w:val="center"/>
          </w:tcPr>
          <w:p w14:paraId="09BC165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c>
          <w:tcPr>
            <w:tcW w:w="2345" w:type="dxa"/>
            <w:noWrap w:val="0"/>
            <w:vAlign w:val="center"/>
          </w:tcPr>
          <w:p w14:paraId="2C39178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成功后原码返回，失败全部置FF</w:t>
            </w:r>
          </w:p>
        </w:tc>
        <w:tc>
          <w:tcPr>
            <w:tcW w:w="2345" w:type="dxa"/>
            <w:noWrap w:val="0"/>
            <w:vAlign w:val="center"/>
          </w:tcPr>
          <w:p w14:paraId="1A3F58B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bl>
    <w:p w14:paraId="747B736E">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备注：指令执行成功则原码返回，执行失败则</w:t>
      </w:r>
      <w:r>
        <w:rPr>
          <w:rFonts w:hint="eastAsia" w:ascii="宋体" w:hAnsi="宋体" w:eastAsia="宋体" w:cs="宋体"/>
          <w:b w:val="0"/>
          <w:bCs w:val="0"/>
          <w:color w:val="auto"/>
          <w:sz w:val="21"/>
          <w:szCs w:val="21"/>
          <w:highlight w:val="none"/>
          <w:lang w:val="en-US" w:eastAsia="zh-CN"/>
        </w:rPr>
        <w:t>数据段全部字节置FF。</w:t>
      </w:r>
    </w:p>
    <w:p w14:paraId="43893C62">
      <w:pPr>
        <w:keepNext w:val="0"/>
        <w:keepLines w:val="0"/>
        <w:pageBreakBefore w:val="0"/>
        <w:numPr>
          <w:ilvl w:val="1"/>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90" w:name="_Toc32223"/>
      <w:bookmarkStart w:id="491" w:name="_Toc21585"/>
      <w:r>
        <w:rPr>
          <w:rFonts w:hint="eastAsia" w:ascii="宋体" w:hAnsi="宋体" w:eastAsia="宋体" w:cs="宋体"/>
          <w:b w:val="0"/>
          <w:bCs w:val="0"/>
          <w:color w:val="auto"/>
          <w:kern w:val="0"/>
          <w:sz w:val="21"/>
          <w:szCs w:val="21"/>
          <w:highlight w:val="none"/>
          <w:lang w:val="en-US" w:eastAsia="zh-CN" w:bidi="ar-SA"/>
        </w:rPr>
        <w:t xml:space="preserve">3.2.6 </w:t>
      </w:r>
      <w:r>
        <w:rPr>
          <w:rFonts w:hint="eastAsia" w:ascii="宋体" w:hAnsi="宋体" w:eastAsia="宋体" w:cs="宋体"/>
          <w:b w:val="0"/>
          <w:bCs w:val="0"/>
          <w:color w:val="auto"/>
          <w:sz w:val="21"/>
          <w:szCs w:val="21"/>
          <w:highlight w:val="none"/>
          <w:lang w:val="en-US" w:eastAsia="zh-CN"/>
        </w:rPr>
        <w:t>功能码06（设置主动上报参数）</w:t>
      </w:r>
      <w:bookmarkEnd w:id="490"/>
      <w:bookmarkEnd w:id="491"/>
    </w:p>
    <w:p w14:paraId="7914E3DC">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92" w:name="_Toc26358"/>
      <w:bookmarkStart w:id="493" w:name="_Toc25034"/>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sz w:val="21"/>
          <w:szCs w:val="21"/>
          <w:highlight w:val="none"/>
          <w:lang w:val="en-US" w:eastAsia="zh-CN"/>
        </w:rPr>
        <w:t>下行数据段格式</w:t>
      </w:r>
      <w:bookmarkEnd w:id="492"/>
      <w:bookmarkEnd w:id="493"/>
    </w:p>
    <w:tbl>
      <w:tblPr>
        <w:tblStyle w:val="4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2345"/>
        <w:gridCol w:w="2345"/>
        <w:gridCol w:w="2345"/>
      </w:tblGrid>
      <w:tr w14:paraId="1D91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874437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114642E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5980189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5F730A9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3918F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1A4534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开始时刻</w:t>
            </w:r>
          </w:p>
        </w:tc>
        <w:tc>
          <w:tcPr>
            <w:tcW w:w="2345" w:type="dxa"/>
            <w:noWrap w:val="0"/>
            <w:vAlign w:val="center"/>
          </w:tcPr>
          <w:p w14:paraId="5B029BD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2345" w:type="dxa"/>
            <w:noWrap w:val="0"/>
            <w:vAlign w:val="center"/>
          </w:tcPr>
          <w:p w14:paraId="7F28891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小时部分</w:t>
            </w:r>
          </w:p>
        </w:tc>
        <w:tc>
          <w:tcPr>
            <w:tcW w:w="2345" w:type="dxa"/>
            <w:noWrap w:val="0"/>
            <w:vAlign w:val="center"/>
          </w:tcPr>
          <w:p w14:paraId="5B676F7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4C42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3A937D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开始时刻</w:t>
            </w:r>
          </w:p>
        </w:tc>
        <w:tc>
          <w:tcPr>
            <w:tcW w:w="2345" w:type="dxa"/>
            <w:noWrap w:val="0"/>
            <w:vAlign w:val="center"/>
          </w:tcPr>
          <w:p w14:paraId="566C6C9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2345" w:type="dxa"/>
            <w:noWrap w:val="0"/>
            <w:vAlign w:val="center"/>
          </w:tcPr>
          <w:p w14:paraId="311A571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分钟部分</w:t>
            </w:r>
          </w:p>
        </w:tc>
        <w:tc>
          <w:tcPr>
            <w:tcW w:w="2345" w:type="dxa"/>
            <w:noWrap w:val="0"/>
            <w:vAlign w:val="center"/>
          </w:tcPr>
          <w:p w14:paraId="769D834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2FA9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A9D7CF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上发间隔</w:t>
            </w:r>
          </w:p>
        </w:tc>
        <w:tc>
          <w:tcPr>
            <w:tcW w:w="2345" w:type="dxa"/>
            <w:noWrap w:val="0"/>
            <w:vAlign w:val="center"/>
          </w:tcPr>
          <w:p w14:paraId="17239F9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c>
          <w:tcPr>
            <w:tcW w:w="2345" w:type="dxa"/>
            <w:noWrap w:val="0"/>
            <w:vAlign w:val="center"/>
          </w:tcPr>
          <w:p w14:paraId="755CB25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分钟，高字节在前</w:t>
            </w:r>
          </w:p>
        </w:tc>
        <w:tc>
          <w:tcPr>
            <w:tcW w:w="2345" w:type="dxa"/>
            <w:noWrap w:val="0"/>
            <w:vAlign w:val="center"/>
          </w:tcPr>
          <w:p w14:paraId="3757640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30BD3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3E3C2A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数据间隔</w:t>
            </w:r>
          </w:p>
        </w:tc>
        <w:tc>
          <w:tcPr>
            <w:tcW w:w="2345" w:type="dxa"/>
            <w:noWrap w:val="0"/>
            <w:vAlign w:val="center"/>
          </w:tcPr>
          <w:p w14:paraId="6C0CF84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c>
          <w:tcPr>
            <w:tcW w:w="2345" w:type="dxa"/>
            <w:noWrap w:val="0"/>
            <w:vAlign w:val="center"/>
          </w:tcPr>
          <w:p w14:paraId="6540F78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分钟，高字节在前</w:t>
            </w:r>
          </w:p>
        </w:tc>
        <w:tc>
          <w:tcPr>
            <w:tcW w:w="2345" w:type="dxa"/>
            <w:noWrap w:val="0"/>
            <w:vAlign w:val="center"/>
          </w:tcPr>
          <w:p w14:paraId="65C2A60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31094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37C7F6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离散值</w:t>
            </w:r>
          </w:p>
        </w:tc>
        <w:tc>
          <w:tcPr>
            <w:tcW w:w="2345" w:type="dxa"/>
            <w:noWrap w:val="0"/>
            <w:vAlign w:val="center"/>
          </w:tcPr>
          <w:p w14:paraId="676DAED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c>
          <w:tcPr>
            <w:tcW w:w="2345" w:type="dxa"/>
            <w:noWrap w:val="0"/>
            <w:vAlign w:val="center"/>
          </w:tcPr>
          <w:p w14:paraId="564DE68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秒，高字节在前</w:t>
            </w:r>
          </w:p>
        </w:tc>
        <w:tc>
          <w:tcPr>
            <w:tcW w:w="2345" w:type="dxa"/>
            <w:noWrap w:val="0"/>
            <w:vAlign w:val="center"/>
          </w:tcPr>
          <w:p w14:paraId="4F9A9F2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4C24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04A1449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生效时长</w:t>
            </w:r>
          </w:p>
        </w:tc>
        <w:tc>
          <w:tcPr>
            <w:tcW w:w="2345" w:type="dxa"/>
            <w:noWrap w:val="0"/>
            <w:vAlign w:val="center"/>
          </w:tcPr>
          <w:p w14:paraId="79C52A1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c>
          <w:tcPr>
            <w:tcW w:w="2345" w:type="dxa"/>
            <w:noWrap w:val="0"/>
            <w:vAlign w:val="center"/>
          </w:tcPr>
          <w:p w14:paraId="1560AAF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本次设置值的生效时间，高字节在前。</w:t>
            </w:r>
          </w:p>
          <w:p w14:paraId="5AD36F4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0表示永久应用该设置值，大于0表示临时应用X分钟后自动恢复原配置。</w:t>
            </w:r>
          </w:p>
        </w:tc>
        <w:tc>
          <w:tcPr>
            <w:tcW w:w="2345" w:type="dxa"/>
            <w:noWrap w:val="0"/>
            <w:vAlign w:val="center"/>
          </w:tcPr>
          <w:p w14:paraId="1658DFA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bl>
    <w:p w14:paraId="152DED63">
      <w:pPr>
        <w:pStyle w:val="215"/>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字段说明：</w:t>
      </w:r>
    </w:p>
    <w:p w14:paraId="1133600B">
      <w:pPr>
        <w:pStyle w:val="215"/>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【上发间隔】：即设备拨号上报数据的间隔；</w:t>
      </w:r>
    </w:p>
    <w:p w14:paraId="210848E5">
      <w:pPr>
        <w:pStyle w:val="215"/>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【数据间隔】：即上报的数据帧中每个数据的间隔时间；</w:t>
      </w:r>
    </w:p>
    <w:p w14:paraId="020F735A">
      <w:pPr>
        <w:pStyle w:val="215"/>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【离散值】：凌晨5点至7点系上位机平台数据运算时间，因此所有终端设备的上报都应离散到0点至5点之间。设置为0或项目补充要求中未明确规定时缺省离散算法如下：</w:t>
      </w:r>
    </w:p>
    <w:p w14:paraId="75C7A561">
      <w:pPr>
        <w:pStyle w:val="215"/>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H(小时部分) ＝ 终端地址最后1位数字 % 5 </w:t>
      </w:r>
    </w:p>
    <w:p w14:paraId="152C1235">
      <w:pPr>
        <w:pStyle w:val="215"/>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M(分钟部分) ＝ 终端地址后第2位至后第4位 % 60</w:t>
      </w:r>
    </w:p>
    <w:p w14:paraId="00C44FEC">
      <w:pPr>
        <w:pStyle w:val="215"/>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S(秒钟部分) ＝ 厂商随机产生</w:t>
      </w:r>
    </w:p>
    <w:p w14:paraId="24A72B54">
      <w:pPr>
        <w:pStyle w:val="215"/>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最终离散后上报时间点：H:M:S</w:t>
      </w:r>
    </w:p>
    <w:p w14:paraId="7911AF21">
      <w:pPr>
        <w:pStyle w:val="215"/>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（说明：%为取余数操作）</w:t>
      </w:r>
    </w:p>
    <w:p w14:paraId="62564ED4">
      <w:pPr>
        <w:pStyle w:val="215"/>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示例：终端地址：1020000000056789</w:t>
      </w:r>
    </w:p>
    <w:p w14:paraId="3806496B">
      <w:pPr>
        <w:pStyle w:val="215"/>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H(小时部分) ＝ 9 % 5 ＝4</w:t>
      </w:r>
    </w:p>
    <w:p w14:paraId="3D3B8948">
      <w:pPr>
        <w:pStyle w:val="215"/>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M(分钟部分) ＝ 678 % 60 ＝18</w:t>
      </w:r>
    </w:p>
    <w:p w14:paraId="1CD4750E">
      <w:pPr>
        <w:pStyle w:val="215"/>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【生效时长】：用于指示本次配置的有效时长，用于临时加快数据上报频率。</w:t>
      </w:r>
    </w:p>
    <w:p w14:paraId="00D5B6D6">
      <w:pPr>
        <w:pStyle w:val="215"/>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关联配置:</w:t>
      </w:r>
    </w:p>
    <w:p w14:paraId="76A7542F">
      <w:pPr>
        <w:pStyle w:val="215"/>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对上发间隔和数据间隔的配置修改应能自动调整数据存盘间隔时间。</w:t>
      </w:r>
    </w:p>
    <w:p w14:paraId="30260E8C">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94" w:name="_Toc5127"/>
      <w:bookmarkStart w:id="495" w:name="_Toc20748"/>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sz w:val="21"/>
          <w:szCs w:val="21"/>
          <w:highlight w:val="none"/>
          <w:lang w:val="en-US" w:eastAsia="zh-CN"/>
        </w:rPr>
        <w:t>上行数据段格式</w:t>
      </w:r>
      <w:bookmarkEnd w:id="494"/>
      <w:bookmarkEnd w:id="495"/>
    </w:p>
    <w:tbl>
      <w:tblPr>
        <w:tblStyle w:val="4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2345"/>
        <w:gridCol w:w="2345"/>
        <w:gridCol w:w="2345"/>
      </w:tblGrid>
      <w:tr w14:paraId="3A751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19C8D4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7F6985E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1EE56FB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4329FC7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7B53E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E32BEF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开始时刻</w:t>
            </w:r>
          </w:p>
        </w:tc>
        <w:tc>
          <w:tcPr>
            <w:tcW w:w="2345" w:type="dxa"/>
            <w:noWrap w:val="0"/>
            <w:vAlign w:val="center"/>
          </w:tcPr>
          <w:p w14:paraId="2EF015C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2345" w:type="dxa"/>
            <w:noWrap w:val="0"/>
            <w:vAlign w:val="center"/>
          </w:tcPr>
          <w:p w14:paraId="0E0E942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小时部分</w:t>
            </w:r>
          </w:p>
        </w:tc>
        <w:tc>
          <w:tcPr>
            <w:tcW w:w="2345" w:type="dxa"/>
            <w:noWrap w:val="0"/>
            <w:vAlign w:val="center"/>
          </w:tcPr>
          <w:p w14:paraId="70D78B8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33ADE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ED51A0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开始时刻</w:t>
            </w:r>
          </w:p>
        </w:tc>
        <w:tc>
          <w:tcPr>
            <w:tcW w:w="2345" w:type="dxa"/>
            <w:noWrap w:val="0"/>
            <w:vAlign w:val="center"/>
          </w:tcPr>
          <w:p w14:paraId="5E39436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2345" w:type="dxa"/>
            <w:noWrap w:val="0"/>
            <w:vAlign w:val="center"/>
          </w:tcPr>
          <w:p w14:paraId="37FB75F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分钟部分</w:t>
            </w:r>
          </w:p>
        </w:tc>
        <w:tc>
          <w:tcPr>
            <w:tcW w:w="2345" w:type="dxa"/>
            <w:noWrap w:val="0"/>
            <w:vAlign w:val="center"/>
          </w:tcPr>
          <w:p w14:paraId="55B598E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0488B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1A6464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上发间隔</w:t>
            </w:r>
          </w:p>
        </w:tc>
        <w:tc>
          <w:tcPr>
            <w:tcW w:w="2345" w:type="dxa"/>
            <w:noWrap w:val="0"/>
            <w:vAlign w:val="center"/>
          </w:tcPr>
          <w:p w14:paraId="1932D93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c>
          <w:tcPr>
            <w:tcW w:w="2345" w:type="dxa"/>
            <w:noWrap w:val="0"/>
            <w:vAlign w:val="center"/>
          </w:tcPr>
          <w:p w14:paraId="0E0BB1B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分钟，高字节在前</w:t>
            </w:r>
          </w:p>
        </w:tc>
        <w:tc>
          <w:tcPr>
            <w:tcW w:w="2345" w:type="dxa"/>
            <w:noWrap w:val="0"/>
            <w:vAlign w:val="center"/>
          </w:tcPr>
          <w:p w14:paraId="5DC2B50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6DA4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831240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数据间隔</w:t>
            </w:r>
          </w:p>
        </w:tc>
        <w:tc>
          <w:tcPr>
            <w:tcW w:w="2345" w:type="dxa"/>
            <w:noWrap w:val="0"/>
            <w:vAlign w:val="center"/>
          </w:tcPr>
          <w:p w14:paraId="293CE1A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c>
          <w:tcPr>
            <w:tcW w:w="2345" w:type="dxa"/>
            <w:noWrap w:val="0"/>
            <w:vAlign w:val="center"/>
          </w:tcPr>
          <w:p w14:paraId="081DC72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分钟，高字节在前</w:t>
            </w:r>
          </w:p>
        </w:tc>
        <w:tc>
          <w:tcPr>
            <w:tcW w:w="2345" w:type="dxa"/>
            <w:noWrap w:val="0"/>
            <w:vAlign w:val="center"/>
          </w:tcPr>
          <w:p w14:paraId="7253BA5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6E4D3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FE27AE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离散值</w:t>
            </w:r>
          </w:p>
        </w:tc>
        <w:tc>
          <w:tcPr>
            <w:tcW w:w="2345" w:type="dxa"/>
            <w:noWrap w:val="0"/>
            <w:vAlign w:val="center"/>
          </w:tcPr>
          <w:p w14:paraId="6943060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c>
          <w:tcPr>
            <w:tcW w:w="2345" w:type="dxa"/>
            <w:noWrap w:val="0"/>
            <w:vAlign w:val="center"/>
          </w:tcPr>
          <w:p w14:paraId="40E0923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秒，高字节在前</w:t>
            </w:r>
          </w:p>
        </w:tc>
        <w:tc>
          <w:tcPr>
            <w:tcW w:w="2345" w:type="dxa"/>
            <w:noWrap w:val="0"/>
            <w:vAlign w:val="center"/>
          </w:tcPr>
          <w:p w14:paraId="4854D65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bl>
    <w:p w14:paraId="7FCE0237">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备注：指令执行成功则原码返回，执行失败则</w:t>
      </w:r>
      <w:r>
        <w:rPr>
          <w:rFonts w:hint="eastAsia" w:ascii="宋体" w:hAnsi="宋体" w:eastAsia="宋体" w:cs="宋体"/>
          <w:b w:val="0"/>
          <w:bCs w:val="0"/>
          <w:color w:val="auto"/>
          <w:sz w:val="21"/>
          <w:szCs w:val="21"/>
          <w:highlight w:val="none"/>
          <w:lang w:val="en-US" w:eastAsia="zh-CN"/>
        </w:rPr>
        <w:t>数据段全部字节置FF。</w:t>
      </w:r>
    </w:p>
    <w:p w14:paraId="4C9FFEB9">
      <w:pPr>
        <w:keepNext w:val="0"/>
        <w:keepLines w:val="0"/>
        <w:pageBreakBefore w:val="0"/>
        <w:numPr>
          <w:ilvl w:val="1"/>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96" w:name="_Toc19564"/>
      <w:bookmarkStart w:id="497" w:name="_Toc23366"/>
      <w:r>
        <w:rPr>
          <w:rFonts w:hint="eastAsia" w:ascii="宋体" w:hAnsi="宋体" w:eastAsia="宋体" w:cs="宋体"/>
          <w:b w:val="0"/>
          <w:bCs w:val="0"/>
          <w:color w:val="auto"/>
          <w:kern w:val="0"/>
          <w:sz w:val="21"/>
          <w:szCs w:val="21"/>
          <w:highlight w:val="none"/>
          <w:lang w:val="en-US" w:eastAsia="zh-CN" w:bidi="ar-SA"/>
        </w:rPr>
        <w:t xml:space="preserve">3.2.7 </w:t>
      </w:r>
      <w:r>
        <w:rPr>
          <w:rFonts w:hint="eastAsia" w:ascii="宋体" w:hAnsi="宋体" w:eastAsia="宋体" w:cs="宋体"/>
          <w:b w:val="0"/>
          <w:bCs w:val="0"/>
          <w:color w:val="auto"/>
          <w:sz w:val="21"/>
          <w:szCs w:val="21"/>
          <w:highlight w:val="none"/>
          <w:lang w:val="en-US" w:eastAsia="zh-CN"/>
        </w:rPr>
        <w:t>功能码07（设置数据中心地址）</w:t>
      </w:r>
      <w:bookmarkEnd w:id="496"/>
      <w:bookmarkEnd w:id="497"/>
    </w:p>
    <w:p w14:paraId="0E19983C">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98" w:name="_Toc3667"/>
      <w:bookmarkStart w:id="499" w:name="_Toc17360"/>
      <w:r>
        <w:rPr>
          <w:rFonts w:hint="eastAsia" w:ascii="宋体" w:hAnsi="宋体" w:eastAsia="宋体" w:cs="宋体"/>
          <w:b w:val="0"/>
          <w:bCs w:val="0"/>
          <w:color w:val="auto"/>
          <w:sz w:val="21"/>
          <w:szCs w:val="21"/>
          <w:highlight w:val="none"/>
          <w:lang w:val="en-US" w:eastAsia="zh-CN"/>
        </w:rPr>
        <w:t>（1）下行数据段格式</w:t>
      </w:r>
      <w:bookmarkEnd w:id="498"/>
      <w:bookmarkEnd w:id="499"/>
    </w:p>
    <w:tbl>
      <w:tblPr>
        <w:tblStyle w:val="40"/>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2"/>
        <w:gridCol w:w="2330"/>
        <w:gridCol w:w="2334"/>
        <w:gridCol w:w="2631"/>
      </w:tblGrid>
      <w:tr w14:paraId="734C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2" w:type="dxa"/>
            <w:noWrap w:val="0"/>
            <w:vAlign w:val="center"/>
          </w:tcPr>
          <w:p w14:paraId="76E4E34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30" w:type="dxa"/>
            <w:noWrap w:val="0"/>
            <w:vAlign w:val="center"/>
          </w:tcPr>
          <w:p w14:paraId="1717DFD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34" w:type="dxa"/>
            <w:noWrap w:val="0"/>
            <w:vAlign w:val="center"/>
          </w:tcPr>
          <w:p w14:paraId="031FE9C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631" w:type="dxa"/>
            <w:noWrap w:val="0"/>
            <w:vAlign w:val="center"/>
          </w:tcPr>
          <w:p w14:paraId="66DB395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3B910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2" w:type="dxa"/>
            <w:noWrap w:val="0"/>
            <w:vAlign w:val="center"/>
          </w:tcPr>
          <w:p w14:paraId="757D40A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序号</w:t>
            </w:r>
          </w:p>
        </w:tc>
        <w:tc>
          <w:tcPr>
            <w:tcW w:w="2330" w:type="dxa"/>
            <w:noWrap w:val="0"/>
            <w:vAlign w:val="center"/>
          </w:tcPr>
          <w:p w14:paraId="55EFACB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2334" w:type="dxa"/>
            <w:noWrap w:val="0"/>
            <w:vAlign w:val="center"/>
          </w:tcPr>
          <w:p w14:paraId="6DE9785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当设备支持多数据中心时使用该序号区分设置的是哪个中心地址。注意：序号0为默认数据中心，其它序号为备用中心</w:t>
            </w:r>
          </w:p>
        </w:tc>
        <w:tc>
          <w:tcPr>
            <w:tcW w:w="2631" w:type="dxa"/>
            <w:noWrap w:val="0"/>
            <w:vAlign w:val="center"/>
          </w:tcPr>
          <w:p w14:paraId="55C6F37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w:t>
            </w:r>
          </w:p>
        </w:tc>
      </w:tr>
      <w:tr w14:paraId="3F94A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2" w:type="dxa"/>
            <w:noWrap w:val="0"/>
            <w:vAlign w:val="center"/>
          </w:tcPr>
          <w:p w14:paraId="37CB50A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数据中心地址</w:t>
            </w:r>
          </w:p>
        </w:tc>
        <w:tc>
          <w:tcPr>
            <w:tcW w:w="2330" w:type="dxa"/>
            <w:noWrap w:val="0"/>
            <w:vAlign w:val="center"/>
          </w:tcPr>
          <w:p w14:paraId="10CF0CC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不定长</w:t>
            </w:r>
          </w:p>
        </w:tc>
        <w:tc>
          <w:tcPr>
            <w:tcW w:w="2334" w:type="dxa"/>
            <w:noWrap w:val="0"/>
            <w:vAlign w:val="center"/>
          </w:tcPr>
          <w:p w14:paraId="15B1674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ASCII，以\0结束</w:t>
            </w:r>
          </w:p>
        </w:tc>
        <w:tc>
          <w:tcPr>
            <w:tcW w:w="2631" w:type="dxa"/>
            <w:noWrap w:val="0"/>
            <w:vAlign w:val="center"/>
          </w:tcPr>
          <w:p w14:paraId="70E25A2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123.123.123.123:5000</w:t>
            </w:r>
          </w:p>
          <w:p w14:paraId="78321CF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http://www.dsc.com:5000</w:t>
            </w:r>
          </w:p>
        </w:tc>
      </w:tr>
    </w:tbl>
    <w:p w14:paraId="6CD20233">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500" w:name="_Toc18876"/>
      <w:bookmarkStart w:id="501" w:name="_Toc1743"/>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sz w:val="21"/>
          <w:szCs w:val="21"/>
          <w:highlight w:val="none"/>
          <w:lang w:val="en-US" w:eastAsia="zh-CN"/>
        </w:rPr>
        <w:t>上行数据段格式</w:t>
      </w:r>
      <w:bookmarkEnd w:id="500"/>
      <w:bookmarkEnd w:id="501"/>
    </w:p>
    <w:tbl>
      <w:tblPr>
        <w:tblStyle w:val="4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2345"/>
        <w:gridCol w:w="2345"/>
        <w:gridCol w:w="2345"/>
      </w:tblGrid>
      <w:tr w14:paraId="15C8A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DFC46C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41730F8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1654E82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3806F5F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6DEA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09B64EE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序号</w:t>
            </w:r>
          </w:p>
        </w:tc>
        <w:tc>
          <w:tcPr>
            <w:tcW w:w="2345" w:type="dxa"/>
            <w:noWrap w:val="0"/>
            <w:vAlign w:val="center"/>
          </w:tcPr>
          <w:p w14:paraId="5863D0B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2345" w:type="dxa"/>
            <w:noWrap w:val="0"/>
            <w:vAlign w:val="center"/>
          </w:tcPr>
          <w:p w14:paraId="3357E86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当设备支持多数据中心时使用该序号区分设置的是哪个中心地址。注意：序号0为默认数据中心，其它序号为备用中心</w:t>
            </w:r>
          </w:p>
        </w:tc>
        <w:tc>
          <w:tcPr>
            <w:tcW w:w="2345" w:type="dxa"/>
            <w:noWrap w:val="0"/>
            <w:vAlign w:val="center"/>
          </w:tcPr>
          <w:p w14:paraId="67DE3BE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w:t>
            </w:r>
          </w:p>
        </w:tc>
      </w:tr>
      <w:tr w14:paraId="35831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C977C5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数据中心地址</w:t>
            </w:r>
          </w:p>
        </w:tc>
        <w:tc>
          <w:tcPr>
            <w:tcW w:w="2345" w:type="dxa"/>
            <w:noWrap w:val="0"/>
            <w:vAlign w:val="center"/>
          </w:tcPr>
          <w:p w14:paraId="37FA2F8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不定长</w:t>
            </w:r>
          </w:p>
        </w:tc>
        <w:tc>
          <w:tcPr>
            <w:tcW w:w="2345" w:type="dxa"/>
            <w:noWrap w:val="0"/>
            <w:vAlign w:val="center"/>
          </w:tcPr>
          <w:p w14:paraId="5985311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ASCII，以\0结束</w:t>
            </w:r>
          </w:p>
        </w:tc>
        <w:tc>
          <w:tcPr>
            <w:tcW w:w="2345" w:type="dxa"/>
            <w:noWrap w:val="0"/>
            <w:vAlign w:val="center"/>
          </w:tcPr>
          <w:p w14:paraId="128F594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bl>
    <w:p w14:paraId="69F0AA06">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备注：指令执行成功则原码返回，执行失败则</w:t>
      </w:r>
      <w:r>
        <w:rPr>
          <w:rFonts w:hint="eastAsia" w:ascii="宋体" w:hAnsi="宋体" w:eastAsia="宋体" w:cs="宋体"/>
          <w:b w:val="0"/>
          <w:bCs w:val="0"/>
          <w:color w:val="auto"/>
          <w:sz w:val="21"/>
          <w:szCs w:val="21"/>
          <w:highlight w:val="none"/>
          <w:lang w:val="en-US" w:eastAsia="zh-CN"/>
        </w:rPr>
        <w:t>数据段全部字节置FF。</w:t>
      </w:r>
    </w:p>
    <w:p w14:paraId="381A316F">
      <w:pPr>
        <w:keepNext w:val="0"/>
        <w:keepLines w:val="0"/>
        <w:pageBreakBefore w:val="0"/>
        <w:numPr>
          <w:ilvl w:val="1"/>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502" w:name="_Toc31892"/>
      <w:bookmarkStart w:id="503" w:name="_Toc25009"/>
      <w:r>
        <w:rPr>
          <w:rFonts w:hint="eastAsia" w:ascii="宋体" w:hAnsi="宋体" w:eastAsia="宋体" w:cs="宋体"/>
          <w:b w:val="0"/>
          <w:bCs w:val="0"/>
          <w:color w:val="auto"/>
          <w:kern w:val="0"/>
          <w:sz w:val="21"/>
          <w:szCs w:val="21"/>
          <w:highlight w:val="none"/>
          <w:lang w:val="en-US" w:eastAsia="zh-CN" w:bidi="ar-SA"/>
        </w:rPr>
        <w:t xml:space="preserve">3.2.8 </w:t>
      </w:r>
      <w:r>
        <w:rPr>
          <w:rFonts w:hint="eastAsia" w:ascii="宋体" w:hAnsi="宋体" w:eastAsia="宋体" w:cs="宋体"/>
          <w:b w:val="0"/>
          <w:bCs w:val="0"/>
          <w:color w:val="auto"/>
          <w:sz w:val="21"/>
          <w:szCs w:val="21"/>
          <w:highlight w:val="none"/>
          <w:lang w:val="en-US" w:eastAsia="zh-CN"/>
        </w:rPr>
        <w:t>功能码08（设置工作模式）</w:t>
      </w:r>
      <w:bookmarkEnd w:id="502"/>
      <w:bookmarkEnd w:id="503"/>
    </w:p>
    <w:p w14:paraId="6A549537">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504" w:name="_Toc15236"/>
      <w:bookmarkStart w:id="505" w:name="_Toc22618"/>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sz w:val="21"/>
          <w:szCs w:val="21"/>
          <w:highlight w:val="none"/>
          <w:lang w:val="en-US" w:eastAsia="zh-CN"/>
        </w:rPr>
        <w:t>下行数据段格式</w:t>
      </w:r>
      <w:bookmarkEnd w:id="504"/>
      <w:bookmarkEnd w:id="505"/>
    </w:p>
    <w:tbl>
      <w:tblPr>
        <w:tblStyle w:val="4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2345"/>
        <w:gridCol w:w="2345"/>
        <w:gridCol w:w="2345"/>
      </w:tblGrid>
      <w:tr w14:paraId="4CFC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7F98CC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5B6446E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02A5367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38319B2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16A02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A3953E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工作模式</w:t>
            </w:r>
          </w:p>
        </w:tc>
        <w:tc>
          <w:tcPr>
            <w:tcW w:w="2345" w:type="dxa"/>
            <w:noWrap w:val="0"/>
            <w:vAlign w:val="center"/>
          </w:tcPr>
          <w:p w14:paraId="1C3E76E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2345" w:type="dxa"/>
            <w:noWrap w:val="0"/>
            <w:vAlign w:val="center"/>
          </w:tcPr>
          <w:p w14:paraId="0BCCF4D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0表示设备处于休眠工作模式，1表示设备处于长期在线待命状态。</w:t>
            </w:r>
          </w:p>
        </w:tc>
        <w:tc>
          <w:tcPr>
            <w:tcW w:w="2345" w:type="dxa"/>
            <w:noWrap w:val="0"/>
            <w:vAlign w:val="center"/>
          </w:tcPr>
          <w:p w14:paraId="0FC1B18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2FA7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444542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生效时长</w:t>
            </w:r>
          </w:p>
        </w:tc>
        <w:tc>
          <w:tcPr>
            <w:tcW w:w="2345" w:type="dxa"/>
            <w:noWrap w:val="0"/>
            <w:vAlign w:val="center"/>
          </w:tcPr>
          <w:p w14:paraId="4CFDAF8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c>
          <w:tcPr>
            <w:tcW w:w="2345" w:type="dxa"/>
            <w:noWrap w:val="0"/>
            <w:vAlign w:val="center"/>
          </w:tcPr>
          <w:p w14:paraId="290DD0E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本次设置值的生效时间，高字节在前。</w:t>
            </w:r>
          </w:p>
          <w:p w14:paraId="2D77D61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0表示永久应用该设置值，大于0表示临时应用X分钟数后自动恢复原配置。</w:t>
            </w:r>
          </w:p>
        </w:tc>
        <w:tc>
          <w:tcPr>
            <w:tcW w:w="2345" w:type="dxa"/>
            <w:noWrap w:val="0"/>
            <w:vAlign w:val="center"/>
          </w:tcPr>
          <w:p w14:paraId="57BD23E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bl>
    <w:p w14:paraId="463215EB">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506" w:name="_Toc17825"/>
      <w:bookmarkStart w:id="507" w:name="_Toc9270"/>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sz w:val="21"/>
          <w:szCs w:val="21"/>
          <w:highlight w:val="none"/>
          <w:lang w:val="en-US" w:eastAsia="zh-CN"/>
        </w:rPr>
        <w:t>上行数据段格式</w:t>
      </w:r>
      <w:bookmarkEnd w:id="506"/>
      <w:bookmarkEnd w:id="507"/>
    </w:p>
    <w:tbl>
      <w:tblPr>
        <w:tblStyle w:val="4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2345"/>
        <w:gridCol w:w="2345"/>
        <w:gridCol w:w="2345"/>
      </w:tblGrid>
      <w:tr w14:paraId="153D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0C4791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5D50B5E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09CE247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27F27B1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43B3B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739F63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工作模式</w:t>
            </w:r>
          </w:p>
        </w:tc>
        <w:tc>
          <w:tcPr>
            <w:tcW w:w="2345" w:type="dxa"/>
            <w:noWrap w:val="0"/>
            <w:vAlign w:val="center"/>
          </w:tcPr>
          <w:p w14:paraId="5637362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2345" w:type="dxa"/>
            <w:noWrap w:val="0"/>
            <w:vAlign w:val="center"/>
          </w:tcPr>
          <w:p w14:paraId="5ABCB3C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成功后原码返回，失败全部置FF</w:t>
            </w:r>
          </w:p>
        </w:tc>
        <w:tc>
          <w:tcPr>
            <w:tcW w:w="2345" w:type="dxa"/>
            <w:noWrap w:val="0"/>
            <w:vAlign w:val="center"/>
          </w:tcPr>
          <w:p w14:paraId="5483862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48F5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D9BB4D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生效时长</w:t>
            </w:r>
          </w:p>
        </w:tc>
        <w:tc>
          <w:tcPr>
            <w:tcW w:w="2345" w:type="dxa"/>
            <w:noWrap w:val="0"/>
            <w:vAlign w:val="center"/>
          </w:tcPr>
          <w:p w14:paraId="79543A1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c>
          <w:tcPr>
            <w:tcW w:w="2345" w:type="dxa"/>
            <w:noWrap w:val="0"/>
            <w:vAlign w:val="center"/>
          </w:tcPr>
          <w:p w14:paraId="44AA218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成功后原码返回，失败全部置FF</w:t>
            </w:r>
          </w:p>
        </w:tc>
        <w:tc>
          <w:tcPr>
            <w:tcW w:w="2345" w:type="dxa"/>
            <w:noWrap w:val="0"/>
            <w:vAlign w:val="center"/>
          </w:tcPr>
          <w:p w14:paraId="1855D4C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bl>
    <w:p w14:paraId="1B3B886E">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备注：指令执行成功则原码返回，执行失败则</w:t>
      </w:r>
      <w:r>
        <w:rPr>
          <w:rFonts w:hint="eastAsia" w:ascii="宋体" w:hAnsi="宋体" w:eastAsia="宋体" w:cs="宋体"/>
          <w:b w:val="0"/>
          <w:bCs w:val="0"/>
          <w:color w:val="auto"/>
          <w:sz w:val="21"/>
          <w:szCs w:val="21"/>
          <w:highlight w:val="none"/>
          <w:lang w:val="en-US" w:eastAsia="zh-CN"/>
        </w:rPr>
        <w:t>数据段全部字节置FF。</w:t>
      </w:r>
    </w:p>
    <w:p w14:paraId="1A943BFC">
      <w:pPr>
        <w:keepNext w:val="0"/>
        <w:keepLines w:val="0"/>
        <w:pageBreakBefore w:val="0"/>
        <w:numPr>
          <w:ilvl w:val="1"/>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508" w:name="_Toc13774"/>
      <w:bookmarkStart w:id="509" w:name="_Toc5244"/>
      <w:r>
        <w:rPr>
          <w:rFonts w:hint="eastAsia" w:ascii="宋体" w:hAnsi="宋体" w:eastAsia="宋体" w:cs="宋体"/>
          <w:b w:val="0"/>
          <w:bCs w:val="0"/>
          <w:color w:val="auto"/>
          <w:kern w:val="0"/>
          <w:sz w:val="21"/>
          <w:szCs w:val="21"/>
          <w:highlight w:val="none"/>
          <w:lang w:val="en-US" w:eastAsia="zh-CN" w:bidi="ar-SA"/>
        </w:rPr>
        <w:t xml:space="preserve">3.2.9 </w:t>
      </w:r>
      <w:r>
        <w:rPr>
          <w:rFonts w:hint="eastAsia" w:ascii="宋体" w:hAnsi="宋体" w:eastAsia="宋体" w:cs="宋体"/>
          <w:b w:val="0"/>
          <w:bCs w:val="0"/>
          <w:color w:val="auto"/>
          <w:sz w:val="21"/>
          <w:szCs w:val="21"/>
          <w:highlight w:val="none"/>
          <w:lang w:val="en-US" w:eastAsia="zh-CN"/>
        </w:rPr>
        <w:t>功能码09（设置设备地址）</w:t>
      </w:r>
      <w:bookmarkEnd w:id="508"/>
      <w:bookmarkEnd w:id="509"/>
    </w:p>
    <w:p w14:paraId="2B6BE108">
      <w:pPr>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设置设备地址指令用于非NB水表应用场景，NB水表表码通常不允许修改，所以NB水表不需实现该指令。</w:t>
      </w:r>
    </w:p>
    <w:p w14:paraId="425701FD">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510" w:name="_Toc1162"/>
      <w:bookmarkStart w:id="511" w:name="_Toc10610"/>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sz w:val="21"/>
          <w:szCs w:val="21"/>
          <w:highlight w:val="none"/>
          <w:lang w:val="en-US" w:eastAsia="zh-CN"/>
        </w:rPr>
        <w:t>下行数据段格式</w:t>
      </w:r>
      <w:bookmarkEnd w:id="510"/>
      <w:bookmarkEnd w:id="511"/>
    </w:p>
    <w:tbl>
      <w:tblPr>
        <w:tblStyle w:val="4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2345"/>
        <w:gridCol w:w="2345"/>
        <w:gridCol w:w="2345"/>
      </w:tblGrid>
      <w:tr w14:paraId="6B1E1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7B9E19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59B2BB7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742BDDC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0087E3A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0DB2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78BCF4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设备地址</w:t>
            </w:r>
          </w:p>
        </w:tc>
        <w:tc>
          <w:tcPr>
            <w:tcW w:w="2345" w:type="dxa"/>
            <w:noWrap w:val="0"/>
            <w:vAlign w:val="center"/>
          </w:tcPr>
          <w:p w14:paraId="36B04C5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8字节</w:t>
            </w:r>
          </w:p>
        </w:tc>
        <w:tc>
          <w:tcPr>
            <w:tcW w:w="2345" w:type="dxa"/>
            <w:noWrap w:val="0"/>
            <w:vAlign w:val="center"/>
          </w:tcPr>
          <w:p w14:paraId="6CA81EF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BCD码，符合4.1.6章节中设备地址相关规则</w:t>
            </w:r>
          </w:p>
        </w:tc>
        <w:tc>
          <w:tcPr>
            <w:tcW w:w="2345" w:type="dxa"/>
            <w:noWrap w:val="0"/>
            <w:vAlign w:val="center"/>
          </w:tcPr>
          <w:p w14:paraId="6D0C29D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bl>
    <w:p w14:paraId="5F33308E">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512" w:name="_Toc29427"/>
      <w:bookmarkStart w:id="513" w:name="_Toc31858"/>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sz w:val="21"/>
          <w:szCs w:val="21"/>
          <w:highlight w:val="none"/>
          <w:lang w:val="en-US" w:eastAsia="zh-CN"/>
        </w:rPr>
        <w:t>上行数据段格式</w:t>
      </w:r>
      <w:bookmarkEnd w:id="512"/>
      <w:bookmarkEnd w:id="513"/>
    </w:p>
    <w:tbl>
      <w:tblPr>
        <w:tblStyle w:val="4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2345"/>
        <w:gridCol w:w="2345"/>
        <w:gridCol w:w="2345"/>
      </w:tblGrid>
      <w:tr w14:paraId="679C2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E610B2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5B3412D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6279A7D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7B04B33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4BAE7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C7E955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设备地址</w:t>
            </w:r>
          </w:p>
        </w:tc>
        <w:tc>
          <w:tcPr>
            <w:tcW w:w="2345" w:type="dxa"/>
            <w:noWrap w:val="0"/>
            <w:vAlign w:val="center"/>
          </w:tcPr>
          <w:p w14:paraId="3FD3CB2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8字节</w:t>
            </w:r>
          </w:p>
        </w:tc>
        <w:tc>
          <w:tcPr>
            <w:tcW w:w="2345" w:type="dxa"/>
            <w:noWrap w:val="0"/>
            <w:vAlign w:val="center"/>
          </w:tcPr>
          <w:p w14:paraId="2B6A606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成功后原码返回，失败全部置FF</w:t>
            </w:r>
          </w:p>
        </w:tc>
        <w:tc>
          <w:tcPr>
            <w:tcW w:w="2345" w:type="dxa"/>
            <w:noWrap w:val="0"/>
            <w:vAlign w:val="center"/>
          </w:tcPr>
          <w:p w14:paraId="0B4AFEB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bl>
    <w:p w14:paraId="0BA9D957">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备注：指令执行成功则原码返回，执行失败则</w:t>
      </w:r>
      <w:r>
        <w:rPr>
          <w:rFonts w:hint="eastAsia" w:ascii="宋体" w:hAnsi="宋体" w:eastAsia="宋体" w:cs="宋体"/>
          <w:b w:val="0"/>
          <w:bCs w:val="0"/>
          <w:color w:val="auto"/>
          <w:sz w:val="21"/>
          <w:szCs w:val="21"/>
          <w:highlight w:val="none"/>
          <w:lang w:val="en-US" w:eastAsia="zh-CN"/>
        </w:rPr>
        <w:t>数据段全部字节置FF。</w:t>
      </w:r>
    </w:p>
    <w:p w14:paraId="1D43E40F">
      <w:pPr>
        <w:keepNext w:val="0"/>
        <w:keepLines w:val="0"/>
        <w:pageBreakBefore w:val="0"/>
        <w:numPr>
          <w:ilvl w:val="1"/>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514" w:name="_Toc4120"/>
      <w:bookmarkStart w:id="515" w:name="_Toc5006"/>
      <w:r>
        <w:rPr>
          <w:rFonts w:hint="eastAsia" w:ascii="宋体" w:hAnsi="宋体" w:eastAsia="宋体" w:cs="宋体"/>
          <w:b w:val="0"/>
          <w:bCs w:val="0"/>
          <w:color w:val="auto"/>
          <w:kern w:val="0"/>
          <w:sz w:val="21"/>
          <w:szCs w:val="21"/>
          <w:highlight w:val="none"/>
          <w:lang w:val="en-US" w:eastAsia="zh-CN" w:bidi="ar-SA"/>
        </w:rPr>
        <w:t xml:space="preserve">3.2.10 </w:t>
      </w:r>
      <w:r>
        <w:rPr>
          <w:rFonts w:hint="eastAsia" w:ascii="宋体" w:hAnsi="宋体" w:eastAsia="宋体" w:cs="宋体"/>
          <w:b w:val="0"/>
          <w:bCs w:val="0"/>
          <w:color w:val="auto"/>
          <w:sz w:val="21"/>
          <w:szCs w:val="21"/>
          <w:highlight w:val="none"/>
          <w:lang w:val="en-US" w:eastAsia="zh-CN"/>
        </w:rPr>
        <w:t>功能码10（设置加密标志）</w:t>
      </w:r>
      <w:bookmarkEnd w:id="514"/>
      <w:bookmarkEnd w:id="515"/>
    </w:p>
    <w:p w14:paraId="24970BA7">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516" w:name="_Toc11752"/>
      <w:bookmarkStart w:id="517" w:name="_Toc22238"/>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sz w:val="21"/>
          <w:szCs w:val="21"/>
          <w:highlight w:val="none"/>
          <w:lang w:val="en-US" w:eastAsia="zh-CN"/>
        </w:rPr>
        <w:t>下行数据段格式</w:t>
      </w:r>
      <w:bookmarkEnd w:id="516"/>
      <w:bookmarkEnd w:id="517"/>
    </w:p>
    <w:tbl>
      <w:tblPr>
        <w:tblStyle w:val="4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2345"/>
        <w:gridCol w:w="2345"/>
        <w:gridCol w:w="2345"/>
      </w:tblGrid>
      <w:tr w14:paraId="3D16B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0D518D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5C5FEC5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661223E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61245B5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5C60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8D4575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加密标志</w:t>
            </w:r>
          </w:p>
        </w:tc>
        <w:tc>
          <w:tcPr>
            <w:tcW w:w="2345" w:type="dxa"/>
            <w:noWrap w:val="0"/>
            <w:vAlign w:val="center"/>
          </w:tcPr>
          <w:p w14:paraId="1BF4353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2345" w:type="dxa"/>
            <w:noWrap w:val="0"/>
            <w:vAlign w:val="center"/>
          </w:tcPr>
          <w:p w14:paraId="65CD6A8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取值1表示设备启用数据段加密，0表示不加密</w:t>
            </w:r>
          </w:p>
        </w:tc>
        <w:tc>
          <w:tcPr>
            <w:tcW w:w="2345" w:type="dxa"/>
            <w:noWrap w:val="0"/>
            <w:vAlign w:val="center"/>
          </w:tcPr>
          <w:p w14:paraId="00C4035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5764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1B2CF5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新密钥</w:t>
            </w:r>
          </w:p>
        </w:tc>
        <w:tc>
          <w:tcPr>
            <w:tcW w:w="2345" w:type="dxa"/>
            <w:noWrap w:val="0"/>
            <w:vAlign w:val="center"/>
          </w:tcPr>
          <w:p w14:paraId="6396170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16字节ASCII</w:t>
            </w:r>
          </w:p>
        </w:tc>
        <w:tc>
          <w:tcPr>
            <w:tcW w:w="2345" w:type="dxa"/>
            <w:noWrap w:val="0"/>
            <w:vAlign w:val="center"/>
          </w:tcPr>
          <w:p w14:paraId="60BDE46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全为FF表示使用缺省密钥（即不修改密钥）</w:t>
            </w:r>
          </w:p>
        </w:tc>
        <w:tc>
          <w:tcPr>
            <w:tcW w:w="2345" w:type="dxa"/>
            <w:noWrap w:val="0"/>
            <w:vAlign w:val="center"/>
          </w:tcPr>
          <w:p w14:paraId="6CAEE21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bl>
    <w:p w14:paraId="5B086D63">
      <w:pPr>
        <w:pStyle w:val="215"/>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注意：新密钥全为FF表示仅修改加密标志，不修改密钥；</w:t>
      </w:r>
    </w:p>
    <w:p w14:paraId="30345383">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518" w:name="_Toc18013"/>
      <w:bookmarkStart w:id="519" w:name="_Toc4316"/>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sz w:val="21"/>
          <w:szCs w:val="21"/>
          <w:highlight w:val="none"/>
          <w:lang w:val="en-US" w:eastAsia="zh-CN"/>
        </w:rPr>
        <w:t>上行数据段格式</w:t>
      </w:r>
      <w:bookmarkEnd w:id="518"/>
      <w:bookmarkEnd w:id="519"/>
    </w:p>
    <w:tbl>
      <w:tblPr>
        <w:tblStyle w:val="4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2345"/>
        <w:gridCol w:w="2345"/>
        <w:gridCol w:w="2345"/>
      </w:tblGrid>
      <w:tr w14:paraId="55B2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881C51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6AE8697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18882BA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71DAA5A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4648F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D01D84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加密标志</w:t>
            </w:r>
          </w:p>
        </w:tc>
        <w:tc>
          <w:tcPr>
            <w:tcW w:w="2345" w:type="dxa"/>
            <w:noWrap w:val="0"/>
            <w:vAlign w:val="center"/>
          </w:tcPr>
          <w:p w14:paraId="53ADA2B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2345" w:type="dxa"/>
            <w:noWrap w:val="0"/>
            <w:vAlign w:val="center"/>
          </w:tcPr>
          <w:p w14:paraId="4BFED8F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成功后原码返回，失败全部置FF</w:t>
            </w:r>
          </w:p>
        </w:tc>
        <w:tc>
          <w:tcPr>
            <w:tcW w:w="2345" w:type="dxa"/>
            <w:noWrap w:val="0"/>
            <w:vAlign w:val="center"/>
          </w:tcPr>
          <w:p w14:paraId="403217A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74A8F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EC7554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新密钥</w:t>
            </w:r>
          </w:p>
        </w:tc>
        <w:tc>
          <w:tcPr>
            <w:tcW w:w="2345" w:type="dxa"/>
            <w:noWrap w:val="0"/>
            <w:vAlign w:val="center"/>
          </w:tcPr>
          <w:p w14:paraId="5FC5F66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16字节ASCII</w:t>
            </w:r>
          </w:p>
        </w:tc>
        <w:tc>
          <w:tcPr>
            <w:tcW w:w="2345" w:type="dxa"/>
            <w:noWrap w:val="0"/>
            <w:vAlign w:val="center"/>
          </w:tcPr>
          <w:p w14:paraId="1643EFF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成功后原码返回，失败全部置FF</w:t>
            </w:r>
          </w:p>
        </w:tc>
        <w:tc>
          <w:tcPr>
            <w:tcW w:w="2345" w:type="dxa"/>
            <w:noWrap w:val="0"/>
            <w:vAlign w:val="center"/>
          </w:tcPr>
          <w:p w14:paraId="6AF3969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bl>
    <w:p w14:paraId="58CE82A7">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备注：指令执行成功则原码返回，执行失败则</w:t>
      </w:r>
      <w:r>
        <w:rPr>
          <w:rFonts w:hint="eastAsia" w:ascii="宋体" w:hAnsi="宋体" w:eastAsia="宋体" w:cs="宋体"/>
          <w:b w:val="0"/>
          <w:bCs w:val="0"/>
          <w:color w:val="auto"/>
          <w:sz w:val="21"/>
          <w:szCs w:val="21"/>
          <w:highlight w:val="none"/>
          <w:lang w:val="en-US" w:eastAsia="zh-CN"/>
        </w:rPr>
        <w:t>数据段全部字节置FF。</w:t>
      </w:r>
    </w:p>
    <w:p w14:paraId="1D60CA79">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注意</w:t>
      </w:r>
      <w:r>
        <w:rPr>
          <w:rFonts w:hint="eastAsia" w:ascii="宋体" w:hAnsi="宋体" w:eastAsia="宋体" w:cs="宋体"/>
          <w:b w:val="0"/>
          <w:bCs w:val="0"/>
          <w:color w:val="auto"/>
          <w:sz w:val="21"/>
          <w:szCs w:val="21"/>
          <w:highlight w:val="none"/>
          <w:lang w:val="en-US" w:eastAsia="zh-CN"/>
        </w:rPr>
        <w:t>点：远程更新密钥时，本次配置指令的上行确认帧应使用原密钥进行加密，上位机平台在收到更新成功确认后正式启用新密钥对后续下行帧加密。</w:t>
      </w:r>
    </w:p>
    <w:p w14:paraId="0860F2F6">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3.2.11 功能码11（查询历史数据存盘间隔）</w:t>
      </w:r>
    </w:p>
    <w:p w14:paraId="1666CCB3">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（1）下行数据段格式</w:t>
      </w:r>
    </w:p>
    <w:p w14:paraId="0D7A8FE6">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无。</w:t>
      </w:r>
    </w:p>
    <w:p w14:paraId="39969BBF">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（2）上行数据段格式</w:t>
      </w:r>
    </w:p>
    <w:p w14:paraId="06DBA6AF">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同功能码05数据格式。</w:t>
      </w:r>
    </w:p>
    <w:p w14:paraId="22FB1E2E">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3.2.12功能码12（查询主动上报参数）</w:t>
      </w:r>
    </w:p>
    <w:p w14:paraId="52CF42AF">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（1）下行数据段格式</w:t>
      </w:r>
    </w:p>
    <w:p w14:paraId="3DB674C6">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无。</w:t>
      </w:r>
    </w:p>
    <w:p w14:paraId="6A6BE5C6">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（2）上行数据段格式</w:t>
      </w:r>
    </w:p>
    <w:p w14:paraId="4B4C06CE">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同功能码06数据格式。</w:t>
      </w:r>
    </w:p>
    <w:p w14:paraId="51CCD2A9">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3.2.13功能码13（查询数据中心地址）</w:t>
      </w:r>
    </w:p>
    <w:p w14:paraId="200EA7D8">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（1）下行数据段格式</w:t>
      </w:r>
    </w:p>
    <w:tbl>
      <w:tblPr>
        <w:tblStyle w:val="40"/>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2345"/>
        <w:gridCol w:w="2345"/>
        <w:gridCol w:w="2345"/>
      </w:tblGrid>
      <w:tr w14:paraId="0B59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noWrap w:val="0"/>
            <w:vAlign w:val="center"/>
          </w:tcPr>
          <w:p w14:paraId="293FC15D">
            <w:pPr>
              <w:pStyle w:val="18"/>
              <w:keepNext w:val="0"/>
              <w:keepLines w:val="0"/>
              <w:pageBreakBefore w:val="0"/>
              <w:widowControl w:val="0"/>
              <w:kinsoku/>
              <w:wordWrap/>
              <w:overflowPunct/>
              <w:topLinePunct w:val="0"/>
              <w:autoSpaceDE/>
              <w:autoSpaceDN/>
              <w:bidi w:val="0"/>
              <w:adjustRightInd/>
              <w:snapToGrid/>
              <w:spacing w:before="157" w:beforeLines="50"/>
              <w:jc w:val="center"/>
              <w:textAlignment w:val="auto"/>
              <w:outlineLvl w:val="9"/>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数据内容</w:t>
            </w:r>
          </w:p>
        </w:tc>
        <w:tc>
          <w:tcPr>
            <w:tcW w:w="2345" w:type="dxa"/>
            <w:noWrap w:val="0"/>
            <w:vAlign w:val="center"/>
          </w:tcPr>
          <w:p w14:paraId="5EF6DD1E">
            <w:pPr>
              <w:pStyle w:val="18"/>
              <w:keepNext w:val="0"/>
              <w:keepLines w:val="0"/>
              <w:pageBreakBefore w:val="0"/>
              <w:widowControl w:val="0"/>
              <w:kinsoku/>
              <w:wordWrap/>
              <w:overflowPunct/>
              <w:topLinePunct w:val="0"/>
              <w:autoSpaceDE/>
              <w:autoSpaceDN/>
              <w:bidi w:val="0"/>
              <w:adjustRightInd/>
              <w:snapToGrid/>
              <w:spacing w:before="157" w:beforeLines="50"/>
              <w:jc w:val="center"/>
              <w:textAlignment w:val="auto"/>
              <w:outlineLvl w:val="9"/>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字节数</w:t>
            </w:r>
          </w:p>
        </w:tc>
        <w:tc>
          <w:tcPr>
            <w:tcW w:w="2345" w:type="dxa"/>
            <w:noWrap w:val="0"/>
            <w:vAlign w:val="center"/>
          </w:tcPr>
          <w:p w14:paraId="01A57E37">
            <w:pPr>
              <w:pStyle w:val="18"/>
              <w:keepNext w:val="0"/>
              <w:keepLines w:val="0"/>
              <w:pageBreakBefore w:val="0"/>
              <w:widowControl w:val="0"/>
              <w:kinsoku/>
              <w:wordWrap/>
              <w:overflowPunct/>
              <w:topLinePunct w:val="0"/>
              <w:autoSpaceDE/>
              <w:autoSpaceDN/>
              <w:bidi w:val="0"/>
              <w:adjustRightInd/>
              <w:snapToGrid/>
              <w:spacing w:before="157" w:beforeLines="50"/>
              <w:jc w:val="center"/>
              <w:textAlignment w:val="auto"/>
              <w:outlineLvl w:val="9"/>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说明</w:t>
            </w:r>
          </w:p>
        </w:tc>
        <w:tc>
          <w:tcPr>
            <w:tcW w:w="2345" w:type="dxa"/>
            <w:noWrap w:val="0"/>
            <w:vAlign w:val="center"/>
          </w:tcPr>
          <w:p w14:paraId="192FF470">
            <w:pPr>
              <w:pStyle w:val="18"/>
              <w:keepNext w:val="0"/>
              <w:keepLines w:val="0"/>
              <w:pageBreakBefore w:val="0"/>
              <w:widowControl w:val="0"/>
              <w:kinsoku/>
              <w:wordWrap/>
              <w:overflowPunct/>
              <w:topLinePunct w:val="0"/>
              <w:autoSpaceDE/>
              <w:autoSpaceDN/>
              <w:bidi w:val="0"/>
              <w:adjustRightInd/>
              <w:snapToGrid/>
              <w:spacing w:before="157" w:beforeLines="50"/>
              <w:jc w:val="center"/>
              <w:textAlignment w:val="auto"/>
              <w:outlineLvl w:val="9"/>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示例</w:t>
            </w:r>
          </w:p>
        </w:tc>
      </w:tr>
      <w:tr w14:paraId="5F947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noWrap w:val="0"/>
            <w:vAlign w:val="center"/>
          </w:tcPr>
          <w:p w14:paraId="2C0C0D9A">
            <w:pPr>
              <w:pStyle w:val="18"/>
              <w:keepNext w:val="0"/>
              <w:keepLines w:val="0"/>
              <w:pageBreakBefore w:val="0"/>
              <w:widowControl w:val="0"/>
              <w:kinsoku/>
              <w:wordWrap/>
              <w:overflowPunct/>
              <w:topLinePunct w:val="0"/>
              <w:autoSpaceDE/>
              <w:autoSpaceDN/>
              <w:bidi w:val="0"/>
              <w:adjustRightInd/>
              <w:snapToGrid/>
              <w:spacing w:before="157" w:beforeLines="50"/>
              <w:jc w:val="center"/>
              <w:textAlignment w:val="auto"/>
              <w:outlineLvl w:val="9"/>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序号</w:t>
            </w:r>
          </w:p>
        </w:tc>
        <w:tc>
          <w:tcPr>
            <w:tcW w:w="2345" w:type="dxa"/>
            <w:noWrap w:val="0"/>
            <w:vAlign w:val="center"/>
          </w:tcPr>
          <w:p w14:paraId="01349FBE">
            <w:pPr>
              <w:pStyle w:val="18"/>
              <w:keepNext w:val="0"/>
              <w:keepLines w:val="0"/>
              <w:pageBreakBefore w:val="0"/>
              <w:widowControl w:val="0"/>
              <w:kinsoku/>
              <w:wordWrap/>
              <w:overflowPunct/>
              <w:topLinePunct w:val="0"/>
              <w:autoSpaceDE/>
              <w:autoSpaceDN/>
              <w:bidi w:val="0"/>
              <w:adjustRightInd/>
              <w:snapToGrid/>
              <w:spacing w:before="157" w:beforeLines="50"/>
              <w:jc w:val="center"/>
              <w:textAlignment w:val="auto"/>
              <w:outlineLvl w:val="9"/>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1字节</w:t>
            </w:r>
          </w:p>
        </w:tc>
        <w:tc>
          <w:tcPr>
            <w:tcW w:w="2345" w:type="dxa"/>
            <w:noWrap w:val="0"/>
            <w:vAlign w:val="center"/>
          </w:tcPr>
          <w:p w14:paraId="282D6492">
            <w:pPr>
              <w:pStyle w:val="18"/>
              <w:keepNext w:val="0"/>
              <w:keepLines w:val="0"/>
              <w:pageBreakBefore w:val="0"/>
              <w:widowControl w:val="0"/>
              <w:kinsoku/>
              <w:wordWrap/>
              <w:overflowPunct/>
              <w:topLinePunct w:val="0"/>
              <w:autoSpaceDE/>
              <w:autoSpaceDN/>
              <w:bidi w:val="0"/>
              <w:adjustRightInd/>
              <w:snapToGrid/>
              <w:spacing w:before="157" w:beforeLines="50"/>
              <w:jc w:val="center"/>
              <w:textAlignment w:val="auto"/>
              <w:outlineLvl w:val="9"/>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当设备支持多数据中心时使用该序号区分查询的是哪个中心地址。注意：序号0为默认数据中心，其它序号为备用中心</w:t>
            </w:r>
          </w:p>
        </w:tc>
        <w:tc>
          <w:tcPr>
            <w:tcW w:w="2345" w:type="dxa"/>
            <w:noWrap w:val="0"/>
            <w:vAlign w:val="center"/>
          </w:tcPr>
          <w:p w14:paraId="548E929A">
            <w:pPr>
              <w:pStyle w:val="18"/>
              <w:keepNext w:val="0"/>
              <w:keepLines w:val="0"/>
              <w:pageBreakBefore w:val="0"/>
              <w:widowControl w:val="0"/>
              <w:kinsoku/>
              <w:wordWrap/>
              <w:overflowPunct/>
              <w:topLinePunct w:val="0"/>
              <w:autoSpaceDE/>
              <w:autoSpaceDN/>
              <w:bidi w:val="0"/>
              <w:adjustRightInd/>
              <w:snapToGrid/>
              <w:spacing w:before="157" w:beforeLines="50"/>
              <w:jc w:val="center"/>
              <w:textAlignment w:val="auto"/>
              <w:outlineLvl w:val="9"/>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0</w:t>
            </w:r>
          </w:p>
        </w:tc>
      </w:tr>
    </w:tbl>
    <w:p w14:paraId="66A46683">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（2）上行数据段格式</w:t>
      </w:r>
    </w:p>
    <w:p w14:paraId="3094AAED">
      <w:pPr>
        <w:pStyle w:val="37"/>
        <w:keepNext w:val="0"/>
        <w:keepLines w:val="0"/>
        <w:pageBreakBefore w:val="0"/>
        <w:kinsoku/>
        <w:wordWrap/>
        <w:topLinePunct w:val="0"/>
        <w:bidi w:val="0"/>
        <w:spacing w:beforeAutospacing="0" w:after="0" w:line="360" w:lineRule="auto"/>
        <w:ind w:left="0" w:leftChars="0" w:right="0" w:firstLine="420" w:firstLineChars="200"/>
        <w:jc w:val="left"/>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同功能码07数据格式。</w:t>
      </w:r>
    </w:p>
    <w:p w14:paraId="4A60824C">
      <w:pPr>
        <w:pStyle w:val="37"/>
        <w:keepNext w:val="0"/>
        <w:keepLines w:val="0"/>
        <w:pageBreakBefore w:val="0"/>
        <w:kinsoku/>
        <w:wordWrap/>
        <w:topLinePunct w:val="0"/>
        <w:bidi w:val="0"/>
        <w:spacing w:beforeAutospacing="0" w:after="0" w:line="360" w:lineRule="auto"/>
        <w:ind w:left="0" w:leftChars="0" w:right="0" w:firstLine="422" w:firstLineChars="200"/>
        <w:jc w:val="left"/>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3.3 规约附录</w:t>
      </w:r>
    </w:p>
    <w:p w14:paraId="3A4F4177">
      <w:pPr>
        <w:pStyle w:val="211"/>
        <w:keepNext w:val="0"/>
        <w:keepLines w:val="0"/>
        <w:pageBreakBefore w:val="0"/>
        <w:kinsoku/>
        <w:wordWrap/>
        <w:topLinePunct w:val="0"/>
        <w:bidi w:val="0"/>
        <w:spacing w:before="0" w:beforeAutospacing="0" w:line="360" w:lineRule="auto"/>
        <w:ind w:right="0"/>
        <w:jc w:val="center"/>
        <w:outlineLvl w:val="9"/>
        <w:rPr>
          <w:rFonts w:hint="eastAsia" w:ascii="宋体" w:hAnsi="宋体" w:eastAsia="宋体" w:cs="宋体"/>
          <w:b w:val="0"/>
          <w:bCs w:val="0"/>
          <w:color w:val="auto"/>
          <w:sz w:val="21"/>
          <w:szCs w:val="21"/>
          <w:highlight w:val="none"/>
          <w:lang w:val="en-US" w:eastAsia="zh-CN"/>
        </w:rPr>
      </w:pPr>
      <w:bookmarkStart w:id="520" w:name="_Toc4379"/>
      <w:bookmarkStart w:id="521" w:name="_Toc26407"/>
      <w:r>
        <w:rPr>
          <w:rFonts w:hint="eastAsia" w:ascii="宋体" w:hAnsi="宋体" w:eastAsia="宋体" w:cs="宋体"/>
          <w:b w:val="0"/>
          <w:bCs w:val="0"/>
          <w:color w:val="auto"/>
          <w:sz w:val="21"/>
          <w:szCs w:val="21"/>
          <w:highlight w:val="none"/>
        </w:rPr>
        <w:t>附录</w:t>
      </w:r>
      <w:r>
        <w:rPr>
          <w:rFonts w:hint="eastAsia" w:ascii="宋体" w:hAnsi="宋体" w:eastAsia="宋体" w:cs="宋体"/>
          <w:b w:val="0"/>
          <w:bCs w:val="0"/>
          <w:color w:val="auto"/>
          <w:sz w:val="21"/>
          <w:szCs w:val="21"/>
          <w:highlight w:val="none"/>
          <w:lang w:val="en-US"/>
        </w:rPr>
        <w:t>A</w:t>
      </w:r>
      <w:bookmarkEnd w:id="520"/>
      <w:bookmarkEnd w:id="521"/>
    </w:p>
    <w:p w14:paraId="5562D140">
      <w:pPr>
        <w:pStyle w:val="211"/>
        <w:keepNext w:val="0"/>
        <w:keepLines w:val="0"/>
        <w:pageBreakBefore w:val="0"/>
        <w:kinsoku/>
        <w:wordWrap/>
        <w:topLinePunct w:val="0"/>
        <w:bidi w:val="0"/>
        <w:spacing w:before="0" w:beforeAutospacing="0" w:line="360" w:lineRule="auto"/>
        <w:ind w:right="0"/>
        <w:jc w:val="center"/>
        <w:outlineLvl w:val="9"/>
        <w:rPr>
          <w:rFonts w:hint="eastAsia" w:ascii="宋体" w:hAnsi="宋体" w:eastAsia="宋体" w:cs="宋体"/>
          <w:b w:val="0"/>
          <w:bCs w:val="0"/>
          <w:color w:val="auto"/>
          <w:sz w:val="21"/>
          <w:szCs w:val="21"/>
          <w:highlight w:val="none"/>
        </w:rPr>
      </w:pPr>
      <w:bookmarkStart w:id="522" w:name="_Toc26438"/>
      <w:bookmarkStart w:id="523" w:name="_Toc30494"/>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设备类型代码表</w:t>
      </w:r>
      <w:r>
        <w:rPr>
          <w:rFonts w:hint="eastAsia" w:ascii="宋体" w:hAnsi="宋体" w:eastAsia="宋体" w:cs="宋体"/>
          <w:b w:val="0"/>
          <w:bCs w:val="0"/>
          <w:color w:val="auto"/>
          <w:sz w:val="21"/>
          <w:szCs w:val="21"/>
          <w:highlight w:val="none"/>
        </w:rPr>
        <w:t>）</w:t>
      </w:r>
      <w:bookmarkEnd w:id="522"/>
      <w:bookmarkEnd w:id="523"/>
    </w:p>
    <w:tbl>
      <w:tblPr>
        <w:tblStyle w:val="39"/>
        <w:tblW w:w="7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4461"/>
        <w:gridCol w:w="1945"/>
      </w:tblGrid>
      <w:tr w14:paraId="45E5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3" w:type="dxa"/>
            <w:noWrap w:val="0"/>
            <w:vAlign w:val="top"/>
          </w:tcPr>
          <w:p w14:paraId="5949C53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类型代码</w:t>
            </w:r>
          </w:p>
        </w:tc>
        <w:tc>
          <w:tcPr>
            <w:tcW w:w="4461" w:type="dxa"/>
            <w:noWrap w:val="0"/>
            <w:vAlign w:val="top"/>
          </w:tcPr>
          <w:p w14:paraId="569F6C5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设备</w:t>
            </w:r>
          </w:p>
        </w:tc>
        <w:tc>
          <w:tcPr>
            <w:tcW w:w="1945" w:type="dxa"/>
            <w:noWrap w:val="0"/>
            <w:vAlign w:val="top"/>
          </w:tcPr>
          <w:p w14:paraId="45A8162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r>
      <w:tr w14:paraId="61C6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3" w:type="dxa"/>
            <w:noWrap w:val="0"/>
            <w:vAlign w:val="top"/>
          </w:tcPr>
          <w:p w14:paraId="715C539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w:t>
            </w:r>
          </w:p>
        </w:tc>
        <w:tc>
          <w:tcPr>
            <w:tcW w:w="4461" w:type="dxa"/>
            <w:noWrap w:val="0"/>
            <w:vAlign w:val="top"/>
          </w:tcPr>
          <w:p w14:paraId="7DF877A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系统保留</w:t>
            </w:r>
          </w:p>
        </w:tc>
        <w:tc>
          <w:tcPr>
            <w:tcW w:w="1945" w:type="dxa"/>
            <w:noWrap w:val="0"/>
            <w:vAlign w:val="top"/>
          </w:tcPr>
          <w:p w14:paraId="64CDB09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598F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3" w:type="dxa"/>
            <w:noWrap w:val="0"/>
            <w:vAlign w:val="top"/>
          </w:tcPr>
          <w:p w14:paraId="14609C1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4461" w:type="dxa"/>
            <w:noWrap w:val="0"/>
            <w:vAlign w:val="top"/>
          </w:tcPr>
          <w:p w14:paraId="31E1957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一体式小口径水表</w:t>
            </w:r>
          </w:p>
        </w:tc>
        <w:tc>
          <w:tcPr>
            <w:tcW w:w="1945" w:type="dxa"/>
            <w:noWrap w:val="0"/>
            <w:vAlign w:val="top"/>
          </w:tcPr>
          <w:p w14:paraId="4F96A30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47585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3" w:type="dxa"/>
            <w:noWrap w:val="0"/>
            <w:vAlign w:val="top"/>
          </w:tcPr>
          <w:p w14:paraId="5632589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4461" w:type="dxa"/>
            <w:noWrap w:val="0"/>
            <w:vAlign w:val="top"/>
          </w:tcPr>
          <w:p w14:paraId="7C80321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一体式大口径水表</w:t>
            </w:r>
          </w:p>
        </w:tc>
        <w:tc>
          <w:tcPr>
            <w:tcW w:w="1945" w:type="dxa"/>
            <w:noWrap w:val="0"/>
            <w:vAlign w:val="top"/>
          </w:tcPr>
          <w:p w14:paraId="23CAA33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5702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3" w:type="dxa"/>
            <w:noWrap w:val="0"/>
            <w:vAlign w:val="top"/>
          </w:tcPr>
          <w:p w14:paraId="3C5305B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w:t>
            </w:r>
          </w:p>
        </w:tc>
        <w:tc>
          <w:tcPr>
            <w:tcW w:w="4461" w:type="dxa"/>
            <w:noWrap w:val="0"/>
            <w:vAlign w:val="top"/>
          </w:tcPr>
          <w:p w14:paraId="03FCE0B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分体式小口径水表</w:t>
            </w:r>
          </w:p>
        </w:tc>
        <w:tc>
          <w:tcPr>
            <w:tcW w:w="1945" w:type="dxa"/>
            <w:noWrap w:val="0"/>
            <w:vAlign w:val="top"/>
          </w:tcPr>
          <w:p w14:paraId="65E61C2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5D84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3" w:type="dxa"/>
            <w:noWrap w:val="0"/>
            <w:vAlign w:val="top"/>
          </w:tcPr>
          <w:p w14:paraId="1B7D16C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w:t>
            </w:r>
          </w:p>
        </w:tc>
        <w:tc>
          <w:tcPr>
            <w:tcW w:w="4461" w:type="dxa"/>
            <w:noWrap w:val="0"/>
            <w:vAlign w:val="top"/>
          </w:tcPr>
          <w:p w14:paraId="09BB9F1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分体式大口径水表</w:t>
            </w:r>
          </w:p>
        </w:tc>
        <w:tc>
          <w:tcPr>
            <w:tcW w:w="1945" w:type="dxa"/>
            <w:noWrap w:val="0"/>
            <w:vAlign w:val="top"/>
          </w:tcPr>
          <w:p w14:paraId="30D2A0D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05E0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3" w:type="dxa"/>
            <w:noWrap w:val="0"/>
            <w:vAlign w:val="top"/>
          </w:tcPr>
          <w:p w14:paraId="5F3B063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5</w:t>
            </w:r>
          </w:p>
        </w:tc>
        <w:tc>
          <w:tcPr>
            <w:tcW w:w="4461" w:type="dxa"/>
            <w:noWrap w:val="0"/>
            <w:vAlign w:val="top"/>
          </w:tcPr>
          <w:p w14:paraId="49C60DE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分体式远传终端（采集智能水表）</w:t>
            </w:r>
          </w:p>
        </w:tc>
        <w:tc>
          <w:tcPr>
            <w:tcW w:w="1945" w:type="dxa"/>
            <w:noWrap w:val="0"/>
            <w:vAlign w:val="top"/>
          </w:tcPr>
          <w:p w14:paraId="6C18599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41B1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3" w:type="dxa"/>
            <w:noWrap w:val="0"/>
            <w:vAlign w:val="top"/>
          </w:tcPr>
          <w:p w14:paraId="5BABBEC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w:t>
            </w:r>
          </w:p>
        </w:tc>
        <w:tc>
          <w:tcPr>
            <w:tcW w:w="4461" w:type="dxa"/>
            <w:noWrap w:val="0"/>
            <w:vAlign w:val="top"/>
          </w:tcPr>
          <w:p w14:paraId="3CE3058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一体式中口径水表</w:t>
            </w:r>
          </w:p>
        </w:tc>
        <w:tc>
          <w:tcPr>
            <w:tcW w:w="1945" w:type="dxa"/>
            <w:noWrap w:val="0"/>
            <w:vAlign w:val="top"/>
          </w:tcPr>
          <w:p w14:paraId="5DEA7A2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bl>
    <w:p w14:paraId="7C5410F2">
      <w:pPr>
        <w:keepNext w:val="0"/>
        <w:keepLines w:val="0"/>
        <w:pageBreakBefore w:val="0"/>
        <w:kinsoku/>
        <w:wordWrap/>
        <w:topLinePunct w:val="0"/>
        <w:bidi w:val="0"/>
        <w:spacing w:beforeAutospacing="0" w:line="360" w:lineRule="auto"/>
        <w:ind w:left="0" w:leftChars="0" w:right="0" w:firstLine="420" w:firstLineChars="200"/>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br w:type="page"/>
      </w:r>
      <w:r>
        <w:rPr>
          <w:rFonts w:hint="eastAsia" w:ascii="宋体" w:hAnsi="宋体" w:eastAsia="宋体" w:cs="宋体"/>
          <w:b w:val="0"/>
          <w:bCs w:val="0"/>
          <w:color w:val="auto"/>
          <w:sz w:val="21"/>
          <w:szCs w:val="21"/>
          <w:highlight w:val="none"/>
        </w:rPr>
        <w:t>附录</w:t>
      </w:r>
      <w:r>
        <w:rPr>
          <w:rFonts w:hint="eastAsia" w:ascii="宋体" w:hAnsi="宋体" w:eastAsia="宋体" w:cs="宋体"/>
          <w:b w:val="0"/>
          <w:bCs w:val="0"/>
          <w:color w:val="auto"/>
          <w:sz w:val="21"/>
          <w:szCs w:val="21"/>
          <w:highlight w:val="none"/>
          <w:lang w:val="en-US" w:eastAsia="zh-CN"/>
        </w:rPr>
        <w:t>B</w:t>
      </w:r>
    </w:p>
    <w:p w14:paraId="792E82AD">
      <w:pPr>
        <w:pStyle w:val="211"/>
        <w:keepNext w:val="0"/>
        <w:keepLines w:val="0"/>
        <w:pageBreakBefore w:val="0"/>
        <w:kinsoku/>
        <w:wordWrap/>
        <w:topLinePunct w:val="0"/>
        <w:bidi w:val="0"/>
        <w:spacing w:before="0" w:beforeAutospacing="0" w:line="360" w:lineRule="auto"/>
        <w:ind w:left="0" w:leftChars="0" w:right="0" w:firstLine="420" w:firstLineChars="200"/>
        <w:jc w:val="center"/>
        <w:outlineLvl w:val="9"/>
        <w:rPr>
          <w:rFonts w:hint="eastAsia" w:ascii="宋体" w:hAnsi="宋体" w:eastAsia="宋体" w:cs="宋体"/>
          <w:b w:val="0"/>
          <w:bCs w:val="0"/>
          <w:color w:val="auto"/>
          <w:sz w:val="21"/>
          <w:szCs w:val="21"/>
          <w:highlight w:val="none"/>
        </w:rPr>
      </w:pPr>
      <w:bookmarkStart w:id="524" w:name="_Toc31887"/>
      <w:bookmarkStart w:id="525" w:name="_Toc7321"/>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故障代码编排规范</w:t>
      </w:r>
      <w:r>
        <w:rPr>
          <w:rFonts w:hint="eastAsia" w:ascii="宋体" w:hAnsi="宋体" w:eastAsia="宋体" w:cs="宋体"/>
          <w:b w:val="0"/>
          <w:bCs w:val="0"/>
          <w:color w:val="auto"/>
          <w:sz w:val="21"/>
          <w:szCs w:val="21"/>
          <w:highlight w:val="none"/>
        </w:rPr>
        <w:t>）</w:t>
      </w:r>
      <w:bookmarkEnd w:id="524"/>
      <w:bookmarkEnd w:id="525"/>
    </w:p>
    <w:p w14:paraId="1D52CB0A">
      <w:pPr>
        <w:pStyle w:val="37"/>
        <w:keepNext w:val="0"/>
        <w:keepLines w:val="0"/>
        <w:pageBreakBefore w:val="0"/>
        <w:kinsoku/>
        <w:wordWrap/>
        <w:topLinePunct w:val="0"/>
        <w:bidi w:val="0"/>
        <w:spacing w:beforeAutospacing="0" w:after="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每种故障对应以下故障代码表中的一个比特位（Bit）,存在故障则该位置1，否则置0。</w:t>
      </w:r>
    </w:p>
    <w:p w14:paraId="32BA429C">
      <w:pPr>
        <w:pStyle w:val="37"/>
        <w:keepNext w:val="0"/>
        <w:keepLines w:val="0"/>
        <w:pageBreakBefore w:val="0"/>
        <w:widowControl w:val="0"/>
        <w:kinsoku/>
        <w:wordWrap/>
        <w:overflowPunct/>
        <w:topLinePunct w:val="0"/>
        <w:autoSpaceDE/>
        <w:autoSpaceDN/>
        <w:bidi w:val="0"/>
        <w:adjustRightInd/>
        <w:snapToGrid/>
        <w:spacing w:beforeAutospacing="0" w:after="0" w:line="360" w:lineRule="auto"/>
        <w:ind w:left="0" w:leftChars="0" w:right="0" w:firstLine="0" w:firstLineChars="0"/>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drawing>
          <wp:inline distT="0" distB="0" distL="114300" distR="114300">
            <wp:extent cx="6270625" cy="739775"/>
            <wp:effectExtent l="0" t="0" r="8255" b="6985"/>
            <wp:docPr id="8" name="图片 2" descr="[ZB5$%8IU%ZB`O~JC2UA0Z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ZB5$%8IU%ZB`O~JC2UA0ZX"/>
                    <pic:cNvPicPr>
                      <a:picLocks noChangeAspect="1"/>
                    </pic:cNvPicPr>
                  </pic:nvPicPr>
                  <pic:blipFill>
                    <a:blip r:embed="rId12"/>
                    <a:stretch>
                      <a:fillRect/>
                    </a:stretch>
                  </pic:blipFill>
                  <pic:spPr>
                    <a:xfrm>
                      <a:off x="0" y="0"/>
                      <a:ext cx="6270625" cy="739775"/>
                    </a:xfrm>
                    <a:prstGeom prst="rect">
                      <a:avLst/>
                    </a:prstGeom>
                    <a:noFill/>
                    <a:ln>
                      <a:noFill/>
                    </a:ln>
                  </pic:spPr>
                </pic:pic>
              </a:graphicData>
            </a:graphic>
          </wp:inline>
        </w:drawing>
      </w:r>
    </w:p>
    <w:p w14:paraId="69155F0A">
      <w:pPr>
        <w:pStyle w:val="37"/>
        <w:keepNext w:val="0"/>
        <w:keepLines w:val="0"/>
        <w:pageBreakBefore w:val="0"/>
        <w:kinsoku/>
        <w:wordWrap/>
        <w:topLinePunct w:val="0"/>
        <w:bidi w:val="0"/>
        <w:spacing w:beforeAutospacing="0" w:after="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故障代码位序示意图（共64个位，对应编码中的bit0至bit63）</w:t>
      </w:r>
    </w:p>
    <w:p w14:paraId="5EB1898C">
      <w:pPr>
        <w:pStyle w:val="37"/>
        <w:keepNext w:val="0"/>
        <w:keepLines w:val="0"/>
        <w:pageBreakBefore w:val="0"/>
        <w:kinsoku/>
        <w:wordWrap/>
        <w:topLinePunct w:val="0"/>
        <w:bidi w:val="0"/>
        <w:spacing w:beforeAutospacing="0" w:after="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故障代码表（位号1对应下位机编程中下标为0的Bit0）：</w:t>
      </w:r>
    </w:p>
    <w:tbl>
      <w:tblPr>
        <w:tblStyle w:val="39"/>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1267"/>
        <w:gridCol w:w="6397"/>
      </w:tblGrid>
      <w:tr w14:paraId="3A2E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noWrap w:val="0"/>
            <w:vAlign w:val="center"/>
          </w:tcPr>
          <w:p w14:paraId="0331F738">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字节号</w:t>
            </w:r>
          </w:p>
        </w:tc>
        <w:tc>
          <w:tcPr>
            <w:tcW w:w="1267" w:type="dxa"/>
            <w:noWrap w:val="0"/>
            <w:vAlign w:val="center"/>
          </w:tcPr>
          <w:p w14:paraId="43432442">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位号</w:t>
            </w:r>
          </w:p>
        </w:tc>
        <w:tc>
          <w:tcPr>
            <w:tcW w:w="6397" w:type="dxa"/>
            <w:noWrap w:val="0"/>
            <w:vAlign w:val="center"/>
          </w:tcPr>
          <w:p w14:paraId="372860D9">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说明</w:t>
            </w:r>
          </w:p>
        </w:tc>
      </w:tr>
      <w:tr w14:paraId="6038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restart"/>
            <w:noWrap w:val="0"/>
            <w:vAlign w:val="center"/>
          </w:tcPr>
          <w:p w14:paraId="2B9CF574">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1267" w:type="dxa"/>
            <w:noWrap w:val="0"/>
            <w:vAlign w:val="center"/>
          </w:tcPr>
          <w:p w14:paraId="5386A1B3">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6397" w:type="dxa"/>
            <w:noWrap w:val="0"/>
            <w:vAlign w:val="center"/>
          </w:tcPr>
          <w:p w14:paraId="076915BC">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反向报警</w:t>
            </w:r>
          </w:p>
        </w:tc>
      </w:tr>
      <w:tr w14:paraId="34340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5BF6DFA3">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55C42DD5">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p>
        </w:tc>
        <w:tc>
          <w:tcPr>
            <w:tcW w:w="6397" w:type="dxa"/>
            <w:noWrap w:val="0"/>
            <w:vAlign w:val="center"/>
          </w:tcPr>
          <w:p w14:paraId="1293D561">
            <w:pPr>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流量过载报警</w:t>
            </w:r>
          </w:p>
        </w:tc>
      </w:tr>
      <w:tr w14:paraId="588C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1CFB6199">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19617360">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p>
        </w:tc>
        <w:tc>
          <w:tcPr>
            <w:tcW w:w="6397" w:type="dxa"/>
            <w:noWrap w:val="0"/>
            <w:vAlign w:val="center"/>
          </w:tcPr>
          <w:p w14:paraId="39F3DBF4">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流量上限报警</w:t>
            </w:r>
          </w:p>
        </w:tc>
      </w:tr>
      <w:tr w14:paraId="4FC40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11ED1D14">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22B66D11">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w:t>
            </w:r>
          </w:p>
        </w:tc>
        <w:tc>
          <w:tcPr>
            <w:tcW w:w="6397" w:type="dxa"/>
            <w:noWrap w:val="0"/>
            <w:vAlign w:val="center"/>
          </w:tcPr>
          <w:p w14:paraId="554BDF04">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流量下限报警</w:t>
            </w:r>
          </w:p>
        </w:tc>
      </w:tr>
      <w:tr w14:paraId="46C57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69BD985A">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27716B34">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w:t>
            </w:r>
          </w:p>
        </w:tc>
        <w:tc>
          <w:tcPr>
            <w:tcW w:w="6397" w:type="dxa"/>
            <w:noWrap w:val="0"/>
            <w:vAlign w:val="center"/>
          </w:tcPr>
          <w:p w14:paraId="289EA0A7">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流量限制报警</w:t>
            </w:r>
          </w:p>
        </w:tc>
      </w:tr>
      <w:tr w14:paraId="05932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2994F33B">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1AFAEE34">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w:t>
            </w:r>
          </w:p>
        </w:tc>
        <w:tc>
          <w:tcPr>
            <w:tcW w:w="6397" w:type="dxa"/>
            <w:noWrap w:val="0"/>
            <w:vAlign w:val="center"/>
          </w:tcPr>
          <w:p w14:paraId="65D27182">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总量报警</w:t>
            </w:r>
          </w:p>
        </w:tc>
      </w:tr>
      <w:tr w14:paraId="39D1F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506439CA">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765B62CB">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w:t>
            </w:r>
          </w:p>
        </w:tc>
        <w:tc>
          <w:tcPr>
            <w:tcW w:w="6397" w:type="dxa"/>
            <w:noWrap w:val="0"/>
            <w:vAlign w:val="center"/>
          </w:tcPr>
          <w:p w14:paraId="1C2F28F2">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低电预警</w:t>
            </w:r>
          </w:p>
        </w:tc>
      </w:tr>
      <w:tr w14:paraId="17790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0C2EACFA">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5909CBD4">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w:t>
            </w:r>
          </w:p>
        </w:tc>
        <w:tc>
          <w:tcPr>
            <w:tcW w:w="6397" w:type="dxa"/>
            <w:noWrap w:val="0"/>
            <w:vAlign w:val="center"/>
          </w:tcPr>
          <w:p w14:paraId="0517D370">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低电报警</w:t>
            </w:r>
          </w:p>
        </w:tc>
      </w:tr>
      <w:tr w14:paraId="7ADEF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restart"/>
            <w:noWrap w:val="0"/>
            <w:vAlign w:val="center"/>
          </w:tcPr>
          <w:p w14:paraId="61701D6E">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p>
        </w:tc>
        <w:tc>
          <w:tcPr>
            <w:tcW w:w="1267" w:type="dxa"/>
            <w:noWrap w:val="0"/>
            <w:vAlign w:val="center"/>
          </w:tcPr>
          <w:p w14:paraId="6DB4C211">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w:t>
            </w:r>
          </w:p>
        </w:tc>
        <w:tc>
          <w:tcPr>
            <w:tcW w:w="6397" w:type="dxa"/>
            <w:noWrap w:val="0"/>
            <w:vAlign w:val="center"/>
          </w:tcPr>
          <w:p w14:paraId="3D077787">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电源报警</w:t>
            </w:r>
          </w:p>
        </w:tc>
      </w:tr>
      <w:tr w14:paraId="7BD67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63B6AE4B">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73772BDE">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w:t>
            </w:r>
          </w:p>
        </w:tc>
        <w:tc>
          <w:tcPr>
            <w:tcW w:w="6397" w:type="dxa"/>
            <w:noWrap w:val="0"/>
            <w:vAlign w:val="center"/>
          </w:tcPr>
          <w:p w14:paraId="49A455CE">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电源故障</w:t>
            </w:r>
          </w:p>
        </w:tc>
      </w:tr>
      <w:tr w14:paraId="522D9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33EE7165">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0E0A0DB1">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w:t>
            </w:r>
          </w:p>
        </w:tc>
        <w:tc>
          <w:tcPr>
            <w:tcW w:w="6397" w:type="dxa"/>
            <w:noWrap w:val="0"/>
            <w:vAlign w:val="center"/>
          </w:tcPr>
          <w:p w14:paraId="0387BBEC">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电极偏差报警</w:t>
            </w:r>
          </w:p>
        </w:tc>
      </w:tr>
      <w:tr w14:paraId="15EB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043F09CF">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48C5A4A5">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w:t>
            </w:r>
          </w:p>
        </w:tc>
        <w:tc>
          <w:tcPr>
            <w:tcW w:w="6397" w:type="dxa"/>
            <w:noWrap w:val="0"/>
            <w:vAlign w:val="center"/>
          </w:tcPr>
          <w:p w14:paraId="7F4B2029">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高直流电压（报警）</w:t>
            </w:r>
          </w:p>
        </w:tc>
      </w:tr>
      <w:tr w14:paraId="1D07F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0221EBF9">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4FB8C92F">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13</w:t>
            </w:r>
          </w:p>
        </w:tc>
        <w:tc>
          <w:tcPr>
            <w:tcW w:w="6397" w:type="dxa"/>
            <w:noWrap w:val="0"/>
            <w:vAlign w:val="center"/>
          </w:tcPr>
          <w:p w14:paraId="178EBECB">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高直流电压（电池电源）</w:t>
            </w:r>
          </w:p>
        </w:tc>
      </w:tr>
      <w:tr w14:paraId="5062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02F9366E">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1A4F1663">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14</w:t>
            </w:r>
          </w:p>
        </w:tc>
        <w:tc>
          <w:tcPr>
            <w:tcW w:w="6397" w:type="dxa"/>
            <w:noWrap w:val="0"/>
            <w:vAlign w:val="center"/>
          </w:tcPr>
          <w:p w14:paraId="22DB8529">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高直流电压（任何电源类型）</w:t>
            </w:r>
          </w:p>
        </w:tc>
      </w:tr>
      <w:tr w14:paraId="0AE4F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2CF7FC39">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062D77A2">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15</w:t>
            </w:r>
          </w:p>
        </w:tc>
        <w:tc>
          <w:tcPr>
            <w:tcW w:w="6397" w:type="dxa"/>
            <w:noWrap w:val="0"/>
            <w:vAlign w:val="center"/>
          </w:tcPr>
          <w:p w14:paraId="3FB9DA12">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线圈电流错误</w:t>
            </w:r>
          </w:p>
        </w:tc>
      </w:tr>
      <w:tr w14:paraId="2732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7A7DE6EC">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3A0F1E23">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16</w:t>
            </w:r>
          </w:p>
        </w:tc>
        <w:tc>
          <w:tcPr>
            <w:tcW w:w="6397" w:type="dxa"/>
            <w:noWrap w:val="0"/>
            <w:vAlign w:val="center"/>
          </w:tcPr>
          <w:p w14:paraId="65A76235">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外部电池故障</w:t>
            </w:r>
          </w:p>
        </w:tc>
      </w:tr>
      <w:tr w14:paraId="707B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restart"/>
            <w:noWrap w:val="0"/>
            <w:vAlign w:val="center"/>
          </w:tcPr>
          <w:p w14:paraId="2D319984">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p>
        </w:tc>
        <w:tc>
          <w:tcPr>
            <w:tcW w:w="1267" w:type="dxa"/>
            <w:noWrap w:val="0"/>
            <w:vAlign w:val="center"/>
          </w:tcPr>
          <w:p w14:paraId="156AEB1B">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17</w:t>
            </w:r>
          </w:p>
        </w:tc>
        <w:tc>
          <w:tcPr>
            <w:tcW w:w="6397" w:type="dxa"/>
            <w:noWrap w:val="0"/>
            <w:vAlign w:val="center"/>
          </w:tcPr>
          <w:p w14:paraId="1FB23F5E">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测温探头短路</w:t>
            </w:r>
          </w:p>
        </w:tc>
      </w:tr>
      <w:tr w14:paraId="6E890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28E812CC">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030AFED9">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18</w:t>
            </w:r>
          </w:p>
        </w:tc>
        <w:tc>
          <w:tcPr>
            <w:tcW w:w="6397" w:type="dxa"/>
            <w:noWrap w:val="0"/>
            <w:vAlign w:val="center"/>
          </w:tcPr>
          <w:p w14:paraId="42D794CB">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测温探头断路</w:t>
            </w:r>
          </w:p>
        </w:tc>
      </w:tr>
      <w:tr w14:paraId="490A4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62996B6D">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1B016F1B">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19</w:t>
            </w:r>
          </w:p>
        </w:tc>
        <w:tc>
          <w:tcPr>
            <w:tcW w:w="6397" w:type="dxa"/>
            <w:noWrap w:val="0"/>
            <w:vAlign w:val="center"/>
          </w:tcPr>
          <w:p w14:paraId="4EF8552D">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水温超范围</w:t>
            </w:r>
          </w:p>
        </w:tc>
      </w:tr>
      <w:tr w14:paraId="6868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632073B9">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2F09984C">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20</w:t>
            </w:r>
          </w:p>
        </w:tc>
        <w:tc>
          <w:tcPr>
            <w:tcW w:w="6397" w:type="dxa"/>
            <w:noWrap w:val="0"/>
            <w:vAlign w:val="center"/>
          </w:tcPr>
          <w:p w14:paraId="452FC199">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信号强度不稳定</w:t>
            </w:r>
          </w:p>
        </w:tc>
      </w:tr>
      <w:tr w14:paraId="5C27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1C3B7046">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01B09B08">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21</w:t>
            </w:r>
          </w:p>
        </w:tc>
        <w:tc>
          <w:tcPr>
            <w:tcW w:w="6397" w:type="dxa"/>
            <w:noWrap w:val="0"/>
            <w:vAlign w:val="center"/>
          </w:tcPr>
          <w:p w14:paraId="34AAA0B7">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信号强度过弱</w:t>
            </w:r>
          </w:p>
        </w:tc>
      </w:tr>
      <w:tr w14:paraId="4195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022F594E">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32180B79">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22</w:t>
            </w:r>
          </w:p>
        </w:tc>
        <w:tc>
          <w:tcPr>
            <w:tcW w:w="6397" w:type="dxa"/>
            <w:noWrap w:val="0"/>
            <w:vAlign w:val="center"/>
          </w:tcPr>
          <w:p w14:paraId="1D08A1B7">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信号强度较强</w:t>
            </w:r>
          </w:p>
        </w:tc>
      </w:tr>
      <w:tr w14:paraId="4A99B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01AFB490">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2E206269">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23</w:t>
            </w:r>
          </w:p>
        </w:tc>
        <w:tc>
          <w:tcPr>
            <w:tcW w:w="6397" w:type="dxa"/>
            <w:noWrap w:val="0"/>
            <w:vAlign w:val="center"/>
          </w:tcPr>
          <w:p w14:paraId="1EB97C88">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增益报警</w:t>
            </w:r>
          </w:p>
        </w:tc>
      </w:tr>
      <w:tr w14:paraId="036BB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17A8294B">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73B55F08">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24</w:t>
            </w:r>
          </w:p>
        </w:tc>
        <w:tc>
          <w:tcPr>
            <w:tcW w:w="6397" w:type="dxa"/>
            <w:noWrap w:val="0"/>
            <w:vAlign w:val="center"/>
          </w:tcPr>
          <w:p w14:paraId="6CFF47F3">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E2PROM损坏</w:t>
            </w:r>
          </w:p>
        </w:tc>
      </w:tr>
      <w:tr w14:paraId="2082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restart"/>
            <w:noWrap w:val="0"/>
            <w:vAlign w:val="center"/>
          </w:tcPr>
          <w:p w14:paraId="431E26B9">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w:t>
            </w:r>
          </w:p>
        </w:tc>
        <w:tc>
          <w:tcPr>
            <w:tcW w:w="1267" w:type="dxa"/>
            <w:noWrap w:val="0"/>
            <w:vAlign w:val="center"/>
          </w:tcPr>
          <w:p w14:paraId="28D6FDAD">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25</w:t>
            </w:r>
          </w:p>
        </w:tc>
        <w:tc>
          <w:tcPr>
            <w:tcW w:w="6397" w:type="dxa"/>
            <w:noWrap w:val="0"/>
            <w:vAlign w:val="center"/>
          </w:tcPr>
          <w:p w14:paraId="77BC9D5D">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坏/电路板异常</w:t>
            </w:r>
          </w:p>
        </w:tc>
      </w:tr>
      <w:tr w14:paraId="773C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26045391">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69BD1C1E">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26</w:t>
            </w:r>
          </w:p>
        </w:tc>
        <w:tc>
          <w:tcPr>
            <w:tcW w:w="6397" w:type="dxa"/>
            <w:noWrap w:val="0"/>
            <w:vAlign w:val="center"/>
          </w:tcPr>
          <w:p w14:paraId="3C332F8A">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换能器故障</w:t>
            </w:r>
          </w:p>
        </w:tc>
      </w:tr>
      <w:tr w14:paraId="7CEE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0CF1BF28">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7A1DEAB3">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27</w:t>
            </w:r>
          </w:p>
        </w:tc>
        <w:tc>
          <w:tcPr>
            <w:tcW w:w="6397" w:type="dxa"/>
            <w:noWrap w:val="0"/>
            <w:vAlign w:val="center"/>
          </w:tcPr>
          <w:p w14:paraId="522E9494">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空管报警</w:t>
            </w:r>
          </w:p>
        </w:tc>
      </w:tr>
      <w:tr w14:paraId="1DD7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5D1BB12F">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5E24BE90">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28</w:t>
            </w:r>
          </w:p>
        </w:tc>
        <w:tc>
          <w:tcPr>
            <w:tcW w:w="6397" w:type="dxa"/>
            <w:noWrap w:val="0"/>
            <w:vAlign w:val="center"/>
          </w:tcPr>
          <w:p w14:paraId="73BBA84B">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低阻抗报警</w:t>
            </w:r>
          </w:p>
        </w:tc>
      </w:tr>
      <w:tr w14:paraId="1C58A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0FB0B2EC">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23410D43">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29</w:t>
            </w:r>
          </w:p>
        </w:tc>
        <w:tc>
          <w:tcPr>
            <w:tcW w:w="6397" w:type="dxa"/>
            <w:noWrap w:val="0"/>
            <w:vAlign w:val="center"/>
          </w:tcPr>
          <w:p w14:paraId="3F0F24C4">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泄漏报警</w:t>
            </w:r>
          </w:p>
        </w:tc>
      </w:tr>
      <w:tr w14:paraId="7942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3CCE936B">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13F430E9">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30</w:t>
            </w:r>
          </w:p>
        </w:tc>
        <w:tc>
          <w:tcPr>
            <w:tcW w:w="6397" w:type="dxa"/>
            <w:noWrap w:val="0"/>
            <w:vAlign w:val="center"/>
          </w:tcPr>
          <w:p w14:paraId="27629072">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压力测量故障</w:t>
            </w:r>
          </w:p>
        </w:tc>
      </w:tr>
      <w:tr w14:paraId="7C4B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7DA9DA6F">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61BF5DFF">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31</w:t>
            </w:r>
          </w:p>
        </w:tc>
        <w:tc>
          <w:tcPr>
            <w:tcW w:w="6397" w:type="dxa"/>
            <w:noWrap w:val="0"/>
            <w:vAlign w:val="center"/>
          </w:tcPr>
          <w:p w14:paraId="73B213C1">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GPS定位故障</w:t>
            </w:r>
          </w:p>
        </w:tc>
      </w:tr>
      <w:tr w14:paraId="080B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406A8844">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6987465C">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32</w:t>
            </w:r>
          </w:p>
        </w:tc>
        <w:tc>
          <w:tcPr>
            <w:tcW w:w="6397" w:type="dxa"/>
            <w:noWrap w:val="0"/>
            <w:vAlign w:val="center"/>
          </w:tcPr>
          <w:p w14:paraId="47210C25">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水表通信故障</w:t>
            </w:r>
          </w:p>
        </w:tc>
      </w:tr>
      <w:tr w14:paraId="6E15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restart"/>
            <w:noWrap w:val="0"/>
            <w:vAlign w:val="center"/>
          </w:tcPr>
          <w:p w14:paraId="5A450213">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w:t>
            </w:r>
          </w:p>
        </w:tc>
        <w:tc>
          <w:tcPr>
            <w:tcW w:w="1267" w:type="dxa"/>
            <w:noWrap w:val="0"/>
            <w:vAlign w:val="center"/>
          </w:tcPr>
          <w:p w14:paraId="7D04EF83">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33</w:t>
            </w:r>
          </w:p>
        </w:tc>
        <w:tc>
          <w:tcPr>
            <w:tcW w:w="6397" w:type="dxa"/>
            <w:noWrap w:val="0"/>
            <w:vAlign w:val="center"/>
          </w:tcPr>
          <w:p w14:paraId="78DEE27D">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ABB内部报警</w:t>
            </w:r>
          </w:p>
        </w:tc>
      </w:tr>
      <w:tr w14:paraId="4595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3795C4A6">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0F088560">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34</w:t>
            </w:r>
          </w:p>
        </w:tc>
        <w:tc>
          <w:tcPr>
            <w:tcW w:w="6397" w:type="dxa"/>
            <w:noWrap w:val="0"/>
            <w:vAlign w:val="center"/>
          </w:tcPr>
          <w:p w14:paraId="0C5C1CBF">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MID（只读）开关</w:t>
            </w:r>
          </w:p>
        </w:tc>
      </w:tr>
      <w:tr w14:paraId="0FE57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03DEE751">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23D80AF7">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35</w:t>
            </w:r>
          </w:p>
        </w:tc>
        <w:tc>
          <w:tcPr>
            <w:tcW w:w="6397" w:type="dxa"/>
            <w:noWrap w:val="0"/>
            <w:vAlign w:val="center"/>
          </w:tcPr>
          <w:p w14:paraId="401B50BF">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传感器常见故障</w:t>
            </w:r>
          </w:p>
        </w:tc>
      </w:tr>
      <w:tr w14:paraId="2E88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34A856F8">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3F293772">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36</w:t>
            </w:r>
          </w:p>
        </w:tc>
        <w:tc>
          <w:tcPr>
            <w:tcW w:w="6397" w:type="dxa"/>
            <w:noWrap w:val="0"/>
            <w:vAlign w:val="center"/>
          </w:tcPr>
          <w:p w14:paraId="79C0E803">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传感器和换能器之间通讯故障</w:t>
            </w:r>
          </w:p>
        </w:tc>
      </w:tr>
      <w:tr w14:paraId="66C35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5F3AB1C5">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4CEBB507">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37</w:t>
            </w:r>
          </w:p>
        </w:tc>
        <w:tc>
          <w:tcPr>
            <w:tcW w:w="6397" w:type="dxa"/>
            <w:noWrap w:val="0"/>
            <w:vAlign w:val="center"/>
          </w:tcPr>
          <w:p w14:paraId="4CAC06C3">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绝缘错误</w:t>
            </w:r>
          </w:p>
        </w:tc>
      </w:tr>
      <w:tr w14:paraId="3B19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740EAD17">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0951AA76">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38</w:t>
            </w:r>
          </w:p>
        </w:tc>
        <w:tc>
          <w:tcPr>
            <w:tcW w:w="6397" w:type="dxa"/>
            <w:noWrap w:val="0"/>
            <w:vAlign w:val="center"/>
          </w:tcPr>
          <w:p w14:paraId="702BCD74">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励磁报警</w:t>
            </w:r>
          </w:p>
        </w:tc>
      </w:tr>
      <w:tr w14:paraId="75251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0E3CA9CC">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24F75F7D">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39</w:t>
            </w:r>
          </w:p>
        </w:tc>
        <w:tc>
          <w:tcPr>
            <w:tcW w:w="6397" w:type="dxa"/>
            <w:noWrap w:val="0"/>
            <w:vAlign w:val="center"/>
          </w:tcPr>
          <w:p w14:paraId="310470A7">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励磁线圈断开报警</w:t>
            </w:r>
          </w:p>
        </w:tc>
      </w:tr>
      <w:tr w14:paraId="41C2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5AB204DE">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34BAAC14">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40</w:t>
            </w:r>
          </w:p>
        </w:tc>
        <w:tc>
          <w:tcPr>
            <w:tcW w:w="6397" w:type="dxa"/>
            <w:noWrap w:val="0"/>
            <w:vAlign w:val="center"/>
          </w:tcPr>
          <w:p w14:paraId="7B7783C2">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脉冲过载报警</w:t>
            </w:r>
          </w:p>
        </w:tc>
      </w:tr>
      <w:tr w14:paraId="2A729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restart"/>
            <w:noWrap w:val="0"/>
            <w:vAlign w:val="center"/>
          </w:tcPr>
          <w:p w14:paraId="70D031D2">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w:t>
            </w:r>
          </w:p>
        </w:tc>
        <w:tc>
          <w:tcPr>
            <w:tcW w:w="1267" w:type="dxa"/>
            <w:noWrap w:val="0"/>
            <w:vAlign w:val="center"/>
          </w:tcPr>
          <w:p w14:paraId="6D11338C">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41</w:t>
            </w:r>
          </w:p>
        </w:tc>
        <w:tc>
          <w:tcPr>
            <w:tcW w:w="6397" w:type="dxa"/>
            <w:noWrap w:val="0"/>
            <w:vAlign w:val="center"/>
          </w:tcPr>
          <w:p w14:paraId="54F5FC74">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前置放大器过载</w:t>
            </w:r>
          </w:p>
        </w:tc>
      </w:tr>
      <w:tr w14:paraId="26257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5CD3D497">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44468561">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42</w:t>
            </w:r>
          </w:p>
        </w:tc>
        <w:tc>
          <w:tcPr>
            <w:tcW w:w="6397" w:type="dxa"/>
            <w:noWrap w:val="0"/>
            <w:vAlign w:val="center"/>
          </w:tcPr>
          <w:p w14:paraId="1D93EFA1">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声波接收超时</w:t>
            </w:r>
          </w:p>
        </w:tc>
      </w:tr>
      <w:tr w14:paraId="75CDD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1F0C9115">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74A7C12C">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43</w:t>
            </w:r>
          </w:p>
        </w:tc>
        <w:tc>
          <w:tcPr>
            <w:tcW w:w="6397" w:type="dxa"/>
            <w:noWrap w:val="0"/>
            <w:vAlign w:val="center"/>
          </w:tcPr>
          <w:p w14:paraId="62D91C05">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输出脉冲溢出报警</w:t>
            </w:r>
          </w:p>
        </w:tc>
      </w:tr>
      <w:tr w14:paraId="4FE97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3589333E">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7975BAD4">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44</w:t>
            </w:r>
          </w:p>
        </w:tc>
        <w:tc>
          <w:tcPr>
            <w:tcW w:w="6397" w:type="dxa"/>
            <w:noWrap w:val="0"/>
            <w:vAlign w:val="center"/>
          </w:tcPr>
          <w:p w14:paraId="1DD547C1">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数据库校验和错误</w:t>
            </w:r>
          </w:p>
        </w:tc>
      </w:tr>
      <w:tr w14:paraId="37DF7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1BF51C96">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08C904A1">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45</w:t>
            </w:r>
          </w:p>
        </w:tc>
        <w:tc>
          <w:tcPr>
            <w:tcW w:w="6397" w:type="dxa"/>
            <w:noWrap w:val="0"/>
            <w:vAlign w:val="center"/>
          </w:tcPr>
          <w:p w14:paraId="093F46BC">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未连接传感器</w:t>
            </w:r>
          </w:p>
        </w:tc>
      </w:tr>
      <w:tr w14:paraId="2136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0EE463D7">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2EA8B260">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46</w:t>
            </w:r>
          </w:p>
        </w:tc>
        <w:tc>
          <w:tcPr>
            <w:tcW w:w="6397" w:type="dxa"/>
            <w:noWrap w:val="0"/>
            <w:vAlign w:val="center"/>
          </w:tcPr>
          <w:p w14:paraId="42AB34BD">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未连接线圈</w:t>
            </w:r>
          </w:p>
        </w:tc>
      </w:tr>
      <w:tr w14:paraId="73AA7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5DED1DBE">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5E1C8FE3">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47</w:t>
            </w:r>
          </w:p>
        </w:tc>
        <w:tc>
          <w:tcPr>
            <w:tcW w:w="6397" w:type="dxa"/>
            <w:noWrap w:val="0"/>
            <w:vAlign w:val="center"/>
          </w:tcPr>
          <w:p w14:paraId="0E47615D">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系统报警</w:t>
            </w:r>
          </w:p>
        </w:tc>
      </w:tr>
      <w:tr w14:paraId="7A47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68B0280F">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2A8BA5F6">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48</w:t>
            </w:r>
          </w:p>
        </w:tc>
        <w:tc>
          <w:tcPr>
            <w:tcW w:w="6397" w:type="dxa"/>
            <w:noWrap w:val="0"/>
            <w:vAlign w:val="center"/>
          </w:tcPr>
          <w:p w14:paraId="33D2ECE1">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消费间隔报警</w:t>
            </w:r>
          </w:p>
        </w:tc>
      </w:tr>
      <w:tr w14:paraId="3DBAD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restart"/>
            <w:noWrap w:val="0"/>
            <w:vAlign w:val="center"/>
          </w:tcPr>
          <w:p w14:paraId="02B10AE3">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w:t>
            </w:r>
          </w:p>
        </w:tc>
        <w:tc>
          <w:tcPr>
            <w:tcW w:w="1267" w:type="dxa"/>
            <w:noWrap w:val="0"/>
            <w:vAlign w:val="center"/>
          </w:tcPr>
          <w:p w14:paraId="64E15458">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49</w:t>
            </w:r>
          </w:p>
        </w:tc>
        <w:tc>
          <w:tcPr>
            <w:tcW w:w="6397" w:type="dxa"/>
            <w:noWrap w:val="0"/>
            <w:vAlign w:val="center"/>
          </w:tcPr>
          <w:p w14:paraId="6416F3F9">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信号捕获</w:t>
            </w:r>
          </w:p>
        </w:tc>
      </w:tr>
      <w:tr w14:paraId="7F2A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45E4FED8">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7747C1D8">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50</w:t>
            </w:r>
          </w:p>
        </w:tc>
        <w:tc>
          <w:tcPr>
            <w:tcW w:w="6397" w:type="dxa"/>
            <w:noWrap w:val="0"/>
            <w:vAlign w:val="center"/>
          </w:tcPr>
          <w:p w14:paraId="42885B1D">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RTU与水表通信故障（485通信故障）</w:t>
            </w:r>
          </w:p>
        </w:tc>
      </w:tr>
      <w:tr w14:paraId="3F74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36D3CA2A">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47F80E67">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51</w:t>
            </w:r>
          </w:p>
        </w:tc>
        <w:tc>
          <w:tcPr>
            <w:tcW w:w="6397" w:type="dxa"/>
            <w:noWrap w:val="0"/>
            <w:vAlign w:val="center"/>
          </w:tcPr>
          <w:p w14:paraId="20883DB8">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磁干扰报警</w:t>
            </w:r>
          </w:p>
        </w:tc>
      </w:tr>
      <w:tr w14:paraId="4A3C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1A7E59D7">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087DCBF6">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52</w:t>
            </w:r>
          </w:p>
        </w:tc>
        <w:tc>
          <w:tcPr>
            <w:tcW w:w="6397" w:type="dxa"/>
            <w:noWrap w:val="0"/>
            <w:vAlign w:val="center"/>
          </w:tcPr>
          <w:p w14:paraId="4D637D35">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电子模块分离报警</w:t>
            </w:r>
          </w:p>
        </w:tc>
      </w:tr>
      <w:tr w14:paraId="00D4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5D425BF4">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08E7BACD">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53</w:t>
            </w:r>
          </w:p>
        </w:tc>
        <w:tc>
          <w:tcPr>
            <w:tcW w:w="6397" w:type="dxa"/>
            <w:noWrap w:val="0"/>
            <w:vAlign w:val="center"/>
          </w:tcPr>
          <w:p w14:paraId="401D2064">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拆盖报警</w:t>
            </w:r>
          </w:p>
        </w:tc>
      </w:tr>
      <w:tr w14:paraId="52CAD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2CEDA08B">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3D1B1EFF">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54</w:t>
            </w:r>
          </w:p>
        </w:tc>
        <w:tc>
          <w:tcPr>
            <w:tcW w:w="6397" w:type="dxa"/>
            <w:noWrap w:val="0"/>
            <w:vAlign w:val="center"/>
          </w:tcPr>
          <w:p w14:paraId="3DA7E8F3">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更换电池报警</w:t>
            </w:r>
          </w:p>
        </w:tc>
      </w:tr>
      <w:tr w14:paraId="5007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68310745">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723E1E1B">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55</w:t>
            </w:r>
          </w:p>
        </w:tc>
        <w:tc>
          <w:tcPr>
            <w:tcW w:w="6397" w:type="dxa"/>
            <w:noWrap w:val="0"/>
            <w:vAlign w:val="center"/>
          </w:tcPr>
          <w:p w14:paraId="15877C40">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预留</w:t>
            </w:r>
          </w:p>
        </w:tc>
      </w:tr>
      <w:tr w14:paraId="52FD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7952C74E">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665DC096">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56</w:t>
            </w:r>
          </w:p>
        </w:tc>
        <w:tc>
          <w:tcPr>
            <w:tcW w:w="6397" w:type="dxa"/>
            <w:noWrap w:val="0"/>
            <w:vAlign w:val="center"/>
          </w:tcPr>
          <w:p w14:paraId="53F0A507">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预留</w:t>
            </w:r>
          </w:p>
        </w:tc>
      </w:tr>
      <w:tr w14:paraId="01B5A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restart"/>
            <w:noWrap w:val="0"/>
            <w:vAlign w:val="center"/>
          </w:tcPr>
          <w:p w14:paraId="7F2B5BD2">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w:t>
            </w:r>
          </w:p>
        </w:tc>
        <w:tc>
          <w:tcPr>
            <w:tcW w:w="1267" w:type="dxa"/>
            <w:noWrap w:val="0"/>
            <w:vAlign w:val="center"/>
          </w:tcPr>
          <w:p w14:paraId="5BFFC2F8">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57</w:t>
            </w:r>
          </w:p>
        </w:tc>
        <w:tc>
          <w:tcPr>
            <w:tcW w:w="6397" w:type="dxa"/>
            <w:noWrap w:val="0"/>
            <w:vAlign w:val="center"/>
          </w:tcPr>
          <w:p w14:paraId="2715BAF4">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预留</w:t>
            </w:r>
          </w:p>
        </w:tc>
      </w:tr>
      <w:tr w14:paraId="4AAC3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2F2AF9A5">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522C76E3">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58</w:t>
            </w:r>
          </w:p>
        </w:tc>
        <w:tc>
          <w:tcPr>
            <w:tcW w:w="6397" w:type="dxa"/>
            <w:noWrap w:val="0"/>
            <w:vAlign w:val="center"/>
          </w:tcPr>
          <w:p w14:paraId="6DD52947">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预留</w:t>
            </w:r>
          </w:p>
        </w:tc>
      </w:tr>
      <w:tr w14:paraId="630C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7D914553">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17E7E9A9">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59</w:t>
            </w:r>
          </w:p>
        </w:tc>
        <w:tc>
          <w:tcPr>
            <w:tcW w:w="6397" w:type="dxa"/>
            <w:noWrap w:val="0"/>
            <w:vAlign w:val="center"/>
          </w:tcPr>
          <w:p w14:paraId="0B598237">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预留</w:t>
            </w:r>
          </w:p>
        </w:tc>
      </w:tr>
      <w:tr w14:paraId="5E231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20E65B8C">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3494B2BA">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60</w:t>
            </w:r>
          </w:p>
        </w:tc>
        <w:tc>
          <w:tcPr>
            <w:tcW w:w="6397" w:type="dxa"/>
            <w:noWrap w:val="0"/>
            <w:vAlign w:val="center"/>
          </w:tcPr>
          <w:p w14:paraId="7E5A439F">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预留</w:t>
            </w:r>
          </w:p>
        </w:tc>
      </w:tr>
      <w:tr w14:paraId="29A4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5E736E82">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0C228C2D">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61</w:t>
            </w:r>
          </w:p>
        </w:tc>
        <w:tc>
          <w:tcPr>
            <w:tcW w:w="6397" w:type="dxa"/>
            <w:noWrap w:val="0"/>
            <w:vAlign w:val="center"/>
          </w:tcPr>
          <w:p w14:paraId="5AC2EE10">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预留</w:t>
            </w:r>
          </w:p>
        </w:tc>
      </w:tr>
      <w:tr w14:paraId="6E83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7E528277">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2DD3F2B5">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62</w:t>
            </w:r>
          </w:p>
        </w:tc>
        <w:tc>
          <w:tcPr>
            <w:tcW w:w="6397" w:type="dxa"/>
            <w:noWrap w:val="0"/>
            <w:vAlign w:val="center"/>
          </w:tcPr>
          <w:p w14:paraId="76EBD5F1">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预留</w:t>
            </w:r>
          </w:p>
        </w:tc>
      </w:tr>
      <w:tr w14:paraId="4186D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1619F518">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0550F21F">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63</w:t>
            </w:r>
          </w:p>
        </w:tc>
        <w:tc>
          <w:tcPr>
            <w:tcW w:w="6397" w:type="dxa"/>
            <w:noWrap w:val="0"/>
            <w:vAlign w:val="center"/>
          </w:tcPr>
          <w:p w14:paraId="087BF766">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预留</w:t>
            </w:r>
          </w:p>
        </w:tc>
      </w:tr>
      <w:tr w14:paraId="5362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0" w:type="dxa"/>
            <w:vMerge w:val="continue"/>
            <w:noWrap w:val="0"/>
            <w:vAlign w:val="center"/>
          </w:tcPr>
          <w:p w14:paraId="1B152480">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267" w:type="dxa"/>
            <w:noWrap w:val="0"/>
            <w:vAlign w:val="center"/>
          </w:tcPr>
          <w:p w14:paraId="3F145D21">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64</w:t>
            </w:r>
          </w:p>
        </w:tc>
        <w:tc>
          <w:tcPr>
            <w:tcW w:w="6397" w:type="dxa"/>
            <w:noWrap w:val="0"/>
            <w:vAlign w:val="center"/>
          </w:tcPr>
          <w:p w14:paraId="60D6BB76">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预留</w:t>
            </w:r>
          </w:p>
        </w:tc>
      </w:tr>
    </w:tbl>
    <w:p w14:paraId="2C12EF34">
      <w:pPr>
        <w:keepNext w:val="0"/>
        <w:keepLines w:val="0"/>
        <w:pageBreakBefore w:val="0"/>
        <w:kinsoku/>
        <w:wordWrap/>
        <w:topLinePunct w:val="0"/>
        <w:bidi w:val="0"/>
        <w:spacing w:beforeAutospacing="0" w:line="360" w:lineRule="auto"/>
        <w:ind w:left="0" w:leftChars="0" w:right="0" w:firstLine="420" w:firstLineChars="200"/>
        <w:jc w:val="center"/>
        <w:outlineLvl w:val="9"/>
        <w:rPr>
          <w:rFonts w:hint="eastAsia" w:ascii="宋体" w:hAnsi="宋体" w:eastAsia="宋体" w:cs="宋体"/>
          <w:b w:val="0"/>
          <w:bCs w:val="0"/>
          <w:color w:val="auto"/>
          <w:sz w:val="21"/>
          <w:szCs w:val="21"/>
          <w:highlight w:val="none"/>
        </w:rPr>
      </w:pPr>
    </w:p>
    <w:p w14:paraId="38BA3E39">
      <w:pPr>
        <w:keepNext w:val="0"/>
        <w:keepLines w:val="0"/>
        <w:pageBreakBefore w:val="0"/>
        <w:kinsoku/>
        <w:wordWrap/>
        <w:topLinePunct w:val="0"/>
        <w:bidi w:val="0"/>
        <w:spacing w:beforeAutospacing="0" w:line="360" w:lineRule="auto"/>
        <w:ind w:left="0" w:leftChars="0" w:right="0" w:firstLine="420" w:firstLineChars="200"/>
        <w:jc w:val="center"/>
        <w:outlineLvl w:val="9"/>
        <w:rPr>
          <w:rFonts w:hint="eastAsia" w:ascii="宋体" w:hAnsi="宋体" w:eastAsia="宋体" w:cs="宋体"/>
          <w:b w:val="0"/>
          <w:bCs w:val="0"/>
          <w:color w:val="auto"/>
          <w:sz w:val="21"/>
          <w:szCs w:val="21"/>
          <w:highlight w:val="none"/>
          <w:lang w:val="en-US" w:eastAsia="zh-CN"/>
        </w:rPr>
      </w:pPr>
      <w:bookmarkStart w:id="526" w:name="_Toc24445"/>
      <w:bookmarkStart w:id="527" w:name="_Toc26432"/>
      <w:r>
        <w:rPr>
          <w:rFonts w:hint="eastAsia" w:ascii="宋体" w:hAnsi="宋体" w:eastAsia="宋体" w:cs="宋体"/>
          <w:b w:val="0"/>
          <w:bCs w:val="0"/>
          <w:color w:val="auto"/>
          <w:sz w:val="21"/>
          <w:szCs w:val="21"/>
          <w:highlight w:val="none"/>
        </w:rPr>
        <w:t>附录</w:t>
      </w:r>
      <w:r>
        <w:rPr>
          <w:rFonts w:hint="eastAsia" w:ascii="宋体" w:hAnsi="宋体" w:eastAsia="宋体" w:cs="宋体"/>
          <w:b w:val="0"/>
          <w:bCs w:val="0"/>
          <w:color w:val="auto"/>
          <w:sz w:val="21"/>
          <w:szCs w:val="21"/>
          <w:highlight w:val="none"/>
          <w:lang w:val="en-US" w:eastAsia="zh-CN"/>
        </w:rPr>
        <w:t>C</w:t>
      </w:r>
      <w:bookmarkEnd w:id="526"/>
      <w:bookmarkEnd w:id="527"/>
    </w:p>
    <w:p w14:paraId="3A73B4AF">
      <w:pPr>
        <w:keepNext w:val="0"/>
        <w:keepLines w:val="0"/>
        <w:pageBreakBefore w:val="0"/>
        <w:kinsoku/>
        <w:wordWrap/>
        <w:topLinePunct w:val="0"/>
        <w:bidi w:val="0"/>
        <w:spacing w:beforeAutospacing="0" w:line="360" w:lineRule="auto"/>
        <w:ind w:left="0" w:leftChars="0" w:right="0" w:firstLine="420" w:firstLineChars="200"/>
        <w:jc w:val="center"/>
        <w:outlineLvl w:val="9"/>
        <w:rPr>
          <w:rFonts w:hint="eastAsia" w:ascii="宋体" w:hAnsi="宋体" w:eastAsia="宋体" w:cs="宋体"/>
          <w:b w:val="0"/>
          <w:bCs w:val="0"/>
          <w:color w:val="auto"/>
          <w:sz w:val="21"/>
          <w:szCs w:val="21"/>
          <w:highlight w:val="none"/>
        </w:rPr>
      </w:pPr>
      <w:bookmarkStart w:id="528" w:name="_Toc4563"/>
      <w:bookmarkStart w:id="529" w:name="_Toc8803"/>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仪表数据说明</w:t>
      </w:r>
      <w:r>
        <w:rPr>
          <w:rFonts w:hint="eastAsia" w:ascii="宋体" w:hAnsi="宋体" w:eastAsia="宋体" w:cs="宋体"/>
          <w:b w:val="0"/>
          <w:bCs w:val="0"/>
          <w:color w:val="auto"/>
          <w:sz w:val="21"/>
          <w:szCs w:val="21"/>
          <w:highlight w:val="none"/>
        </w:rPr>
        <w:t>）</w:t>
      </w:r>
      <w:bookmarkEnd w:id="528"/>
      <w:bookmarkEnd w:id="529"/>
    </w:p>
    <w:tbl>
      <w:tblPr>
        <w:tblStyle w:val="39"/>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060"/>
        <w:gridCol w:w="1870"/>
        <w:gridCol w:w="1720"/>
        <w:gridCol w:w="1740"/>
        <w:gridCol w:w="1663"/>
      </w:tblGrid>
      <w:tr w14:paraId="41C2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84" w:type="dxa"/>
            <w:noWrap w:val="0"/>
            <w:vAlign w:val="center"/>
          </w:tcPr>
          <w:p w14:paraId="102FDC1D">
            <w:pPr>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060" w:type="dxa"/>
            <w:noWrap w:val="0"/>
            <w:vAlign w:val="center"/>
          </w:tcPr>
          <w:p w14:paraId="529A0136">
            <w:pPr>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数据段代码</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TAG</w:t>
            </w:r>
            <w:r>
              <w:rPr>
                <w:rFonts w:hint="eastAsia" w:ascii="宋体" w:hAnsi="宋体" w:eastAsia="宋体" w:cs="宋体"/>
                <w:b w:val="0"/>
                <w:bCs w:val="0"/>
                <w:color w:val="auto"/>
                <w:sz w:val="21"/>
                <w:szCs w:val="21"/>
                <w:highlight w:val="none"/>
                <w:lang w:eastAsia="zh-CN"/>
              </w:rPr>
              <w:t>）</w:t>
            </w:r>
          </w:p>
        </w:tc>
        <w:tc>
          <w:tcPr>
            <w:tcW w:w="1870" w:type="dxa"/>
            <w:noWrap w:val="0"/>
            <w:vAlign w:val="center"/>
          </w:tcPr>
          <w:p w14:paraId="555C1AF6">
            <w:pPr>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含义</w:t>
            </w:r>
          </w:p>
        </w:tc>
        <w:tc>
          <w:tcPr>
            <w:tcW w:w="1720" w:type="dxa"/>
            <w:noWrap w:val="0"/>
            <w:vAlign w:val="center"/>
          </w:tcPr>
          <w:p w14:paraId="3EA89AE0">
            <w:pPr>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第一时段数据</w:t>
            </w:r>
            <w:r>
              <w:rPr>
                <w:rFonts w:hint="eastAsia" w:ascii="宋体" w:hAnsi="宋体" w:eastAsia="宋体" w:cs="宋体"/>
                <w:b w:val="0"/>
                <w:bCs w:val="0"/>
                <w:color w:val="auto"/>
                <w:sz w:val="21"/>
                <w:szCs w:val="21"/>
                <w:highlight w:val="none"/>
                <w:lang w:val="en-US" w:eastAsia="zh-CN"/>
              </w:rPr>
              <w:t>(VALUE)</w:t>
            </w:r>
          </w:p>
        </w:tc>
        <w:tc>
          <w:tcPr>
            <w:tcW w:w="1740" w:type="dxa"/>
            <w:noWrap w:val="0"/>
            <w:vAlign w:val="center"/>
          </w:tcPr>
          <w:p w14:paraId="158B0899">
            <w:pPr>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p>
        </w:tc>
        <w:tc>
          <w:tcPr>
            <w:tcW w:w="1663" w:type="dxa"/>
            <w:noWrap w:val="0"/>
            <w:vAlign w:val="center"/>
          </w:tcPr>
          <w:p w14:paraId="2B14B26B">
            <w:pPr>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第N时段数据</w:t>
            </w:r>
          </w:p>
        </w:tc>
      </w:tr>
      <w:tr w14:paraId="7555D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restart"/>
            <w:noWrap w:val="0"/>
            <w:vAlign w:val="center"/>
          </w:tcPr>
          <w:p w14:paraId="0433D82A">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eastAsia="zh-CN"/>
              </w:rPr>
            </w:pPr>
          </w:p>
        </w:tc>
        <w:tc>
          <w:tcPr>
            <w:tcW w:w="1060" w:type="dxa"/>
            <w:noWrap w:val="0"/>
            <w:vAlign w:val="center"/>
          </w:tcPr>
          <w:p w14:paraId="6413A7D6">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20H</w:t>
            </w:r>
          </w:p>
        </w:tc>
        <w:tc>
          <w:tcPr>
            <w:tcW w:w="1870" w:type="dxa"/>
            <w:noWrap w:val="0"/>
            <w:vAlign w:val="center"/>
          </w:tcPr>
          <w:p w14:paraId="7C9E46DB">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正向瞬时流量（单位：立方米/小时）</w:t>
            </w:r>
          </w:p>
        </w:tc>
        <w:tc>
          <w:tcPr>
            <w:tcW w:w="1720" w:type="dxa"/>
            <w:noWrap w:val="0"/>
            <w:vAlign w:val="center"/>
          </w:tcPr>
          <w:p w14:paraId="3F03B25A">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字节浮点数</w:t>
            </w:r>
          </w:p>
        </w:tc>
        <w:tc>
          <w:tcPr>
            <w:tcW w:w="1740" w:type="dxa"/>
            <w:noWrap w:val="0"/>
            <w:vAlign w:val="center"/>
          </w:tcPr>
          <w:p w14:paraId="69EAFBC6">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字节浮点数</w:t>
            </w:r>
          </w:p>
        </w:tc>
        <w:tc>
          <w:tcPr>
            <w:tcW w:w="1663" w:type="dxa"/>
            <w:noWrap w:val="0"/>
            <w:vAlign w:val="center"/>
          </w:tcPr>
          <w:p w14:paraId="3AEEFDC8">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字节浮点数</w:t>
            </w:r>
          </w:p>
        </w:tc>
      </w:tr>
      <w:tr w14:paraId="34C5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12888EA4">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eastAsia="zh-CN"/>
              </w:rPr>
            </w:pPr>
          </w:p>
        </w:tc>
        <w:tc>
          <w:tcPr>
            <w:tcW w:w="1060" w:type="dxa"/>
            <w:noWrap w:val="0"/>
            <w:vAlign w:val="center"/>
          </w:tcPr>
          <w:p w14:paraId="777BB4DF">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21H</w:t>
            </w:r>
          </w:p>
        </w:tc>
        <w:tc>
          <w:tcPr>
            <w:tcW w:w="1870" w:type="dxa"/>
            <w:noWrap w:val="0"/>
            <w:vAlign w:val="center"/>
          </w:tcPr>
          <w:p w14:paraId="6BCD4818">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反向瞬时流量（单位：立方米/小时）</w:t>
            </w:r>
          </w:p>
        </w:tc>
        <w:tc>
          <w:tcPr>
            <w:tcW w:w="1720" w:type="dxa"/>
            <w:noWrap w:val="0"/>
            <w:vAlign w:val="center"/>
          </w:tcPr>
          <w:p w14:paraId="2820CBFB">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字节浮点数</w:t>
            </w:r>
          </w:p>
        </w:tc>
        <w:tc>
          <w:tcPr>
            <w:tcW w:w="1740" w:type="dxa"/>
            <w:noWrap w:val="0"/>
            <w:vAlign w:val="center"/>
          </w:tcPr>
          <w:p w14:paraId="1EA4E143">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字节浮点数</w:t>
            </w:r>
          </w:p>
        </w:tc>
        <w:tc>
          <w:tcPr>
            <w:tcW w:w="1663" w:type="dxa"/>
            <w:noWrap w:val="0"/>
            <w:vAlign w:val="center"/>
          </w:tcPr>
          <w:p w14:paraId="6D7BA5F4">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字节浮点数</w:t>
            </w:r>
          </w:p>
        </w:tc>
      </w:tr>
      <w:tr w14:paraId="10F8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74496852">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eastAsia="zh-CN"/>
              </w:rPr>
            </w:pPr>
          </w:p>
        </w:tc>
        <w:tc>
          <w:tcPr>
            <w:tcW w:w="1060" w:type="dxa"/>
            <w:noWrap w:val="0"/>
            <w:vAlign w:val="center"/>
          </w:tcPr>
          <w:p w14:paraId="1A61B54E">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22H</w:t>
            </w:r>
          </w:p>
        </w:tc>
        <w:tc>
          <w:tcPr>
            <w:tcW w:w="1870" w:type="dxa"/>
            <w:noWrap w:val="0"/>
            <w:vAlign w:val="center"/>
          </w:tcPr>
          <w:p w14:paraId="68987916">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正向</w:t>
            </w:r>
            <w:r>
              <w:rPr>
                <w:rFonts w:hint="eastAsia" w:ascii="宋体" w:hAnsi="宋体" w:eastAsia="宋体" w:cs="宋体"/>
                <w:b w:val="0"/>
                <w:bCs w:val="0"/>
                <w:color w:val="auto"/>
                <w:sz w:val="21"/>
                <w:szCs w:val="21"/>
                <w:highlight w:val="none"/>
                <w:lang w:val="en-US" w:eastAsia="zh-CN"/>
              </w:rPr>
              <w:t>累计</w:t>
            </w:r>
            <w:r>
              <w:rPr>
                <w:rFonts w:hint="eastAsia" w:ascii="宋体" w:hAnsi="宋体" w:eastAsia="宋体" w:cs="宋体"/>
                <w:b w:val="0"/>
                <w:bCs w:val="0"/>
                <w:color w:val="auto"/>
                <w:sz w:val="21"/>
                <w:szCs w:val="21"/>
                <w:highlight w:val="none"/>
                <w:lang w:eastAsia="zh-CN"/>
              </w:rPr>
              <w:t>行度（单位：</w:t>
            </w:r>
            <w:r>
              <w:rPr>
                <w:rFonts w:hint="eastAsia" w:ascii="宋体" w:hAnsi="宋体" w:eastAsia="宋体" w:cs="宋体"/>
                <w:b w:val="0"/>
                <w:bCs w:val="0"/>
                <w:color w:val="auto"/>
                <w:sz w:val="21"/>
                <w:szCs w:val="21"/>
                <w:highlight w:val="none"/>
                <w:lang w:val="en-US" w:eastAsia="zh-CN"/>
              </w:rPr>
              <w:t>立方米</w:t>
            </w:r>
            <w:r>
              <w:rPr>
                <w:rFonts w:hint="eastAsia" w:ascii="宋体" w:hAnsi="宋体" w:eastAsia="宋体" w:cs="宋体"/>
                <w:b w:val="0"/>
                <w:bCs w:val="0"/>
                <w:color w:val="auto"/>
                <w:sz w:val="21"/>
                <w:szCs w:val="21"/>
                <w:highlight w:val="none"/>
                <w:lang w:eastAsia="zh-CN"/>
              </w:rPr>
              <w:t>）</w:t>
            </w:r>
          </w:p>
        </w:tc>
        <w:tc>
          <w:tcPr>
            <w:tcW w:w="1720" w:type="dxa"/>
            <w:noWrap w:val="0"/>
            <w:vAlign w:val="center"/>
          </w:tcPr>
          <w:p w14:paraId="54A7BB67">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8字节浮点数</w:t>
            </w:r>
          </w:p>
        </w:tc>
        <w:tc>
          <w:tcPr>
            <w:tcW w:w="1740" w:type="dxa"/>
            <w:noWrap w:val="0"/>
            <w:vAlign w:val="center"/>
          </w:tcPr>
          <w:p w14:paraId="63947E4E">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字节</w:t>
            </w:r>
            <w:r>
              <w:rPr>
                <w:rFonts w:hint="eastAsia" w:ascii="宋体" w:hAnsi="宋体" w:eastAsia="宋体" w:cs="宋体"/>
                <w:b w:val="0"/>
                <w:bCs w:val="0"/>
                <w:color w:val="auto"/>
                <w:sz w:val="21"/>
                <w:szCs w:val="21"/>
                <w:highlight w:val="none"/>
                <w:lang w:val="en-US" w:eastAsia="zh-CN"/>
              </w:rPr>
              <w:t>浮点数（相对上一时刻增量）</w:t>
            </w:r>
          </w:p>
        </w:tc>
        <w:tc>
          <w:tcPr>
            <w:tcW w:w="1663" w:type="dxa"/>
            <w:noWrap w:val="0"/>
            <w:vAlign w:val="center"/>
          </w:tcPr>
          <w:p w14:paraId="37748FC2">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字节</w:t>
            </w:r>
            <w:r>
              <w:rPr>
                <w:rFonts w:hint="eastAsia" w:ascii="宋体" w:hAnsi="宋体" w:eastAsia="宋体" w:cs="宋体"/>
                <w:b w:val="0"/>
                <w:bCs w:val="0"/>
                <w:color w:val="auto"/>
                <w:sz w:val="21"/>
                <w:szCs w:val="21"/>
                <w:highlight w:val="none"/>
                <w:lang w:val="en-US" w:eastAsia="zh-CN"/>
              </w:rPr>
              <w:t>浮点数（相对上一时刻增量）</w:t>
            </w:r>
          </w:p>
        </w:tc>
      </w:tr>
      <w:tr w14:paraId="4ACE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33FF8CBC">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eastAsia="zh-CN"/>
              </w:rPr>
            </w:pPr>
          </w:p>
        </w:tc>
        <w:tc>
          <w:tcPr>
            <w:tcW w:w="1060" w:type="dxa"/>
            <w:noWrap w:val="0"/>
            <w:vAlign w:val="center"/>
          </w:tcPr>
          <w:p w14:paraId="3EC64375">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23H</w:t>
            </w:r>
          </w:p>
        </w:tc>
        <w:tc>
          <w:tcPr>
            <w:tcW w:w="1870" w:type="dxa"/>
            <w:noWrap w:val="0"/>
            <w:vAlign w:val="center"/>
          </w:tcPr>
          <w:p w14:paraId="264C3D31">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反</w:t>
            </w:r>
            <w:r>
              <w:rPr>
                <w:rFonts w:hint="eastAsia" w:ascii="宋体" w:hAnsi="宋体" w:eastAsia="宋体" w:cs="宋体"/>
                <w:b w:val="0"/>
                <w:bCs w:val="0"/>
                <w:color w:val="auto"/>
                <w:sz w:val="21"/>
                <w:szCs w:val="21"/>
                <w:highlight w:val="none"/>
              </w:rPr>
              <w:t>向</w:t>
            </w:r>
            <w:r>
              <w:rPr>
                <w:rFonts w:hint="eastAsia" w:ascii="宋体" w:hAnsi="宋体" w:eastAsia="宋体" w:cs="宋体"/>
                <w:b w:val="0"/>
                <w:bCs w:val="0"/>
                <w:color w:val="auto"/>
                <w:sz w:val="21"/>
                <w:szCs w:val="21"/>
                <w:highlight w:val="none"/>
                <w:lang w:val="en-US" w:eastAsia="zh-CN"/>
              </w:rPr>
              <w:t>累计</w:t>
            </w:r>
            <w:r>
              <w:rPr>
                <w:rFonts w:hint="eastAsia" w:ascii="宋体" w:hAnsi="宋体" w:eastAsia="宋体" w:cs="宋体"/>
                <w:b w:val="0"/>
                <w:bCs w:val="0"/>
                <w:color w:val="auto"/>
                <w:sz w:val="21"/>
                <w:szCs w:val="21"/>
                <w:highlight w:val="none"/>
                <w:lang w:eastAsia="zh-CN"/>
              </w:rPr>
              <w:t>行度（单位：</w:t>
            </w:r>
            <w:r>
              <w:rPr>
                <w:rFonts w:hint="eastAsia" w:ascii="宋体" w:hAnsi="宋体" w:eastAsia="宋体" w:cs="宋体"/>
                <w:b w:val="0"/>
                <w:bCs w:val="0"/>
                <w:color w:val="auto"/>
                <w:sz w:val="21"/>
                <w:szCs w:val="21"/>
                <w:highlight w:val="none"/>
                <w:lang w:val="en-US" w:eastAsia="zh-CN"/>
              </w:rPr>
              <w:t>立方米</w:t>
            </w:r>
            <w:r>
              <w:rPr>
                <w:rFonts w:hint="eastAsia" w:ascii="宋体" w:hAnsi="宋体" w:eastAsia="宋体" w:cs="宋体"/>
                <w:b w:val="0"/>
                <w:bCs w:val="0"/>
                <w:color w:val="auto"/>
                <w:sz w:val="21"/>
                <w:szCs w:val="21"/>
                <w:highlight w:val="none"/>
                <w:lang w:eastAsia="zh-CN"/>
              </w:rPr>
              <w:t>）</w:t>
            </w:r>
          </w:p>
        </w:tc>
        <w:tc>
          <w:tcPr>
            <w:tcW w:w="1720" w:type="dxa"/>
            <w:noWrap w:val="0"/>
            <w:vAlign w:val="center"/>
          </w:tcPr>
          <w:p w14:paraId="138FB756">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8字节浮点数</w:t>
            </w:r>
          </w:p>
        </w:tc>
        <w:tc>
          <w:tcPr>
            <w:tcW w:w="1740" w:type="dxa"/>
            <w:noWrap w:val="0"/>
            <w:vAlign w:val="center"/>
          </w:tcPr>
          <w:p w14:paraId="3EDE7AEC">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字节</w:t>
            </w:r>
            <w:r>
              <w:rPr>
                <w:rFonts w:hint="eastAsia" w:ascii="宋体" w:hAnsi="宋体" w:eastAsia="宋体" w:cs="宋体"/>
                <w:b w:val="0"/>
                <w:bCs w:val="0"/>
                <w:color w:val="auto"/>
                <w:sz w:val="21"/>
                <w:szCs w:val="21"/>
                <w:highlight w:val="none"/>
                <w:lang w:val="en-US" w:eastAsia="zh-CN"/>
              </w:rPr>
              <w:t>浮点数（相对上一时刻增量）</w:t>
            </w:r>
          </w:p>
        </w:tc>
        <w:tc>
          <w:tcPr>
            <w:tcW w:w="1663" w:type="dxa"/>
            <w:noWrap w:val="0"/>
            <w:vAlign w:val="center"/>
          </w:tcPr>
          <w:p w14:paraId="64D5C8A7">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字节</w:t>
            </w:r>
            <w:r>
              <w:rPr>
                <w:rFonts w:hint="eastAsia" w:ascii="宋体" w:hAnsi="宋体" w:eastAsia="宋体" w:cs="宋体"/>
                <w:b w:val="0"/>
                <w:bCs w:val="0"/>
                <w:color w:val="auto"/>
                <w:sz w:val="21"/>
                <w:szCs w:val="21"/>
                <w:highlight w:val="none"/>
                <w:lang w:val="en-US" w:eastAsia="zh-CN"/>
              </w:rPr>
              <w:t>浮点数（相对上一时刻增量）</w:t>
            </w:r>
          </w:p>
        </w:tc>
      </w:tr>
      <w:tr w14:paraId="39D3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1D45E140">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eastAsia="zh-CN"/>
              </w:rPr>
            </w:pPr>
          </w:p>
        </w:tc>
        <w:tc>
          <w:tcPr>
            <w:tcW w:w="1060" w:type="dxa"/>
            <w:noWrap w:val="0"/>
            <w:vAlign w:val="center"/>
          </w:tcPr>
          <w:p w14:paraId="1564CDC7">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24H</w:t>
            </w:r>
          </w:p>
        </w:tc>
        <w:tc>
          <w:tcPr>
            <w:tcW w:w="1870" w:type="dxa"/>
            <w:noWrap w:val="0"/>
            <w:vAlign w:val="center"/>
          </w:tcPr>
          <w:p w14:paraId="6C521DE3">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净累计</w:t>
            </w:r>
            <w:r>
              <w:rPr>
                <w:rFonts w:hint="eastAsia" w:ascii="宋体" w:hAnsi="宋体" w:eastAsia="宋体" w:cs="宋体"/>
                <w:b w:val="0"/>
                <w:bCs w:val="0"/>
                <w:color w:val="auto"/>
                <w:sz w:val="21"/>
                <w:szCs w:val="21"/>
                <w:highlight w:val="none"/>
                <w:lang w:eastAsia="zh-CN"/>
              </w:rPr>
              <w:t>行度（单位：</w:t>
            </w:r>
            <w:r>
              <w:rPr>
                <w:rFonts w:hint="eastAsia" w:ascii="宋体" w:hAnsi="宋体" w:eastAsia="宋体" w:cs="宋体"/>
                <w:b w:val="0"/>
                <w:bCs w:val="0"/>
                <w:color w:val="auto"/>
                <w:sz w:val="21"/>
                <w:szCs w:val="21"/>
                <w:highlight w:val="none"/>
                <w:lang w:val="en-US" w:eastAsia="zh-CN"/>
              </w:rPr>
              <w:t>立方米</w:t>
            </w:r>
            <w:r>
              <w:rPr>
                <w:rFonts w:hint="eastAsia" w:ascii="宋体" w:hAnsi="宋体" w:eastAsia="宋体" w:cs="宋体"/>
                <w:b w:val="0"/>
                <w:bCs w:val="0"/>
                <w:color w:val="auto"/>
                <w:sz w:val="21"/>
                <w:szCs w:val="21"/>
                <w:highlight w:val="none"/>
                <w:lang w:eastAsia="zh-CN"/>
              </w:rPr>
              <w:t>）</w:t>
            </w:r>
          </w:p>
        </w:tc>
        <w:tc>
          <w:tcPr>
            <w:tcW w:w="1720" w:type="dxa"/>
            <w:noWrap w:val="0"/>
            <w:vAlign w:val="center"/>
          </w:tcPr>
          <w:p w14:paraId="3BD489F2">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8字节浮点数</w:t>
            </w:r>
          </w:p>
        </w:tc>
        <w:tc>
          <w:tcPr>
            <w:tcW w:w="1740" w:type="dxa"/>
            <w:noWrap w:val="0"/>
            <w:vAlign w:val="center"/>
          </w:tcPr>
          <w:p w14:paraId="53E7012F">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字节</w:t>
            </w:r>
            <w:r>
              <w:rPr>
                <w:rFonts w:hint="eastAsia" w:ascii="宋体" w:hAnsi="宋体" w:eastAsia="宋体" w:cs="宋体"/>
                <w:b w:val="0"/>
                <w:bCs w:val="0"/>
                <w:color w:val="auto"/>
                <w:sz w:val="21"/>
                <w:szCs w:val="21"/>
                <w:highlight w:val="none"/>
                <w:lang w:val="en-US" w:eastAsia="zh-CN"/>
              </w:rPr>
              <w:t>浮点数（相对上一时刻增量）</w:t>
            </w:r>
          </w:p>
        </w:tc>
        <w:tc>
          <w:tcPr>
            <w:tcW w:w="1663" w:type="dxa"/>
            <w:noWrap w:val="0"/>
            <w:vAlign w:val="center"/>
          </w:tcPr>
          <w:p w14:paraId="712953C0">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字节</w:t>
            </w:r>
            <w:r>
              <w:rPr>
                <w:rFonts w:hint="eastAsia" w:ascii="宋体" w:hAnsi="宋体" w:eastAsia="宋体" w:cs="宋体"/>
                <w:b w:val="0"/>
                <w:bCs w:val="0"/>
                <w:color w:val="auto"/>
                <w:sz w:val="21"/>
                <w:szCs w:val="21"/>
                <w:highlight w:val="none"/>
                <w:lang w:val="en-US" w:eastAsia="zh-CN"/>
              </w:rPr>
              <w:t>浮点数（相对上一时刻增量）</w:t>
            </w:r>
          </w:p>
        </w:tc>
      </w:tr>
      <w:tr w14:paraId="7DBCE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restart"/>
            <w:noWrap w:val="0"/>
            <w:vAlign w:val="center"/>
          </w:tcPr>
          <w:p w14:paraId="6913FDAE">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扩展数据段</w:t>
            </w:r>
          </w:p>
        </w:tc>
        <w:tc>
          <w:tcPr>
            <w:tcW w:w="1060" w:type="dxa"/>
            <w:noWrap w:val="0"/>
            <w:vAlign w:val="center"/>
          </w:tcPr>
          <w:p w14:paraId="37FB643C">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30H</w:t>
            </w:r>
          </w:p>
        </w:tc>
        <w:tc>
          <w:tcPr>
            <w:tcW w:w="1870" w:type="dxa"/>
            <w:noWrap w:val="0"/>
            <w:vAlign w:val="center"/>
          </w:tcPr>
          <w:p w14:paraId="1C302C1B">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阀门状态</w:t>
            </w:r>
          </w:p>
        </w:tc>
        <w:tc>
          <w:tcPr>
            <w:tcW w:w="1720" w:type="dxa"/>
            <w:noWrap w:val="0"/>
            <w:vAlign w:val="center"/>
          </w:tcPr>
          <w:p w14:paraId="7C839CCF">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1字节</w:t>
            </w:r>
          </w:p>
        </w:tc>
        <w:tc>
          <w:tcPr>
            <w:tcW w:w="1740" w:type="dxa"/>
            <w:noWrap w:val="0"/>
            <w:vAlign w:val="center"/>
          </w:tcPr>
          <w:p w14:paraId="29D7F812">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1字节</w:t>
            </w:r>
          </w:p>
        </w:tc>
        <w:tc>
          <w:tcPr>
            <w:tcW w:w="1663" w:type="dxa"/>
            <w:noWrap w:val="0"/>
            <w:vAlign w:val="center"/>
          </w:tcPr>
          <w:p w14:paraId="4E0DE726">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1字节</w:t>
            </w:r>
          </w:p>
        </w:tc>
      </w:tr>
      <w:tr w14:paraId="71CCF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00B69988">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eastAsia="zh-CN"/>
              </w:rPr>
            </w:pPr>
          </w:p>
        </w:tc>
        <w:tc>
          <w:tcPr>
            <w:tcW w:w="1060" w:type="dxa"/>
            <w:noWrap w:val="0"/>
            <w:vAlign w:val="center"/>
          </w:tcPr>
          <w:p w14:paraId="579128BE">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31</w:t>
            </w:r>
            <w:r>
              <w:rPr>
                <w:rFonts w:hint="eastAsia" w:ascii="宋体" w:hAnsi="宋体" w:eastAsia="宋体" w:cs="宋体"/>
                <w:b w:val="0"/>
                <w:bCs w:val="0"/>
                <w:color w:val="auto"/>
                <w:sz w:val="21"/>
                <w:szCs w:val="21"/>
                <w:highlight w:val="none"/>
              </w:rPr>
              <w:t>H</w:t>
            </w:r>
          </w:p>
        </w:tc>
        <w:tc>
          <w:tcPr>
            <w:tcW w:w="1870" w:type="dxa"/>
            <w:noWrap w:val="0"/>
            <w:vAlign w:val="center"/>
          </w:tcPr>
          <w:p w14:paraId="61E53F8D">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压力</w:t>
            </w:r>
          </w:p>
        </w:tc>
        <w:tc>
          <w:tcPr>
            <w:tcW w:w="1720" w:type="dxa"/>
            <w:noWrap w:val="0"/>
            <w:vAlign w:val="center"/>
          </w:tcPr>
          <w:p w14:paraId="2A34D1A0">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4字节浮点数</w:t>
            </w:r>
          </w:p>
        </w:tc>
        <w:tc>
          <w:tcPr>
            <w:tcW w:w="1740" w:type="dxa"/>
            <w:noWrap w:val="0"/>
            <w:vAlign w:val="center"/>
          </w:tcPr>
          <w:p w14:paraId="65165852">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4字节浮点数</w:t>
            </w:r>
          </w:p>
        </w:tc>
        <w:tc>
          <w:tcPr>
            <w:tcW w:w="1663" w:type="dxa"/>
            <w:noWrap w:val="0"/>
            <w:vAlign w:val="center"/>
          </w:tcPr>
          <w:p w14:paraId="3F54CCE3">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4字节浮点数</w:t>
            </w:r>
          </w:p>
        </w:tc>
      </w:tr>
      <w:tr w14:paraId="50A7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84" w:type="dxa"/>
            <w:vMerge w:val="continue"/>
            <w:noWrap w:val="0"/>
            <w:vAlign w:val="center"/>
          </w:tcPr>
          <w:p w14:paraId="65F6C2D2">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060" w:type="dxa"/>
            <w:noWrap w:val="0"/>
            <w:vAlign w:val="center"/>
          </w:tcPr>
          <w:p w14:paraId="44366B6F">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32</w:t>
            </w:r>
            <w:r>
              <w:rPr>
                <w:rFonts w:hint="eastAsia" w:ascii="宋体" w:hAnsi="宋体" w:eastAsia="宋体" w:cs="宋体"/>
                <w:b w:val="0"/>
                <w:bCs w:val="0"/>
                <w:color w:val="auto"/>
                <w:sz w:val="21"/>
                <w:szCs w:val="21"/>
                <w:highlight w:val="none"/>
              </w:rPr>
              <w:t>H</w:t>
            </w:r>
          </w:p>
        </w:tc>
        <w:tc>
          <w:tcPr>
            <w:tcW w:w="1870" w:type="dxa"/>
            <w:noWrap w:val="0"/>
            <w:vAlign w:val="center"/>
          </w:tcPr>
          <w:p w14:paraId="01FD45FA">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电池电压</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备注4</w:t>
            </w:r>
            <w:r>
              <w:rPr>
                <w:rFonts w:hint="eastAsia" w:ascii="宋体" w:hAnsi="宋体" w:eastAsia="宋体" w:cs="宋体"/>
                <w:b w:val="0"/>
                <w:bCs w:val="0"/>
                <w:color w:val="auto"/>
                <w:sz w:val="21"/>
                <w:szCs w:val="21"/>
                <w:highlight w:val="none"/>
                <w:lang w:eastAsia="zh-CN"/>
              </w:rPr>
              <w:t>）</w:t>
            </w:r>
          </w:p>
        </w:tc>
        <w:tc>
          <w:tcPr>
            <w:tcW w:w="1720" w:type="dxa"/>
            <w:noWrap w:val="0"/>
            <w:vAlign w:val="center"/>
          </w:tcPr>
          <w:p w14:paraId="5018A5CA">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2字节</w:t>
            </w:r>
          </w:p>
        </w:tc>
        <w:tc>
          <w:tcPr>
            <w:tcW w:w="1740" w:type="dxa"/>
            <w:noWrap w:val="0"/>
            <w:vAlign w:val="center"/>
          </w:tcPr>
          <w:p w14:paraId="283CB0D8">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2字节</w:t>
            </w:r>
          </w:p>
        </w:tc>
        <w:tc>
          <w:tcPr>
            <w:tcW w:w="1663" w:type="dxa"/>
            <w:noWrap w:val="0"/>
            <w:vAlign w:val="center"/>
          </w:tcPr>
          <w:p w14:paraId="1528F511">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2字节</w:t>
            </w:r>
          </w:p>
        </w:tc>
      </w:tr>
      <w:tr w14:paraId="705D9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34F05121">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060" w:type="dxa"/>
            <w:noWrap w:val="0"/>
            <w:vAlign w:val="center"/>
          </w:tcPr>
          <w:p w14:paraId="46E4B0FB">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33</w:t>
            </w:r>
            <w:r>
              <w:rPr>
                <w:rFonts w:hint="eastAsia" w:ascii="宋体" w:hAnsi="宋体" w:eastAsia="宋体" w:cs="宋体"/>
                <w:b w:val="0"/>
                <w:bCs w:val="0"/>
                <w:color w:val="auto"/>
                <w:sz w:val="21"/>
                <w:szCs w:val="21"/>
                <w:highlight w:val="none"/>
              </w:rPr>
              <w:t>H</w:t>
            </w:r>
          </w:p>
        </w:tc>
        <w:tc>
          <w:tcPr>
            <w:tcW w:w="1870" w:type="dxa"/>
            <w:noWrap w:val="0"/>
            <w:vAlign w:val="center"/>
          </w:tcPr>
          <w:p w14:paraId="17CFB782">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温度</w:t>
            </w:r>
          </w:p>
        </w:tc>
        <w:tc>
          <w:tcPr>
            <w:tcW w:w="1720" w:type="dxa"/>
            <w:noWrap w:val="0"/>
            <w:vAlign w:val="center"/>
          </w:tcPr>
          <w:p w14:paraId="1566B0C8">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2字节（备注1）</w:t>
            </w:r>
          </w:p>
        </w:tc>
        <w:tc>
          <w:tcPr>
            <w:tcW w:w="1740" w:type="dxa"/>
            <w:noWrap w:val="0"/>
            <w:vAlign w:val="center"/>
          </w:tcPr>
          <w:p w14:paraId="63D833BE">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2字节（备注1）</w:t>
            </w:r>
          </w:p>
        </w:tc>
        <w:tc>
          <w:tcPr>
            <w:tcW w:w="1663" w:type="dxa"/>
            <w:noWrap w:val="0"/>
            <w:vAlign w:val="center"/>
          </w:tcPr>
          <w:p w14:paraId="4921F0D1">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2字节（备注1）</w:t>
            </w:r>
          </w:p>
        </w:tc>
      </w:tr>
      <w:tr w14:paraId="7F74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655135EF">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060" w:type="dxa"/>
            <w:noWrap w:val="0"/>
            <w:vAlign w:val="center"/>
          </w:tcPr>
          <w:p w14:paraId="059D63B2">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34H</w:t>
            </w:r>
          </w:p>
        </w:tc>
        <w:tc>
          <w:tcPr>
            <w:tcW w:w="1870" w:type="dxa"/>
            <w:noWrap w:val="0"/>
            <w:vAlign w:val="center"/>
          </w:tcPr>
          <w:p w14:paraId="74E95D87">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信号强度</w:t>
            </w:r>
          </w:p>
        </w:tc>
        <w:tc>
          <w:tcPr>
            <w:tcW w:w="1720" w:type="dxa"/>
            <w:noWrap w:val="0"/>
            <w:vAlign w:val="center"/>
          </w:tcPr>
          <w:p w14:paraId="2BF63F34">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1字节</w:t>
            </w:r>
          </w:p>
        </w:tc>
        <w:tc>
          <w:tcPr>
            <w:tcW w:w="1740" w:type="dxa"/>
            <w:noWrap w:val="0"/>
            <w:vAlign w:val="center"/>
          </w:tcPr>
          <w:p w14:paraId="6841A7CC">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1字节</w:t>
            </w:r>
          </w:p>
        </w:tc>
        <w:tc>
          <w:tcPr>
            <w:tcW w:w="1663" w:type="dxa"/>
            <w:noWrap w:val="0"/>
            <w:vAlign w:val="center"/>
          </w:tcPr>
          <w:p w14:paraId="293F184A">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1字节</w:t>
            </w:r>
          </w:p>
        </w:tc>
      </w:tr>
      <w:tr w14:paraId="3E17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6EE9798C">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060" w:type="dxa"/>
            <w:noWrap w:val="0"/>
            <w:vAlign w:val="center"/>
          </w:tcPr>
          <w:p w14:paraId="08A91C5B">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35H</w:t>
            </w:r>
          </w:p>
        </w:tc>
        <w:tc>
          <w:tcPr>
            <w:tcW w:w="1870" w:type="dxa"/>
            <w:noWrap w:val="0"/>
            <w:vAlign w:val="center"/>
          </w:tcPr>
          <w:p w14:paraId="14610BA2">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GPS经纬度（备注2）</w:t>
            </w:r>
          </w:p>
        </w:tc>
        <w:tc>
          <w:tcPr>
            <w:tcW w:w="1720" w:type="dxa"/>
            <w:noWrap w:val="0"/>
            <w:vAlign w:val="center"/>
          </w:tcPr>
          <w:p w14:paraId="01D04EED">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8字节浮点数（经度）+8字节浮点数（纬度）</w:t>
            </w:r>
          </w:p>
        </w:tc>
        <w:tc>
          <w:tcPr>
            <w:tcW w:w="1740" w:type="dxa"/>
            <w:noWrap w:val="0"/>
            <w:vAlign w:val="center"/>
          </w:tcPr>
          <w:p w14:paraId="23A916FE">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无</w:t>
            </w:r>
          </w:p>
          <w:p w14:paraId="4562317B">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（经纬度固定只传1个时刻数）</w:t>
            </w:r>
          </w:p>
        </w:tc>
        <w:tc>
          <w:tcPr>
            <w:tcW w:w="1663" w:type="dxa"/>
            <w:noWrap w:val="0"/>
            <w:vAlign w:val="center"/>
          </w:tcPr>
          <w:p w14:paraId="3AA6929C">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无</w:t>
            </w:r>
          </w:p>
          <w:p w14:paraId="40F8F958">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（经纬度固定只传1个时刻数）</w:t>
            </w:r>
          </w:p>
        </w:tc>
      </w:tr>
      <w:tr w14:paraId="14C3D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restart"/>
            <w:noWrap w:val="0"/>
            <w:vAlign w:val="center"/>
          </w:tcPr>
          <w:p w14:paraId="3344A738">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水质数据段</w:t>
            </w:r>
          </w:p>
        </w:tc>
        <w:tc>
          <w:tcPr>
            <w:tcW w:w="1060" w:type="dxa"/>
            <w:noWrap w:val="0"/>
            <w:vAlign w:val="center"/>
          </w:tcPr>
          <w:p w14:paraId="5D9FB014">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40</w:t>
            </w:r>
          </w:p>
        </w:tc>
        <w:tc>
          <w:tcPr>
            <w:tcW w:w="1870" w:type="dxa"/>
            <w:noWrap w:val="0"/>
            <w:vAlign w:val="center"/>
          </w:tcPr>
          <w:p w14:paraId="3913EE7A">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pH</w:t>
            </w:r>
          </w:p>
        </w:tc>
        <w:tc>
          <w:tcPr>
            <w:tcW w:w="1720" w:type="dxa"/>
            <w:noWrap w:val="0"/>
            <w:vAlign w:val="center"/>
          </w:tcPr>
          <w:p w14:paraId="37456BBD">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4字节浮点数</w:t>
            </w:r>
          </w:p>
        </w:tc>
        <w:tc>
          <w:tcPr>
            <w:tcW w:w="1740" w:type="dxa"/>
            <w:noWrap w:val="0"/>
            <w:vAlign w:val="center"/>
          </w:tcPr>
          <w:p w14:paraId="29F36885">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4字节浮点数</w:t>
            </w:r>
          </w:p>
        </w:tc>
        <w:tc>
          <w:tcPr>
            <w:tcW w:w="1663" w:type="dxa"/>
            <w:noWrap w:val="0"/>
            <w:vAlign w:val="center"/>
          </w:tcPr>
          <w:p w14:paraId="049175C8">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4字节浮点数</w:t>
            </w:r>
          </w:p>
        </w:tc>
      </w:tr>
      <w:tr w14:paraId="34AB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4B32DD40">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060" w:type="dxa"/>
            <w:noWrap w:val="0"/>
            <w:vAlign w:val="center"/>
          </w:tcPr>
          <w:p w14:paraId="421CDEE5">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w:t>
            </w:r>
          </w:p>
        </w:tc>
        <w:tc>
          <w:tcPr>
            <w:tcW w:w="1870" w:type="dxa"/>
            <w:noWrap w:val="0"/>
            <w:vAlign w:val="center"/>
          </w:tcPr>
          <w:p w14:paraId="6A7A82A8">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浊度</w:t>
            </w:r>
          </w:p>
        </w:tc>
        <w:tc>
          <w:tcPr>
            <w:tcW w:w="1720" w:type="dxa"/>
            <w:noWrap w:val="0"/>
            <w:vAlign w:val="center"/>
          </w:tcPr>
          <w:p w14:paraId="2FE74D85">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4字节浮点数</w:t>
            </w:r>
          </w:p>
        </w:tc>
        <w:tc>
          <w:tcPr>
            <w:tcW w:w="1740" w:type="dxa"/>
            <w:noWrap w:val="0"/>
            <w:vAlign w:val="center"/>
          </w:tcPr>
          <w:p w14:paraId="5D4A2EBD">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4字节浮点数</w:t>
            </w:r>
          </w:p>
        </w:tc>
        <w:tc>
          <w:tcPr>
            <w:tcW w:w="1663" w:type="dxa"/>
            <w:noWrap w:val="0"/>
            <w:vAlign w:val="center"/>
          </w:tcPr>
          <w:p w14:paraId="2D5AC378">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4字节浮点数</w:t>
            </w:r>
          </w:p>
        </w:tc>
      </w:tr>
      <w:tr w14:paraId="108F1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84" w:type="dxa"/>
            <w:vMerge w:val="continue"/>
            <w:noWrap w:val="0"/>
            <w:vAlign w:val="center"/>
          </w:tcPr>
          <w:p w14:paraId="57A862CB">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060" w:type="dxa"/>
            <w:noWrap w:val="0"/>
            <w:vAlign w:val="center"/>
          </w:tcPr>
          <w:p w14:paraId="13BC3647">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42</w:t>
            </w:r>
          </w:p>
        </w:tc>
        <w:tc>
          <w:tcPr>
            <w:tcW w:w="1870" w:type="dxa"/>
            <w:noWrap w:val="0"/>
            <w:vAlign w:val="center"/>
          </w:tcPr>
          <w:p w14:paraId="688B93A1">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余氯</w:t>
            </w:r>
          </w:p>
        </w:tc>
        <w:tc>
          <w:tcPr>
            <w:tcW w:w="1720" w:type="dxa"/>
            <w:noWrap w:val="0"/>
            <w:vAlign w:val="center"/>
          </w:tcPr>
          <w:p w14:paraId="3CAF7B39">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4字节浮点数</w:t>
            </w:r>
          </w:p>
        </w:tc>
        <w:tc>
          <w:tcPr>
            <w:tcW w:w="1740" w:type="dxa"/>
            <w:noWrap w:val="0"/>
            <w:vAlign w:val="center"/>
          </w:tcPr>
          <w:p w14:paraId="6B7D126D">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4字节浮点数</w:t>
            </w:r>
          </w:p>
        </w:tc>
        <w:tc>
          <w:tcPr>
            <w:tcW w:w="1663" w:type="dxa"/>
            <w:noWrap w:val="0"/>
            <w:vAlign w:val="center"/>
          </w:tcPr>
          <w:p w14:paraId="7CFD49CB">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4字节浮点数</w:t>
            </w:r>
          </w:p>
        </w:tc>
      </w:tr>
    </w:tbl>
    <w:p w14:paraId="297F9C6C">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rPr>
      </w:pPr>
    </w:p>
    <w:p w14:paraId="3724DDE1">
      <w:pPr>
        <w:pStyle w:val="18"/>
        <w:keepNext w:val="0"/>
        <w:keepLines w:val="0"/>
        <w:pageBreakBefore w:val="0"/>
        <w:kinsoku/>
        <w:wordWrap/>
        <w:topLinePunct w:val="0"/>
        <w:bidi w:val="0"/>
        <w:spacing w:beforeAutospacing="0" w:line="360" w:lineRule="auto"/>
        <w:ind w:left="0" w:leftChars="0" w:right="0" w:firstLine="420" w:firstLineChars="200"/>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通用数据段</w:t>
      </w:r>
      <w:r>
        <w:rPr>
          <w:rFonts w:hint="eastAsia" w:ascii="宋体" w:hAnsi="宋体" w:eastAsia="宋体" w:cs="宋体"/>
          <w:b w:val="0"/>
          <w:bCs w:val="0"/>
          <w:color w:val="auto"/>
          <w:sz w:val="21"/>
          <w:szCs w:val="21"/>
          <w:highlight w:val="none"/>
        </w:rPr>
        <w:t>）</w:t>
      </w:r>
    </w:p>
    <w:tbl>
      <w:tblPr>
        <w:tblStyle w:val="39"/>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992"/>
        <w:gridCol w:w="1276"/>
        <w:gridCol w:w="992"/>
        <w:gridCol w:w="992"/>
        <w:gridCol w:w="1384"/>
        <w:gridCol w:w="1276"/>
        <w:gridCol w:w="1239"/>
      </w:tblGrid>
      <w:tr w14:paraId="078C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992" w:type="dxa"/>
            <w:noWrap w:val="0"/>
            <w:vAlign w:val="center"/>
          </w:tcPr>
          <w:p w14:paraId="4BF44D90">
            <w:pPr>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992" w:type="dxa"/>
            <w:noWrap w:val="0"/>
            <w:vAlign w:val="center"/>
          </w:tcPr>
          <w:p w14:paraId="4982C16C">
            <w:pPr>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数据段代码</w:t>
            </w:r>
          </w:p>
        </w:tc>
        <w:tc>
          <w:tcPr>
            <w:tcW w:w="1276" w:type="dxa"/>
            <w:noWrap w:val="0"/>
            <w:vAlign w:val="center"/>
          </w:tcPr>
          <w:p w14:paraId="353ACFFD">
            <w:pPr>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含义</w:t>
            </w:r>
          </w:p>
        </w:tc>
        <w:tc>
          <w:tcPr>
            <w:tcW w:w="992" w:type="dxa"/>
            <w:noWrap w:val="0"/>
            <w:vAlign w:val="center"/>
          </w:tcPr>
          <w:p w14:paraId="3C5EA4ED">
            <w:pPr>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通道总数</w:t>
            </w:r>
          </w:p>
        </w:tc>
        <w:tc>
          <w:tcPr>
            <w:tcW w:w="992" w:type="dxa"/>
            <w:noWrap w:val="0"/>
            <w:vAlign w:val="center"/>
          </w:tcPr>
          <w:p w14:paraId="042E0EC8">
            <w:pPr>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通道号</w:t>
            </w:r>
          </w:p>
        </w:tc>
        <w:tc>
          <w:tcPr>
            <w:tcW w:w="1384" w:type="dxa"/>
            <w:noWrap w:val="0"/>
            <w:vAlign w:val="center"/>
          </w:tcPr>
          <w:p w14:paraId="57C44181">
            <w:pPr>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第一时段数据</w:t>
            </w:r>
          </w:p>
        </w:tc>
        <w:tc>
          <w:tcPr>
            <w:tcW w:w="1276" w:type="dxa"/>
            <w:noWrap w:val="0"/>
            <w:vAlign w:val="center"/>
          </w:tcPr>
          <w:p w14:paraId="16C063E4">
            <w:pPr>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p>
        </w:tc>
        <w:tc>
          <w:tcPr>
            <w:tcW w:w="1239" w:type="dxa"/>
            <w:noWrap w:val="0"/>
            <w:vAlign w:val="center"/>
          </w:tcPr>
          <w:p w14:paraId="67E19ECF">
            <w:pPr>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第N时段数据</w:t>
            </w:r>
          </w:p>
        </w:tc>
      </w:tr>
      <w:tr w14:paraId="21811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restart"/>
            <w:noWrap w:val="0"/>
            <w:vAlign w:val="center"/>
          </w:tcPr>
          <w:p w14:paraId="6E4B347E">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通用数据段</w:t>
            </w:r>
          </w:p>
        </w:tc>
        <w:tc>
          <w:tcPr>
            <w:tcW w:w="992" w:type="dxa"/>
            <w:noWrap w:val="0"/>
            <w:vAlign w:val="center"/>
          </w:tcPr>
          <w:p w14:paraId="5B2BEBA5">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0AH</w:t>
            </w:r>
          </w:p>
        </w:tc>
        <w:tc>
          <w:tcPr>
            <w:tcW w:w="1276" w:type="dxa"/>
            <w:noWrap w:val="0"/>
            <w:vAlign w:val="center"/>
          </w:tcPr>
          <w:p w14:paraId="1800D866">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模拟量</w:t>
            </w:r>
          </w:p>
        </w:tc>
        <w:tc>
          <w:tcPr>
            <w:tcW w:w="992" w:type="dxa"/>
            <w:noWrap w:val="0"/>
            <w:vAlign w:val="center"/>
          </w:tcPr>
          <w:p w14:paraId="1B027F38">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1字节</w:t>
            </w:r>
          </w:p>
        </w:tc>
        <w:tc>
          <w:tcPr>
            <w:tcW w:w="992" w:type="dxa"/>
            <w:noWrap w:val="0"/>
            <w:vAlign w:val="center"/>
          </w:tcPr>
          <w:p w14:paraId="20E838A7">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1字节</w:t>
            </w:r>
          </w:p>
        </w:tc>
        <w:tc>
          <w:tcPr>
            <w:tcW w:w="1384" w:type="dxa"/>
            <w:noWrap w:val="0"/>
            <w:vAlign w:val="center"/>
          </w:tcPr>
          <w:p w14:paraId="6E845E0E">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2字节</w:t>
            </w:r>
          </w:p>
        </w:tc>
        <w:tc>
          <w:tcPr>
            <w:tcW w:w="1276" w:type="dxa"/>
            <w:noWrap w:val="0"/>
            <w:vAlign w:val="center"/>
          </w:tcPr>
          <w:p w14:paraId="5360E7E6">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2字节</w:t>
            </w:r>
          </w:p>
        </w:tc>
        <w:tc>
          <w:tcPr>
            <w:tcW w:w="1239" w:type="dxa"/>
            <w:noWrap w:val="0"/>
            <w:vAlign w:val="center"/>
          </w:tcPr>
          <w:p w14:paraId="1F3554E6">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2字节</w:t>
            </w:r>
          </w:p>
        </w:tc>
      </w:tr>
      <w:tr w14:paraId="3A23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noWrap w:val="0"/>
            <w:vAlign w:val="center"/>
          </w:tcPr>
          <w:p w14:paraId="771BD540">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992" w:type="dxa"/>
            <w:noWrap w:val="0"/>
            <w:vAlign w:val="center"/>
          </w:tcPr>
          <w:p w14:paraId="537B8A33">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0BH</w:t>
            </w:r>
          </w:p>
        </w:tc>
        <w:tc>
          <w:tcPr>
            <w:tcW w:w="1276" w:type="dxa"/>
            <w:noWrap w:val="0"/>
            <w:vAlign w:val="center"/>
          </w:tcPr>
          <w:p w14:paraId="78A939B9">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脉冲量</w:t>
            </w:r>
          </w:p>
        </w:tc>
        <w:tc>
          <w:tcPr>
            <w:tcW w:w="992" w:type="dxa"/>
            <w:noWrap w:val="0"/>
            <w:vAlign w:val="center"/>
          </w:tcPr>
          <w:p w14:paraId="038FF996">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1字节</w:t>
            </w:r>
          </w:p>
        </w:tc>
        <w:tc>
          <w:tcPr>
            <w:tcW w:w="992" w:type="dxa"/>
            <w:noWrap w:val="0"/>
            <w:vAlign w:val="center"/>
          </w:tcPr>
          <w:p w14:paraId="78D87268">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1字节</w:t>
            </w:r>
          </w:p>
        </w:tc>
        <w:tc>
          <w:tcPr>
            <w:tcW w:w="1384" w:type="dxa"/>
            <w:noWrap w:val="0"/>
            <w:vAlign w:val="center"/>
          </w:tcPr>
          <w:p w14:paraId="7CC09AB2">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4字节</w:t>
            </w:r>
          </w:p>
        </w:tc>
        <w:tc>
          <w:tcPr>
            <w:tcW w:w="1276" w:type="dxa"/>
            <w:noWrap w:val="0"/>
            <w:vAlign w:val="center"/>
          </w:tcPr>
          <w:p w14:paraId="1F68C318">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4字节</w:t>
            </w:r>
          </w:p>
        </w:tc>
        <w:tc>
          <w:tcPr>
            <w:tcW w:w="1239" w:type="dxa"/>
            <w:noWrap w:val="0"/>
            <w:vAlign w:val="center"/>
          </w:tcPr>
          <w:p w14:paraId="397E0394">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4字节</w:t>
            </w:r>
          </w:p>
        </w:tc>
      </w:tr>
      <w:tr w14:paraId="77E2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noWrap w:val="0"/>
            <w:vAlign w:val="center"/>
          </w:tcPr>
          <w:p w14:paraId="73811329">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992" w:type="dxa"/>
            <w:noWrap w:val="0"/>
            <w:vAlign w:val="center"/>
          </w:tcPr>
          <w:p w14:paraId="65B889B1">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0CH</w:t>
            </w:r>
          </w:p>
        </w:tc>
        <w:tc>
          <w:tcPr>
            <w:tcW w:w="1276" w:type="dxa"/>
            <w:noWrap w:val="0"/>
            <w:vAlign w:val="center"/>
          </w:tcPr>
          <w:p w14:paraId="5748034C">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开关量</w:t>
            </w:r>
          </w:p>
        </w:tc>
        <w:tc>
          <w:tcPr>
            <w:tcW w:w="992" w:type="dxa"/>
            <w:noWrap w:val="0"/>
            <w:vAlign w:val="center"/>
          </w:tcPr>
          <w:p w14:paraId="577DB6F4">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1字节</w:t>
            </w:r>
          </w:p>
        </w:tc>
        <w:tc>
          <w:tcPr>
            <w:tcW w:w="992" w:type="dxa"/>
            <w:noWrap w:val="0"/>
            <w:vAlign w:val="center"/>
          </w:tcPr>
          <w:p w14:paraId="00D51621">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无</w:t>
            </w:r>
          </w:p>
        </w:tc>
        <w:tc>
          <w:tcPr>
            <w:tcW w:w="1384" w:type="dxa"/>
            <w:noWrap w:val="0"/>
            <w:vAlign w:val="center"/>
          </w:tcPr>
          <w:p w14:paraId="7CDDA893">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备注</w:t>
            </w:r>
            <w:r>
              <w:rPr>
                <w:rFonts w:hint="eastAsia" w:ascii="宋体" w:hAnsi="宋体" w:eastAsia="宋体" w:cs="宋体"/>
                <w:b w:val="0"/>
                <w:bCs w:val="0"/>
                <w:color w:val="auto"/>
                <w:sz w:val="21"/>
                <w:szCs w:val="21"/>
                <w:highlight w:val="none"/>
                <w:lang w:val="en-US" w:eastAsia="zh-CN"/>
              </w:rPr>
              <w:t>3</w:t>
            </w:r>
          </w:p>
        </w:tc>
        <w:tc>
          <w:tcPr>
            <w:tcW w:w="1276" w:type="dxa"/>
            <w:noWrap w:val="0"/>
            <w:vAlign w:val="center"/>
          </w:tcPr>
          <w:p w14:paraId="5568979D">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备注</w:t>
            </w:r>
            <w:r>
              <w:rPr>
                <w:rFonts w:hint="eastAsia" w:ascii="宋体" w:hAnsi="宋体" w:eastAsia="宋体" w:cs="宋体"/>
                <w:b w:val="0"/>
                <w:bCs w:val="0"/>
                <w:color w:val="auto"/>
                <w:sz w:val="21"/>
                <w:szCs w:val="21"/>
                <w:highlight w:val="none"/>
                <w:lang w:val="en-US" w:eastAsia="zh-CN"/>
              </w:rPr>
              <w:t>3</w:t>
            </w:r>
          </w:p>
        </w:tc>
        <w:tc>
          <w:tcPr>
            <w:tcW w:w="1239" w:type="dxa"/>
            <w:noWrap w:val="0"/>
            <w:vAlign w:val="center"/>
          </w:tcPr>
          <w:p w14:paraId="6A80A640">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备注</w:t>
            </w:r>
            <w:r>
              <w:rPr>
                <w:rFonts w:hint="eastAsia" w:ascii="宋体" w:hAnsi="宋体" w:eastAsia="宋体" w:cs="宋体"/>
                <w:b w:val="0"/>
                <w:bCs w:val="0"/>
                <w:color w:val="auto"/>
                <w:sz w:val="21"/>
                <w:szCs w:val="21"/>
                <w:highlight w:val="none"/>
                <w:lang w:val="en-US" w:eastAsia="zh-CN"/>
              </w:rPr>
              <w:t>3</w:t>
            </w:r>
          </w:p>
        </w:tc>
      </w:tr>
      <w:tr w14:paraId="38AD0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noWrap w:val="0"/>
            <w:vAlign w:val="center"/>
          </w:tcPr>
          <w:p w14:paraId="6FC9B636">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992" w:type="dxa"/>
            <w:noWrap w:val="0"/>
            <w:vAlign w:val="center"/>
          </w:tcPr>
          <w:p w14:paraId="3CFD3B8B">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0DH</w:t>
            </w:r>
          </w:p>
        </w:tc>
        <w:tc>
          <w:tcPr>
            <w:tcW w:w="1276" w:type="dxa"/>
            <w:noWrap w:val="0"/>
            <w:vAlign w:val="center"/>
          </w:tcPr>
          <w:p w14:paraId="3F59D986">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ASCII</w:t>
            </w:r>
          </w:p>
        </w:tc>
        <w:tc>
          <w:tcPr>
            <w:tcW w:w="992" w:type="dxa"/>
            <w:noWrap w:val="0"/>
            <w:vAlign w:val="center"/>
          </w:tcPr>
          <w:p w14:paraId="1B952656">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1字节</w:t>
            </w:r>
          </w:p>
        </w:tc>
        <w:tc>
          <w:tcPr>
            <w:tcW w:w="992" w:type="dxa"/>
            <w:noWrap w:val="0"/>
            <w:vAlign w:val="center"/>
          </w:tcPr>
          <w:p w14:paraId="65C96923">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1字节</w:t>
            </w:r>
          </w:p>
        </w:tc>
        <w:tc>
          <w:tcPr>
            <w:tcW w:w="1384" w:type="dxa"/>
            <w:noWrap w:val="0"/>
            <w:vAlign w:val="center"/>
          </w:tcPr>
          <w:p w14:paraId="325850CF">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以\0 结束</w:t>
            </w:r>
          </w:p>
        </w:tc>
        <w:tc>
          <w:tcPr>
            <w:tcW w:w="1276" w:type="dxa"/>
            <w:noWrap w:val="0"/>
            <w:vAlign w:val="center"/>
          </w:tcPr>
          <w:p w14:paraId="354E01BA">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以\0 结束</w:t>
            </w:r>
          </w:p>
        </w:tc>
        <w:tc>
          <w:tcPr>
            <w:tcW w:w="1239" w:type="dxa"/>
            <w:noWrap w:val="0"/>
            <w:vAlign w:val="center"/>
          </w:tcPr>
          <w:p w14:paraId="001C42F5">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以\0 结束</w:t>
            </w:r>
          </w:p>
        </w:tc>
      </w:tr>
      <w:tr w14:paraId="3B041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noWrap w:val="0"/>
            <w:vAlign w:val="center"/>
          </w:tcPr>
          <w:p w14:paraId="0ADF9A32">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992" w:type="dxa"/>
            <w:noWrap w:val="0"/>
            <w:vAlign w:val="center"/>
          </w:tcPr>
          <w:p w14:paraId="26BF70B0">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0FH</w:t>
            </w:r>
          </w:p>
        </w:tc>
        <w:tc>
          <w:tcPr>
            <w:tcW w:w="1276" w:type="dxa"/>
            <w:noWrap w:val="0"/>
            <w:vAlign w:val="center"/>
          </w:tcPr>
          <w:p w14:paraId="6C9B4F16">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4字节浮点数</w:t>
            </w:r>
          </w:p>
        </w:tc>
        <w:tc>
          <w:tcPr>
            <w:tcW w:w="992" w:type="dxa"/>
            <w:noWrap w:val="0"/>
            <w:vAlign w:val="center"/>
          </w:tcPr>
          <w:p w14:paraId="7A2800DC">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1字节</w:t>
            </w:r>
          </w:p>
        </w:tc>
        <w:tc>
          <w:tcPr>
            <w:tcW w:w="992" w:type="dxa"/>
            <w:noWrap w:val="0"/>
            <w:vAlign w:val="center"/>
          </w:tcPr>
          <w:p w14:paraId="7A5313D4">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1字节</w:t>
            </w:r>
          </w:p>
        </w:tc>
        <w:tc>
          <w:tcPr>
            <w:tcW w:w="1384" w:type="dxa"/>
            <w:noWrap w:val="0"/>
            <w:vAlign w:val="center"/>
          </w:tcPr>
          <w:p w14:paraId="462ACFCA">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4字节</w:t>
            </w:r>
          </w:p>
        </w:tc>
        <w:tc>
          <w:tcPr>
            <w:tcW w:w="1276" w:type="dxa"/>
            <w:noWrap w:val="0"/>
            <w:vAlign w:val="center"/>
          </w:tcPr>
          <w:p w14:paraId="2ACA96F1">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4字节</w:t>
            </w:r>
          </w:p>
        </w:tc>
        <w:tc>
          <w:tcPr>
            <w:tcW w:w="1239" w:type="dxa"/>
            <w:noWrap w:val="0"/>
            <w:vAlign w:val="center"/>
          </w:tcPr>
          <w:p w14:paraId="52734D32">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4字节</w:t>
            </w:r>
          </w:p>
        </w:tc>
      </w:tr>
      <w:tr w14:paraId="4E9FC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noWrap w:val="0"/>
            <w:vAlign w:val="center"/>
          </w:tcPr>
          <w:p w14:paraId="5AE51C8F">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992" w:type="dxa"/>
            <w:noWrap w:val="0"/>
            <w:vAlign w:val="center"/>
          </w:tcPr>
          <w:p w14:paraId="6855FE6F">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10H</w:t>
            </w:r>
          </w:p>
        </w:tc>
        <w:tc>
          <w:tcPr>
            <w:tcW w:w="1276" w:type="dxa"/>
            <w:noWrap w:val="0"/>
            <w:vAlign w:val="center"/>
          </w:tcPr>
          <w:p w14:paraId="4715AAF2">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8字节浮点数</w:t>
            </w:r>
          </w:p>
        </w:tc>
        <w:tc>
          <w:tcPr>
            <w:tcW w:w="992" w:type="dxa"/>
            <w:noWrap w:val="0"/>
            <w:vAlign w:val="center"/>
          </w:tcPr>
          <w:p w14:paraId="46727E1B">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1字节</w:t>
            </w:r>
          </w:p>
        </w:tc>
        <w:tc>
          <w:tcPr>
            <w:tcW w:w="992" w:type="dxa"/>
            <w:noWrap w:val="0"/>
            <w:vAlign w:val="center"/>
          </w:tcPr>
          <w:p w14:paraId="1D27EC70">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1字节</w:t>
            </w:r>
          </w:p>
        </w:tc>
        <w:tc>
          <w:tcPr>
            <w:tcW w:w="1384" w:type="dxa"/>
            <w:noWrap w:val="0"/>
            <w:vAlign w:val="center"/>
          </w:tcPr>
          <w:p w14:paraId="16E4329C">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8字节</w:t>
            </w:r>
          </w:p>
        </w:tc>
        <w:tc>
          <w:tcPr>
            <w:tcW w:w="1276" w:type="dxa"/>
            <w:noWrap w:val="0"/>
            <w:vAlign w:val="center"/>
          </w:tcPr>
          <w:p w14:paraId="7A69648E">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8字节</w:t>
            </w:r>
          </w:p>
        </w:tc>
        <w:tc>
          <w:tcPr>
            <w:tcW w:w="1239" w:type="dxa"/>
            <w:noWrap w:val="0"/>
            <w:vAlign w:val="center"/>
          </w:tcPr>
          <w:p w14:paraId="24489FB0">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8字节</w:t>
            </w:r>
          </w:p>
        </w:tc>
      </w:tr>
      <w:tr w14:paraId="3960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noWrap w:val="0"/>
            <w:vAlign w:val="center"/>
          </w:tcPr>
          <w:p w14:paraId="64F52C26">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992" w:type="dxa"/>
            <w:noWrap w:val="0"/>
            <w:vAlign w:val="center"/>
          </w:tcPr>
          <w:p w14:paraId="71575EB4">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11H</w:t>
            </w:r>
          </w:p>
        </w:tc>
        <w:tc>
          <w:tcPr>
            <w:tcW w:w="1276" w:type="dxa"/>
            <w:noWrap w:val="0"/>
            <w:vAlign w:val="center"/>
          </w:tcPr>
          <w:p w14:paraId="07419FBA">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8字节长整型</w:t>
            </w:r>
          </w:p>
        </w:tc>
        <w:tc>
          <w:tcPr>
            <w:tcW w:w="992" w:type="dxa"/>
            <w:noWrap w:val="0"/>
            <w:vAlign w:val="center"/>
          </w:tcPr>
          <w:p w14:paraId="6DEBA71B">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1字节</w:t>
            </w:r>
          </w:p>
        </w:tc>
        <w:tc>
          <w:tcPr>
            <w:tcW w:w="992" w:type="dxa"/>
            <w:noWrap w:val="0"/>
            <w:vAlign w:val="center"/>
          </w:tcPr>
          <w:p w14:paraId="25546BE7">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1字节</w:t>
            </w:r>
          </w:p>
        </w:tc>
        <w:tc>
          <w:tcPr>
            <w:tcW w:w="1384" w:type="dxa"/>
            <w:noWrap w:val="0"/>
            <w:vAlign w:val="center"/>
          </w:tcPr>
          <w:p w14:paraId="79B1FA24">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8字节</w:t>
            </w:r>
          </w:p>
        </w:tc>
        <w:tc>
          <w:tcPr>
            <w:tcW w:w="1276" w:type="dxa"/>
            <w:noWrap w:val="0"/>
            <w:vAlign w:val="center"/>
          </w:tcPr>
          <w:p w14:paraId="23C547A4">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8字节</w:t>
            </w:r>
          </w:p>
        </w:tc>
        <w:tc>
          <w:tcPr>
            <w:tcW w:w="1239" w:type="dxa"/>
            <w:noWrap w:val="0"/>
            <w:vAlign w:val="center"/>
          </w:tcPr>
          <w:p w14:paraId="3E1F1E00">
            <w:pPr>
              <w:pStyle w:val="216"/>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8字节</w:t>
            </w:r>
          </w:p>
        </w:tc>
      </w:tr>
    </w:tbl>
    <w:p w14:paraId="753D18EC">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备注1：单位为摄氏度，数值倍率为0.1，例如：数据值315*0.1＝31.5℃；</w:t>
      </w:r>
    </w:p>
    <w:p w14:paraId="7A05786F">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备注2：单位为度，东经为正，西经为负，北纬为正，南纬为负。GPS经纬度值占用字节较多，因此每帧数据中只包含一个时刻值即可；</w:t>
      </w:r>
    </w:p>
    <w:p w14:paraId="5D8A6635">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备注3：若通道总数小于等于8 ，此字节数为1；若通道总数大于8小于等于16此字节数为2。第一个字节的bit0-bit7表示第1—8开关量通道值；第二字节的bit0-bit7表示第9—16开关量通道值；；</w:t>
      </w:r>
    </w:p>
    <w:p w14:paraId="15CA925D">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备注4：</w:t>
      </w:r>
      <w:r>
        <w:rPr>
          <w:rFonts w:hint="eastAsia" w:ascii="宋体" w:hAnsi="宋体" w:eastAsia="宋体" w:cs="宋体"/>
          <w:b w:val="0"/>
          <w:bCs w:val="0"/>
          <w:color w:val="auto"/>
          <w:sz w:val="21"/>
          <w:szCs w:val="21"/>
          <w:highlight w:val="none"/>
          <w:vertAlign w:val="baseline"/>
          <w:lang w:val="en-US" w:eastAsia="zh-CN"/>
        </w:rPr>
        <w:t>高字节在前，低字节在后。设备上发时将电压放大100倍后使用整型传输，上位机解码时将数值还原。示例：02H E8H = 744 * 0.01 =7.44V。</w:t>
      </w:r>
    </w:p>
    <w:p w14:paraId="04AAB5CD">
      <w:pPr>
        <w:pStyle w:val="37"/>
        <w:keepNext w:val="0"/>
        <w:keepLines w:val="0"/>
        <w:pageBreakBefore w:val="0"/>
        <w:kinsoku/>
        <w:wordWrap/>
        <w:topLinePunct w:val="0"/>
        <w:bidi w:val="0"/>
        <w:spacing w:beforeAutospacing="0" w:after="0" w:line="360" w:lineRule="auto"/>
        <w:ind w:left="0" w:leftChars="0" w:right="0" w:firstLine="422" w:firstLineChars="200"/>
        <w:jc w:val="left"/>
        <w:outlineLvl w:val="9"/>
        <w:rPr>
          <w:rFonts w:hint="eastAsia" w:ascii="宋体" w:hAnsi="宋体" w:eastAsia="宋体" w:cs="宋体"/>
          <w:b/>
          <w:bCs/>
          <w:color w:val="auto"/>
          <w:sz w:val="21"/>
          <w:szCs w:val="21"/>
          <w:highlight w:val="none"/>
          <w:lang w:val="en-US" w:eastAsia="zh-CN"/>
        </w:rPr>
      </w:pPr>
    </w:p>
    <w:p w14:paraId="3C5FD85C">
      <w:pPr>
        <w:pStyle w:val="37"/>
        <w:keepNext w:val="0"/>
        <w:keepLines w:val="0"/>
        <w:pageBreakBefore w:val="0"/>
        <w:kinsoku/>
        <w:wordWrap/>
        <w:topLinePunct w:val="0"/>
        <w:bidi w:val="0"/>
        <w:spacing w:beforeAutospacing="0" w:after="0" w:line="360" w:lineRule="auto"/>
        <w:ind w:right="0" w:firstLine="0" w:firstLineChars="0"/>
        <w:jc w:val="left"/>
        <w:outlineLvl w:val="1"/>
        <w:rPr>
          <w:rFonts w:hint="eastAsia" w:ascii="宋体" w:hAnsi="宋体" w:eastAsia="宋体" w:cs="宋体"/>
          <w:b/>
          <w:bCs/>
          <w:color w:val="auto"/>
          <w:sz w:val="21"/>
          <w:szCs w:val="21"/>
          <w:highlight w:val="none"/>
          <w:lang w:val="en-US" w:eastAsia="zh-CN"/>
        </w:rPr>
      </w:pPr>
      <w:bookmarkStart w:id="530" w:name="_Toc30071"/>
      <w:r>
        <w:rPr>
          <w:rFonts w:hint="eastAsia" w:ascii="宋体" w:hAnsi="宋体" w:eastAsia="宋体" w:cs="宋体"/>
          <w:b/>
          <w:bCs/>
          <w:color w:val="auto"/>
          <w:sz w:val="21"/>
          <w:szCs w:val="21"/>
          <w:highlight w:val="none"/>
          <w:lang w:val="en-US" w:eastAsia="zh-CN"/>
        </w:rPr>
        <w:t>四、售后服务及质保期</w:t>
      </w:r>
      <w:bookmarkEnd w:id="530"/>
    </w:p>
    <w:p w14:paraId="6CAA6877">
      <w:pPr>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投标人须保证对招标人具有完善的售后服务体系。投标人须配合远程设备的通讯调试；</w:t>
      </w:r>
    </w:p>
    <w:p w14:paraId="7C97F53E">
      <w:pPr>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投标人须提供技术文件资料，包括</w:t>
      </w:r>
      <w:r>
        <w:rPr>
          <w:rFonts w:hint="eastAsia" w:ascii="宋体" w:hAnsi="宋体" w:eastAsia="宋体" w:cs="宋体"/>
          <w:color w:val="auto"/>
          <w:sz w:val="21"/>
          <w:szCs w:val="21"/>
          <w:highlight w:val="none"/>
          <w:lang w:val="en-US" w:eastAsia="zh-CN"/>
        </w:rPr>
        <w:t>但不限于</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远传</w:t>
      </w:r>
      <w:r>
        <w:rPr>
          <w:rFonts w:hint="eastAsia" w:ascii="宋体" w:hAnsi="宋体" w:eastAsia="宋体" w:cs="宋体"/>
          <w:color w:val="auto"/>
          <w:sz w:val="21"/>
          <w:szCs w:val="21"/>
          <w:highlight w:val="none"/>
        </w:rPr>
        <w:t>调试、移交过程中需要的技术资料、上下行接口文件材料及服务；</w:t>
      </w:r>
    </w:p>
    <w:p w14:paraId="65BED2BD">
      <w:pPr>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投标人负责向招标人有关人员提供技术培训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使其能对设备进行日常的维护保养及能对一般故障进行维修，并向培训人员提供详细的操作手册、技术维修及调试参数</w:t>
      </w:r>
      <w:r>
        <w:rPr>
          <w:rFonts w:hint="eastAsia" w:ascii="宋体" w:hAnsi="宋体" w:eastAsia="宋体" w:cs="宋体"/>
          <w:color w:val="auto"/>
          <w:sz w:val="21"/>
          <w:szCs w:val="21"/>
          <w:highlight w:val="none"/>
          <w:lang w:val="en-US" w:eastAsia="zh-CN"/>
        </w:rPr>
        <w:t>等相关</w:t>
      </w:r>
      <w:r>
        <w:rPr>
          <w:rFonts w:hint="eastAsia" w:ascii="宋体" w:hAnsi="宋体" w:eastAsia="宋体" w:cs="宋体"/>
          <w:color w:val="auto"/>
          <w:sz w:val="21"/>
          <w:szCs w:val="21"/>
          <w:highlight w:val="none"/>
        </w:rPr>
        <w:t>资料；</w:t>
      </w:r>
    </w:p>
    <w:p w14:paraId="378B3D27">
      <w:pPr>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w:t>
      </w:r>
      <w:r>
        <w:rPr>
          <w:rFonts w:hint="eastAsia" w:ascii="宋体" w:hAnsi="宋体" w:eastAsia="宋体" w:cs="宋体"/>
          <w:b w:val="0"/>
          <w:bCs w:val="0"/>
          <w:color w:val="auto"/>
          <w:sz w:val="21"/>
          <w:szCs w:val="21"/>
          <w:highlight w:val="none"/>
          <w:lang w:val="en-US" w:eastAsia="zh-CN"/>
        </w:rPr>
        <w:t>须有稳定的售后服务体系，</w:t>
      </w:r>
      <w:r>
        <w:rPr>
          <w:rFonts w:hint="eastAsia" w:ascii="宋体" w:hAnsi="宋体" w:eastAsia="宋体" w:cs="宋体"/>
          <w:color w:val="auto"/>
          <w:sz w:val="21"/>
          <w:szCs w:val="21"/>
          <w:highlight w:val="none"/>
        </w:rPr>
        <w:t>接到招标人的售后需求需在</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小时以内做出响应；如需到现场处理，投标人需在接到招标人通知后24小时内到达现场进行处理。</w:t>
      </w:r>
    </w:p>
    <w:p w14:paraId="5E8F32E7">
      <w:pPr>
        <w:pStyle w:val="37"/>
        <w:keepNext w:val="0"/>
        <w:keepLines w:val="0"/>
        <w:pageBreakBefore w:val="0"/>
        <w:kinsoku/>
        <w:wordWrap/>
        <w:topLinePunct w:val="0"/>
        <w:bidi w:val="0"/>
        <w:spacing w:beforeAutospacing="0" w:after="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4.5 DN80-DN300</w:t>
      </w:r>
      <w:r>
        <w:rPr>
          <w:rFonts w:hint="eastAsia" w:ascii="宋体" w:hAnsi="宋体" w:eastAsia="宋体" w:cs="宋体"/>
          <w:b w:val="0"/>
          <w:bCs w:val="0"/>
          <w:color w:val="auto"/>
          <w:kern w:val="0"/>
          <w:sz w:val="21"/>
          <w:szCs w:val="21"/>
          <w:highlight w:val="none"/>
          <w:lang w:val="en-US" w:eastAsia="zh-CN" w:bidi="ar"/>
        </w:rPr>
        <w:t>电磁水表</w:t>
      </w:r>
      <w:r>
        <w:rPr>
          <w:rFonts w:hint="eastAsia" w:ascii="宋体" w:hAnsi="宋体" w:eastAsia="宋体" w:cs="宋体"/>
          <w:b w:val="0"/>
          <w:bCs w:val="0"/>
          <w:color w:val="auto"/>
          <w:sz w:val="21"/>
          <w:szCs w:val="21"/>
          <w:highlight w:val="none"/>
          <w:lang w:val="en-US" w:eastAsia="zh-CN"/>
        </w:rPr>
        <w:t>整表（含配远传模块、计量电池、通讯电池和通讯资费）质保期6年，按每批次货物送达招标人指定地点交货验收之日起算。质保期内，投标人对货物进行免费保修。</w:t>
      </w:r>
    </w:p>
    <w:p w14:paraId="61563601">
      <w:pPr>
        <w:pStyle w:val="37"/>
        <w:keepNext w:val="0"/>
        <w:keepLines w:val="0"/>
        <w:pageBreakBefore w:val="0"/>
        <w:kinsoku/>
        <w:wordWrap/>
        <w:topLinePunct w:val="0"/>
        <w:bidi w:val="0"/>
        <w:spacing w:beforeAutospacing="0" w:after="0" w:line="360" w:lineRule="auto"/>
        <w:ind w:left="0" w:leftChars="0" w:right="0" w:firstLine="422" w:firstLineChars="200"/>
        <w:jc w:val="left"/>
        <w:outlineLvl w:val="9"/>
        <w:rPr>
          <w:rFonts w:hint="eastAsia" w:ascii="宋体" w:hAnsi="宋体" w:eastAsia="宋体" w:cs="宋体"/>
          <w:b/>
          <w:bCs/>
          <w:color w:val="auto"/>
          <w:sz w:val="21"/>
          <w:szCs w:val="21"/>
          <w:highlight w:val="none"/>
          <w:lang w:val="en-US" w:eastAsia="zh-CN"/>
        </w:rPr>
      </w:pPr>
    </w:p>
    <w:p w14:paraId="0CFD33F8">
      <w:pPr>
        <w:pStyle w:val="37"/>
        <w:keepNext w:val="0"/>
        <w:keepLines w:val="0"/>
        <w:pageBreakBefore w:val="0"/>
        <w:kinsoku/>
        <w:wordWrap/>
        <w:topLinePunct w:val="0"/>
        <w:bidi w:val="0"/>
        <w:spacing w:beforeAutospacing="0" w:after="0" w:line="360" w:lineRule="auto"/>
        <w:ind w:right="0" w:firstLine="0" w:firstLineChars="0"/>
        <w:jc w:val="left"/>
        <w:outlineLvl w:val="1"/>
        <w:rPr>
          <w:rFonts w:hint="eastAsia" w:ascii="宋体" w:hAnsi="宋体" w:eastAsia="宋体" w:cs="宋体"/>
          <w:b/>
          <w:bCs/>
          <w:color w:val="auto"/>
          <w:sz w:val="21"/>
          <w:szCs w:val="21"/>
          <w:highlight w:val="none"/>
          <w:lang w:val="en-US" w:eastAsia="zh-CN"/>
        </w:rPr>
      </w:pPr>
      <w:bookmarkStart w:id="531" w:name="_Toc420"/>
      <w:r>
        <w:rPr>
          <w:rFonts w:hint="eastAsia" w:ascii="宋体" w:hAnsi="宋体" w:eastAsia="宋体" w:cs="宋体"/>
          <w:b/>
          <w:bCs/>
          <w:color w:val="auto"/>
          <w:sz w:val="21"/>
          <w:szCs w:val="21"/>
          <w:highlight w:val="none"/>
          <w:lang w:val="en-US" w:eastAsia="zh-CN"/>
        </w:rPr>
        <w:t>五、货款结算方式</w:t>
      </w:r>
      <w:bookmarkEnd w:id="531"/>
    </w:p>
    <w:p w14:paraId="7A3AD9B9">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合同履约过程中，按货物清单中不含税中标综合单价以实际供货数量进行结算：不含税中标综合单价=不含税预算综合单价×中标折扣系数，以实际供货数量进行结算，不含税中标综合单价出现小数点，保留小数点后两位，从小数点后第3位四舍五入。</w:t>
      </w:r>
    </w:p>
    <w:p w14:paraId="4143297D">
      <w:pPr>
        <w:pStyle w:val="37"/>
        <w:keepNext w:val="0"/>
        <w:keepLines w:val="0"/>
        <w:pageBreakBefore w:val="0"/>
        <w:kinsoku/>
        <w:wordWrap/>
        <w:topLinePunct w:val="0"/>
        <w:bidi w:val="0"/>
        <w:spacing w:beforeAutospacing="0" w:after="0" w:line="360" w:lineRule="auto"/>
        <w:ind w:left="0" w:leftChars="0" w:right="0" w:firstLine="422" w:firstLineChars="200"/>
        <w:jc w:val="left"/>
        <w:outlineLvl w:val="9"/>
        <w:rPr>
          <w:rFonts w:hint="eastAsia" w:ascii="宋体" w:hAnsi="宋体" w:eastAsia="宋体" w:cs="宋体"/>
          <w:b/>
          <w:bCs/>
          <w:color w:val="auto"/>
          <w:sz w:val="21"/>
          <w:szCs w:val="21"/>
          <w:highlight w:val="none"/>
          <w:lang w:val="en-US" w:eastAsia="zh-CN"/>
        </w:rPr>
      </w:pPr>
    </w:p>
    <w:p w14:paraId="2D7A4B24">
      <w:pPr>
        <w:keepNext w:val="0"/>
        <w:keepLines w:val="0"/>
        <w:pageBreakBefore w:val="0"/>
        <w:numPr>
          <w:ilvl w:val="0"/>
          <w:numId w:val="0"/>
        </w:numPr>
        <w:kinsoku/>
        <w:wordWrap/>
        <w:topLinePunct w:val="0"/>
        <w:bidi w:val="0"/>
        <w:adjustRightInd w:val="0"/>
        <w:snapToGrid w:val="0"/>
        <w:spacing w:beforeAutospacing="0" w:line="360" w:lineRule="auto"/>
        <w:ind w:leftChars="0" w:right="0"/>
        <w:outlineLvl w:val="1"/>
        <w:rPr>
          <w:rFonts w:hint="eastAsia" w:ascii="宋体" w:hAnsi="宋体" w:eastAsia="宋体" w:cs="宋体"/>
          <w:b/>
          <w:bCs/>
          <w:color w:val="auto"/>
          <w:kern w:val="0"/>
          <w:sz w:val="21"/>
          <w:szCs w:val="21"/>
          <w:highlight w:val="none"/>
          <w:lang w:val="en-US" w:eastAsia="zh-CN" w:bidi="ar"/>
        </w:rPr>
      </w:pPr>
      <w:bookmarkStart w:id="532" w:name="_Toc30464"/>
      <w:r>
        <w:rPr>
          <w:rFonts w:hint="eastAsia" w:ascii="宋体" w:hAnsi="宋体" w:eastAsia="宋体" w:cs="宋体"/>
          <w:b/>
          <w:bCs/>
          <w:color w:val="auto"/>
          <w:kern w:val="0"/>
          <w:sz w:val="21"/>
          <w:szCs w:val="21"/>
          <w:highlight w:val="none"/>
          <w:lang w:val="en-US" w:eastAsia="zh-CN" w:bidi="ar"/>
        </w:rPr>
        <w:t>六、货款支付方式</w:t>
      </w:r>
      <w:bookmarkEnd w:id="532"/>
    </w:p>
    <w:p w14:paraId="5A01AA2C">
      <w:pPr>
        <w:pStyle w:val="37"/>
        <w:tabs>
          <w:tab w:val="left" w:pos="6510"/>
        </w:tabs>
        <w:adjustRightInd/>
        <w:snapToGrid/>
        <w:spacing w:after="0"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招标人发出单笔《供货通知单》后，在收到中标人按本项目合同约定提供与本批次货款等额的订单保函或现金担保并经招标人财务人员审核合格后30个工作日内，招标人支付至该批货物货款总额（含销项税额）的100%。</w:t>
      </w:r>
    </w:p>
    <w:p w14:paraId="530E2D8F">
      <w:pPr>
        <w:keepNext w:val="0"/>
        <w:keepLines w:val="0"/>
        <w:pageBreakBefore w:val="0"/>
        <w:widowControl w:val="0"/>
        <w:numPr>
          <w:ilvl w:val="1"/>
          <w:numId w:val="0"/>
        </w:numPr>
        <w:kinsoku/>
        <w:wordWrap/>
        <w:topLinePunct w:val="0"/>
        <w:bidi w:val="0"/>
        <w:adjustRightInd w:val="0"/>
        <w:snapToGrid w:val="0"/>
        <w:spacing w:beforeAutospacing="0" w:line="360" w:lineRule="auto"/>
        <w:ind w:right="0"/>
        <w:textAlignment w:val="auto"/>
        <w:outlineLvl w:val="9"/>
        <w:rPr>
          <w:rFonts w:hint="eastAsia" w:ascii="宋体" w:hAnsi="宋体" w:eastAsia="宋体" w:cs="宋体"/>
          <w:b/>
          <w:bCs/>
          <w:color w:val="auto"/>
          <w:sz w:val="21"/>
          <w:szCs w:val="21"/>
          <w:highlight w:val="none"/>
          <w:lang w:val="en-US" w:eastAsia="zh-CN"/>
        </w:rPr>
      </w:pPr>
    </w:p>
    <w:p w14:paraId="34D847D4">
      <w:pPr>
        <w:keepNext w:val="0"/>
        <w:keepLines w:val="0"/>
        <w:pageBreakBefore w:val="0"/>
        <w:widowControl w:val="0"/>
        <w:numPr>
          <w:ilvl w:val="1"/>
          <w:numId w:val="0"/>
        </w:numPr>
        <w:kinsoku/>
        <w:wordWrap/>
        <w:topLinePunct w:val="0"/>
        <w:bidi w:val="0"/>
        <w:adjustRightInd w:val="0"/>
        <w:snapToGrid w:val="0"/>
        <w:spacing w:beforeAutospacing="0" w:line="360" w:lineRule="auto"/>
        <w:ind w:right="0"/>
        <w:textAlignment w:val="auto"/>
        <w:outlineLvl w:val="1"/>
        <w:rPr>
          <w:rFonts w:hint="eastAsia" w:ascii="宋体" w:hAnsi="宋体" w:eastAsia="宋体" w:cs="宋体"/>
          <w:b/>
          <w:bCs/>
          <w:color w:val="auto"/>
          <w:sz w:val="21"/>
          <w:szCs w:val="21"/>
          <w:highlight w:val="none"/>
          <w:lang w:val="en-US" w:eastAsia="zh-CN"/>
        </w:rPr>
      </w:pPr>
      <w:bookmarkStart w:id="533" w:name="_Toc10102"/>
      <w:r>
        <w:rPr>
          <w:rFonts w:hint="eastAsia" w:ascii="宋体" w:hAnsi="宋体" w:eastAsia="宋体" w:cs="宋体"/>
          <w:b/>
          <w:bCs/>
          <w:color w:val="auto"/>
          <w:sz w:val="21"/>
          <w:szCs w:val="21"/>
          <w:highlight w:val="none"/>
          <w:lang w:val="en-US" w:eastAsia="zh-CN"/>
        </w:rPr>
        <w:t>七、预算表</w:t>
      </w:r>
      <w:bookmarkEnd w:id="533"/>
    </w:p>
    <w:tbl>
      <w:tblPr>
        <w:tblStyle w:val="39"/>
        <w:tblW w:w="10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0"/>
        <w:gridCol w:w="1227"/>
        <w:gridCol w:w="1046"/>
        <w:gridCol w:w="3080"/>
        <w:gridCol w:w="693"/>
        <w:gridCol w:w="1004"/>
        <w:gridCol w:w="1078"/>
        <w:gridCol w:w="1476"/>
      </w:tblGrid>
      <w:tr w14:paraId="4C47C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60" w:type="dxa"/>
            <w:tcBorders>
              <w:top w:val="single" w:color="000000" w:sz="4" w:space="0"/>
              <w:left w:val="single" w:color="000000" w:sz="4" w:space="0"/>
              <w:bottom w:val="single" w:color="000000" w:sz="4" w:space="0"/>
              <w:right w:val="single" w:color="000000" w:sz="4" w:space="0"/>
              <w:tl2br w:val="nil"/>
            </w:tcBorders>
            <w:noWrap w:val="0"/>
            <w:vAlign w:val="center"/>
          </w:tcPr>
          <w:p w14:paraId="0B3226DC">
            <w:pPr>
              <w:keepNext w:val="0"/>
              <w:keepLines w:val="0"/>
              <w:widowControl/>
              <w:suppressLineNumbers w:val="0"/>
              <w:jc w:val="center"/>
              <w:textAlignment w:val="center"/>
              <w:outlineLvl w:val="9"/>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序号</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600B6902">
            <w:pPr>
              <w:keepNext w:val="0"/>
              <w:keepLines w:val="0"/>
              <w:widowControl/>
              <w:suppressLineNumbers w:val="0"/>
              <w:jc w:val="center"/>
              <w:textAlignment w:val="center"/>
              <w:outlineLvl w:val="9"/>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名称</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7921D7ED">
            <w:pPr>
              <w:keepNext w:val="0"/>
              <w:keepLines w:val="0"/>
              <w:widowControl/>
              <w:suppressLineNumbers w:val="0"/>
              <w:jc w:val="center"/>
              <w:textAlignment w:val="center"/>
              <w:outlineLvl w:val="9"/>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口径规格</w:t>
            </w:r>
          </w:p>
        </w:tc>
        <w:tc>
          <w:tcPr>
            <w:tcW w:w="3080" w:type="dxa"/>
            <w:tcBorders>
              <w:top w:val="single" w:color="000000" w:sz="4" w:space="0"/>
              <w:left w:val="single" w:color="000000" w:sz="4" w:space="0"/>
              <w:bottom w:val="single" w:color="000000" w:sz="4" w:space="0"/>
              <w:right w:val="single" w:color="000000" w:sz="4" w:space="0"/>
            </w:tcBorders>
            <w:noWrap w:val="0"/>
            <w:vAlign w:val="center"/>
          </w:tcPr>
          <w:p w14:paraId="2D783774">
            <w:pPr>
              <w:keepNext w:val="0"/>
              <w:keepLines w:val="0"/>
              <w:widowControl/>
              <w:suppressLineNumbers w:val="0"/>
              <w:jc w:val="center"/>
              <w:textAlignment w:val="center"/>
              <w:outlineLvl w:val="9"/>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技术指标</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4AC24F69">
            <w:pPr>
              <w:keepNext w:val="0"/>
              <w:keepLines w:val="0"/>
              <w:widowControl/>
              <w:suppressLineNumbers w:val="0"/>
              <w:jc w:val="center"/>
              <w:textAlignment w:val="center"/>
              <w:outlineLvl w:val="9"/>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单位</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20E9BC42">
            <w:pPr>
              <w:keepNext w:val="0"/>
              <w:keepLines w:val="0"/>
              <w:widowControl/>
              <w:suppressLineNumbers w:val="0"/>
              <w:jc w:val="center"/>
              <w:textAlignment w:val="center"/>
              <w:outlineLvl w:val="9"/>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数量</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B69EE45">
            <w:pPr>
              <w:keepNext w:val="0"/>
              <w:keepLines w:val="0"/>
              <w:widowControl/>
              <w:suppressLineNumbers w:val="0"/>
              <w:jc w:val="center"/>
              <w:textAlignment w:val="center"/>
              <w:outlineLvl w:val="9"/>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不含税预算综合单价（元）</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14:paraId="02C6F250">
            <w:pPr>
              <w:keepNext w:val="0"/>
              <w:keepLines w:val="0"/>
              <w:widowControl/>
              <w:suppressLineNumbers w:val="0"/>
              <w:jc w:val="center"/>
              <w:textAlignment w:val="center"/>
              <w:outlineLvl w:val="9"/>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不含税合价（元）</w:t>
            </w:r>
          </w:p>
        </w:tc>
      </w:tr>
      <w:tr w14:paraId="24E76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6687EEAC">
            <w:pPr>
              <w:keepNext w:val="0"/>
              <w:keepLines w:val="0"/>
              <w:widowControl/>
              <w:suppressLineNumbers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1 </w:t>
            </w:r>
          </w:p>
        </w:tc>
        <w:tc>
          <w:tcPr>
            <w:tcW w:w="1227" w:type="dxa"/>
            <w:vMerge w:val="restart"/>
            <w:tcBorders>
              <w:top w:val="single" w:color="000000" w:sz="4" w:space="0"/>
              <w:left w:val="single" w:color="000000" w:sz="4" w:space="0"/>
              <w:right w:val="single" w:color="000000" w:sz="4" w:space="0"/>
            </w:tcBorders>
            <w:noWrap w:val="0"/>
            <w:vAlign w:val="center"/>
          </w:tcPr>
          <w:p w14:paraId="6C452750">
            <w:pPr>
              <w:keepNext w:val="0"/>
              <w:keepLines w:val="0"/>
              <w:widowControl/>
              <w:suppressLineNumbers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电磁水表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5FAD7878">
            <w:pPr>
              <w:keepNext w:val="0"/>
              <w:keepLines w:val="0"/>
              <w:widowControl/>
              <w:suppressLineNumbers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DN80</w:t>
            </w:r>
          </w:p>
        </w:tc>
        <w:tc>
          <w:tcPr>
            <w:tcW w:w="3080" w:type="dxa"/>
            <w:vMerge w:val="restart"/>
            <w:tcBorders>
              <w:top w:val="single" w:color="000000" w:sz="4" w:space="0"/>
              <w:left w:val="single" w:color="000000" w:sz="4" w:space="0"/>
              <w:right w:val="single" w:color="000000" w:sz="4" w:space="0"/>
            </w:tcBorders>
            <w:noWrap w:val="0"/>
            <w:vAlign w:val="center"/>
          </w:tcPr>
          <w:p w14:paraId="738C77E0">
            <w:pPr>
              <w:keepNext w:val="0"/>
              <w:keepLines w:val="0"/>
              <w:widowControl/>
              <w:suppressLineNumbers w:val="0"/>
              <w:jc w:val="left"/>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1.配件要求：每台电磁水表需包含1套远传模块和2个垫圈，不含法兰；</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2.表体材质为碳钢（防腐处理）或不锈钢；</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3.设备电源：内置3.6V锂电池或内置锂电池+直流电双电源供电；</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4.具体详见用户需求书。</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796FBE71">
            <w:pPr>
              <w:keepNext w:val="0"/>
              <w:keepLines w:val="0"/>
              <w:widowControl/>
              <w:suppressLineNumbers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006D43C7">
            <w:pPr>
              <w:keepNext w:val="0"/>
              <w:keepLines w:val="0"/>
              <w:widowControl/>
              <w:suppressLineNumbers w:val="0"/>
              <w:autoSpaceDE w:val="0"/>
              <w:autoSpaceDN w:val="0"/>
              <w:adjustRightInd w:val="0"/>
              <w:snapToGrid w:val="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404</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F04926F">
            <w:pPr>
              <w:keepNext w:val="0"/>
              <w:keepLines w:val="0"/>
              <w:widowControl/>
              <w:suppressLineNumbers w:val="0"/>
              <w:autoSpaceDE w:val="0"/>
              <w:autoSpaceDN w:val="0"/>
              <w:adjustRightInd w:val="0"/>
              <w:snapToGrid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5,390.62  </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14:paraId="20665FB7">
            <w:pPr>
              <w:keepNext w:val="0"/>
              <w:keepLines w:val="0"/>
              <w:widowControl/>
              <w:suppressLineNumbers w:val="0"/>
              <w:autoSpaceDE w:val="0"/>
              <w:autoSpaceDN w:val="0"/>
              <w:adjustRightInd w:val="0"/>
              <w:snapToGrid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2,177,810.48 </w:t>
            </w:r>
          </w:p>
        </w:tc>
      </w:tr>
      <w:tr w14:paraId="381FF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4F6A6E30">
            <w:pPr>
              <w:keepNext w:val="0"/>
              <w:keepLines w:val="0"/>
              <w:widowControl/>
              <w:suppressLineNumbers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2 </w:t>
            </w:r>
          </w:p>
        </w:tc>
        <w:tc>
          <w:tcPr>
            <w:tcW w:w="1227" w:type="dxa"/>
            <w:vMerge w:val="continue"/>
            <w:tcBorders>
              <w:left w:val="single" w:color="000000" w:sz="4" w:space="0"/>
              <w:right w:val="single" w:color="000000" w:sz="4" w:space="0"/>
            </w:tcBorders>
            <w:noWrap w:val="0"/>
            <w:vAlign w:val="center"/>
          </w:tcPr>
          <w:p w14:paraId="52865925">
            <w:pPr>
              <w:jc w:val="center"/>
              <w:outlineLvl w:val="9"/>
              <w:rPr>
                <w:rFonts w:hint="eastAsia" w:ascii="宋体" w:hAnsi="宋体" w:eastAsia="宋体" w:cs="宋体"/>
                <w:b w:val="0"/>
                <w:i w:val="0"/>
                <w:iCs w:val="0"/>
                <w:color w:val="auto"/>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21B88E3B">
            <w:pPr>
              <w:keepNext w:val="0"/>
              <w:keepLines w:val="0"/>
              <w:widowControl/>
              <w:suppressLineNumbers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DN100</w:t>
            </w:r>
          </w:p>
        </w:tc>
        <w:tc>
          <w:tcPr>
            <w:tcW w:w="3080" w:type="dxa"/>
            <w:vMerge w:val="continue"/>
            <w:tcBorders>
              <w:left w:val="single" w:color="000000" w:sz="4" w:space="0"/>
              <w:right w:val="single" w:color="000000" w:sz="4" w:space="0"/>
            </w:tcBorders>
            <w:noWrap w:val="0"/>
            <w:vAlign w:val="center"/>
          </w:tcPr>
          <w:p w14:paraId="0F1CB30D">
            <w:pPr>
              <w:jc w:val="left"/>
              <w:outlineLvl w:val="9"/>
              <w:rPr>
                <w:rFonts w:hint="eastAsia" w:ascii="宋体" w:hAnsi="宋体" w:eastAsia="宋体" w:cs="宋体"/>
                <w:b w:val="0"/>
                <w:i w:val="0"/>
                <w:iCs w:val="0"/>
                <w:color w:val="auto"/>
                <w:sz w:val="21"/>
                <w:szCs w:val="21"/>
                <w:highlight w:val="none"/>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2EC3EA9D">
            <w:pPr>
              <w:keepNext w:val="0"/>
              <w:keepLines w:val="0"/>
              <w:widowControl/>
              <w:suppressLineNumbers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74331EA4">
            <w:pPr>
              <w:keepNext w:val="0"/>
              <w:keepLines w:val="0"/>
              <w:widowControl/>
              <w:suppressLineNumbers w:val="0"/>
              <w:autoSpaceDE w:val="0"/>
              <w:autoSpaceDN w:val="0"/>
              <w:adjustRightInd w:val="0"/>
              <w:snapToGrid w:val="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443</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51F4D47">
            <w:pPr>
              <w:keepNext w:val="0"/>
              <w:keepLines w:val="0"/>
              <w:widowControl/>
              <w:suppressLineNumbers w:val="0"/>
              <w:autoSpaceDE w:val="0"/>
              <w:autoSpaceDN w:val="0"/>
              <w:adjustRightInd w:val="0"/>
              <w:snapToGrid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5,663.35  </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14:paraId="0942F4EB">
            <w:pPr>
              <w:keepNext w:val="0"/>
              <w:keepLines w:val="0"/>
              <w:widowControl/>
              <w:suppressLineNumbers w:val="0"/>
              <w:autoSpaceDE w:val="0"/>
              <w:autoSpaceDN w:val="0"/>
              <w:adjustRightInd w:val="0"/>
              <w:snapToGrid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2,508,864.05 </w:t>
            </w:r>
          </w:p>
        </w:tc>
      </w:tr>
      <w:tr w14:paraId="2639B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304FD37F">
            <w:pPr>
              <w:keepNext w:val="0"/>
              <w:keepLines w:val="0"/>
              <w:widowControl/>
              <w:suppressLineNumbers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3 </w:t>
            </w:r>
          </w:p>
        </w:tc>
        <w:tc>
          <w:tcPr>
            <w:tcW w:w="1227" w:type="dxa"/>
            <w:vMerge w:val="continue"/>
            <w:tcBorders>
              <w:left w:val="single" w:color="000000" w:sz="4" w:space="0"/>
              <w:right w:val="single" w:color="000000" w:sz="4" w:space="0"/>
            </w:tcBorders>
            <w:noWrap w:val="0"/>
            <w:vAlign w:val="center"/>
          </w:tcPr>
          <w:p w14:paraId="1DD116C8">
            <w:pPr>
              <w:jc w:val="center"/>
              <w:outlineLvl w:val="9"/>
              <w:rPr>
                <w:rFonts w:hint="eastAsia" w:ascii="宋体" w:hAnsi="宋体" w:eastAsia="宋体" w:cs="宋体"/>
                <w:b w:val="0"/>
                <w:i w:val="0"/>
                <w:iCs w:val="0"/>
                <w:color w:val="auto"/>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35ACB03D">
            <w:pPr>
              <w:keepNext w:val="0"/>
              <w:keepLines w:val="0"/>
              <w:widowControl/>
              <w:suppressLineNumbers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DN150</w:t>
            </w:r>
          </w:p>
        </w:tc>
        <w:tc>
          <w:tcPr>
            <w:tcW w:w="3080" w:type="dxa"/>
            <w:vMerge w:val="continue"/>
            <w:tcBorders>
              <w:left w:val="single" w:color="000000" w:sz="4" w:space="0"/>
              <w:right w:val="single" w:color="000000" w:sz="4" w:space="0"/>
            </w:tcBorders>
            <w:noWrap w:val="0"/>
            <w:vAlign w:val="center"/>
          </w:tcPr>
          <w:p w14:paraId="5C1496E5">
            <w:pPr>
              <w:jc w:val="left"/>
              <w:outlineLvl w:val="9"/>
              <w:rPr>
                <w:rFonts w:hint="eastAsia" w:ascii="宋体" w:hAnsi="宋体" w:eastAsia="宋体" w:cs="宋体"/>
                <w:b w:val="0"/>
                <w:i w:val="0"/>
                <w:iCs w:val="0"/>
                <w:color w:val="auto"/>
                <w:sz w:val="21"/>
                <w:szCs w:val="21"/>
                <w:highlight w:val="none"/>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5B221F41">
            <w:pPr>
              <w:keepNext w:val="0"/>
              <w:keepLines w:val="0"/>
              <w:widowControl/>
              <w:suppressLineNumbers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00E43350">
            <w:pPr>
              <w:keepNext w:val="0"/>
              <w:keepLines w:val="0"/>
              <w:widowControl/>
              <w:suppressLineNumbers w:val="0"/>
              <w:autoSpaceDE w:val="0"/>
              <w:autoSpaceDN w:val="0"/>
              <w:adjustRightInd w:val="0"/>
              <w:snapToGrid w:val="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FF6B19E">
            <w:pPr>
              <w:keepNext w:val="0"/>
              <w:keepLines w:val="0"/>
              <w:widowControl/>
              <w:suppressLineNumbers w:val="0"/>
              <w:autoSpaceDE w:val="0"/>
              <w:autoSpaceDN w:val="0"/>
              <w:adjustRightInd w:val="0"/>
              <w:snapToGrid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6,474.80  </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14:paraId="53779149">
            <w:pPr>
              <w:keepNext w:val="0"/>
              <w:keepLines w:val="0"/>
              <w:widowControl/>
              <w:suppressLineNumbers w:val="0"/>
              <w:autoSpaceDE w:val="0"/>
              <w:autoSpaceDN w:val="0"/>
              <w:adjustRightInd w:val="0"/>
              <w:snapToGrid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653,954.80 </w:t>
            </w:r>
          </w:p>
        </w:tc>
      </w:tr>
      <w:tr w14:paraId="4C4D3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30879FD3">
            <w:pPr>
              <w:keepNext w:val="0"/>
              <w:keepLines w:val="0"/>
              <w:widowControl/>
              <w:suppressLineNumbers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4 </w:t>
            </w:r>
          </w:p>
        </w:tc>
        <w:tc>
          <w:tcPr>
            <w:tcW w:w="1227" w:type="dxa"/>
            <w:vMerge w:val="continue"/>
            <w:tcBorders>
              <w:left w:val="single" w:color="000000" w:sz="4" w:space="0"/>
              <w:right w:val="single" w:color="000000" w:sz="4" w:space="0"/>
            </w:tcBorders>
            <w:noWrap w:val="0"/>
            <w:vAlign w:val="center"/>
          </w:tcPr>
          <w:p w14:paraId="46C28F45">
            <w:pPr>
              <w:jc w:val="center"/>
              <w:outlineLvl w:val="9"/>
              <w:rPr>
                <w:rFonts w:hint="eastAsia" w:ascii="宋体" w:hAnsi="宋体" w:eastAsia="宋体" w:cs="宋体"/>
                <w:b w:val="0"/>
                <w:i w:val="0"/>
                <w:iCs w:val="0"/>
                <w:color w:val="auto"/>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1C9A45F8">
            <w:pPr>
              <w:keepNext w:val="0"/>
              <w:keepLines w:val="0"/>
              <w:widowControl/>
              <w:suppressLineNumbers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DN200</w:t>
            </w:r>
          </w:p>
        </w:tc>
        <w:tc>
          <w:tcPr>
            <w:tcW w:w="3080" w:type="dxa"/>
            <w:vMerge w:val="continue"/>
            <w:tcBorders>
              <w:left w:val="single" w:color="000000" w:sz="4" w:space="0"/>
              <w:right w:val="single" w:color="000000" w:sz="4" w:space="0"/>
            </w:tcBorders>
            <w:noWrap w:val="0"/>
            <w:vAlign w:val="center"/>
          </w:tcPr>
          <w:p w14:paraId="7A233661">
            <w:pPr>
              <w:jc w:val="left"/>
              <w:outlineLvl w:val="9"/>
              <w:rPr>
                <w:rFonts w:hint="eastAsia" w:ascii="宋体" w:hAnsi="宋体" w:eastAsia="宋体" w:cs="宋体"/>
                <w:b w:val="0"/>
                <w:i w:val="0"/>
                <w:iCs w:val="0"/>
                <w:color w:val="auto"/>
                <w:sz w:val="21"/>
                <w:szCs w:val="21"/>
                <w:highlight w:val="none"/>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2C5672FD">
            <w:pPr>
              <w:keepNext w:val="0"/>
              <w:keepLines w:val="0"/>
              <w:widowControl/>
              <w:suppressLineNumbers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751E1057">
            <w:pPr>
              <w:keepNext w:val="0"/>
              <w:keepLines w:val="0"/>
              <w:widowControl/>
              <w:suppressLineNumbers w:val="0"/>
              <w:autoSpaceDE w:val="0"/>
              <w:autoSpaceDN w:val="0"/>
              <w:adjustRightInd w:val="0"/>
              <w:snapToGrid w:val="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65853C9">
            <w:pPr>
              <w:keepNext w:val="0"/>
              <w:keepLines w:val="0"/>
              <w:widowControl/>
              <w:suppressLineNumbers w:val="0"/>
              <w:autoSpaceDE w:val="0"/>
              <w:autoSpaceDN w:val="0"/>
              <w:adjustRightInd w:val="0"/>
              <w:snapToGrid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7,195.45 </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14:paraId="0B311BC2">
            <w:pPr>
              <w:keepNext w:val="0"/>
              <w:keepLines w:val="0"/>
              <w:widowControl/>
              <w:suppressLineNumbers w:val="0"/>
              <w:autoSpaceDE w:val="0"/>
              <w:autoSpaceDN w:val="0"/>
              <w:adjustRightInd w:val="0"/>
              <w:snapToGrid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366,967.95 </w:t>
            </w:r>
          </w:p>
        </w:tc>
      </w:tr>
      <w:tr w14:paraId="14224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7473F042">
            <w:pPr>
              <w:keepNext w:val="0"/>
              <w:keepLines w:val="0"/>
              <w:widowControl/>
              <w:suppressLineNumbers w:val="0"/>
              <w:jc w:val="center"/>
              <w:textAlignment w:val="center"/>
              <w:outlineLvl w:val="9"/>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5</w:t>
            </w:r>
          </w:p>
        </w:tc>
        <w:tc>
          <w:tcPr>
            <w:tcW w:w="1227" w:type="dxa"/>
            <w:vMerge w:val="continue"/>
            <w:tcBorders>
              <w:left w:val="single" w:color="000000" w:sz="4" w:space="0"/>
              <w:right w:val="single" w:color="000000" w:sz="4" w:space="0"/>
            </w:tcBorders>
            <w:noWrap w:val="0"/>
            <w:vAlign w:val="center"/>
          </w:tcPr>
          <w:p w14:paraId="643C2429">
            <w:pPr>
              <w:jc w:val="center"/>
              <w:outlineLvl w:val="9"/>
              <w:rPr>
                <w:rFonts w:hint="eastAsia" w:ascii="宋体" w:hAnsi="宋体" w:eastAsia="宋体" w:cs="宋体"/>
                <w:b w:val="0"/>
                <w:i w:val="0"/>
                <w:iCs w:val="0"/>
                <w:color w:val="auto"/>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71BA716B">
            <w:pPr>
              <w:keepNext w:val="0"/>
              <w:keepLines w:val="0"/>
              <w:widowControl/>
              <w:suppressLineNumbers w:val="0"/>
              <w:jc w:val="center"/>
              <w:textAlignment w:val="center"/>
              <w:outlineLvl w:val="9"/>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DN250</w:t>
            </w:r>
          </w:p>
        </w:tc>
        <w:tc>
          <w:tcPr>
            <w:tcW w:w="3080" w:type="dxa"/>
            <w:vMerge w:val="continue"/>
            <w:tcBorders>
              <w:left w:val="single" w:color="000000" w:sz="4" w:space="0"/>
              <w:right w:val="single" w:color="000000" w:sz="4" w:space="0"/>
            </w:tcBorders>
            <w:noWrap w:val="0"/>
            <w:vAlign w:val="center"/>
          </w:tcPr>
          <w:p w14:paraId="3B4245F7">
            <w:pPr>
              <w:jc w:val="left"/>
              <w:outlineLvl w:val="9"/>
              <w:rPr>
                <w:rFonts w:hint="eastAsia" w:ascii="宋体" w:hAnsi="宋体" w:eastAsia="宋体" w:cs="宋体"/>
                <w:b w:val="0"/>
                <w:i w:val="0"/>
                <w:iCs w:val="0"/>
                <w:color w:val="auto"/>
                <w:sz w:val="21"/>
                <w:szCs w:val="21"/>
                <w:highlight w:val="none"/>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57CF7B3A">
            <w:pPr>
              <w:keepNext w:val="0"/>
              <w:keepLines w:val="0"/>
              <w:widowControl/>
              <w:suppressLineNumbers w:val="0"/>
              <w:jc w:val="center"/>
              <w:textAlignment w:val="center"/>
              <w:outlineLvl w:val="9"/>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1DBB6094">
            <w:pPr>
              <w:keepNext w:val="0"/>
              <w:keepLines w:val="0"/>
              <w:widowControl/>
              <w:suppressLineNumbers w:val="0"/>
              <w:autoSpaceDE w:val="0"/>
              <w:autoSpaceDN w:val="0"/>
              <w:adjustRightInd w:val="0"/>
              <w:snapToGrid w:val="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CE6C774">
            <w:pPr>
              <w:keepNext w:val="0"/>
              <w:keepLines w:val="0"/>
              <w:widowControl/>
              <w:suppressLineNumbers w:val="0"/>
              <w:autoSpaceDE w:val="0"/>
              <w:autoSpaceDN w:val="0"/>
              <w:adjustRightInd w:val="0"/>
              <w:snapToGrid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8,758.02  </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14:paraId="28B49413">
            <w:pPr>
              <w:keepNext w:val="0"/>
              <w:keepLines w:val="0"/>
              <w:widowControl/>
              <w:suppressLineNumbers w:val="0"/>
              <w:autoSpaceDE w:val="0"/>
              <w:autoSpaceDN w:val="0"/>
              <w:adjustRightInd w:val="0"/>
              <w:snapToGrid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35,032.08</w:t>
            </w:r>
          </w:p>
        </w:tc>
      </w:tr>
      <w:tr w14:paraId="0D2E1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48267327">
            <w:pPr>
              <w:keepNext w:val="0"/>
              <w:keepLines w:val="0"/>
              <w:widowControl/>
              <w:suppressLineNumbers w:val="0"/>
              <w:jc w:val="center"/>
              <w:textAlignment w:val="center"/>
              <w:outlineLvl w:val="9"/>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6</w:t>
            </w:r>
          </w:p>
        </w:tc>
        <w:tc>
          <w:tcPr>
            <w:tcW w:w="1227" w:type="dxa"/>
            <w:vMerge w:val="continue"/>
            <w:tcBorders>
              <w:left w:val="single" w:color="000000" w:sz="4" w:space="0"/>
              <w:bottom w:val="single" w:color="000000" w:sz="4" w:space="0"/>
              <w:right w:val="single" w:color="000000" w:sz="4" w:space="0"/>
            </w:tcBorders>
            <w:noWrap w:val="0"/>
            <w:vAlign w:val="center"/>
          </w:tcPr>
          <w:p w14:paraId="7C6B3612">
            <w:pPr>
              <w:jc w:val="center"/>
              <w:outlineLvl w:val="9"/>
              <w:rPr>
                <w:rFonts w:hint="eastAsia" w:ascii="宋体" w:hAnsi="宋体" w:eastAsia="宋体" w:cs="宋体"/>
                <w:b w:val="0"/>
                <w:i w:val="0"/>
                <w:iCs w:val="0"/>
                <w:color w:val="auto"/>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0AF2A7BC">
            <w:pPr>
              <w:keepNext w:val="0"/>
              <w:keepLines w:val="0"/>
              <w:widowControl/>
              <w:suppressLineNumbers w:val="0"/>
              <w:jc w:val="center"/>
              <w:textAlignment w:val="center"/>
              <w:outlineLvl w:val="9"/>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DN300</w:t>
            </w:r>
          </w:p>
        </w:tc>
        <w:tc>
          <w:tcPr>
            <w:tcW w:w="3080" w:type="dxa"/>
            <w:vMerge w:val="continue"/>
            <w:tcBorders>
              <w:left w:val="single" w:color="000000" w:sz="4" w:space="0"/>
              <w:bottom w:val="single" w:color="000000" w:sz="4" w:space="0"/>
              <w:right w:val="single" w:color="000000" w:sz="4" w:space="0"/>
            </w:tcBorders>
            <w:noWrap w:val="0"/>
            <w:vAlign w:val="center"/>
          </w:tcPr>
          <w:p w14:paraId="7D021AF6">
            <w:pPr>
              <w:jc w:val="left"/>
              <w:outlineLvl w:val="9"/>
              <w:rPr>
                <w:rFonts w:hint="eastAsia" w:ascii="宋体" w:hAnsi="宋体" w:eastAsia="宋体" w:cs="宋体"/>
                <w:b w:val="0"/>
                <w:i w:val="0"/>
                <w:iCs w:val="0"/>
                <w:color w:val="auto"/>
                <w:sz w:val="21"/>
                <w:szCs w:val="21"/>
                <w:highlight w:val="none"/>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043553EB">
            <w:pPr>
              <w:keepNext w:val="0"/>
              <w:keepLines w:val="0"/>
              <w:widowControl/>
              <w:suppressLineNumbers w:val="0"/>
              <w:jc w:val="center"/>
              <w:textAlignment w:val="center"/>
              <w:outlineLvl w:val="9"/>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22979202">
            <w:pPr>
              <w:keepNext w:val="0"/>
              <w:keepLines w:val="0"/>
              <w:widowControl/>
              <w:suppressLineNumbers w:val="0"/>
              <w:autoSpaceDE w:val="0"/>
              <w:autoSpaceDN w:val="0"/>
              <w:adjustRightInd w:val="0"/>
              <w:snapToGrid w:val="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37</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D8237B1">
            <w:pPr>
              <w:keepNext w:val="0"/>
              <w:keepLines w:val="0"/>
              <w:widowControl/>
              <w:suppressLineNumbers w:val="0"/>
              <w:autoSpaceDE w:val="0"/>
              <w:autoSpaceDN w:val="0"/>
              <w:adjustRightInd w:val="0"/>
              <w:snapToGrid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9,662.91  </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14:paraId="58BBBBF9">
            <w:pPr>
              <w:keepNext w:val="0"/>
              <w:keepLines w:val="0"/>
              <w:widowControl/>
              <w:suppressLineNumbers w:val="0"/>
              <w:autoSpaceDE w:val="0"/>
              <w:autoSpaceDN w:val="0"/>
              <w:adjustRightInd w:val="0"/>
              <w:snapToGrid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357,527.67</w:t>
            </w:r>
          </w:p>
        </w:tc>
      </w:tr>
      <w:tr w14:paraId="54A7E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0276D108">
            <w:pPr>
              <w:keepNext w:val="0"/>
              <w:keepLines w:val="0"/>
              <w:widowControl/>
              <w:suppressLineNumbers w:val="0"/>
              <w:jc w:val="center"/>
              <w:textAlignment w:val="center"/>
              <w:outlineLvl w:val="9"/>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汇总</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58C93DC5">
            <w:pPr>
              <w:jc w:val="center"/>
              <w:outlineLvl w:val="9"/>
              <w:rPr>
                <w:rFonts w:hint="eastAsia" w:ascii="宋体" w:hAnsi="宋体" w:eastAsia="宋体" w:cs="宋体"/>
                <w:b w:val="0"/>
                <w:bCs/>
                <w:i w:val="0"/>
                <w:iCs w:val="0"/>
                <w:color w:val="auto"/>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566352AC">
            <w:pPr>
              <w:jc w:val="left"/>
              <w:outlineLvl w:val="9"/>
              <w:rPr>
                <w:rFonts w:hint="eastAsia" w:ascii="宋体" w:hAnsi="宋体" w:eastAsia="宋体" w:cs="宋体"/>
                <w:b w:val="0"/>
                <w:bCs/>
                <w:i w:val="0"/>
                <w:iCs w:val="0"/>
                <w:color w:val="auto"/>
                <w:sz w:val="21"/>
                <w:szCs w:val="21"/>
                <w:highlight w:val="none"/>
                <w:u w:val="none"/>
              </w:rPr>
            </w:pPr>
          </w:p>
        </w:tc>
        <w:tc>
          <w:tcPr>
            <w:tcW w:w="3080" w:type="dxa"/>
            <w:tcBorders>
              <w:top w:val="single" w:color="000000" w:sz="4" w:space="0"/>
              <w:left w:val="single" w:color="000000" w:sz="4" w:space="0"/>
              <w:bottom w:val="single" w:color="000000" w:sz="4" w:space="0"/>
              <w:right w:val="single" w:color="000000" w:sz="4" w:space="0"/>
            </w:tcBorders>
            <w:noWrap w:val="0"/>
            <w:vAlign w:val="center"/>
          </w:tcPr>
          <w:p w14:paraId="483D9E92">
            <w:pPr>
              <w:jc w:val="left"/>
              <w:outlineLvl w:val="9"/>
              <w:rPr>
                <w:rFonts w:hint="eastAsia" w:ascii="宋体" w:hAnsi="宋体" w:eastAsia="宋体" w:cs="宋体"/>
                <w:b w:val="0"/>
                <w:bCs/>
                <w:i w:val="0"/>
                <w:iCs w:val="0"/>
                <w:color w:val="auto"/>
                <w:sz w:val="21"/>
                <w:szCs w:val="21"/>
                <w:highlight w:val="none"/>
                <w:u w:val="none"/>
              </w:rPr>
            </w:pP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3DDCB5D8">
            <w:pPr>
              <w:jc w:val="center"/>
              <w:outlineLvl w:val="9"/>
              <w:rPr>
                <w:rFonts w:hint="eastAsia" w:ascii="宋体" w:hAnsi="宋体" w:eastAsia="宋体" w:cs="宋体"/>
                <w:b w:val="0"/>
                <w:bCs/>
                <w:i w:val="0"/>
                <w:iCs w:val="0"/>
                <w:color w:val="auto"/>
                <w:sz w:val="21"/>
                <w:szCs w:val="21"/>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ign w:val="center"/>
          </w:tcPr>
          <w:p w14:paraId="7F23B35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rightChars="0" w:firstLine="0" w:firstLineChars="0"/>
              <w:jc w:val="center"/>
              <w:textAlignment w:val="center"/>
              <w:rPr>
                <w:rFonts w:hint="default" w:ascii="宋体" w:hAnsi="宋体" w:eastAsia="宋体" w:cs="宋体"/>
                <w:b w:val="0"/>
                <w:bCs/>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1040</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65E790FC">
            <w:pPr>
              <w:jc w:val="center"/>
              <w:outlineLvl w:val="9"/>
              <w:rPr>
                <w:rFonts w:hint="eastAsia" w:ascii="宋体" w:hAnsi="宋体" w:eastAsia="宋体" w:cs="宋体"/>
                <w:b w:val="0"/>
                <w:bCs/>
                <w:i w:val="0"/>
                <w:iCs w:val="0"/>
                <w:color w:val="auto"/>
                <w:sz w:val="21"/>
                <w:szCs w:val="21"/>
                <w:highlight w:val="none"/>
                <w:u w:val="none"/>
              </w:rPr>
            </w:pP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518E578D">
            <w:pPr>
              <w:keepNext w:val="0"/>
              <w:keepLines w:val="0"/>
              <w:widowControl/>
              <w:suppressLineNumbers w:val="0"/>
              <w:jc w:val="center"/>
              <w:textAlignment w:val="center"/>
              <w:outlineLvl w:val="9"/>
              <w:rPr>
                <w:rFonts w:hint="default" w:ascii="宋体" w:hAnsi="宋体" w:eastAsia="宋体" w:cs="宋体"/>
                <w:b w:val="0"/>
                <w:bCs/>
                <w:i w:val="0"/>
                <w:iCs w:val="0"/>
                <w:color w:val="auto"/>
                <w:sz w:val="21"/>
                <w:szCs w:val="21"/>
                <w:highlight w:val="none"/>
                <w:u w:val="none"/>
                <w:lang w:val="en-US" w:eastAsia="zh-CN"/>
              </w:rPr>
            </w:pPr>
            <w:r>
              <w:rPr>
                <w:rFonts w:hint="default" w:ascii="宋体" w:hAnsi="宋体" w:eastAsia="宋体" w:cs="宋体"/>
                <w:b w:val="0"/>
                <w:bCs/>
                <w:i w:val="0"/>
                <w:iCs w:val="0"/>
                <w:color w:val="auto"/>
                <w:sz w:val="21"/>
                <w:szCs w:val="21"/>
                <w:highlight w:val="none"/>
                <w:u w:val="none"/>
                <w:lang w:val="en-US" w:eastAsia="zh-CN"/>
              </w:rPr>
              <w:t>6</w:t>
            </w:r>
            <w:r>
              <w:rPr>
                <w:rFonts w:hint="eastAsia" w:ascii="宋体" w:hAnsi="宋体" w:eastAsia="宋体" w:cs="宋体"/>
                <w:b w:val="0"/>
                <w:bCs/>
                <w:i w:val="0"/>
                <w:iCs w:val="0"/>
                <w:color w:val="auto"/>
                <w:sz w:val="21"/>
                <w:szCs w:val="21"/>
                <w:highlight w:val="none"/>
                <w:u w:val="none"/>
                <w:lang w:val="en-US" w:eastAsia="zh-CN"/>
              </w:rPr>
              <w:t>,</w:t>
            </w:r>
            <w:r>
              <w:rPr>
                <w:rFonts w:hint="default" w:ascii="宋体" w:hAnsi="宋体" w:eastAsia="宋体" w:cs="宋体"/>
                <w:b w:val="0"/>
                <w:bCs/>
                <w:i w:val="0"/>
                <w:iCs w:val="0"/>
                <w:color w:val="auto"/>
                <w:sz w:val="21"/>
                <w:szCs w:val="21"/>
                <w:highlight w:val="none"/>
                <w:u w:val="none"/>
                <w:lang w:val="en-US" w:eastAsia="zh-CN"/>
              </w:rPr>
              <w:t>100</w:t>
            </w:r>
            <w:r>
              <w:rPr>
                <w:rFonts w:hint="eastAsia" w:ascii="宋体" w:hAnsi="宋体" w:eastAsia="宋体" w:cs="宋体"/>
                <w:b w:val="0"/>
                <w:bCs/>
                <w:i w:val="0"/>
                <w:iCs w:val="0"/>
                <w:color w:val="auto"/>
                <w:sz w:val="21"/>
                <w:szCs w:val="21"/>
                <w:highlight w:val="none"/>
                <w:u w:val="none"/>
                <w:lang w:val="en-US" w:eastAsia="zh-CN"/>
              </w:rPr>
              <w:t>,</w:t>
            </w:r>
            <w:r>
              <w:rPr>
                <w:rFonts w:hint="default" w:ascii="宋体" w:hAnsi="宋体" w:eastAsia="宋体" w:cs="宋体"/>
                <w:b w:val="0"/>
                <w:bCs/>
                <w:i w:val="0"/>
                <w:iCs w:val="0"/>
                <w:color w:val="auto"/>
                <w:sz w:val="21"/>
                <w:szCs w:val="21"/>
                <w:highlight w:val="none"/>
                <w:u w:val="none"/>
                <w:lang w:val="en-US" w:eastAsia="zh-CN"/>
              </w:rPr>
              <w:t xml:space="preserve">157.03 </w:t>
            </w:r>
          </w:p>
        </w:tc>
      </w:tr>
    </w:tbl>
    <w:p w14:paraId="64ECD946">
      <w:pPr>
        <w:rPr>
          <w:highlight w:val="none"/>
        </w:rPr>
      </w:pPr>
    </w:p>
    <w:p w14:paraId="67A1797D">
      <w:pPr>
        <w:keepNext w:val="0"/>
        <w:keepLines w:val="0"/>
        <w:pageBreakBefore w:val="0"/>
        <w:kinsoku/>
        <w:wordWrap/>
        <w:overflowPunct/>
        <w:topLinePunct w:val="0"/>
        <w:bidi w:val="0"/>
        <w:outlineLvl w:val="9"/>
        <w:rPr>
          <w:color w:val="auto"/>
          <w:highlight w:val="none"/>
        </w:rPr>
      </w:pPr>
    </w:p>
    <w:p w14:paraId="0EB3E5E6">
      <w:pPr>
        <w:rPr>
          <w:highlight w:val="none"/>
        </w:rPr>
      </w:pPr>
    </w:p>
    <w:bookmarkEnd w:id="406"/>
    <w:bookmarkEnd w:id="407"/>
    <w:p w14:paraId="6105B0DE">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534" w:name="_Toc32534"/>
      <w:bookmarkStart w:id="535" w:name="_Toc28366"/>
      <w:bookmarkStart w:id="536" w:name="_Toc19477"/>
      <w:bookmarkStart w:id="537" w:name="_Toc450662892"/>
      <w:bookmarkStart w:id="538" w:name="_Toc486167707"/>
      <w:bookmarkStart w:id="539" w:name="_Toc11281_WPSOffice_Level1"/>
      <w:bookmarkStart w:id="540" w:name="_Toc7731"/>
      <w:bookmarkStart w:id="541" w:name="_Toc4351"/>
      <w:bookmarkStart w:id="542" w:name="_Toc142508359"/>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534"/>
      <w:bookmarkEnd w:id="535"/>
    </w:p>
    <w:p w14:paraId="5A3F5D5B">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26417021">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7629CA50">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2D11093B">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val="en-US" w:eastAsia="zh-CN"/>
        </w:rPr>
        <w:t>东莞市供水计量设施更新项目（2026-2027年计量仪表)</w:t>
      </w:r>
      <w:r>
        <w:rPr>
          <w:rFonts w:hint="eastAsia" w:ascii="宋体" w:hAnsi="宋体" w:eastAsia="宋体" w:cs="Times New Roman"/>
          <w:b/>
          <w:color w:val="auto"/>
          <w:kern w:val="0"/>
          <w:sz w:val="52"/>
          <w:szCs w:val="96"/>
          <w:highlight w:val="none"/>
          <w:lang w:eastAsia="zh-CN"/>
        </w:rPr>
        <w:t>－电磁水表</w:t>
      </w:r>
    </w:p>
    <w:p w14:paraId="08AB687D">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14:paraId="1D8585D8">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062CB620">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w:t>
      </w:r>
      <w:r>
        <w:rPr>
          <w:rFonts w:hint="eastAsia" w:ascii="宋体" w:hAnsi="宋体" w:eastAsia="宋体" w:cs="Times New Roman"/>
          <w:b/>
          <w:bCs/>
          <w:color w:val="auto"/>
          <w:kern w:val="0"/>
          <w:sz w:val="24"/>
          <w:szCs w:val="21"/>
          <w:highlight w:val="none"/>
          <w:lang w:val="en-US" w:eastAsia="zh-CN"/>
        </w:rPr>
        <w:t xml:space="preserve">    </w:t>
      </w:r>
      <w:r>
        <w:rPr>
          <w:rFonts w:hint="eastAsia" w:ascii="宋体" w:hAnsi="宋体" w:eastAsia="宋体" w:cs="Times New Roman"/>
          <w:b/>
          <w:bCs/>
          <w:color w:val="auto"/>
          <w:kern w:val="0"/>
          <w:sz w:val="24"/>
          <w:szCs w:val="21"/>
          <w:highlight w:val="none"/>
        </w:rPr>
        <w:t>）</w:t>
      </w:r>
    </w:p>
    <w:p w14:paraId="52BBC5D5">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43D0A633">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63BAB7EB">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55BF6A81">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3DD23E8A">
      <w:pPr>
        <w:autoSpaceDE w:val="0"/>
        <w:autoSpaceDN w:val="0"/>
        <w:adjustRightInd w:val="0"/>
        <w:spacing w:line="480" w:lineRule="auto"/>
        <w:ind w:left="0" w:leftChars="0" w:firstLine="2327" w:firstLineChars="828"/>
        <w:jc w:val="left"/>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lang w:eastAsia="zh-CN"/>
        </w:rPr>
        <w:t>东莞市水务环境投资控股集团供水有限公司</w:t>
      </w:r>
      <w:r>
        <w:rPr>
          <w:rFonts w:hint="eastAsia" w:ascii="宋体" w:hAnsi="宋体" w:eastAsia="宋体" w:cs="Times New Roman"/>
          <w:b/>
          <w:bCs/>
          <w:color w:val="auto"/>
          <w:kern w:val="0"/>
          <w:sz w:val="28"/>
          <w:szCs w:val="28"/>
          <w:highlight w:val="none"/>
          <w:u w:val="single"/>
        </w:rPr>
        <w:t xml:space="preserve"> </w:t>
      </w:r>
      <w:r>
        <w:rPr>
          <w:rFonts w:ascii="宋体" w:hAnsi="宋体" w:eastAsia="宋体" w:cs="Times New Roman"/>
          <w:b/>
          <w:bCs/>
          <w:color w:val="auto"/>
          <w:kern w:val="0"/>
          <w:sz w:val="28"/>
          <w:szCs w:val="28"/>
          <w:highlight w:val="none"/>
        </w:rPr>
        <w:t xml:space="preserve"> </w:t>
      </w:r>
    </w:p>
    <w:p w14:paraId="709CE95B">
      <w:pPr>
        <w:autoSpaceDE w:val="0"/>
        <w:autoSpaceDN w:val="0"/>
        <w:adjustRightInd w:val="0"/>
        <w:spacing w:line="480" w:lineRule="auto"/>
        <w:ind w:left="0" w:leftChars="0" w:firstLine="2327" w:firstLineChars="828"/>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71E5647F">
      <w:pPr>
        <w:autoSpaceDE w:val="0"/>
        <w:autoSpaceDN w:val="0"/>
        <w:adjustRightInd w:val="0"/>
        <w:spacing w:line="360" w:lineRule="auto"/>
        <w:ind w:left="0" w:leftChars="0" w:firstLine="2327" w:firstLineChars="828"/>
        <w:jc w:val="left"/>
        <w:rPr>
          <w:rFonts w:ascii="宋体" w:hAnsi="宋体" w:eastAsia="宋体" w:cs="宋体"/>
          <w:b/>
          <w:bCs/>
          <w:color w:val="auto"/>
          <w:kern w:val="0"/>
          <w:sz w:val="28"/>
          <w:szCs w:val="28"/>
          <w:highlight w:val="none"/>
        </w:rPr>
      </w:pPr>
    </w:p>
    <w:p w14:paraId="69610F35">
      <w:pPr>
        <w:autoSpaceDE w:val="0"/>
        <w:autoSpaceDN w:val="0"/>
        <w:adjustRightInd w:val="0"/>
        <w:spacing w:line="360" w:lineRule="auto"/>
        <w:ind w:left="0" w:leftChars="0" w:firstLine="2327" w:firstLineChars="828"/>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6FF2251D">
      <w:pPr>
        <w:autoSpaceDE w:val="0"/>
        <w:autoSpaceDN w:val="0"/>
        <w:adjustRightInd w:val="0"/>
        <w:jc w:val="left"/>
        <w:rPr>
          <w:rFonts w:ascii="宋体" w:hAnsi="宋体" w:eastAsia="宋体" w:cs="宋体"/>
          <w:b/>
          <w:bCs/>
          <w:color w:val="auto"/>
          <w:kern w:val="0"/>
          <w:sz w:val="28"/>
          <w:szCs w:val="28"/>
          <w:highlight w:val="none"/>
        </w:rPr>
      </w:pPr>
    </w:p>
    <w:p w14:paraId="4742DC6D">
      <w:pPr>
        <w:rPr>
          <w:rFonts w:ascii="宋体" w:hAnsi="宋体" w:eastAsia="宋体" w:cs="宋体"/>
          <w:b/>
          <w:bCs/>
          <w:color w:val="auto"/>
          <w:kern w:val="0"/>
          <w:sz w:val="28"/>
          <w:szCs w:val="28"/>
          <w:highlight w:val="none"/>
        </w:rPr>
      </w:pPr>
      <w:r>
        <w:rPr>
          <w:rFonts w:ascii="宋体" w:hAnsi="宋体" w:eastAsia="宋体" w:cs="宋体"/>
          <w:b/>
          <w:bCs/>
          <w:color w:val="auto"/>
          <w:kern w:val="0"/>
          <w:sz w:val="28"/>
          <w:szCs w:val="28"/>
          <w:highlight w:val="none"/>
        </w:rPr>
        <w:br w:type="page"/>
      </w:r>
    </w:p>
    <w:p w14:paraId="0465A985">
      <w:pPr>
        <w:pStyle w:val="34"/>
        <w:spacing w:before="0" w:after="0" w:line="360" w:lineRule="auto"/>
        <w:rPr>
          <w:rFonts w:hint="eastAsia" w:eastAsia="宋体" w:cs="宋体"/>
          <w:sz w:val="21"/>
          <w:szCs w:val="21"/>
          <w:highlight w:val="none"/>
          <w:lang w:eastAsia="zh-CN"/>
        </w:rPr>
      </w:pPr>
      <w:r>
        <w:rPr>
          <w:rFonts w:hint="eastAsia" w:eastAsia="宋体" w:cs="宋体"/>
          <w:sz w:val="21"/>
          <w:szCs w:val="21"/>
          <w:highlight w:val="none"/>
        </w:rPr>
        <w:t>甲方：</w:t>
      </w:r>
      <w:r>
        <w:rPr>
          <w:rFonts w:hint="eastAsia" w:eastAsia="宋体" w:cs="宋体"/>
          <w:sz w:val="21"/>
          <w:szCs w:val="21"/>
          <w:highlight w:val="none"/>
          <w:lang w:eastAsia="zh-CN"/>
        </w:rPr>
        <w:t>东莞市水务环境投资控股集团供水有限公司</w:t>
      </w:r>
    </w:p>
    <w:p w14:paraId="3B6BF8FE">
      <w:pPr>
        <w:pStyle w:val="34"/>
        <w:spacing w:before="0" w:after="0" w:line="360" w:lineRule="auto"/>
        <w:rPr>
          <w:rFonts w:eastAsia="宋体" w:cs="宋体"/>
          <w:sz w:val="21"/>
          <w:szCs w:val="21"/>
          <w:highlight w:val="none"/>
        </w:rPr>
      </w:pPr>
      <w:r>
        <w:rPr>
          <w:rFonts w:hint="eastAsia" w:eastAsia="宋体" w:cs="宋体"/>
          <w:sz w:val="21"/>
          <w:szCs w:val="21"/>
          <w:highlight w:val="none"/>
        </w:rPr>
        <w:t>乙方：</w:t>
      </w:r>
    </w:p>
    <w:p w14:paraId="1DAAE304">
      <w:pPr>
        <w:keepNext w:val="0"/>
        <w:keepLines w:val="0"/>
        <w:pageBreakBefore w:val="0"/>
        <w:widowControl w:val="0"/>
        <w:kinsoku/>
        <w:wordWrap/>
        <w:overflowPunct/>
        <w:topLinePunct w:val="0"/>
        <w:bidi w:val="0"/>
        <w:adjustRightInd w:val="0"/>
        <w:snapToGrid w:val="0"/>
        <w:spacing w:line="360" w:lineRule="auto"/>
        <w:ind w:right="0"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日公示的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项目中标结果（招标编号：</w:t>
      </w:r>
      <w:r>
        <w:rPr>
          <w:rFonts w:hint="eastAsia" w:ascii="宋体" w:hAnsi="宋体" w:eastAsia="宋体" w:cs="宋体"/>
          <w:color w:val="auto"/>
          <w:sz w:val="21"/>
          <w:szCs w:val="21"/>
          <w:highlight w:val="none"/>
          <w:u w:val="single"/>
          <w:lang w:val="en-US" w:eastAsia="zh-CN"/>
        </w:rPr>
        <w:t xml:space="preserve">           ，下称项目</w:t>
      </w:r>
      <w:r>
        <w:rPr>
          <w:rFonts w:hint="eastAsia" w:ascii="宋体" w:hAnsi="宋体" w:eastAsia="宋体" w:cs="宋体"/>
          <w:color w:val="auto"/>
          <w:sz w:val="21"/>
          <w:szCs w:val="21"/>
          <w:highlight w:val="none"/>
        </w:rPr>
        <w:t>）和招标文件的要求，经双方协商一致，签订本合同。</w:t>
      </w:r>
    </w:p>
    <w:p w14:paraId="26F7F887">
      <w:pPr>
        <w:keepNext w:val="0"/>
        <w:keepLines w:val="0"/>
        <w:pageBreakBefore w:val="0"/>
        <w:widowControl w:val="0"/>
        <w:kinsoku/>
        <w:wordWrap/>
        <w:overflowPunct/>
        <w:topLinePunct w:val="0"/>
        <w:bidi w:val="0"/>
        <w:adjustRightInd w:val="0"/>
        <w:snapToGrid w:val="0"/>
        <w:spacing w:line="360" w:lineRule="auto"/>
        <w:ind w:right="0" w:firstLine="373" w:firstLineChars="177"/>
        <w:rPr>
          <w:rFonts w:hint="eastAsia" w:ascii="宋体" w:hAnsi="宋体" w:eastAsia="宋体" w:cs="宋体"/>
          <w:b/>
          <w:color w:val="auto"/>
          <w:sz w:val="21"/>
          <w:szCs w:val="21"/>
          <w:highlight w:val="none"/>
        </w:rPr>
      </w:pPr>
    </w:p>
    <w:p w14:paraId="00E5655C">
      <w:pPr>
        <w:adjustRightInd w:val="0"/>
        <w:snapToGrid w:val="0"/>
        <w:spacing w:line="360" w:lineRule="auto"/>
        <w:ind w:firstLine="373" w:firstLineChars="177"/>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第一条 合同项目</w:t>
      </w:r>
    </w:p>
    <w:p w14:paraId="74DD51EE">
      <w:pPr>
        <w:adjustRightInd w:val="0"/>
        <w:snapToGrid w:val="0"/>
        <w:spacing w:line="360" w:lineRule="auto"/>
        <w:ind w:firstLine="371" w:firstLineChars="177"/>
        <w:rPr>
          <w:rFonts w:hint="default" w:ascii="宋体" w:hAnsi="宋体" w:eastAsia="宋体" w:cs="宋体"/>
          <w:color w:val="auto"/>
          <w:szCs w:val="21"/>
          <w:highlight w:val="none"/>
          <w:lang w:val="en-US" w:eastAsia="zh-CN"/>
        </w:rPr>
      </w:pPr>
      <w:r>
        <w:rPr>
          <w:rFonts w:hint="eastAsia" w:ascii="宋体" w:hAnsi="宋体" w:eastAsia="宋体" w:cs="Times New Roman"/>
          <w:color w:val="auto"/>
          <w:szCs w:val="21"/>
          <w:highlight w:val="none"/>
          <w:lang w:val="en-US" w:eastAsia="zh-CN"/>
        </w:rPr>
        <w:t>1、合同采购清单：详见本合同附件2《采购清单》。乙方知悉并同意：《采购清单》中的采购数量为暂定数量，仅为便于计算合同暂定价使用，不作为甲方最终采购数量的保证。甲方的最终采购数量按乙方实际交付并经验收合格的数量统计</w:t>
      </w:r>
      <w:r>
        <w:rPr>
          <w:rFonts w:hint="eastAsia" w:ascii="Times New Roman" w:hAnsi="Times New Roman" w:eastAsia="宋体" w:cs="Times New Roman"/>
          <w:color w:val="auto"/>
          <w:szCs w:val="21"/>
          <w:highlight w:val="none"/>
          <w:lang w:eastAsia="zh-CN"/>
        </w:rPr>
        <w:t>。</w:t>
      </w:r>
    </w:p>
    <w:p w14:paraId="3FDFC52A">
      <w:pPr>
        <w:adjustRightInd w:val="0"/>
        <w:snapToGrid w:val="0"/>
        <w:spacing w:line="360" w:lineRule="auto"/>
        <w:ind w:firstLine="371" w:firstLineChars="177"/>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eastAsia="zh-CN"/>
        </w:rPr>
        <w:t>2、合同期和供货期：合同期限2年，自本合同签订之日起计。合同期内，甲方根据采购需求和东莞市的法定计量检定机构的水表检定能力分批次下达《供货通知单》，乙方分批次供货。每批次货物的供货期（即该批次货物从订货到交付并验收合格期间）以《供货通知单》载明为准，甲方有权根据东莞市的法定计量检定机构的水表检定能力决定是否延长该批次货物的供货期</w:t>
      </w:r>
      <w:r>
        <w:rPr>
          <w:rFonts w:hint="eastAsia" w:ascii="宋体" w:hAnsi="宋体" w:eastAsia="宋体" w:cs="宋体"/>
          <w:color w:val="auto"/>
          <w:kern w:val="2"/>
          <w:sz w:val="21"/>
          <w:szCs w:val="21"/>
          <w:highlight w:val="none"/>
          <w:lang w:val="en-US"/>
        </w:rPr>
        <w:t>。</w:t>
      </w:r>
    </w:p>
    <w:p w14:paraId="330F1692">
      <w:pPr>
        <w:adjustRightInd w:val="0"/>
        <w:snapToGrid w:val="0"/>
        <w:spacing w:line="360" w:lineRule="auto"/>
        <w:ind w:firstLine="373" w:firstLineChars="177"/>
        <w:outlineLvl w:val="9"/>
        <w:rPr>
          <w:rFonts w:hint="eastAsia" w:ascii="宋体" w:hAnsi="宋体" w:eastAsia="宋体" w:cs="Times New Roman"/>
          <w:b/>
          <w:color w:val="auto"/>
          <w:szCs w:val="21"/>
          <w:highlight w:val="none"/>
        </w:rPr>
      </w:pPr>
    </w:p>
    <w:p w14:paraId="2A00C93F">
      <w:pPr>
        <w:adjustRightInd w:val="0"/>
        <w:snapToGrid w:val="0"/>
        <w:spacing w:line="360" w:lineRule="auto"/>
        <w:ind w:firstLine="373" w:firstLineChars="177"/>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第二条 合同价</w:t>
      </w:r>
    </w:p>
    <w:p w14:paraId="3C387383">
      <w:pPr>
        <w:widowControl w:val="0"/>
        <w:tabs>
          <w:tab w:val="left" w:pos="0"/>
        </w:tabs>
        <w:adjustRightInd w:val="0"/>
        <w:snapToGrid w:val="0"/>
        <w:spacing w:line="360" w:lineRule="auto"/>
        <w:ind w:firstLine="420"/>
        <w:jc w:val="both"/>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1、本合同价采用折扣系数作为计价模式，根据项目中标通知书，本项目执行的折扣系数为：</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w:t>
      </w:r>
    </w:p>
    <w:p w14:paraId="7FCEE085">
      <w:pPr>
        <w:widowControl w:val="0"/>
        <w:tabs>
          <w:tab w:val="left" w:pos="0"/>
        </w:tabs>
        <w:adjustRightInd w:val="0"/>
        <w:snapToGrid w:val="0"/>
        <w:spacing w:line="360" w:lineRule="auto"/>
        <w:ind w:firstLine="420"/>
        <w:jc w:val="both"/>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w:t>
      </w:r>
      <w:r>
        <w:rPr>
          <w:rFonts w:hint="eastAsia" w:ascii="Times New Roman" w:hAnsi="Times New Roman" w:eastAsia="宋体" w:cs="Times New Roman"/>
          <w:color w:val="auto"/>
          <w:szCs w:val="21"/>
          <w:highlight w:val="none"/>
          <w:lang w:val="en-US" w:eastAsia="zh-CN"/>
        </w:rPr>
        <w:t>每批次不含税合价=该批次验收合格的货物</w:t>
      </w:r>
      <w:r>
        <w:rPr>
          <w:rFonts w:hint="eastAsia" w:ascii="宋体" w:hAnsi="宋体" w:eastAsia="宋体" w:cs="宋体"/>
          <w:color w:val="auto"/>
          <w:kern w:val="2"/>
          <w:sz w:val="21"/>
          <w:szCs w:val="21"/>
          <w:highlight w:val="none"/>
          <w:lang w:val="en-US" w:eastAsia="zh-CN" w:bidi="ar-SA"/>
        </w:rPr>
        <w:t>数量</w:t>
      </w:r>
      <w:r>
        <w:rPr>
          <w:rFonts w:hint="eastAsia" w:ascii="宋体" w:hAnsi="宋体" w:eastAsia="宋体" w:cs="Times New Roman"/>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不含税中标综合单价</w:t>
      </w:r>
      <w:r>
        <w:rPr>
          <w:rFonts w:hint="eastAsia" w:ascii="宋体" w:hAnsi="宋体" w:eastAsia="宋体" w:cs="Times New Roman"/>
          <w:color w:val="auto"/>
          <w:kern w:val="2"/>
          <w:sz w:val="21"/>
          <w:szCs w:val="21"/>
          <w:highlight w:val="none"/>
          <w:lang w:val="en-US" w:eastAsia="zh-CN" w:bidi="ar-SA"/>
        </w:rPr>
        <w:t>。其中，不含税中标综合单价</w:t>
      </w:r>
      <w:r>
        <w:rPr>
          <w:rFonts w:hint="default" w:ascii="宋体" w:hAnsi="宋体" w:eastAsia="宋体" w:cs="Times New Roman"/>
          <w:color w:val="auto"/>
          <w:kern w:val="2"/>
          <w:sz w:val="21"/>
          <w:szCs w:val="21"/>
          <w:highlight w:val="none"/>
          <w:lang w:val="en-US" w:eastAsia="zh-CN" w:bidi="ar-SA"/>
        </w:rPr>
        <w:t>=《用户需求书》附件《预算表》载明的对应规格水表</w:t>
      </w:r>
      <w:r>
        <w:rPr>
          <w:rFonts w:hint="eastAsia" w:ascii="宋体" w:hAnsi="宋体" w:eastAsia="宋体" w:cs="Times New Roman"/>
          <w:color w:val="auto"/>
          <w:kern w:val="2"/>
          <w:sz w:val="21"/>
          <w:szCs w:val="21"/>
          <w:highlight w:val="none"/>
          <w:lang w:val="en-US" w:eastAsia="zh-CN" w:bidi="ar-SA"/>
        </w:rPr>
        <w:t>不含税预算综合单价×中标折扣系数。不含税中标综合单价出现小数点的，保留小数点后两位，从小数点后第3位四舍五入。</w:t>
      </w:r>
    </w:p>
    <w:p w14:paraId="2092123F">
      <w:pPr>
        <w:widowControl w:val="0"/>
        <w:tabs>
          <w:tab w:val="left" w:pos="0"/>
        </w:tabs>
        <w:adjustRightInd w:val="0"/>
        <w:snapToGrid w:val="0"/>
        <w:spacing w:line="360" w:lineRule="auto"/>
        <w:ind w:firstLine="420"/>
        <w:jc w:val="both"/>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3、合同暂定价（不含销项税额）=Σ（《采购清单》的暂定采购数量×对应不含税预算综合单价）×中标折扣系数，金额为</w:t>
      </w:r>
      <w:r>
        <w:rPr>
          <w:rFonts w:hint="eastAsia" w:ascii="宋体" w:hAnsi="宋体" w:eastAsia="宋体" w:cs="Times New Roman"/>
          <w:color w:val="auto"/>
          <w:kern w:val="2"/>
          <w:sz w:val="21"/>
          <w:szCs w:val="21"/>
          <w:highlight w:val="none"/>
          <w:u w:val="single"/>
          <w:lang w:val="en-US" w:eastAsia="zh-CN" w:bidi="ar-SA"/>
        </w:rPr>
        <w:t>¥         元</w:t>
      </w:r>
      <w:r>
        <w:rPr>
          <w:rFonts w:hint="eastAsia" w:ascii="宋体" w:hAnsi="宋体" w:eastAsia="宋体" w:cs="Times New Roman"/>
          <w:color w:val="auto"/>
          <w:kern w:val="2"/>
          <w:sz w:val="21"/>
          <w:szCs w:val="21"/>
          <w:highlight w:val="none"/>
          <w:lang w:val="en-US" w:eastAsia="zh-CN" w:bidi="ar-SA"/>
        </w:rPr>
        <w:t>（大写人民币</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）。合同暂定总价（含销项税额）=Σ（《采购清单》的暂定采购数量×对应不含税预算综合单价×（1+增值税税率））×中标折扣系数，金额为</w:t>
      </w:r>
      <w:r>
        <w:rPr>
          <w:rFonts w:hint="eastAsia" w:ascii="宋体" w:hAnsi="宋体" w:eastAsia="宋体" w:cs="Times New Roman"/>
          <w:color w:val="auto"/>
          <w:kern w:val="2"/>
          <w:sz w:val="21"/>
          <w:szCs w:val="21"/>
          <w:highlight w:val="none"/>
          <w:u w:val="single"/>
          <w:lang w:val="en-US" w:eastAsia="zh-CN" w:bidi="ar-SA"/>
        </w:rPr>
        <w:t>¥         元</w:t>
      </w:r>
      <w:r>
        <w:rPr>
          <w:rFonts w:hint="eastAsia" w:ascii="宋体" w:hAnsi="宋体" w:eastAsia="宋体" w:cs="Times New Roman"/>
          <w:color w:val="auto"/>
          <w:kern w:val="2"/>
          <w:sz w:val="21"/>
          <w:szCs w:val="21"/>
          <w:highlight w:val="none"/>
          <w:lang w:val="en-US" w:eastAsia="zh-CN" w:bidi="ar-SA"/>
        </w:rPr>
        <w:t>（大写人民币</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）。前述合同暂定总价（含销项税额）仅作为本合同履约担保的计算基数，不作为实际结算依据。</w:t>
      </w:r>
    </w:p>
    <w:p w14:paraId="6CD573A6">
      <w:pPr>
        <w:widowControl w:val="0"/>
        <w:tabs>
          <w:tab w:val="left" w:pos="0"/>
        </w:tabs>
        <w:adjustRightInd w:val="0"/>
        <w:snapToGrid w:val="0"/>
        <w:spacing w:line="360" w:lineRule="auto"/>
        <w:ind w:firstLine="420"/>
        <w:jc w:val="both"/>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 xml:space="preserve">4、根据《中华人民共和国增值税法》及其实施条例的规定，本合同项目的增值税税率为 </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，前述合同暂定价对应暂定的销项税额为</w:t>
      </w:r>
      <w:r>
        <w:rPr>
          <w:rFonts w:hint="eastAsia" w:ascii="宋体" w:hAnsi="宋体" w:eastAsia="宋体" w:cs="Times New Roman"/>
          <w:color w:val="auto"/>
          <w:kern w:val="2"/>
          <w:sz w:val="21"/>
          <w:szCs w:val="21"/>
          <w:highlight w:val="none"/>
          <w:u w:val="single"/>
          <w:lang w:val="en-US" w:eastAsia="zh-CN" w:bidi="ar-SA"/>
        </w:rPr>
        <w:t>¥         元</w:t>
      </w:r>
      <w:r>
        <w:rPr>
          <w:rFonts w:hint="eastAsia" w:ascii="宋体" w:hAnsi="宋体" w:eastAsia="宋体" w:cs="Times New Roman"/>
          <w:color w:val="auto"/>
          <w:kern w:val="2"/>
          <w:sz w:val="21"/>
          <w:szCs w:val="21"/>
          <w:highlight w:val="none"/>
          <w:lang w:val="en-US" w:eastAsia="zh-CN" w:bidi="ar-SA"/>
        </w:rPr>
        <w:t>（大写人民币</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由甲方承担。在本合同履行过程中因税收政策变动导致增值税税率调整，依法应调整销项税额的，依法调整；但因乙方未按合同约定完成供货、未根据合同约定提供合法、完整的请款资料、货物验收不合格导致的返工或退货、验收合格前的非正常损耗等原因导致销项税额增加的，相应损失由乙方承担。</w:t>
      </w:r>
    </w:p>
    <w:p w14:paraId="60A25C4B">
      <w:pPr>
        <w:widowControl w:val="0"/>
        <w:tabs>
          <w:tab w:val="left" w:pos="0"/>
        </w:tabs>
        <w:adjustRightInd w:val="0"/>
        <w:snapToGrid w:val="0"/>
        <w:spacing w:line="360" w:lineRule="auto"/>
        <w:ind w:firstLine="420"/>
        <w:jc w:val="both"/>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因乙方未按法定税率计算税额或未根据本合同约定出具对应税额的增值税普通发票等乙方原因导致甲方多支付税额的，乙方必须退还甲方，给甲方造成损失的，乙方应当赔偿。</w:t>
      </w:r>
    </w:p>
    <w:p w14:paraId="71670528">
      <w:pPr>
        <w:widowControl w:val="0"/>
        <w:tabs>
          <w:tab w:val="left" w:pos="0"/>
        </w:tabs>
        <w:adjustRightInd w:val="0"/>
        <w:snapToGrid w:val="0"/>
        <w:spacing w:line="360" w:lineRule="auto"/>
        <w:ind w:firstLine="420"/>
        <w:jc w:val="both"/>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5、不含税中标综合单价包括但不限于：</w:t>
      </w:r>
    </w:p>
    <w:p w14:paraId="716DE034">
      <w:pPr>
        <w:adjustRightInd w:val="0"/>
        <w:snapToGrid w:val="0"/>
        <w:spacing w:line="360" w:lineRule="auto"/>
        <w:ind w:firstLine="420" w:firstLineChars="200"/>
        <w:rPr>
          <w:rFonts w:ascii="宋体" w:hAnsi="宋体" w:eastAsia="宋体" w:cs="Arial"/>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单个</w:t>
      </w:r>
      <w:r>
        <w:rPr>
          <w:rFonts w:hint="eastAsia" w:ascii="宋体" w:hAnsi="宋体" w:eastAsia="宋体" w:cs="Times New Roman"/>
          <w:color w:val="auto"/>
          <w:szCs w:val="21"/>
          <w:highlight w:val="none"/>
        </w:rPr>
        <w:t>水表及其附件的制造及系统集成、</w:t>
      </w:r>
      <w:r>
        <w:rPr>
          <w:rFonts w:hint="eastAsia" w:ascii="宋体" w:hAnsi="宋体" w:eastAsia="宋体" w:cs="Times New Roman"/>
          <w:color w:val="auto"/>
          <w:szCs w:val="21"/>
          <w:highlight w:val="none"/>
          <w:lang w:val="en-US" w:eastAsia="zh-CN"/>
        </w:rPr>
        <w:t>印刷费、</w:t>
      </w:r>
      <w:r>
        <w:rPr>
          <w:rFonts w:hint="eastAsia" w:ascii="宋体" w:hAnsi="宋体" w:eastAsia="宋体" w:cs="Times New Roman"/>
          <w:color w:val="auto"/>
          <w:szCs w:val="21"/>
          <w:highlight w:val="none"/>
        </w:rPr>
        <w:t>检定、运输（至</w:t>
      </w:r>
      <w:r>
        <w:rPr>
          <w:rFonts w:hint="eastAsia" w:ascii="宋体" w:hAnsi="宋体" w:eastAsia="宋体" w:cs="Times New Roman"/>
          <w:color w:val="auto"/>
          <w:szCs w:val="21"/>
          <w:highlight w:val="none"/>
          <w:lang w:val="en-US" w:eastAsia="zh-CN"/>
        </w:rPr>
        <w:t>甲方</w:t>
      </w:r>
      <w:r>
        <w:rPr>
          <w:rFonts w:hint="eastAsia" w:ascii="宋体" w:hAnsi="宋体" w:eastAsia="宋体" w:cs="Times New Roman"/>
          <w:color w:val="auto"/>
          <w:szCs w:val="21"/>
          <w:highlight w:val="none"/>
        </w:rPr>
        <w:t>指定的仓库或</w:t>
      </w:r>
      <w:r>
        <w:rPr>
          <w:rFonts w:hint="eastAsia" w:ascii="Times New Roman" w:hAnsi="Times New Roman" w:eastAsia="宋体" w:cs="Times New Roman"/>
          <w:color w:val="auto"/>
          <w:szCs w:val="24"/>
          <w:highlight w:val="none"/>
          <w:lang w:eastAsia="zh-CN"/>
        </w:rPr>
        <w:t>项目</w:t>
      </w:r>
      <w:r>
        <w:rPr>
          <w:rFonts w:hint="eastAsia" w:ascii="宋体" w:hAnsi="宋体" w:eastAsia="宋体" w:cs="Times New Roman"/>
          <w:color w:val="auto"/>
          <w:szCs w:val="21"/>
          <w:highlight w:val="none"/>
        </w:rPr>
        <w:t>现场）、保险、装卸、远传调试，验收等费用</w:t>
      </w:r>
      <w:r>
        <w:rPr>
          <w:rFonts w:hint="eastAsia" w:ascii="宋体" w:hAnsi="宋体" w:eastAsia="宋体" w:cs="Times New Roman"/>
          <w:color w:val="auto"/>
          <w:szCs w:val="21"/>
          <w:highlight w:val="none"/>
          <w:lang w:val="zh-CN"/>
        </w:rPr>
        <w:t>；</w:t>
      </w:r>
    </w:p>
    <w:p w14:paraId="7AF0C707">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zh-CN"/>
        </w:rPr>
        <w:t>（2）按招标文件及合同要求提供各阶段的纸质和电子版技术资料，包括货物及其工艺所有制造方、使用方应支付的对商标权、专利权和版权、设计或其他知识产权而需要向其他方支付的版税及其他相关费用；</w:t>
      </w:r>
    </w:p>
    <w:p w14:paraId="0B583731">
      <w:pPr>
        <w:adjustRightInd w:val="0"/>
        <w:snapToGrid w:val="0"/>
        <w:spacing w:line="360" w:lineRule="auto"/>
        <w:ind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w:t>
      </w:r>
      <w:r>
        <w:rPr>
          <w:rFonts w:hint="eastAsia" w:ascii="Times New Roman" w:hAnsi="Times New Roman" w:eastAsia="宋体" w:cs="Times New Roman"/>
          <w:color w:val="auto"/>
          <w:szCs w:val="21"/>
          <w:highlight w:val="none"/>
        </w:rPr>
        <w:t>验收时为达到相关标准而可能增加的、不合格货物更换、零配件更换等费用</w:t>
      </w:r>
      <w:r>
        <w:rPr>
          <w:rFonts w:hint="eastAsia" w:ascii="宋体" w:hAnsi="宋体" w:eastAsia="宋体" w:cs="Times New Roman"/>
          <w:color w:val="auto"/>
          <w:szCs w:val="21"/>
          <w:highlight w:val="none"/>
          <w:lang w:val="zh-CN"/>
        </w:rPr>
        <w:t>；</w:t>
      </w:r>
    </w:p>
    <w:p w14:paraId="75C6E25C">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（4）设备备品备件（含零配件）、设备拆装维修所需特殊专用工具购置费；</w:t>
      </w:r>
    </w:p>
    <w:p w14:paraId="33F7FB96">
      <w:pPr>
        <w:adjustRightInd w:val="0"/>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w:t>
      </w:r>
      <w:r>
        <w:rPr>
          <w:rFonts w:hint="eastAsia" w:ascii="Times New Roman" w:hAnsi="Times New Roman" w:eastAsia="宋体" w:cs="Times New Roman"/>
          <w:color w:val="auto"/>
          <w:szCs w:val="21"/>
          <w:highlight w:val="none"/>
        </w:rPr>
        <w:t>日常技术指导，免费的质保期保修服务，包括但不限于对设备的运行指导，免费维修、保修或更换配件，在设备出现严重故障、影响正常运行、修复有困难的情况下，对设备进行免费更换的费用；</w:t>
      </w:r>
    </w:p>
    <w:p w14:paraId="090798B0">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（6）招标</w:t>
      </w:r>
      <w:r>
        <w:rPr>
          <w:rFonts w:hint="eastAsia" w:ascii="宋体" w:hAnsi="宋体" w:eastAsia="宋体" w:cs="Times New Roman"/>
          <w:color w:val="auto"/>
          <w:szCs w:val="21"/>
          <w:highlight w:val="none"/>
          <w:lang w:val="en-US" w:eastAsia="zh-CN"/>
        </w:rPr>
        <w:t>采购</w:t>
      </w:r>
      <w:r>
        <w:rPr>
          <w:rFonts w:hint="eastAsia" w:ascii="宋体" w:hAnsi="宋体" w:eastAsia="宋体" w:cs="Times New Roman"/>
          <w:color w:val="auto"/>
          <w:szCs w:val="21"/>
          <w:highlight w:val="none"/>
          <w:lang w:eastAsia="zh-CN"/>
        </w:rPr>
        <w:t>清单</w:t>
      </w:r>
      <w:r>
        <w:rPr>
          <w:rFonts w:hint="eastAsia" w:ascii="宋体" w:hAnsi="宋体" w:eastAsia="宋体" w:cs="Times New Roman"/>
          <w:color w:val="auto"/>
          <w:szCs w:val="21"/>
          <w:highlight w:val="none"/>
        </w:rPr>
        <w:t>虽未列出，但为满足</w:t>
      </w:r>
      <w:r>
        <w:rPr>
          <w:rFonts w:hint="eastAsia" w:ascii="宋体" w:hAnsi="宋体" w:eastAsia="宋体" w:cs="Times New Roman"/>
          <w:color w:val="auto"/>
          <w:szCs w:val="21"/>
          <w:highlight w:val="none"/>
          <w:lang w:val="en-US" w:eastAsia="zh-CN"/>
        </w:rPr>
        <w:t>水表</w:t>
      </w:r>
      <w:r>
        <w:rPr>
          <w:rFonts w:hint="eastAsia" w:ascii="宋体" w:hAnsi="宋体" w:eastAsia="宋体" w:cs="Times New Roman"/>
          <w:color w:val="auto"/>
          <w:szCs w:val="21"/>
          <w:highlight w:val="none"/>
        </w:rPr>
        <w:t>功能所必需的设备材料购置费；</w:t>
      </w:r>
    </w:p>
    <w:p w14:paraId="78654B64">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（7）合理利润、</w:t>
      </w:r>
      <w:r>
        <w:rPr>
          <w:rFonts w:hint="eastAsia" w:ascii="Times New Roman" w:hAnsi="宋体" w:eastAsia="宋体" w:cs="Times New Roman"/>
          <w:color w:val="auto"/>
          <w:szCs w:val="21"/>
          <w:highlight w:val="none"/>
          <w:lang w:val="zh-CN"/>
        </w:rPr>
        <w:t>乙方销项税额以外的税费</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中标服务费</w:t>
      </w:r>
      <w:r>
        <w:rPr>
          <w:rFonts w:hint="eastAsia" w:ascii="宋体" w:hAnsi="宋体" w:eastAsia="宋体" w:cs="Times New Roman"/>
          <w:color w:val="auto"/>
          <w:szCs w:val="21"/>
          <w:highlight w:val="none"/>
        </w:rPr>
        <w:t>等；</w:t>
      </w:r>
    </w:p>
    <w:p w14:paraId="5726B488">
      <w:pPr>
        <w:adjustRightInd w:val="0"/>
        <w:snapToGrid w:val="0"/>
        <w:spacing w:line="360" w:lineRule="auto"/>
        <w:ind w:firstLine="420" w:firstLineChars="200"/>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（8）法律法规、</w:t>
      </w:r>
      <w:r>
        <w:rPr>
          <w:rFonts w:hint="eastAsia" w:ascii="宋体" w:hAnsi="宋体" w:eastAsia="宋体" w:cs="Times New Roman"/>
          <w:color w:val="auto"/>
          <w:szCs w:val="21"/>
          <w:highlight w:val="none"/>
          <w:lang w:val="zh-CN"/>
        </w:rPr>
        <w:t>商业公认、招标文件规定由乙方承担的其他费用。</w:t>
      </w:r>
    </w:p>
    <w:p w14:paraId="5639B1B5">
      <w:pPr>
        <w:widowControl w:val="0"/>
        <w:tabs>
          <w:tab w:val="left" w:pos="0"/>
        </w:tabs>
        <w:adjustRightInd w:val="0"/>
        <w:snapToGrid w:val="0"/>
        <w:spacing w:line="360" w:lineRule="auto"/>
        <w:ind w:firstLine="420"/>
        <w:jc w:val="both"/>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6、在合同履行过程中如发现有任何货物（含配件、技术资料等）漏项或短缺，无论投标报价是否列明，乙方均应在接到甲方通知后</w:t>
      </w:r>
      <w:r>
        <w:rPr>
          <w:rFonts w:ascii="宋体" w:hAnsi="宋体" w:eastAsia="宋体" w:cs="Times New Roman"/>
          <w:color w:val="auto"/>
          <w:kern w:val="2"/>
          <w:sz w:val="21"/>
          <w:szCs w:val="21"/>
          <w:highlight w:val="none"/>
          <w:lang w:val="en-US" w:eastAsia="zh-CN" w:bidi="ar-SA"/>
        </w:rPr>
        <w:t>10</w:t>
      </w:r>
      <w:r>
        <w:rPr>
          <w:rFonts w:hint="eastAsia" w:ascii="宋体" w:hAnsi="宋体" w:eastAsia="宋体" w:cs="Times New Roman"/>
          <w:color w:val="auto"/>
          <w:kern w:val="2"/>
          <w:sz w:val="21"/>
          <w:szCs w:val="21"/>
          <w:highlight w:val="none"/>
          <w:lang w:val="en-US" w:eastAsia="zh-CN" w:bidi="ar-SA"/>
        </w:rPr>
        <w:t>日内免费补齐货物，否则视为逾期供货。</w:t>
      </w:r>
    </w:p>
    <w:p w14:paraId="1512E961">
      <w:pPr>
        <w:adjustRightInd w:val="0"/>
        <w:snapToGrid w:val="0"/>
        <w:spacing w:line="360" w:lineRule="auto"/>
        <w:ind w:firstLine="373" w:firstLineChars="177"/>
        <w:rPr>
          <w:rFonts w:ascii="宋体" w:hAnsi="宋体" w:eastAsia="宋体" w:cs="Times New Roman"/>
          <w:b/>
          <w:color w:val="auto"/>
          <w:szCs w:val="21"/>
          <w:highlight w:val="none"/>
        </w:rPr>
      </w:pPr>
    </w:p>
    <w:p w14:paraId="7D124B10">
      <w:pPr>
        <w:adjustRightInd w:val="0"/>
        <w:snapToGrid w:val="0"/>
        <w:spacing w:line="360" w:lineRule="auto"/>
        <w:ind w:firstLine="373" w:firstLineChars="177"/>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第三条 合同组成</w:t>
      </w:r>
    </w:p>
    <w:p w14:paraId="1840279C">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详细价格组成、技术说明及其它有关合同货物的特定信息可由合同附件说明。所有附件及本项目的招标文件（含用户需求书）、答疑文件、投标文件及相关承诺、协议等均为本合同不可分割之一部分，与本合同同具法律效力，该等文件与本合同正文约定不一致的，以</w:t>
      </w:r>
      <w:r>
        <w:rPr>
          <w:rFonts w:hint="eastAsia" w:ascii="宋体" w:hAnsi="宋体" w:eastAsia="宋体" w:cs="Times New Roman"/>
          <w:color w:val="auto"/>
          <w:szCs w:val="21"/>
          <w:highlight w:val="none"/>
          <w:lang w:val="en-US" w:eastAsia="zh-CN"/>
        </w:rPr>
        <w:t>本</w:t>
      </w:r>
      <w:r>
        <w:rPr>
          <w:rFonts w:hint="eastAsia" w:ascii="宋体" w:hAnsi="宋体" w:eastAsia="宋体" w:cs="Times New Roman"/>
          <w:color w:val="auto"/>
          <w:szCs w:val="21"/>
          <w:highlight w:val="none"/>
        </w:rPr>
        <w:t>合同正文约定为准，本合同正文未约定的，前述该等文件有约定的，按该等文件执行。</w:t>
      </w:r>
    </w:p>
    <w:p w14:paraId="3737E4CC">
      <w:pPr>
        <w:adjustRightInd w:val="0"/>
        <w:snapToGrid w:val="0"/>
        <w:spacing w:line="360" w:lineRule="auto"/>
        <w:ind w:firstLine="0" w:firstLineChars="0"/>
        <w:outlineLvl w:val="9"/>
        <w:rPr>
          <w:rFonts w:hint="eastAsia" w:ascii="宋体" w:hAnsi="宋体" w:eastAsia="宋体" w:cs="Times New Roman"/>
          <w:b/>
          <w:color w:val="auto"/>
          <w:szCs w:val="21"/>
          <w:highlight w:val="none"/>
        </w:rPr>
      </w:pPr>
    </w:p>
    <w:p w14:paraId="38020EDE">
      <w:pPr>
        <w:adjustRightInd w:val="0"/>
        <w:snapToGrid w:val="0"/>
        <w:spacing w:line="360" w:lineRule="auto"/>
        <w:ind w:firstLine="373" w:firstLineChars="177"/>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第</w:t>
      </w:r>
      <w:r>
        <w:rPr>
          <w:rFonts w:hint="eastAsia" w:ascii="宋体" w:hAnsi="宋体" w:eastAsia="宋体" w:cs="Times New Roman"/>
          <w:b/>
          <w:color w:val="auto"/>
          <w:szCs w:val="21"/>
          <w:highlight w:val="none"/>
          <w:lang w:val="en-US" w:eastAsia="zh-CN"/>
        </w:rPr>
        <w:t>四</w:t>
      </w:r>
      <w:r>
        <w:rPr>
          <w:rFonts w:hint="eastAsia" w:ascii="宋体" w:hAnsi="宋体" w:eastAsia="宋体" w:cs="Times New Roman"/>
          <w:b/>
          <w:color w:val="auto"/>
          <w:szCs w:val="21"/>
          <w:highlight w:val="none"/>
        </w:rPr>
        <w:t>条 包装、运输与装卸</w:t>
      </w:r>
    </w:p>
    <w:p w14:paraId="3018BF47">
      <w:pPr>
        <w:adjustRightInd w:val="0"/>
        <w:snapToGrid w:val="0"/>
        <w:spacing w:line="360" w:lineRule="auto"/>
        <w:ind w:firstLine="422" w:firstLineChars="20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1、本合同项下货物的包装均应有良好的防湿、防锈、防潮、防雨、防腐及防碰撞的措施</w:t>
      </w:r>
      <w:r>
        <w:rPr>
          <w:rFonts w:hint="eastAsia" w:ascii="宋体" w:hAnsi="宋体" w:eastAsia="宋体" w:cs="Times New Roman"/>
          <w:color w:val="auto"/>
          <w:szCs w:val="21"/>
          <w:highlight w:val="none"/>
          <w:lang w:eastAsia="zh-CN"/>
        </w:rPr>
        <w:t>，符合国家、行业相关标准</w:t>
      </w:r>
      <w:r>
        <w:rPr>
          <w:rFonts w:hint="eastAsia" w:ascii="宋体" w:hAnsi="宋体" w:eastAsia="宋体" w:cs="Times New Roman"/>
          <w:color w:val="auto"/>
          <w:szCs w:val="21"/>
          <w:highlight w:val="none"/>
          <w:lang w:val="en-US" w:eastAsia="zh-CN"/>
        </w:rPr>
        <w:t>以及</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用户需求书</w:t>
      </w:r>
      <w:r>
        <w:rPr>
          <w:rFonts w:hint="eastAsia" w:ascii="宋体" w:hAnsi="宋体" w:eastAsia="宋体" w:cs="Times New Roman"/>
          <w:color w:val="auto"/>
          <w:szCs w:val="21"/>
          <w:highlight w:val="none"/>
          <w:lang w:eastAsia="zh-CN"/>
        </w:rPr>
        <w:t>》的</w:t>
      </w:r>
      <w:r>
        <w:rPr>
          <w:rFonts w:hint="eastAsia" w:ascii="宋体" w:hAnsi="宋体" w:eastAsia="宋体" w:cs="Times New Roman"/>
          <w:color w:val="auto"/>
          <w:szCs w:val="21"/>
          <w:highlight w:val="none"/>
          <w:lang w:val="en-US" w:eastAsia="zh-CN"/>
        </w:rPr>
        <w:t>相关</w:t>
      </w:r>
      <w:r>
        <w:rPr>
          <w:rFonts w:hint="eastAsia" w:ascii="宋体" w:hAnsi="宋体" w:eastAsia="宋体" w:cs="Times New Roman"/>
          <w:color w:val="auto"/>
          <w:szCs w:val="21"/>
          <w:highlight w:val="none"/>
          <w:lang w:eastAsia="zh-CN"/>
        </w:rPr>
        <w:t>规定</w:t>
      </w:r>
      <w:r>
        <w:rPr>
          <w:rFonts w:hint="eastAsia" w:ascii="宋体" w:hAnsi="宋体" w:eastAsia="宋体" w:cs="Times New Roman"/>
          <w:color w:val="auto"/>
          <w:szCs w:val="21"/>
          <w:highlight w:val="none"/>
        </w:rPr>
        <w:t>。</w:t>
      </w:r>
    </w:p>
    <w:p w14:paraId="26AA0B76">
      <w:pPr>
        <w:adjustRightInd w:val="0"/>
        <w:snapToGrid w:val="0"/>
        <w:spacing w:line="360" w:lineRule="auto"/>
        <w:ind w:firstLine="422" w:firstLineChars="20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货物</w:t>
      </w:r>
      <w:r>
        <w:rPr>
          <w:rFonts w:hint="eastAsia" w:ascii="宋体" w:hAnsi="宋体" w:eastAsia="宋体" w:cs="Times New Roman"/>
          <w:color w:val="auto"/>
          <w:szCs w:val="21"/>
          <w:highlight w:val="none"/>
        </w:rPr>
        <w:t>应附有应附有合格证</w:t>
      </w:r>
      <w:r>
        <w:rPr>
          <w:rFonts w:hint="eastAsia" w:ascii="宋体" w:hAnsi="宋体" w:eastAsia="宋体" w:cs="Times New Roman"/>
          <w:color w:val="auto"/>
          <w:szCs w:val="21"/>
          <w:highlight w:val="none"/>
          <w:lang w:eastAsia="zh-CN"/>
        </w:rPr>
        <w:t>及</w:t>
      </w:r>
      <w:r>
        <w:rPr>
          <w:rFonts w:hint="eastAsia" w:ascii="宋体" w:hAnsi="宋体" w:eastAsia="宋体" w:cs="Times New Roman"/>
          <w:color w:val="auto"/>
          <w:szCs w:val="21"/>
          <w:highlight w:val="none"/>
          <w:lang w:val="en-US" w:eastAsia="zh-CN"/>
        </w:rPr>
        <w:t>检定合格证（标签或证书）或校准证书</w:t>
      </w:r>
      <w:r>
        <w:rPr>
          <w:rFonts w:hint="eastAsia" w:ascii="宋体" w:hAnsi="宋体" w:eastAsia="宋体" w:cs="Times New Roman"/>
          <w:color w:val="auto"/>
          <w:szCs w:val="21"/>
          <w:highlight w:val="none"/>
        </w:rPr>
        <w:t>。</w:t>
      </w:r>
    </w:p>
    <w:p w14:paraId="4B979755">
      <w:pPr>
        <w:adjustRightInd w:val="0"/>
        <w:snapToGrid w:val="0"/>
        <w:spacing w:line="360" w:lineRule="auto"/>
        <w:ind w:firstLine="422" w:firstLineChars="201"/>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、各种设备的松散零星部件应采用可靠安全的包装方式，装入尺寸适当的箱内，并尽可能整车发运。栅格式箱子或类似的包装，只能用于盛装不至于被偷窃或被其他物品或雨水造成损坏的设备及零部件。</w:t>
      </w:r>
    </w:p>
    <w:p w14:paraId="394EF070">
      <w:pPr>
        <w:adjustRightInd w:val="0"/>
        <w:snapToGrid w:val="0"/>
        <w:spacing w:line="360" w:lineRule="auto"/>
        <w:ind w:firstLine="422" w:firstLineChars="20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乙方负责选择安全、合规的运输方式，将货物运至甲方指定地点，运输过程中的一切风险（含毁损、灭失、延误）由乙方承担；货物到达交货地点后的吊卸、搬运费用由乙方承担，乙方应确保装卸过程规范，避免货物损坏；运输、装卸过程中发生货物损坏、短缺的，乙方应在甲方通知后7日内免费补货或更换，逾期未补的，视为逾期交货，按本合同约定承担违约责任。</w:t>
      </w:r>
    </w:p>
    <w:p w14:paraId="4BFFB239">
      <w:pPr>
        <w:adjustRightInd w:val="0"/>
        <w:snapToGrid w:val="0"/>
        <w:spacing w:line="360" w:lineRule="auto"/>
        <w:ind w:firstLine="422" w:firstLineChars="20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因乙方运输方式违法导致货物被查处、扣押或产生行政处罚的，由乙方承担全部责任（含罚款、货物损失、交货延误损失等），甲方有权解除合同或要求乙方重新供货。</w:t>
      </w:r>
    </w:p>
    <w:p w14:paraId="26E9930F">
      <w:pPr>
        <w:adjustRightInd w:val="0"/>
        <w:snapToGrid w:val="0"/>
        <w:spacing w:line="360" w:lineRule="auto"/>
        <w:ind w:firstLine="373" w:firstLineChars="177"/>
        <w:rPr>
          <w:rFonts w:ascii="宋体" w:hAnsi="宋体" w:eastAsia="宋体" w:cs="Times New Roman"/>
          <w:b/>
          <w:color w:val="auto"/>
          <w:szCs w:val="21"/>
          <w:highlight w:val="none"/>
        </w:rPr>
      </w:pPr>
    </w:p>
    <w:p w14:paraId="225805E7">
      <w:pPr>
        <w:adjustRightInd w:val="0"/>
        <w:snapToGrid w:val="0"/>
        <w:spacing w:line="360" w:lineRule="auto"/>
        <w:ind w:firstLine="373" w:firstLineChars="177"/>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第</w:t>
      </w:r>
      <w:r>
        <w:rPr>
          <w:rFonts w:hint="eastAsia" w:ascii="宋体" w:hAnsi="宋体" w:eastAsia="宋体" w:cs="Times New Roman"/>
          <w:b/>
          <w:color w:val="auto"/>
          <w:szCs w:val="21"/>
          <w:highlight w:val="none"/>
          <w:lang w:val="en-US" w:eastAsia="zh-CN"/>
        </w:rPr>
        <w:t>五</w:t>
      </w:r>
      <w:r>
        <w:rPr>
          <w:rFonts w:hint="eastAsia" w:ascii="宋体" w:hAnsi="宋体" w:eastAsia="宋体" w:cs="Times New Roman"/>
          <w:b/>
          <w:color w:val="auto"/>
          <w:szCs w:val="21"/>
          <w:highlight w:val="none"/>
        </w:rPr>
        <w:t>条 保险</w:t>
      </w:r>
    </w:p>
    <w:p w14:paraId="1A21EAB7">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乙方应负责为本合同项下所有货物购买相应的商业保险，保险费已包含在合同价中。如因乙方未能投保或保险人不予承担相应责任而货物在经甲方验收合格前的运输、装卸等过程中发生毁损、灭失的风险由乙方自行承担。</w:t>
      </w:r>
    </w:p>
    <w:p w14:paraId="7B0459B6">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2、一旦上述货物发生保险事故，乙方除依法向保险人请求赔偿保险金外，应继续依约向甲方提供满足项目要求的货物，由此造成供货延误的，乙方应按合同约定承担违约责任</w:t>
      </w:r>
      <w:r>
        <w:rPr>
          <w:rFonts w:hint="eastAsia" w:ascii="宋体" w:hAnsi="宋体" w:eastAsia="宋体" w:cs="Times New Roman"/>
          <w:color w:val="auto"/>
          <w:szCs w:val="21"/>
          <w:highlight w:val="none"/>
        </w:rPr>
        <w:t>。</w:t>
      </w:r>
    </w:p>
    <w:p w14:paraId="3D9E9F07">
      <w:pPr>
        <w:adjustRightInd w:val="0"/>
        <w:snapToGrid w:val="0"/>
        <w:spacing w:line="360" w:lineRule="auto"/>
        <w:ind w:firstLine="373" w:firstLineChars="177"/>
        <w:rPr>
          <w:rFonts w:hint="eastAsia" w:ascii="宋体" w:hAnsi="宋体" w:eastAsia="宋体" w:cs="Times New Roman"/>
          <w:b/>
          <w:bCs/>
          <w:color w:val="auto"/>
          <w:szCs w:val="21"/>
          <w:highlight w:val="none"/>
        </w:rPr>
      </w:pPr>
    </w:p>
    <w:p w14:paraId="486FE161">
      <w:pPr>
        <w:adjustRightInd w:val="0"/>
        <w:snapToGrid w:val="0"/>
        <w:spacing w:line="360" w:lineRule="auto"/>
        <w:ind w:firstLine="373" w:firstLineChars="177"/>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第</w:t>
      </w:r>
      <w:r>
        <w:rPr>
          <w:rFonts w:hint="eastAsia" w:ascii="宋体" w:hAnsi="宋体" w:eastAsia="宋体" w:cs="Times New Roman"/>
          <w:b/>
          <w:bCs/>
          <w:color w:val="auto"/>
          <w:sz w:val="21"/>
          <w:szCs w:val="21"/>
          <w:highlight w:val="none"/>
          <w:lang w:val="en-US" w:eastAsia="zh-CN"/>
        </w:rPr>
        <w:t>六</w:t>
      </w:r>
      <w:r>
        <w:rPr>
          <w:rFonts w:hint="eastAsia" w:ascii="宋体" w:hAnsi="宋体" w:eastAsia="宋体" w:cs="Times New Roman"/>
          <w:b/>
          <w:bCs/>
          <w:color w:val="auto"/>
          <w:sz w:val="21"/>
          <w:szCs w:val="21"/>
          <w:highlight w:val="none"/>
        </w:rPr>
        <w:t xml:space="preserve">条  </w:t>
      </w:r>
      <w:r>
        <w:rPr>
          <w:rFonts w:hint="eastAsia" w:ascii="宋体" w:hAnsi="宋体" w:eastAsia="宋体" w:cs="Times New Roman"/>
          <w:b/>
          <w:bCs/>
          <w:color w:val="auto"/>
          <w:sz w:val="21"/>
          <w:szCs w:val="21"/>
          <w:highlight w:val="none"/>
          <w:lang w:val="en-US" w:eastAsia="zh-CN"/>
        </w:rPr>
        <w:t>供</w:t>
      </w:r>
      <w:r>
        <w:rPr>
          <w:rFonts w:hint="eastAsia" w:ascii="宋体" w:hAnsi="宋体" w:eastAsia="宋体" w:cs="Times New Roman"/>
          <w:b/>
          <w:bCs/>
          <w:color w:val="auto"/>
          <w:sz w:val="21"/>
          <w:szCs w:val="21"/>
          <w:highlight w:val="none"/>
        </w:rPr>
        <w:t>货约定</w:t>
      </w:r>
    </w:p>
    <w:p w14:paraId="1D2912F5">
      <w:pPr>
        <w:adjustRightInd w:val="0"/>
        <w:snapToGrid w:val="0"/>
        <w:spacing w:line="360" w:lineRule="auto"/>
        <w:ind w:firstLine="371" w:firstLineChars="177"/>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lang w:val="en-US" w:eastAsia="zh-CN"/>
        </w:rPr>
        <w:t>供</w:t>
      </w:r>
      <w:r>
        <w:rPr>
          <w:rFonts w:hint="eastAsia" w:ascii="宋体" w:hAnsi="宋体" w:eastAsia="宋体" w:cs="Times New Roman"/>
          <w:color w:val="auto"/>
          <w:sz w:val="21"/>
          <w:szCs w:val="21"/>
          <w:highlight w:val="none"/>
        </w:rPr>
        <w:t>货</w:t>
      </w:r>
      <w:r>
        <w:rPr>
          <w:rFonts w:hint="eastAsia" w:ascii="宋体" w:hAnsi="宋体" w:eastAsia="宋体" w:cs="Times New Roman"/>
          <w:color w:val="auto"/>
          <w:sz w:val="21"/>
          <w:szCs w:val="21"/>
          <w:highlight w:val="none"/>
          <w:lang w:val="en-US" w:eastAsia="zh-CN"/>
        </w:rPr>
        <w:t>流程</w:t>
      </w:r>
      <w:r>
        <w:rPr>
          <w:rFonts w:hint="eastAsia" w:ascii="宋体" w:hAnsi="宋体" w:eastAsia="宋体" w:cs="Times New Roman"/>
          <w:color w:val="auto"/>
          <w:sz w:val="21"/>
          <w:szCs w:val="21"/>
          <w:highlight w:val="none"/>
        </w:rPr>
        <w:t>：甲方</w:t>
      </w:r>
      <w:r>
        <w:rPr>
          <w:rFonts w:hint="eastAsia" w:ascii="宋体" w:hAnsi="宋体" w:eastAsia="宋体" w:cs="Times New Roman"/>
          <w:color w:val="auto"/>
          <w:sz w:val="21"/>
          <w:szCs w:val="21"/>
          <w:highlight w:val="none"/>
          <w:lang w:val="en-US" w:eastAsia="zh-CN"/>
        </w:rPr>
        <w:t>按批次向乙方下达《</w:t>
      </w:r>
      <w:r>
        <w:rPr>
          <w:rFonts w:hint="eastAsia" w:ascii="宋体" w:hAnsi="宋体" w:eastAsia="宋体" w:cs="Times New Roman"/>
          <w:color w:val="auto"/>
          <w:szCs w:val="21"/>
          <w:highlight w:val="none"/>
        </w:rPr>
        <w:t>供</w:t>
      </w:r>
      <w:r>
        <w:rPr>
          <w:rFonts w:hint="eastAsia" w:ascii="宋体" w:hAnsi="宋体" w:eastAsia="宋体" w:cs="Times New Roman"/>
          <w:color w:val="auto"/>
          <w:sz w:val="21"/>
          <w:szCs w:val="21"/>
          <w:highlight w:val="none"/>
        </w:rPr>
        <w:t>货通知</w:t>
      </w:r>
      <w:r>
        <w:rPr>
          <w:rFonts w:hint="eastAsia" w:ascii="宋体" w:hAnsi="宋体" w:eastAsia="宋体" w:cs="Times New Roman"/>
          <w:color w:val="auto"/>
          <w:sz w:val="21"/>
          <w:szCs w:val="21"/>
          <w:highlight w:val="none"/>
          <w:lang w:val="en-US" w:eastAsia="zh-CN"/>
        </w:rPr>
        <w:t>单》</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无论甲方是否支付了该批次的货款含税总价，</w:t>
      </w:r>
      <w:r>
        <w:rPr>
          <w:rFonts w:hint="eastAsia" w:ascii="宋体" w:hAnsi="宋体" w:eastAsia="宋体" w:cs="Times New Roman"/>
          <w:color w:val="auto"/>
          <w:sz w:val="21"/>
          <w:szCs w:val="21"/>
          <w:highlight w:val="none"/>
        </w:rPr>
        <w:t>乙方</w:t>
      </w:r>
      <w:r>
        <w:rPr>
          <w:rFonts w:hint="eastAsia" w:ascii="宋体" w:hAnsi="宋体" w:eastAsia="宋体" w:cs="Times New Roman"/>
          <w:color w:val="auto"/>
          <w:sz w:val="21"/>
          <w:szCs w:val="21"/>
          <w:highlight w:val="none"/>
          <w:lang w:val="en-US" w:eastAsia="zh-CN"/>
        </w:rPr>
        <w:t>均应按照</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Cs w:val="21"/>
          <w:highlight w:val="none"/>
        </w:rPr>
        <w:t>供</w:t>
      </w:r>
      <w:r>
        <w:rPr>
          <w:rFonts w:hint="eastAsia" w:ascii="宋体" w:hAnsi="宋体" w:eastAsia="宋体" w:cs="Times New Roman"/>
          <w:color w:val="auto"/>
          <w:sz w:val="21"/>
          <w:szCs w:val="21"/>
          <w:highlight w:val="none"/>
        </w:rPr>
        <w:t>货通知单》</w:t>
      </w:r>
      <w:r>
        <w:rPr>
          <w:rFonts w:hint="eastAsia" w:ascii="宋体" w:hAnsi="宋体" w:eastAsia="宋体" w:cs="Times New Roman"/>
          <w:color w:val="auto"/>
          <w:sz w:val="21"/>
          <w:szCs w:val="21"/>
          <w:highlight w:val="none"/>
          <w:lang w:val="en-US" w:eastAsia="zh-CN"/>
        </w:rPr>
        <w:t>上载明的供货期限</w:t>
      </w:r>
      <w:r>
        <w:rPr>
          <w:rFonts w:hint="eastAsia" w:ascii="宋体" w:hAnsi="宋体" w:eastAsia="宋体" w:cs="Times New Roman"/>
          <w:color w:val="auto"/>
          <w:sz w:val="21"/>
          <w:szCs w:val="21"/>
          <w:highlight w:val="none"/>
        </w:rPr>
        <w:t>内</w:t>
      </w:r>
      <w:r>
        <w:rPr>
          <w:rFonts w:hint="eastAsia" w:ascii="宋体" w:hAnsi="宋体" w:eastAsia="宋体" w:cs="Times New Roman"/>
          <w:color w:val="auto"/>
          <w:sz w:val="21"/>
          <w:szCs w:val="21"/>
          <w:highlight w:val="none"/>
          <w:lang w:val="en-US" w:eastAsia="zh-CN"/>
        </w:rPr>
        <w:t>完成该批次货物的生产、交付及到货验收</w:t>
      </w:r>
      <w:r>
        <w:rPr>
          <w:rFonts w:hint="eastAsia" w:ascii="宋体" w:hAnsi="宋体" w:eastAsia="宋体" w:cs="Times New Roman"/>
          <w:color w:val="auto"/>
          <w:sz w:val="21"/>
          <w:szCs w:val="21"/>
          <w:highlight w:val="none"/>
        </w:rPr>
        <w:t>。</w:t>
      </w:r>
    </w:p>
    <w:p w14:paraId="75592D0A">
      <w:pPr>
        <w:adjustRightInd w:val="0"/>
        <w:snapToGrid w:val="0"/>
        <w:spacing w:line="360" w:lineRule="auto"/>
        <w:ind w:firstLine="371" w:firstLineChars="177"/>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2、交货地点</w:t>
      </w:r>
      <w:r>
        <w:rPr>
          <w:rFonts w:hint="eastAsia" w:ascii="宋体" w:hAnsi="宋体" w:eastAsia="宋体" w:cs="Times New Roman"/>
          <w:color w:val="auto"/>
          <w:sz w:val="21"/>
          <w:szCs w:val="21"/>
          <w:highlight w:val="none"/>
          <w:lang w:eastAsia="zh-CN"/>
        </w:rPr>
        <w:t>：由《供货通知单》明确具体地址</w:t>
      </w:r>
      <w:r>
        <w:rPr>
          <w:rFonts w:hint="eastAsia" w:ascii="宋体" w:hAnsi="宋体" w:eastAsia="宋体" w:cs="Times New Roman"/>
          <w:color w:val="auto"/>
          <w:sz w:val="21"/>
          <w:szCs w:val="21"/>
          <w:highlight w:val="none"/>
        </w:rPr>
        <w:t>（甲方</w:t>
      </w:r>
      <w:r>
        <w:rPr>
          <w:rFonts w:hint="eastAsia" w:ascii="宋体" w:hAnsi="宋体" w:eastAsia="宋体" w:cs="Times New Roman"/>
          <w:color w:val="auto"/>
          <w:sz w:val="21"/>
          <w:szCs w:val="21"/>
          <w:highlight w:val="none"/>
          <w:lang w:val="en-US" w:eastAsia="zh-CN"/>
        </w:rPr>
        <w:t>指定</w:t>
      </w:r>
      <w:r>
        <w:rPr>
          <w:rFonts w:hint="eastAsia" w:ascii="宋体" w:hAnsi="宋体" w:eastAsia="宋体" w:cs="Times New Roman"/>
          <w:color w:val="auto"/>
          <w:sz w:val="21"/>
          <w:szCs w:val="21"/>
          <w:highlight w:val="none"/>
        </w:rPr>
        <w:t>仓库或项目</w:t>
      </w:r>
      <w:r>
        <w:rPr>
          <w:rFonts w:hint="eastAsia" w:ascii="宋体" w:hAnsi="宋体" w:eastAsia="宋体" w:cs="Times New Roman"/>
          <w:color w:val="auto"/>
          <w:sz w:val="21"/>
          <w:szCs w:val="21"/>
          <w:highlight w:val="none"/>
          <w:lang w:val="en-US" w:eastAsia="zh-CN"/>
        </w:rPr>
        <w:t>现场</w:t>
      </w:r>
      <w:r>
        <w:rPr>
          <w:rFonts w:hint="eastAsia" w:ascii="宋体" w:hAnsi="宋体" w:eastAsia="宋体" w:cs="Times New Roman"/>
          <w:color w:val="auto"/>
          <w:sz w:val="21"/>
          <w:szCs w:val="21"/>
          <w:highlight w:val="none"/>
        </w:rPr>
        <w:t>）。甲方如需变更交货地点，甲方应提前</w:t>
      </w:r>
      <w:r>
        <w:rPr>
          <w:rFonts w:hint="eastAsia" w:ascii="宋体" w:hAnsi="宋体" w:eastAsia="宋体" w:cs="Times New Roman"/>
          <w:color w:val="auto"/>
          <w:sz w:val="21"/>
          <w:szCs w:val="21"/>
          <w:highlight w:val="none"/>
          <w:lang w:val="en-US" w:eastAsia="zh-CN"/>
        </w:rPr>
        <w:t>3日</w:t>
      </w:r>
      <w:r>
        <w:rPr>
          <w:rFonts w:hint="eastAsia" w:ascii="宋体" w:hAnsi="宋体" w:eastAsia="宋体" w:cs="Times New Roman"/>
          <w:color w:val="auto"/>
          <w:sz w:val="21"/>
          <w:szCs w:val="21"/>
          <w:highlight w:val="none"/>
        </w:rPr>
        <w:t>以上通知乙方。乙方负责货物送至</w:t>
      </w:r>
      <w:r>
        <w:rPr>
          <w:rFonts w:hint="eastAsia" w:ascii="宋体" w:hAnsi="宋体" w:eastAsia="宋体" w:cs="Times New Roman"/>
          <w:color w:val="auto"/>
          <w:sz w:val="21"/>
          <w:szCs w:val="21"/>
          <w:highlight w:val="none"/>
          <w:lang w:val="en-US" w:eastAsia="zh-CN"/>
        </w:rPr>
        <w:t>指定</w:t>
      </w:r>
      <w:r>
        <w:rPr>
          <w:rFonts w:hint="eastAsia" w:ascii="宋体" w:hAnsi="宋体" w:eastAsia="宋体" w:cs="Times New Roman"/>
          <w:bCs w:val="0"/>
          <w:color w:val="auto"/>
          <w:sz w:val="21"/>
          <w:szCs w:val="21"/>
          <w:highlight w:val="none"/>
        </w:rPr>
        <w:t>地点的吊卸</w:t>
      </w:r>
      <w:r>
        <w:rPr>
          <w:rFonts w:hint="eastAsia" w:ascii="宋体" w:hAnsi="宋体" w:eastAsia="宋体" w:cs="Times New Roman"/>
          <w:bCs w:val="0"/>
          <w:color w:val="auto"/>
          <w:sz w:val="21"/>
          <w:szCs w:val="21"/>
          <w:highlight w:val="none"/>
          <w:lang w:eastAsia="zh-CN"/>
        </w:rPr>
        <w:t>、</w:t>
      </w:r>
      <w:r>
        <w:rPr>
          <w:rFonts w:hint="eastAsia" w:ascii="宋体" w:hAnsi="宋体" w:eastAsia="宋体" w:cs="Times New Roman"/>
          <w:bCs w:val="0"/>
          <w:color w:val="auto"/>
          <w:sz w:val="21"/>
          <w:szCs w:val="21"/>
          <w:highlight w:val="none"/>
          <w:lang w:val="en-US" w:eastAsia="zh-CN"/>
        </w:rPr>
        <w:t>搬运，</w:t>
      </w:r>
      <w:r>
        <w:rPr>
          <w:rFonts w:hint="eastAsia" w:ascii="宋体" w:hAnsi="宋体" w:eastAsia="宋体" w:cs="Times New Roman"/>
          <w:bCs w:val="0"/>
          <w:color w:val="auto"/>
          <w:sz w:val="21"/>
          <w:szCs w:val="21"/>
          <w:highlight w:val="none"/>
        </w:rPr>
        <w:t>费用</w:t>
      </w:r>
      <w:r>
        <w:rPr>
          <w:rFonts w:hint="eastAsia" w:ascii="宋体" w:hAnsi="宋体" w:eastAsia="宋体" w:cs="Times New Roman"/>
          <w:bCs w:val="0"/>
          <w:color w:val="auto"/>
          <w:sz w:val="21"/>
          <w:szCs w:val="21"/>
          <w:highlight w:val="none"/>
          <w:lang w:val="en-US" w:eastAsia="zh-CN"/>
        </w:rPr>
        <w:t>已包含在合同价中</w:t>
      </w:r>
      <w:r>
        <w:rPr>
          <w:rFonts w:hint="eastAsia" w:ascii="宋体" w:hAnsi="宋体" w:eastAsia="宋体" w:cs="Times New Roman"/>
          <w:bCs w:val="0"/>
          <w:color w:val="auto"/>
          <w:sz w:val="21"/>
          <w:szCs w:val="21"/>
          <w:highlight w:val="none"/>
        </w:rPr>
        <w:t>。</w:t>
      </w:r>
    </w:p>
    <w:p w14:paraId="0040ECE4">
      <w:pPr>
        <w:adjustRightInd w:val="0"/>
        <w:snapToGrid w:val="0"/>
        <w:spacing w:line="360" w:lineRule="auto"/>
        <w:ind w:firstLine="371" w:firstLineChars="177"/>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3、风险转移：</w:t>
      </w:r>
      <w:r>
        <w:rPr>
          <w:rFonts w:hint="eastAsia" w:ascii="宋体" w:hAnsi="宋体" w:eastAsia="宋体" w:cs="Times New Roman"/>
          <w:color w:val="auto"/>
          <w:sz w:val="21"/>
          <w:szCs w:val="21"/>
          <w:highlight w:val="none"/>
        </w:rPr>
        <w:t>货物经甲乙双方签署《</w:t>
      </w:r>
      <w:r>
        <w:rPr>
          <w:rFonts w:hint="eastAsia" w:ascii="宋体" w:hAnsi="宋体" w:eastAsia="宋体" w:cs="Times New Roman"/>
          <w:color w:val="auto"/>
          <w:sz w:val="21"/>
          <w:szCs w:val="21"/>
          <w:highlight w:val="none"/>
          <w:lang w:val="en-US" w:eastAsia="zh-CN"/>
        </w:rPr>
        <w:t>货物</w:t>
      </w:r>
      <w:r>
        <w:rPr>
          <w:rFonts w:hint="eastAsia" w:ascii="宋体" w:hAnsi="宋体" w:eastAsia="宋体" w:cs="Times New Roman"/>
          <w:color w:val="auto"/>
          <w:sz w:val="21"/>
          <w:szCs w:val="21"/>
          <w:highlight w:val="none"/>
        </w:rPr>
        <w:t>到货验收表》后，风险转移至甲方；验收合格前的毁损、灭失风险及相关费用，由乙方承担。</w:t>
      </w:r>
    </w:p>
    <w:p w14:paraId="6D320B80">
      <w:pPr>
        <w:adjustRightInd w:val="0"/>
        <w:snapToGrid w:val="0"/>
        <w:spacing w:line="360" w:lineRule="auto"/>
        <w:ind w:firstLine="373" w:firstLineChars="177"/>
        <w:rPr>
          <w:rFonts w:hint="eastAsia" w:ascii="宋体" w:hAnsi="宋体" w:eastAsia="宋体" w:cs="Times New Roman"/>
          <w:b/>
          <w:bCs/>
          <w:color w:val="auto"/>
          <w:szCs w:val="21"/>
          <w:highlight w:val="none"/>
        </w:rPr>
      </w:pPr>
    </w:p>
    <w:p w14:paraId="494E0979">
      <w:pPr>
        <w:adjustRightInd w:val="0"/>
        <w:snapToGrid w:val="0"/>
        <w:spacing w:line="360" w:lineRule="auto"/>
        <w:ind w:firstLine="373" w:firstLineChars="177"/>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第</w:t>
      </w:r>
      <w:r>
        <w:rPr>
          <w:rFonts w:hint="eastAsia" w:ascii="宋体" w:hAnsi="宋体" w:eastAsia="宋体" w:cs="Times New Roman"/>
          <w:b/>
          <w:bCs/>
          <w:color w:val="auto"/>
          <w:szCs w:val="21"/>
          <w:highlight w:val="none"/>
          <w:lang w:val="en-US" w:eastAsia="zh-CN"/>
        </w:rPr>
        <w:t>七</w:t>
      </w:r>
      <w:r>
        <w:rPr>
          <w:rFonts w:hint="eastAsia" w:ascii="宋体" w:hAnsi="宋体" w:eastAsia="宋体" w:cs="Times New Roman"/>
          <w:b/>
          <w:bCs/>
          <w:color w:val="auto"/>
          <w:sz w:val="21"/>
          <w:szCs w:val="21"/>
          <w:highlight w:val="none"/>
        </w:rPr>
        <w:t xml:space="preserve">条  </w:t>
      </w:r>
      <w:r>
        <w:rPr>
          <w:rFonts w:hint="eastAsia" w:ascii="宋体" w:hAnsi="宋体" w:eastAsia="宋体" w:cs="Times New Roman"/>
          <w:b/>
          <w:bCs/>
          <w:color w:val="auto"/>
          <w:sz w:val="21"/>
          <w:szCs w:val="21"/>
          <w:highlight w:val="none"/>
          <w:lang w:val="en-US" w:eastAsia="zh-CN"/>
        </w:rPr>
        <w:t>到货</w:t>
      </w:r>
      <w:r>
        <w:rPr>
          <w:rFonts w:hint="eastAsia" w:ascii="宋体" w:hAnsi="宋体" w:eastAsia="宋体" w:cs="Times New Roman"/>
          <w:b/>
          <w:bCs/>
          <w:color w:val="auto"/>
          <w:sz w:val="21"/>
          <w:szCs w:val="21"/>
          <w:highlight w:val="none"/>
        </w:rPr>
        <w:t>验收</w:t>
      </w:r>
    </w:p>
    <w:p w14:paraId="15225DA5">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1、验收依据：本合同、《用户需求书》、国家及行业标准、乙方投标文件承诺、甲方下达的《供货通知单》。</w:t>
      </w:r>
    </w:p>
    <w:p w14:paraId="3C40737C">
      <w:pPr>
        <w:adjustRightInd w:val="0"/>
        <w:snapToGrid w:val="0"/>
        <w:spacing w:line="360" w:lineRule="auto"/>
        <w:ind w:firstLine="371" w:firstLineChars="177"/>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2、乙方须提交水表对应的由东莞地区法定计量检定机构出具的水表检定合格证书或校准证书，对证书的真实性、准确性负责。未提交或提交虚假、无效证书的，甲方有权拒收，视为乙方违约。</w:t>
      </w:r>
    </w:p>
    <w:p w14:paraId="0EABDA68">
      <w:pPr>
        <w:adjustRightInd w:val="0"/>
        <w:snapToGrid w:val="0"/>
        <w:spacing w:line="360" w:lineRule="auto"/>
        <w:ind w:firstLine="371" w:firstLineChars="177"/>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3、到货验收流程：</w:t>
      </w:r>
    </w:p>
    <w:p w14:paraId="7098DBC5">
      <w:pPr>
        <w:adjustRightInd w:val="0"/>
        <w:snapToGrid w:val="0"/>
        <w:spacing w:line="360" w:lineRule="auto"/>
        <w:ind w:firstLine="371" w:firstLineChars="177"/>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（1）单次到货验收：乙方按《供货通知单》列明的供货需求，将检定合格的水表运输至甲方指定地点，在货物送达后即时开展验收：</w:t>
      </w:r>
    </w:p>
    <w:p w14:paraId="500D87A1">
      <w:pPr>
        <w:adjustRightInd w:val="0"/>
        <w:snapToGrid w:val="0"/>
        <w:spacing w:line="360" w:lineRule="auto"/>
        <w:ind w:firstLine="371" w:firstLineChars="177"/>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①数量核对：核查到货水表数量与《供货通知单》《送货单》是否一致，无短缺、错发情形；</w:t>
      </w:r>
    </w:p>
    <w:p w14:paraId="532FBA95">
      <w:pPr>
        <w:adjustRightInd w:val="0"/>
        <w:snapToGrid w:val="0"/>
        <w:spacing w:line="360" w:lineRule="auto"/>
        <w:ind w:firstLine="371" w:firstLineChars="177"/>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②外观及参数检查：确认水表外壳无破损、印刷的“东莞水务环境集团供水公司L0G0+客服热线96968”字样清晰，指示装置或铭牌上的计量参数、流向箭头、公称口径、制造年月和编号等信息完整准确，符合《用户需求书》2.2.6条要求；</w:t>
      </w:r>
    </w:p>
    <w:p w14:paraId="2ACF61FA">
      <w:pPr>
        <w:adjustRightInd w:val="0"/>
        <w:snapToGrid w:val="0"/>
        <w:spacing w:line="360" w:lineRule="auto"/>
        <w:ind w:firstLine="371" w:firstLineChars="177"/>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③检定复核：查验是否附上东莞地区法定计量检定机构出具的水表检定合格证书或校准证书；</w:t>
      </w:r>
    </w:p>
    <w:p w14:paraId="60379EC8">
      <w:pPr>
        <w:adjustRightInd w:val="0"/>
        <w:snapToGrid w:val="0"/>
        <w:spacing w:line="360" w:lineRule="auto"/>
        <w:ind w:firstLine="371" w:firstLineChars="177"/>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④签署凭证：经检查全部符合要求的，签署《送货单》及《货物到货验收表》，作为对应货物验收合格的依据；不符合要求的，甲方有权拒收，乙方应在7日内免费更换或补齐。</w:t>
      </w:r>
    </w:p>
    <w:p w14:paraId="11AC2DE7">
      <w:pPr>
        <w:adjustRightInd w:val="0"/>
        <w:snapToGrid w:val="0"/>
        <w:spacing w:line="360" w:lineRule="auto"/>
        <w:ind w:firstLine="371" w:firstLineChars="177"/>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（2）批次整体到货验收：当《供货通知单》列明的全部货物均完成到货验收，且向甲方提交签署完毕的该批次项下全部货物的《送货单》及《货物到货验收表》后，该批次供货视为完成整体到货验收。</w:t>
      </w:r>
    </w:p>
    <w:p w14:paraId="4748DD39">
      <w:pPr>
        <w:adjustRightInd w:val="0"/>
        <w:snapToGrid w:val="0"/>
        <w:spacing w:line="360" w:lineRule="auto"/>
        <w:ind w:firstLine="371" w:firstLineChars="177"/>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4、不合格处理：</w:t>
      </w:r>
    </w:p>
    <w:p w14:paraId="7FF195C4">
      <w:pPr>
        <w:adjustRightInd w:val="0"/>
        <w:snapToGrid w:val="0"/>
        <w:spacing w:line="360" w:lineRule="auto"/>
        <w:ind w:firstLine="371" w:firstLineChars="177"/>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（1）验收发现货物短缺、破损、规格不符、参数错误，乙方应在甲方要求的期限内免费补齐、更换，并承担往返运输费、复检费；</w:t>
      </w:r>
    </w:p>
    <w:p w14:paraId="0C56BBCB">
      <w:pPr>
        <w:adjustRightInd w:val="0"/>
        <w:snapToGrid w:val="0"/>
        <w:spacing w:line="360" w:lineRule="auto"/>
        <w:ind w:firstLine="371" w:firstLineChars="177"/>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（2）乙方逾期未补齐、更换或更换后仍不合格的，视为该批次逾期供货，按本合同第十四条“逾期供货违约责任”执行；</w:t>
      </w:r>
    </w:p>
    <w:p w14:paraId="3313E5B2">
      <w:pPr>
        <w:adjustRightInd w:val="0"/>
        <w:snapToGrid w:val="0"/>
        <w:spacing w:line="360" w:lineRule="auto"/>
        <w:ind w:firstLine="371" w:firstLineChars="177"/>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（3）验收过程中产生的所有检验费用（含抽检、复检、鉴定费），均由乙方承担。</w:t>
      </w:r>
    </w:p>
    <w:p w14:paraId="1D460C5E">
      <w:pPr>
        <w:adjustRightInd w:val="0"/>
        <w:snapToGrid w:val="0"/>
        <w:spacing w:line="360" w:lineRule="auto"/>
        <w:ind w:firstLine="371" w:firstLineChars="177"/>
        <w:rPr>
          <w:rFonts w:hint="eastAsia" w:ascii="宋体" w:hAnsi="宋体" w:eastAsia="宋体" w:cs="Times New Roman"/>
          <w:b/>
          <w:bCs/>
          <w:color w:val="auto"/>
          <w:szCs w:val="21"/>
          <w:highlight w:val="none"/>
        </w:rPr>
      </w:pPr>
      <w:r>
        <w:rPr>
          <w:rFonts w:hint="eastAsia" w:ascii="宋体" w:hAnsi="宋体" w:eastAsia="宋体" w:cs="Times New Roman"/>
          <w:color w:val="auto"/>
          <w:szCs w:val="21"/>
          <w:highlight w:val="none"/>
          <w:lang w:val="en-US" w:eastAsia="zh-CN"/>
        </w:rPr>
        <w:t>5、甲方已签署《货物到货验收表》仅代表对验收表上载明的货物数量、规格、型号、外观及检定合格的确认，若在使用中甲方发现货物存在质量缺陷，甲方仍有权依据《用户需求书》技术要求及本合同其他相关规定，向乙方主张维修、更换、承担违约金及损失赔偿的权利</w:t>
      </w:r>
      <w:r>
        <w:rPr>
          <w:rFonts w:hint="eastAsia" w:ascii="宋体" w:hAnsi="宋体" w:eastAsia="宋体" w:cs="Times New Roman"/>
          <w:color w:val="auto"/>
          <w:sz w:val="21"/>
          <w:szCs w:val="21"/>
          <w:highlight w:val="none"/>
          <w:lang w:val="en-US" w:eastAsia="zh-CN"/>
        </w:rPr>
        <w:t>。</w:t>
      </w:r>
    </w:p>
    <w:p w14:paraId="3CA75D98">
      <w:pPr>
        <w:adjustRightInd w:val="0"/>
        <w:snapToGrid w:val="0"/>
        <w:spacing w:line="360" w:lineRule="auto"/>
        <w:ind w:firstLine="373" w:firstLineChars="177"/>
        <w:rPr>
          <w:rFonts w:hint="eastAsia" w:ascii="宋体" w:hAnsi="宋体" w:eastAsia="宋体" w:cs="Times New Roman"/>
          <w:b/>
          <w:bCs/>
          <w:color w:val="auto"/>
          <w:sz w:val="21"/>
          <w:szCs w:val="21"/>
          <w:highlight w:val="none"/>
        </w:rPr>
      </w:pPr>
    </w:p>
    <w:p w14:paraId="6F381F11">
      <w:pPr>
        <w:adjustRightInd w:val="0"/>
        <w:snapToGrid w:val="0"/>
        <w:spacing w:line="360" w:lineRule="auto"/>
        <w:ind w:firstLine="373" w:firstLineChars="177"/>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第</w:t>
      </w:r>
      <w:r>
        <w:rPr>
          <w:rFonts w:hint="eastAsia" w:ascii="宋体" w:hAnsi="宋体" w:eastAsia="宋体" w:cs="Times New Roman"/>
          <w:b/>
          <w:bCs/>
          <w:color w:val="auto"/>
          <w:sz w:val="21"/>
          <w:szCs w:val="21"/>
          <w:highlight w:val="none"/>
          <w:lang w:val="en-US" w:eastAsia="zh-CN"/>
        </w:rPr>
        <w:t>八</w:t>
      </w:r>
      <w:r>
        <w:rPr>
          <w:rFonts w:hint="eastAsia" w:ascii="宋体" w:hAnsi="宋体" w:eastAsia="宋体" w:cs="Times New Roman"/>
          <w:b/>
          <w:bCs/>
          <w:color w:val="auto"/>
          <w:sz w:val="21"/>
          <w:szCs w:val="21"/>
          <w:highlight w:val="none"/>
        </w:rPr>
        <w:t xml:space="preserve">条  </w:t>
      </w:r>
      <w:r>
        <w:rPr>
          <w:rFonts w:hint="eastAsia" w:ascii="宋体" w:hAnsi="宋体" w:eastAsia="宋体" w:cs="Times New Roman"/>
          <w:b/>
          <w:bCs/>
          <w:color w:val="auto"/>
          <w:sz w:val="21"/>
          <w:szCs w:val="21"/>
          <w:highlight w:val="none"/>
          <w:lang w:val="en-US" w:eastAsia="zh-CN"/>
        </w:rPr>
        <w:t>货</w:t>
      </w:r>
      <w:r>
        <w:rPr>
          <w:rFonts w:hint="eastAsia" w:ascii="宋体" w:hAnsi="宋体" w:eastAsia="宋体" w:cs="Times New Roman"/>
          <w:b/>
          <w:bCs/>
          <w:color w:val="auto"/>
          <w:sz w:val="21"/>
          <w:szCs w:val="21"/>
          <w:highlight w:val="none"/>
        </w:rPr>
        <w:t>款的支付</w:t>
      </w:r>
    </w:p>
    <w:p w14:paraId="17E2CFDE">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w:t>
      </w:r>
      <w:r>
        <w:rPr>
          <w:rFonts w:hint="eastAsia" w:ascii="宋体" w:hAnsi="宋体" w:eastAsia="宋体" w:cs="Times New Roman"/>
          <w:b w:val="0"/>
          <w:bCs w:val="0"/>
          <w:color w:val="auto"/>
          <w:sz w:val="21"/>
          <w:szCs w:val="21"/>
          <w:highlight w:val="none"/>
          <w:lang w:val="en-US" w:eastAsia="zh-CN"/>
        </w:rPr>
        <w:t>甲方发出单笔《供货通知单》后，在收到乙方按本合同约定提供与本批次货款含税总价等额的供货担保(银行独立保函或现金担保)并经甲方审核合格后30个工作日内，甲方支付至该批次货物货款含税总价的100%</w:t>
      </w:r>
      <w:r>
        <w:rPr>
          <w:rFonts w:hint="eastAsia" w:ascii="宋体" w:hAnsi="宋体" w:eastAsia="宋体" w:cs="Times New Roman"/>
          <w:color w:val="auto"/>
          <w:sz w:val="21"/>
          <w:szCs w:val="21"/>
          <w:highlight w:val="none"/>
          <w:lang w:val="en-US" w:eastAsia="zh-CN"/>
        </w:rPr>
        <w:t>。</w:t>
      </w:r>
    </w:p>
    <w:p w14:paraId="1A059240">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2、供货担保要求（优先银行独立保函，现金担保为补充）：</w:t>
      </w:r>
    </w:p>
    <w:p w14:paraId="02019844">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银行独立保函：乙方应在甲方支付该批次货款前，向甲方提交与《供货通知单》载明的含税总价等额的、不可撤销的见索即付型独立保函。保函需由国有商业银行、全国性股份制商业银行开立，受益人为甲方，担保范围包括乙方按《供货通知单》约定按时足量供货、货物质量合格及履行本合同项下其他义务，保函有效期至该批次货物全部验收合格后28日。双方确认，因发票开具四舍五入导致实际支付金额与保函存在差额的，不影响保函效力，该保函仍对该批次全部供货义务承担担保责任。</w:t>
      </w:r>
    </w:p>
    <w:p w14:paraId="356F3C78">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现金担保：若乙方确因客观原因无法按时开具上述银行独立保函，可向甲方提交书面现金担保申请，经甲方书面同意后，乙方应在甲方付款前将与《供货通知单》载明的含税总价等额的现金转入甲方指定账户。该笔现金作为该批次供货的供货担保，甲方仅作存储，不作他用；因发票开具四舍五入导致实际支付金额与现金担保金额存在差额的，不影响担保效力，待该批次货物全部验收合格后28日内，甲方按现金担保原金额全额无息返还至乙方指定账户。</w:t>
      </w:r>
    </w:p>
    <w:p w14:paraId="07771910">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特殊情况：如乙方提供现金担保后能够补充提供银行独立保函的，乙方可向甲方提出申请退还现金担保并转成由银行独立保函进行供货担保，经甲方同意后，甲方按现金担保原金额全额无息返还至乙方指定账户。</w:t>
      </w:r>
    </w:p>
    <w:p w14:paraId="09EFF3BD">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3、支付流程：</w:t>
      </w:r>
    </w:p>
    <w:p w14:paraId="1C70F8DE">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乙方完成担保提交（提供符合本合同约定的银行独立保函审核通过或现金担保足额到账）后，应向甲方出具付款申请及与该批次货物实际结算金额一致的合法有效增值税普通发票（发票金额按国家税收相关规定四舍五入保留小数点后两位）；</w:t>
      </w:r>
    </w:p>
    <w:p w14:paraId="55B67DE3">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（2）甲方收到上述全部资料并审核无误后，按发票载明的含税金额全额支付至乙方指定银行账户（该金额与《供货通知单》含税总价存在差额的为四舍五入所致，视为双方无争议）；</w:t>
      </w:r>
    </w:p>
    <w:p w14:paraId="35E13FFA">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（3）乙方账户信息发生变更的，应提前15日书面通知甲方并提供有效证明，未及时通知导致付款失败或延误的，责任由乙方承担，甲方不构成违约。</w:t>
      </w:r>
    </w:p>
    <w:p w14:paraId="76805923">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4、担保处置与返还：</w:t>
      </w:r>
    </w:p>
    <w:p w14:paraId="768406FD">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银行独立保函：该批次货物全部验收合格后28日，独立保函自动失效；若乙方未按《供货通知单》的约定供货且未按甲方要求改正的，甲方有权依据保函约定直接向开立银行索赔，索赔金额为乙方未按《供货通知单》约定供货对应的货款结算价。</w:t>
      </w:r>
    </w:p>
    <w:p w14:paraId="2FD40265">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现金担保：该批次货物全部验收合格后28日内或乙方重新提供该批次货物的银行独立保函，甲方按乙方原转入的现金担保金额全额无息返还；若乙方未按《供货通知单》的约定供货且未按甲方要求改正的，甲方有权从该笔现金担保中直接扣除乙方未按《供货通知单》约定供货对应的货款结算价，扣除后剩余部分无息返还。</w:t>
      </w:r>
    </w:p>
    <w:p w14:paraId="7914D425">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5、特殊情形处理：</w:t>
      </w:r>
    </w:p>
    <w:p w14:paraId="27D0418F">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（1）因资金支付政策调整导致甲方付款时间变化的，甲方应在供货前通知乙方，付款时间相应调整，不视为甲方违约；</w:t>
      </w:r>
    </w:p>
    <w:p w14:paraId="576284D8">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（2）乙方提交的银行独立保函不符合本合同约定（如开立银行资质不符、金额不足等）或现金未按时足额到账的，甲方有权暂缓支付该批次货款。</w:t>
      </w:r>
    </w:p>
    <w:p w14:paraId="137F6E0A">
      <w:pPr>
        <w:widowControl w:val="0"/>
        <w:tabs>
          <w:tab w:val="left" w:pos="0"/>
        </w:tabs>
        <w:adjustRightInd w:val="0"/>
        <w:snapToGrid w:val="0"/>
        <w:spacing w:line="360" w:lineRule="auto"/>
        <w:ind w:firstLine="422"/>
        <w:jc w:val="both"/>
        <w:textAlignment w:val="baseline"/>
        <w:rPr>
          <w:rFonts w:hint="eastAsia" w:ascii="宋体" w:hAnsi="宋体" w:eastAsia="宋体" w:cs="Times New Roman"/>
          <w:b/>
          <w:color w:val="auto"/>
          <w:kern w:val="2"/>
          <w:sz w:val="21"/>
          <w:szCs w:val="21"/>
          <w:highlight w:val="none"/>
          <w:lang w:val="en-US" w:eastAsia="zh-CN" w:bidi="ar-SA"/>
        </w:rPr>
      </w:pPr>
    </w:p>
    <w:p w14:paraId="74DA681A">
      <w:pPr>
        <w:widowControl w:val="0"/>
        <w:tabs>
          <w:tab w:val="left" w:pos="0"/>
        </w:tabs>
        <w:adjustRightInd w:val="0"/>
        <w:snapToGrid w:val="0"/>
        <w:spacing w:line="360" w:lineRule="auto"/>
        <w:ind w:firstLine="422"/>
        <w:jc w:val="both"/>
        <w:textAlignment w:val="baseline"/>
        <w:outlineLvl w:val="1"/>
        <w:rPr>
          <w:rFonts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第九条 技术服务和培训</w:t>
      </w:r>
    </w:p>
    <w:p w14:paraId="59761601">
      <w:pPr>
        <w:adjustRightInd w:val="0"/>
        <w:snapToGrid w:val="0"/>
        <w:spacing w:line="360" w:lineRule="auto"/>
        <w:ind w:firstLine="371" w:firstLineChars="177"/>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1、技术服务</w:t>
      </w:r>
    </w:p>
    <w:p w14:paraId="241FEDED">
      <w:pPr>
        <w:adjustRightInd w:val="0"/>
        <w:snapToGrid w:val="0"/>
        <w:spacing w:line="360" w:lineRule="auto"/>
        <w:ind w:firstLine="371" w:firstLineChars="177"/>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（1）乙方应及时提供与本合同</w:t>
      </w:r>
      <w:r>
        <w:rPr>
          <w:rFonts w:hint="eastAsia" w:ascii="宋体" w:hAnsi="宋体" w:eastAsia="宋体" w:cs="Times New Roman"/>
          <w:b w:val="0"/>
          <w:bCs/>
          <w:color w:val="auto"/>
          <w:szCs w:val="21"/>
          <w:highlight w:val="none"/>
          <w:lang w:val="en-US" w:eastAsia="zh-CN"/>
        </w:rPr>
        <w:t>计量仪表</w:t>
      </w:r>
      <w:r>
        <w:rPr>
          <w:rFonts w:hint="eastAsia" w:ascii="宋体" w:hAnsi="宋体" w:eastAsia="宋体" w:cs="Times New Roman"/>
          <w:b w:val="0"/>
          <w:bCs/>
          <w:color w:val="auto"/>
          <w:szCs w:val="21"/>
          <w:highlight w:val="none"/>
        </w:rPr>
        <w:t>有关的验收、</w:t>
      </w:r>
      <w:r>
        <w:rPr>
          <w:rFonts w:hint="eastAsia" w:ascii="宋体" w:hAnsi="宋体" w:eastAsia="宋体" w:cs="Times New Roman"/>
          <w:b w:val="0"/>
          <w:bCs/>
          <w:color w:val="auto"/>
          <w:szCs w:val="21"/>
          <w:highlight w:val="none"/>
          <w:lang w:val="en-US" w:eastAsia="zh-CN"/>
        </w:rPr>
        <w:t>远传调试、使用及</w:t>
      </w:r>
      <w:r>
        <w:rPr>
          <w:rFonts w:hint="eastAsia" w:ascii="宋体" w:hAnsi="宋体" w:eastAsia="宋体" w:cs="Times New Roman"/>
          <w:b w:val="0"/>
          <w:bCs/>
          <w:color w:val="auto"/>
          <w:szCs w:val="21"/>
          <w:highlight w:val="none"/>
        </w:rPr>
        <w:t>检修等相应的技术指导、技术配合、技术培训。</w:t>
      </w:r>
    </w:p>
    <w:p w14:paraId="260AB018">
      <w:pPr>
        <w:adjustRightInd w:val="0"/>
        <w:snapToGrid w:val="0"/>
        <w:spacing w:line="360" w:lineRule="auto"/>
        <w:ind w:firstLine="371" w:firstLineChars="177"/>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（2）甲方有权将乙方所提供的一切与本合同</w:t>
      </w:r>
      <w:r>
        <w:rPr>
          <w:rFonts w:hint="eastAsia" w:ascii="宋体" w:hAnsi="宋体" w:eastAsia="宋体" w:cs="Times New Roman"/>
          <w:b w:val="0"/>
          <w:bCs/>
          <w:color w:val="auto"/>
          <w:szCs w:val="21"/>
          <w:highlight w:val="none"/>
          <w:lang w:val="en-US" w:eastAsia="zh-CN"/>
        </w:rPr>
        <w:t>计量仪表</w:t>
      </w:r>
      <w:r>
        <w:rPr>
          <w:rFonts w:hint="eastAsia" w:ascii="宋体" w:hAnsi="宋体" w:eastAsia="宋体" w:cs="Times New Roman"/>
          <w:b w:val="0"/>
          <w:bCs/>
          <w:color w:val="auto"/>
          <w:szCs w:val="21"/>
          <w:highlight w:val="none"/>
        </w:rPr>
        <w:t>有关的资料分发给与本项目有关的各方，并不由此而构成任何侵权，亦无需事先取得乙方的同意，但双方不得向任何与本项目无关的第三方提供。</w:t>
      </w:r>
    </w:p>
    <w:p w14:paraId="60E55F32">
      <w:pPr>
        <w:adjustRightInd w:val="0"/>
        <w:snapToGrid w:val="0"/>
        <w:spacing w:line="360" w:lineRule="auto"/>
        <w:ind w:firstLine="371" w:firstLineChars="177"/>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（3）乙方须对一切与本合同有关（包括外购）的供货、</w:t>
      </w:r>
      <w:r>
        <w:rPr>
          <w:rFonts w:hint="eastAsia" w:ascii="宋体" w:hAnsi="宋体" w:eastAsia="宋体" w:cs="Times New Roman"/>
          <w:b w:val="0"/>
          <w:bCs/>
          <w:color w:val="auto"/>
          <w:szCs w:val="21"/>
          <w:highlight w:val="none"/>
          <w:lang w:val="en-US" w:eastAsia="zh-CN"/>
        </w:rPr>
        <w:t>仪表</w:t>
      </w:r>
      <w:r>
        <w:rPr>
          <w:rFonts w:hint="eastAsia" w:ascii="宋体" w:hAnsi="宋体" w:eastAsia="宋体" w:cs="Times New Roman"/>
          <w:b w:val="0"/>
          <w:bCs/>
          <w:color w:val="auto"/>
          <w:szCs w:val="21"/>
          <w:highlight w:val="none"/>
        </w:rPr>
        <w:t>及技术接口、技术服务等问题负全部责任。凡与本合同设备相连接的其它设备装置，乙方有提供接口和技术配合的义务，并不由此而向甲方主张发生合同价格以外的任何费用。</w:t>
      </w:r>
    </w:p>
    <w:p w14:paraId="0FE4E863">
      <w:pPr>
        <w:adjustRightInd w:val="0"/>
        <w:snapToGrid w:val="0"/>
        <w:spacing w:line="360" w:lineRule="auto"/>
        <w:ind w:firstLine="371" w:firstLineChars="177"/>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（4）由于乙方未按要求派人指导而造成的直接损失应由乙方负责。造成甲方损失的，乙方需足额赔偿。</w:t>
      </w:r>
    </w:p>
    <w:p w14:paraId="0F061FAF">
      <w:pPr>
        <w:adjustRightInd w:val="0"/>
        <w:snapToGrid w:val="0"/>
        <w:spacing w:line="360" w:lineRule="auto"/>
        <w:ind w:firstLine="371" w:firstLineChars="177"/>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2、人员培训</w:t>
      </w:r>
    </w:p>
    <w:p w14:paraId="42C17D0F">
      <w:pPr>
        <w:adjustRightInd w:val="0"/>
        <w:snapToGrid w:val="0"/>
        <w:spacing w:line="360" w:lineRule="auto"/>
        <w:ind w:firstLine="371" w:firstLineChars="177"/>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当甲方提出培训需求时，</w:t>
      </w:r>
      <w:r>
        <w:rPr>
          <w:rFonts w:hint="eastAsia" w:ascii="宋体" w:hAnsi="宋体" w:eastAsia="宋体" w:cs="Times New Roman"/>
          <w:b w:val="0"/>
          <w:bCs/>
          <w:color w:val="auto"/>
          <w:szCs w:val="21"/>
          <w:highlight w:val="none"/>
        </w:rPr>
        <w:t>乙方为甲方免费提供操作及维护培训，主要内容为货物的基本结构、性能、主要部件的构造及原理，日常使用操作、保养与管理，常见故障的原因分析与排除，紧急情况的处理等。培训费用由乙方承担，该费用已包含在合同价中。</w:t>
      </w:r>
    </w:p>
    <w:p w14:paraId="3F2379D9">
      <w:pPr>
        <w:adjustRightInd w:val="0"/>
        <w:snapToGrid w:val="0"/>
        <w:spacing w:line="360" w:lineRule="auto"/>
        <w:ind w:firstLine="373" w:firstLineChars="177"/>
        <w:rPr>
          <w:rFonts w:ascii="宋体" w:hAnsi="宋体" w:eastAsia="宋体" w:cs="Times New Roman"/>
          <w:b/>
          <w:color w:val="auto"/>
          <w:szCs w:val="21"/>
          <w:highlight w:val="none"/>
        </w:rPr>
      </w:pPr>
    </w:p>
    <w:p w14:paraId="691B09C4">
      <w:pPr>
        <w:adjustRightInd w:val="0"/>
        <w:snapToGrid w:val="0"/>
        <w:spacing w:line="360" w:lineRule="auto"/>
        <w:ind w:firstLine="373" w:firstLineChars="177"/>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第十条 履约担保</w:t>
      </w:r>
    </w:p>
    <w:p w14:paraId="70A89A56">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1、乙方应当根据招标文件的规定在签订本合同前向甲方提供履约担保，履约担保形式及金额</w:t>
      </w:r>
      <w:r>
        <w:rPr>
          <w:rFonts w:hint="eastAsia" w:ascii="宋体" w:hAnsi="宋体" w:eastAsia="宋体" w:cs="Times New Roman"/>
          <w:color w:val="auto"/>
          <w:szCs w:val="21"/>
          <w:highlight w:val="none"/>
          <w:lang w:eastAsia="zh-CN"/>
        </w:rPr>
        <w:t>（计算结果保留小数点后两位，第三位四舍五入）</w:t>
      </w:r>
      <w:r>
        <w:rPr>
          <w:rFonts w:hint="eastAsia" w:ascii="宋体" w:hAnsi="宋体" w:eastAsia="宋体" w:cs="Times New Roman"/>
          <w:color w:val="auto"/>
          <w:szCs w:val="21"/>
          <w:highlight w:val="none"/>
        </w:rPr>
        <w:t>由乙方从以下方式中任选一种：</w:t>
      </w:r>
    </w:p>
    <w:p w14:paraId="653B7053">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u w:val="single"/>
        </w:rPr>
        <w:t>履约保证金（银行转账形式）金额为合同</w:t>
      </w:r>
      <w:r>
        <w:rPr>
          <w:rFonts w:hint="eastAsia" w:ascii="宋体" w:hAnsi="宋体" w:eastAsia="宋体" w:cs="Times New Roman"/>
          <w:color w:val="auto"/>
          <w:szCs w:val="21"/>
          <w:highlight w:val="none"/>
        </w:rPr>
        <w:t>暂定</w:t>
      </w:r>
      <w:r>
        <w:rPr>
          <w:rFonts w:hint="eastAsia" w:ascii="宋体" w:hAnsi="宋体" w:eastAsia="宋体" w:cs="Times New Roman"/>
          <w:bCs/>
          <w:color w:val="auto"/>
          <w:szCs w:val="21"/>
          <w:highlight w:val="none"/>
        </w:rPr>
        <w:t>总</w:t>
      </w:r>
      <w:r>
        <w:rPr>
          <w:rFonts w:hint="eastAsia" w:ascii="宋体" w:hAnsi="宋体" w:eastAsia="宋体" w:cs="Times New Roman"/>
          <w:color w:val="auto"/>
          <w:szCs w:val="21"/>
          <w:highlight w:val="none"/>
          <w:u w:val="single"/>
        </w:rPr>
        <w:t>价（</w:t>
      </w:r>
      <w:r>
        <w:rPr>
          <w:rFonts w:hint="eastAsia" w:ascii="Times New Roman" w:hAnsi="宋体" w:eastAsia="宋体" w:cs="Times New Roman"/>
          <w:color w:val="auto"/>
          <w:szCs w:val="21"/>
          <w:highlight w:val="none"/>
        </w:rPr>
        <w:t>含销项税额</w:t>
      </w:r>
      <w:r>
        <w:rPr>
          <w:rFonts w:hint="eastAsia" w:ascii="宋体" w:hAnsi="宋体" w:eastAsia="宋体" w:cs="Times New Roman"/>
          <w:color w:val="auto"/>
          <w:szCs w:val="21"/>
          <w:highlight w:val="none"/>
          <w:u w:val="single"/>
        </w:rPr>
        <w:t>）的5</w:t>
      </w:r>
      <w:r>
        <w:rPr>
          <w:rFonts w:ascii="宋体" w:hAnsi="宋体" w:eastAsia="宋体" w:cs="Times New Roman"/>
          <w:color w:val="auto"/>
          <w:szCs w:val="21"/>
          <w:highlight w:val="none"/>
          <w:u w:val="single"/>
        </w:rPr>
        <w:t>%</w:t>
      </w:r>
      <w:r>
        <w:rPr>
          <w:rFonts w:hint="eastAsia" w:ascii="宋体" w:hAnsi="宋体" w:eastAsia="宋体" w:cs="Times New Roman"/>
          <w:color w:val="auto"/>
          <w:szCs w:val="21"/>
          <w:highlight w:val="none"/>
          <w:u w:val="single"/>
        </w:rPr>
        <w:t>；</w:t>
      </w:r>
    </w:p>
    <w:p w14:paraId="078A93D7">
      <w:pPr>
        <w:adjustRightInd w:val="0"/>
        <w:snapToGrid w:val="0"/>
        <w:spacing w:line="360" w:lineRule="auto"/>
        <w:ind w:firstLine="371" w:firstLineChars="177"/>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u w:val="single"/>
        </w:rPr>
        <w:t>不可撤销银行履约保函金额为合</w:t>
      </w:r>
      <w:r>
        <w:rPr>
          <w:rFonts w:hint="eastAsia" w:ascii="宋体" w:hAnsi="宋体" w:eastAsia="宋体" w:cs="Times New Roman"/>
          <w:color w:val="auto"/>
          <w:szCs w:val="21"/>
          <w:highlight w:val="none"/>
        </w:rPr>
        <w:t>同暂定</w:t>
      </w:r>
      <w:r>
        <w:rPr>
          <w:rFonts w:hint="eastAsia" w:ascii="宋体" w:hAnsi="宋体" w:eastAsia="宋体" w:cs="Times New Roman"/>
          <w:bCs/>
          <w:color w:val="auto"/>
          <w:szCs w:val="21"/>
          <w:highlight w:val="none"/>
        </w:rPr>
        <w:t>总</w:t>
      </w:r>
      <w:r>
        <w:rPr>
          <w:rFonts w:hint="eastAsia" w:ascii="宋体" w:hAnsi="宋体" w:eastAsia="宋体" w:cs="Times New Roman"/>
          <w:color w:val="auto"/>
          <w:szCs w:val="21"/>
          <w:highlight w:val="none"/>
          <w:u w:val="single"/>
        </w:rPr>
        <w:t>价（</w:t>
      </w:r>
      <w:r>
        <w:rPr>
          <w:rFonts w:hint="eastAsia" w:ascii="Times New Roman" w:hAnsi="宋体" w:eastAsia="宋体" w:cs="Times New Roman"/>
          <w:color w:val="auto"/>
          <w:szCs w:val="21"/>
          <w:highlight w:val="none"/>
        </w:rPr>
        <w:t>含销项税额</w:t>
      </w:r>
      <w:r>
        <w:rPr>
          <w:rFonts w:hint="eastAsia" w:ascii="宋体" w:hAnsi="宋体" w:eastAsia="宋体" w:cs="Times New Roman"/>
          <w:color w:val="auto"/>
          <w:szCs w:val="21"/>
          <w:highlight w:val="none"/>
          <w:u w:val="single"/>
        </w:rPr>
        <w:t>）的</w:t>
      </w:r>
      <w:r>
        <w:rPr>
          <w:rFonts w:ascii="宋体" w:hAnsi="宋体" w:eastAsia="宋体" w:cs="Times New Roman"/>
          <w:color w:val="auto"/>
          <w:szCs w:val="21"/>
          <w:highlight w:val="none"/>
          <w:u w:val="single"/>
        </w:rPr>
        <w:t>8%</w:t>
      </w:r>
      <w:r>
        <w:rPr>
          <w:rFonts w:hint="eastAsia" w:ascii="宋体" w:hAnsi="宋体" w:eastAsia="宋体" w:cs="Times New Roman"/>
          <w:color w:val="auto"/>
          <w:szCs w:val="21"/>
          <w:highlight w:val="none"/>
          <w:u w:val="single"/>
        </w:rPr>
        <w:t>；</w:t>
      </w:r>
    </w:p>
    <w:p w14:paraId="5930C265">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lang w:val="en-US" w:eastAsia="zh-CN"/>
        </w:rPr>
        <w:t>履约保证保险</w:t>
      </w:r>
      <w:r>
        <w:rPr>
          <w:rFonts w:hint="eastAsia" w:ascii="宋体" w:hAnsi="宋体" w:eastAsia="宋体" w:cs="宋体"/>
          <w:color w:val="auto"/>
          <w:sz w:val="21"/>
          <w:szCs w:val="21"/>
          <w:highlight w:val="none"/>
          <w:u w:val="single"/>
        </w:rPr>
        <w:t>金额为合</w:t>
      </w:r>
      <w:r>
        <w:rPr>
          <w:rFonts w:hint="eastAsia" w:ascii="宋体" w:hAnsi="宋体" w:eastAsia="宋体" w:cs="宋体"/>
          <w:color w:val="auto"/>
          <w:sz w:val="21"/>
          <w:szCs w:val="21"/>
          <w:highlight w:val="none"/>
        </w:rPr>
        <w:t>同暂定</w:t>
      </w:r>
      <w:r>
        <w:rPr>
          <w:rFonts w:hint="eastAsia" w:ascii="宋体" w:hAnsi="宋体" w:eastAsia="宋体" w:cs="宋体"/>
          <w:bCs/>
          <w:color w:val="auto"/>
          <w:sz w:val="21"/>
          <w:szCs w:val="21"/>
          <w:highlight w:val="none"/>
        </w:rPr>
        <w:t>总</w:t>
      </w:r>
      <w:r>
        <w:rPr>
          <w:rFonts w:hint="eastAsia" w:ascii="宋体" w:hAnsi="宋体" w:eastAsia="宋体" w:cs="宋体"/>
          <w:color w:val="auto"/>
          <w:sz w:val="21"/>
          <w:szCs w:val="21"/>
          <w:highlight w:val="none"/>
          <w:u w:val="single"/>
        </w:rPr>
        <w:t>价（</w:t>
      </w:r>
      <w:r>
        <w:rPr>
          <w:rFonts w:hint="eastAsia" w:ascii="宋体" w:hAnsi="宋体" w:eastAsia="宋体" w:cs="宋体"/>
          <w:color w:val="auto"/>
          <w:sz w:val="21"/>
          <w:szCs w:val="21"/>
          <w:highlight w:val="none"/>
        </w:rPr>
        <w:t>含销项税额</w:t>
      </w:r>
      <w:r>
        <w:rPr>
          <w:rFonts w:hint="eastAsia" w:ascii="宋体" w:hAnsi="宋体" w:eastAsia="宋体" w:cs="宋体"/>
          <w:color w:val="auto"/>
          <w:sz w:val="21"/>
          <w:szCs w:val="21"/>
          <w:highlight w:val="none"/>
          <w:u w:val="single"/>
        </w:rPr>
        <w:t>）的8%；</w:t>
      </w:r>
    </w:p>
    <w:p w14:paraId="0FF26DA6">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u w:val="single"/>
        </w:rPr>
        <w:t>担保公司履约担保书金额为合同</w:t>
      </w:r>
      <w:r>
        <w:rPr>
          <w:rFonts w:hint="eastAsia" w:ascii="宋体" w:hAnsi="宋体" w:eastAsia="宋体" w:cs="Times New Roman"/>
          <w:color w:val="auto"/>
          <w:szCs w:val="21"/>
          <w:highlight w:val="none"/>
        </w:rPr>
        <w:t>暂定</w:t>
      </w:r>
      <w:r>
        <w:rPr>
          <w:rFonts w:hint="eastAsia" w:ascii="宋体" w:hAnsi="宋体" w:eastAsia="宋体" w:cs="Times New Roman"/>
          <w:bCs/>
          <w:color w:val="auto"/>
          <w:szCs w:val="21"/>
          <w:highlight w:val="none"/>
        </w:rPr>
        <w:t>总</w:t>
      </w:r>
      <w:r>
        <w:rPr>
          <w:rFonts w:hint="eastAsia" w:ascii="宋体" w:hAnsi="宋体" w:eastAsia="宋体" w:cs="Times New Roman"/>
          <w:color w:val="auto"/>
          <w:szCs w:val="21"/>
          <w:highlight w:val="none"/>
          <w:u w:val="single"/>
        </w:rPr>
        <w:t>价（</w:t>
      </w:r>
      <w:r>
        <w:rPr>
          <w:rFonts w:hint="eastAsia" w:ascii="Times New Roman" w:hAnsi="宋体" w:eastAsia="宋体" w:cs="Times New Roman"/>
          <w:color w:val="auto"/>
          <w:szCs w:val="21"/>
          <w:highlight w:val="none"/>
        </w:rPr>
        <w:t>含销项税额</w:t>
      </w:r>
      <w:r>
        <w:rPr>
          <w:rFonts w:hint="eastAsia" w:ascii="宋体" w:hAnsi="宋体" w:eastAsia="宋体" w:cs="Times New Roman"/>
          <w:color w:val="auto"/>
          <w:szCs w:val="21"/>
          <w:highlight w:val="none"/>
          <w:u w:val="single"/>
        </w:rPr>
        <w:t>）的10%</w:t>
      </w:r>
      <w:r>
        <w:rPr>
          <w:rFonts w:hint="eastAsia" w:ascii="宋体" w:hAnsi="宋体" w:eastAsia="宋体" w:cs="Times New Roman"/>
          <w:color w:val="auto"/>
          <w:szCs w:val="21"/>
          <w:highlight w:val="none"/>
        </w:rPr>
        <w:t>。</w:t>
      </w:r>
    </w:p>
    <w:p w14:paraId="3B9B3114">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2、履约担保用于</w:t>
      </w:r>
      <w:r>
        <w:rPr>
          <w:rFonts w:hint="eastAsia" w:ascii="宋体" w:hAnsi="宋体" w:eastAsia="宋体" w:cs="宋体"/>
          <w:color w:val="auto"/>
          <w:szCs w:val="21"/>
          <w:highlight w:val="none"/>
          <w:lang w:val="en-US" w:eastAsia="zh-CN"/>
        </w:rPr>
        <w:t>补偿</w:t>
      </w:r>
      <w:r>
        <w:rPr>
          <w:rFonts w:hint="eastAsia" w:ascii="宋体" w:hAnsi="宋体" w:eastAsia="宋体" w:cs="Times New Roman"/>
          <w:color w:val="auto"/>
          <w:szCs w:val="21"/>
          <w:highlight w:val="none"/>
        </w:rPr>
        <w:t>甲方因乙方</w:t>
      </w:r>
      <w:r>
        <w:rPr>
          <w:rFonts w:hint="eastAsia" w:ascii="宋体" w:hAnsi="宋体" w:eastAsia="宋体" w:cs="Times New Roman"/>
          <w:color w:val="auto"/>
          <w:szCs w:val="21"/>
          <w:highlight w:val="none"/>
          <w:lang w:val="en-US" w:eastAsia="zh-CN"/>
        </w:rPr>
        <w:t>未</w:t>
      </w:r>
      <w:r>
        <w:rPr>
          <w:rFonts w:hint="eastAsia" w:ascii="宋体" w:hAnsi="宋体" w:eastAsia="宋体" w:cs="宋体"/>
          <w:color w:val="auto"/>
          <w:szCs w:val="21"/>
          <w:highlight w:val="none"/>
          <w:lang w:val="en-US" w:eastAsia="zh-CN"/>
        </w:rPr>
        <w:t>完全履行</w:t>
      </w:r>
      <w:r>
        <w:rPr>
          <w:rFonts w:hint="eastAsia" w:ascii="宋体" w:hAnsi="宋体" w:eastAsia="宋体" w:cs="Times New Roman"/>
          <w:color w:val="auto"/>
          <w:szCs w:val="21"/>
          <w:highlight w:val="none"/>
        </w:rPr>
        <w:t>合同义务而蒙受的损失</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乙方</w:t>
      </w:r>
      <w:r>
        <w:rPr>
          <w:rFonts w:hint="eastAsia" w:ascii="宋体" w:hAnsi="宋体" w:eastAsia="宋体" w:cs="Times New Roman"/>
          <w:color w:val="auto"/>
          <w:szCs w:val="21"/>
          <w:highlight w:val="none"/>
        </w:rPr>
        <w:t>如发生下列任一情况时，甲方有权</w:t>
      </w:r>
      <w:r>
        <w:rPr>
          <w:rFonts w:hint="eastAsia" w:ascii="宋体" w:hAnsi="宋体" w:eastAsia="宋体" w:cs="Times New Roman"/>
          <w:color w:val="auto"/>
          <w:szCs w:val="21"/>
          <w:highlight w:val="none"/>
          <w:lang w:val="en-US" w:eastAsia="zh-CN"/>
        </w:rPr>
        <w:t>依据本</w:t>
      </w:r>
      <w:r>
        <w:rPr>
          <w:rFonts w:hint="eastAsia" w:ascii="宋体" w:hAnsi="宋体" w:eastAsia="宋体" w:cs="Times New Roman"/>
          <w:color w:val="auto"/>
          <w:szCs w:val="21"/>
          <w:highlight w:val="none"/>
        </w:rPr>
        <w:t>合同追究违约责任，</w:t>
      </w:r>
      <w:r>
        <w:rPr>
          <w:rFonts w:hint="eastAsia" w:ascii="宋体" w:hAnsi="宋体" w:eastAsia="宋体" w:cs="Times New Roman"/>
          <w:color w:val="auto"/>
          <w:szCs w:val="21"/>
          <w:highlight w:val="none"/>
          <w:lang w:val="en-US" w:eastAsia="zh-CN"/>
        </w:rPr>
        <w:t>同时</w:t>
      </w:r>
      <w:r>
        <w:rPr>
          <w:rFonts w:hint="eastAsia" w:ascii="宋体" w:hAnsi="宋体" w:eastAsia="宋体" w:cs="Times New Roman"/>
          <w:color w:val="auto"/>
          <w:szCs w:val="21"/>
          <w:highlight w:val="none"/>
        </w:rPr>
        <w:t>有权</w:t>
      </w:r>
      <w:r>
        <w:rPr>
          <w:rFonts w:hint="eastAsia" w:ascii="宋体" w:hAnsi="宋体" w:eastAsia="宋体" w:cs="Times New Roman"/>
          <w:color w:val="auto"/>
          <w:kern w:val="0"/>
          <w:szCs w:val="21"/>
          <w:highlight w:val="none"/>
        </w:rPr>
        <w:t>提取</w:t>
      </w:r>
      <w:r>
        <w:rPr>
          <w:rFonts w:hint="eastAsia" w:ascii="宋体" w:hAnsi="宋体" w:eastAsia="宋体" w:cs="Times New Roman"/>
          <w:color w:val="auto"/>
          <w:szCs w:val="21"/>
          <w:highlight w:val="none"/>
        </w:rPr>
        <w:t>履约担保弥补损失</w:t>
      </w:r>
      <w:r>
        <w:rPr>
          <w:rFonts w:hint="eastAsia" w:ascii="宋体" w:hAnsi="宋体" w:eastAsia="宋体" w:cs="宋体"/>
          <w:color w:val="auto"/>
          <w:szCs w:val="21"/>
          <w:highlight w:val="none"/>
          <w:lang w:val="en-US" w:eastAsia="zh-CN"/>
        </w:rPr>
        <w:t>或</w:t>
      </w:r>
      <w:r>
        <w:rPr>
          <w:rFonts w:hint="eastAsia" w:ascii="宋体" w:hAnsi="宋体" w:eastAsia="宋体" w:cs="Times New Roman"/>
          <w:color w:val="auto"/>
          <w:szCs w:val="21"/>
          <w:highlight w:val="none"/>
        </w:rPr>
        <w:t>进行相应处理：</w:t>
      </w:r>
    </w:p>
    <w:p w14:paraId="02543E8B">
      <w:pPr>
        <w:adjustRightInd w:val="0"/>
        <w:snapToGrid w:val="0"/>
        <w:spacing w:line="360" w:lineRule="auto"/>
        <w:ind w:firstLine="371" w:firstLineChars="177"/>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w:t>
      </w:r>
      <w:r>
        <w:rPr>
          <w:rFonts w:hint="eastAsia" w:ascii="Times New Roman" w:hAnsi="宋体" w:eastAsia="宋体" w:cs="Times New Roman"/>
          <w:color w:val="auto"/>
          <w:szCs w:val="21"/>
          <w:highlight w:val="none"/>
        </w:rPr>
        <w:t>乙方将合同项下</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乙方</w:t>
      </w:r>
      <w:r>
        <w:rPr>
          <w:rFonts w:hint="eastAsia" w:ascii="Times New Roman" w:hAnsi="宋体" w:eastAsia="宋体" w:cs="Times New Roman"/>
          <w:color w:val="auto"/>
          <w:szCs w:val="21"/>
          <w:highlight w:val="none"/>
        </w:rPr>
        <w:t>的权利义务全部转让给第三方，或未经甲方书面同意将部分权利义务转让给第三方</w:t>
      </w:r>
      <w:r>
        <w:rPr>
          <w:rFonts w:hint="eastAsia" w:ascii="Times New Roman" w:hAnsi="宋体" w:eastAsia="宋体" w:cs="Times New Roman"/>
          <w:color w:val="auto"/>
          <w:szCs w:val="21"/>
          <w:highlight w:val="none"/>
          <w:lang w:eastAsia="zh-CN"/>
        </w:rPr>
        <w:t>；</w:t>
      </w:r>
    </w:p>
    <w:p w14:paraId="75A971FA">
      <w:pPr>
        <w:adjustRightInd w:val="0"/>
        <w:snapToGrid w:val="0"/>
        <w:spacing w:line="360" w:lineRule="auto"/>
        <w:ind w:firstLine="371" w:firstLineChars="177"/>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）在合同履行期间，因乙方货物质量</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安装或运行等问题造成损害</w:t>
      </w:r>
      <w:r>
        <w:rPr>
          <w:rFonts w:hint="eastAsia" w:ascii="宋体" w:hAnsi="宋体" w:eastAsia="宋体" w:cs="Times New Roman"/>
          <w:color w:val="auto"/>
          <w:szCs w:val="21"/>
          <w:highlight w:val="none"/>
          <w:lang w:val="en-US" w:eastAsia="zh-CN"/>
        </w:rPr>
        <w:t>或</w:t>
      </w:r>
      <w:r>
        <w:rPr>
          <w:rFonts w:hint="eastAsia" w:ascii="宋体" w:hAnsi="宋体" w:eastAsia="宋体" w:cs="Times New Roman"/>
          <w:color w:val="auto"/>
          <w:szCs w:val="21"/>
          <w:highlight w:val="none"/>
        </w:rPr>
        <w:t>侵权损失（包括但不限于甲方经济损失、第三人人身财产损失等）</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或乙方</w:t>
      </w:r>
      <w:r>
        <w:rPr>
          <w:rFonts w:ascii="宋体" w:hAnsi="宋体" w:eastAsia="宋体" w:cs="Times New Roman"/>
          <w:color w:val="auto"/>
          <w:szCs w:val="21"/>
          <w:highlight w:val="none"/>
        </w:rPr>
        <w:t>拖欠</w:t>
      </w:r>
      <w:r>
        <w:rPr>
          <w:rFonts w:hint="eastAsia" w:ascii="宋体" w:hAnsi="宋体" w:eastAsia="宋体" w:cs="Times New Roman"/>
          <w:color w:val="auto"/>
          <w:szCs w:val="21"/>
          <w:highlight w:val="none"/>
        </w:rPr>
        <w:t>设备供应商货款（含第三方劳务费用等）</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kern w:val="0"/>
          <w:szCs w:val="21"/>
          <w:highlight w:val="none"/>
        </w:rPr>
        <w:t>与其</w:t>
      </w:r>
      <w:r>
        <w:rPr>
          <w:rFonts w:ascii="宋体" w:hAnsi="宋体" w:eastAsia="宋体" w:cs="Times New Roman"/>
          <w:color w:val="auto"/>
          <w:szCs w:val="21"/>
          <w:highlight w:val="none"/>
        </w:rPr>
        <w:t>所雇用员工发生劳资纠纷</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或出现</w:t>
      </w:r>
      <w:r>
        <w:rPr>
          <w:rFonts w:hint="eastAsia" w:ascii="宋体" w:hAnsi="宋体" w:eastAsia="宋体" w:cs="Times New Roman"/>
          <w:color w:val="auto"/>
          <w:szCs w:val="21"/>
          <w:highlight w:val="none"/>
        </w:rPr>
        <w:t>上访、闹事</w:t>
      </w:r>
      <w:r>
        <w:rPr>
          <w:rFonts w:hint="eastAsia" w:ascii="宋体" w:hAnsi="宋体" w:eastAsia="宋体" w:cs="Times New Roman"/>
          <w:color w:val="auto"/>
          <w:szCs w:val="21"/>
          <w:highlight w:val="none"/>
          <w:lang w:val="en-US" w:eastAsia="zh-CN"/>
        </w:rPr>
        <w:t>等</w:t>
      </w:r>
      <w:r>
        <w:rPr>
          <w:rFonts w:hint="eastAsia" w:ascii="宋体" w:hAnsi="宋体" w:eastAsia="宋体" w:cs="Times New Roman"/>
          <w:color w:val="auto"/>
          <w:szCs w:val="21"/>
          <w:highlight w:val="none"/>
        </w:rPr>
        <w:t>其他影响甲方生产经营等情况</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且乙方</w:t>
      </w:r>
      <w:r>
        <w:rPr>
          <w:rFonts w:hint="eastAsia" w:ascii="宋体" w:hAnsi="宋体" w:eastAsia="宋体" w:cs="Times New Roman"/>
          <w:color w:val="auto"/>
          <w:szCs w:val="21"/>
          <w:highlight w:val="none"/>
        </w:rPr>
        <w:t>未及时妥善处理的</w:t>
      </w:r>
      <w:r>
        <w:rPr>
          <w:rFonts w:hint="eastAsia" w:ascii="宋体" w:hAnsi="宋体" w:eastAsia="宋体" w:cs="Times New Roman"/>
          <w:color w:val="auto"/>
          <w:szCs w:val="21"/>
          <w:highlight w:val="none"/>
          <w:lang w:eastAsia="zh-CN"/>
        </w:rPr>
        <w:t>；</w:t>
      </w:r>
    </w:p>
    <w:p w14:paraId="19A86D8B">
      <w:pPr>
        <w:adjustRightInd w:val="0"/>
        <w:snapToGrid w:val="0"/>
        <w:spacing w:line="360" w:lineRule="auto"/>
        <w:ind w:firstLine="371" w:firstLineChars="177"/>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）在合同履行期间，乙方违约产生的违约金、</w:t>
      </w:r>
      <w:r>
        <w:rPr>
          <w:rFonts w:hint="eastAsia" w:ascii="宋体" w:hAnsi="宋体" w:eastAsia="宋体" w:cs="Times New Roman"/>
          <w:color w:val="auto"/>
          <w:szCs w:val="21"/>
          <w:highlight w:val="none"/>
          <w:lang w:val="en-US" w:eastAsia="zh-CN"/>
        </w:rPr>
        <w:t>损失</w:t>
      </w:r>
      <w:r>
        <w:rPr>
          <w:rFonts w:hint="eastAsia" w:ascii="宋体" w:hAnsi="宋体" w:eastAsia="宋体" w:cs="Times New Roman"/>
          <w:color w:val="auto"/>
          <w:szCs w:val="21"/>
          <w:highlight w:val="none"/>
        </w:rPr>
        <w:t>赔偿或其他应付费用等款项，甲方有权直接从未付货物款项中扣除或使用履约担保予以支付</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不足部分继续追偿</w:t>
      </w:r>
      <w:r>
        <w:rPr>
          <w:rFonts w:hint="eastAsia" w:ascii="宋体" w:hAnsi="宋体" w:eastAsia="宋体" w:cs="Times New Roman"/>
          <w:color w:val="auto"/>
          <w:szCs w:val="21"/>
          <w:highlight w:val="none"/>
          <w:lang w:eastAsia="zh-CN"/>
        </w:rPr>
        <w:t>；</w:t>
      </w:r>
    </w:p>
    <w:p w14:paraId="353B818C">
      <w:pPr>
        <w:adjustRightInd w:val="0"/>
        <w:snapToGrid w:val="0"/>
        <w:spacing w:line="360" w:lineRule="auto"/>
        <w:ind w:firstLine="371" w:firstLineChars="177"/>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）合同期内，乙方不能及时完成某项合同义务</w:t>
      </w:r>
      <w:r>
        <w:rPr>
          <w:rFonts w:hint="eastAsia" w:ascii="宋体" w:hAnsi="宋体" w:eastAsia="宋体" w:cs="Times New Roman"/>
          <w:color w:val="auto"/>
          <w:szCs w:val="21"/>
          <w:highlight w:val="none"/>
          <w:lang w:eastAsia="zh-CN"/>
        </w:rPr>
        <w:t>；</w:t>
      </w:r>
    </w:p>
    <w:p w14:paraId="20616E55">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）其他根据本合同约定或法律规定，甲方可使用履约担保的情形。</w:t>
      </w:r>
    </w:p>
    <w:p w14:paraId="751FA64C">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3、乙方以履约保证金（银行转账形式）提供履约担保的，在合同期限届满</w:t>
      </w:r>
      <w:r>
        <w:rPr>
          <w:rFonts w:hint="eastAsia" w:ascii="宋体" w:hAnsi="宋体" w:eastAsia="宋体" w:cs="Times New Roman"/>
          <w:color w:val="auto"/>
          <w:szCs w:val="21"/>
          <w:highlight w:val="none"/>
          <w:lang w:eastAsia="zh-CN"/>
        </w:rPr>
        <w:t>并完成全部供货验收合格后</w:t>
      </w:r>
      <w:r>
        <w:rPr>
          <w:rFonts w:hint="eastAsia" w:ascii="宋体" w:hAnsi="宋体" w:eastAsia="宋体" w:cs="Times New Roman"/>
          <w:color w:val="auto"/>
          <w:szCs w:val="21"/>
          <w:highlight w:val="none"/>
        </w:rPr>
        <w:t>二十八（28）日后，经</w:t>
      </w:r>
      <w:r>
        <w:rPr>
          <w:rFonts w:hint="eastAsia" w:ascii="宋体" w:hAnsi="宋体" w:eastAsia="宋体" w:cs="Times New Roman"/>
          <w:color w:val="auto"/>
          <w:szCs w:val="21"/>
          <w:highlight w:val="none"/>
          <w:lang w:eastAsia="zh-CN"/>
        </w:rPr>
        <w:t>甲方</w:t>
      </w:r>
      <w:r>
        <w:rPr>
          <w:rFonts w:hint="eastAsia" w:ascii="宋体" w:hAnsi="宋体" w:eastAsia="宋体" w:cs="Times New Roman"/>
          <w:color w:val="auto"/>
          <w:szCs w:val="21"/>
          <w:highlight w:val="none"/>
        </w:rPr>
        <w:t>确认，</w:t>
      </w:r>
      <w:r>
        <w:rPr>
          <w:rFonts w:hint="eastAsia" w:ascii="宋体" w:hAnsi="宋体" w:eastAsia="宋体" w:cs="Times New Roman"/>
          <w:color w:val="auto"/>
          <w:szCs w:val="21"/>
          <w:highlight w:val="none"/>
          <w:lang w:eastAsia="zh-CN"/>
        </w:rPr>
        <w:t>乙方</w:t>
      </w:r>
      <w:r>
        <w:rPr>
          <w:rFonts w:hint="eastAsia" w:ascii="宋体" w:hAnsi="宋体" w:eastAsia="宋体" w:cs="Times New Roman"/>
          <w:color w:val="auto"/>
          <w:szCs w:val="21"/>
          <w:highlight w:val="none"/>
        </w:rPr>
        <w:t>可向</w:t>
      </w:r>
      <w:r>
        <w:rPr>
          <w:rFonts w:hint="eastAsia" w:ascii="宋体" w:hAnsi="宋体" w:eastAsia="宋体" w:cs="Times New Roman"/>
          <w:color w:val="auto"/>
          <w:szCs w:val="21"/>
          <w:highlight w:val="none"/>
          <w:lang w:eastAsia="zh-CN"/>
        </w:rPr>
        <w:t>甲方</w:t>
      </w:r>
      <w:r>
        <w:rPr>
          <w:rFonts w:hint="eastAsia" w:ascii="宋体" w:hAnsi="宋体" w:eastAsia="宋体" w:cs="Times New Roman"/>
          <w:color w:val="auto"/>
          <w:szCs w:val="21"/>
          <w:highlight w:val="none"/>
        </w:rPr>
        <w:t>提交退回履约担保的申请。</w:t>
      </w:r>
      <w:r>
        <w:rPr>
          <w:rFonts w:hint="eastAsia" w:ascii="宋体" w:hAnsi="宋体" w:eastAsia="宋体" w:cs="Times New Roman"/>
          <w:color w:val="auto"/>
          <w:szCs w:val="21"/>
          <w:highlight w:val="none"/>
          <w:lang w:eastAsia="zh-CN"/>
        </w:rPr>
        <w:t>甲方</w:t>
      </w:r>
      <w:r>
        <w:rPr>
          <w:rFonts w:hint="eastAsia" w:ascii="宋体" w:hAnsi="宋体" w:eastAsia="宋体" w:cs="Times New Roman"/>
          <w:color w:val="auto"/>
          <w:szCs w:val="21"/>
          <w:highlight w:val="none"/>
        </w:rPr>
        <w:t>审核无异议后，办理履约担保退还手续，退回时一律以银行转账的形式无息退回到</w:t>
      </w:r>
      <w:r>
        <w:rPr>
          <w:rFonts w:hint="eastAsia" w:ascii="宋体" w:hAnsi="宋体" w:eastAsia="宋体" w:cs="Times New Roman"/>
          <w:color w:val="auto"/>
          <w:szCs w:val="21"/>
          <w:highlight w:val="none"/>
          <w:lang w:eastAsia="zh-CN"/>
        </w:rPr>
        <w:t>乙方</w:t>
      </w:r>
      <w:r>
        <w:rPr>
          <w:rFonts w:hint="eastAsia" w:ascii="宋体" w:hAnsi="宋体" w:eastAsia="宋体" w:cs="Times New Roman"/>
          <w:color w:val="auto"/>
          <w:szCs w:val="21"/>
          <w:highlight w:val="none"/>
        </w:rPr>
        <w:t>的</w:t>
      </w:r>
      <w:r>
        <w:rPr>
          <w:rFonts w:hint="eastAsia" w:ascii="宋体" w:hAnsi="宋体" w:eastAsia="宋体" w:cs="Times New Roman"/>
          <w:color w:val="auto"/>
          <w:szCs w:val="21"/>
          <w:highlight w:val="none"/>
          <w:lang w:eastAsia="zh-CN"/>
        </w:rPr>
        <w:t>账</w:t>
      </w:r>
      <w:r>
        <w:rPr>
          <w:rFonts w:hint="eastAsia" w:ascii="宋体" w:hAnsi="宋体" w:eastAsia="宋体" w:cs="Times New Roman"/>
          <w:color w:val="auto"/>
          <w:szCs w:val="21"/>
          <w:highlight w:val="none"/>
        </w:rPr>
        <w:t>户。</w:t>
      </w:r>
    </w:p>
    <w:p w14:paraId="3FD279F5">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4、如乙方提供不可撤销银行履约保函（或履约保证保险或担保公司履约担保书）作为履约担保的，不可撤销银行履约保函或履约保证保险或担保公司履约担保书</w:t>
      </w:r>
      <w:r>
        <w:rPr>
          <w:rFonts w:hint="eastAsia" w:ascii="宋体" w:hAnsi="宋体" w:eastAsia="宋体" w:cs="Times New Roman"/>
          <w:color w:val="auto"/>
          <w:szCs w:val="21"/>
          <w:highlight w:val="none"/>
          <w:lang w:eastAsia="zh-CN"/>
        </w:rPr>
        <w:t>应从合同签订之日起至合同期限届满并完成全部供货验收合格后二十八（28）日内保持有效</w:t>
      </w:r>
      <w:r>
        <w:rPr>
          <w:rFonts w:hint="eastAsia" w:ascii="宋体" w:hAnsi="宋体" w:eastAsia="宋体" w:cs="Times New Roman"/>
          <w:color w:val="auto"/>
          <w:szCs w:val="21"/>
          <w:highlight w:val="none"/>
        </w:rPr>
        <w:t>。如不可撤销银行履约保函或履约保证保险或担保公司履约担保书在规定有效期届满时而货物尚未全部验收合格的，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甲方有权要求乙方以履约担保金额为限承担违约金，违约金可直接从应付而未付</w:t>
      </w:r>
      <w:r>
        <w:rPr>
          <w:rFonts w:hint="eastAsia" w:ascii="宋体" w:hAnsi="宋体" w:eastAsia="宋体" w:cs="Times New Roman"/>
          <w:color w:val="auto"/>
          <w:szCs w:val="21"/>
          <w:highlight w:val="none"/>
          <w:lang w:val="en-US" w:eastAsia="zh-CN"/>
        </w:rPr>
        <w:t>货</w:t>
      </w:r>
      <w:r>
        <w:rPr>
          <w:rFonts w:hint="eastAsia" w:ascii="宋体" w:hAnsi="宋体" w:eastAsia="宋体" w:cs="Times New Roman"/>
          <w:color w:val="auto"/>
          <w:szCs w:val="21"/>
          <w:highlight w:val="none"/>
        </w:rPr>
        <w:t>款中扣除。</w:t>
      </w:r>
    </w:p>
    <w:p w14:paraId="3EC69F69">
      <w:pPr>
        <w:adjustRightInd w:val="0"/>
        <w:snapToGrid w:val="0"/>
        <w:spacing w:line="360" w:lineRule="auto"/>
        <w:ind w:firstLine="371" w:firstLineChars="177"/>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5、</w:t>
      </w:r>
      <w:r>
        <w:rPr>
          <w:rFonts w:hint="eastAsia" w:ascii="宋体" w:hAnsi="宋体" w:eastAsia="宋体" w:cs="Times New Roman"/>
          <w:color w:val="auto"/>
          <w:szCs w:val="21"/>
          <w:highlight w:val="none"/>
          <w:lang w:val="en-US" w:eastAsia="zh-CN"/>
        </w:rPr>
        <w:t>乙方</w:t>
      </w:r>
      <w:r>
        <w:rPr>
          <w:rFonts w:hint="eastAsia" w:ascii="宋体" w:hAnsi="宋体" w:eastAsia="宋体" w:cs="Times New Roman"/>
          <w:color w:val="auto"/>
          <w:szCs w:val="21"/>
          <w:highlight w:val="none"/>
        </w:rPr>
        <w:t>在合同履行期间应保证履约担保有效及金额符合招标文件要求</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因合同内容变更、保证金使用等原因导致履约担保金额不满足招标文件要求的，乙方应当在履约担保金额不足之日起15天内予以补足；如违反的，甲方有权按</w:t>
      </w:r>
      <w:r>
        <w:rPr>
          <w:rFonts w:hint="eastAsia" w:ascii="宋体" w:hAnsi="宋体" w:eastAsia="宋体" w:cs="Times New Roman"/>
          <w:color w:val="auto"/>
          <w:szCs w:val="21"/>
          <w:highlight w:val="none"/>
          <w:lang w:val="en-US" w:eastAsia="zh-CN"/>
        </w:rPr>
        <w:t>需补</w:t>
      </w:r>
      <w:r>
        <w:rPr>
          <w:rFonts w:hint="eastAsia" w:ascii="宋体" w:hAnsi="宋体" w:eastAsia="宋体" w:cs="Times New Roman"/>
          <w:color w:val="auto"/>
          <w:szCs w:val="21"/>
          <w:highlight w:val="none"/>
        </w:rPr>
        <w:t>足部分金额为限要求乙方承担违约金，违约金可直接从应付而未付</w:t>
      </w:r>
      <w:r>
        <w:rPr>
          <w:rFonts w:hint="eastAsia" w:ascii="宋体" w:hAnsi="宋体" w:eastAsia="宋体" w:cs="Times New Roman"/>
          <w:color w:val="auto"/>
          <w:szCs w:val="21"/>
          <w:highlight w:val="none"/>
          <w:lang w:val="en-US" w:eastAsia="zh-CN"/>
        </w:rPr>
        <w:t>货</w:t>
      </w:r>
      <w:r>
        <w:rPr>
          <w:rFonts w:hint="eastAsia" w:ascii="宋体" w:hAnsi="宋体" w:eastAsia="宋体" w:cs="Times New Roman"/>
          <w:color w:val="auto"/>
          <w:szCs w:val="21"/>
          <w:highlight w:val="none"/>
        </w:rPr>
        <w:t>款中扣除。</w:t>
      </w:r>
    </w:p>
    <w:p w14:paraId="76F5C231">
      <w:pPr>
        <w:adjustRightInd w:val="0"/>
        <w:snapToGrid w:val="0"/>
        <w:spacing w:line="360" w:lineRule="auto"/>
        <w:ind w:firstLine="373" w:firstLineChars="177"/>
        <w:outlineLvl w:val="9"/>
        <w:rPr>
          <w:rFonts w:hint="eastAsia" w:ascii="宋体" w:hAnsi="宋体" w:eastAsia="宋体" w:cs="Times New Roman"/>
          <w:b/>
          <w:color w:val="auto"/>
          <w:szCs w:val="21"/>
          <w:highlight w:val="none"/>
        </w:rPr>
      </w:pPr>
    </w:p>
    <w:p w14:paraId="06E70B86">
      <w:pPr>
        <w:adjustRightInd w:val="0"/>
        <w:snapToGrid w:val="0"/>
        <w:spacing w:line="360" w:lineRule="auto"/>
        <w:ind w:firstLine="373" w:firstLineChars="177"/>
        <w:outlineLvl w:val="1"/>
        <w:rPr>
          <w:rFonts w:hint="default"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rPr>
        <w:t>第十</w:t>
      </w:r>
      <w:r>
        <w:rPr>
          <w:rFonts w:hint="eastAsia" w:ascii="宋体" w:hAnsi="宋体" w:eastAsia="宋体" w:cs="Times New Roman"/>
          <w:b/>
          <w:color w:val="auto"/>
          <w:szCs w:val="21"/>
          <w:highlight w:val="none"/>
          <w:lang w:val="en-US" w:eastAsia="zh-CN"/>
        </w:rPr>
        <w:t>一</w:t>
      </w:r>
      <w:r>
        <w:rPr>
          <w:rFonts w:hint="eastAsia" w:ascii="宋体" w:hAnsi="宋体" w:eastAsia="宋体" w:cs="Times New Roman"/>
          <w:b/>
          <w:color w:val="auto"/>
          <w:szCs w:val="21"/>
          <w:highlight w:val="none"/>
        </w:rPr>
        <w:t xml:space="preserve">条  </w:t>
      </w:r>
      <w:r>
        <w:rPr>
          <w:rFonts w:hint="eastAsia" w:ascii="宋体" w:hAnsi="宋体" w:eastAsia="宋体" w:cs="Times New Roman"/>
          <w:b/>
          <w:color w:val="auto"/>
          <w:szCs w:val="21"/>
          <w:highlight w:val="none"/>
          <w:lang w:val="en-US" w:eastAsia="zh-CN"/>
        </w:rPr>
        <w:t>供货担保</w:t>
      </w:r>
    </w:p>
    <w:p w14:paraId="0A381500">
      <w:pPr>
        <w:adjustRightInd w:val="0"/>
        <w:snapToGrid w:val="0"/>
        <w:spacing w:line="360" w:lineRule="auto"/>
        <w:ind w:firstLine="371" w:firstLineChars="177"/>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1、本条款所称“供货担保”即本合同</w:t>
      </w:r>
      <w:r>
        <w:rPr>
          <w:rFonts w:hint="eastAsia" w:ascii="宋体" w:hAnsi="宋体" w:eastAsia="宋体" w:cs="Times New Roman"/>
          <w:b w:val="0"/>
          <w:bCs/>
          <w:color w:val="auto"/>
          <w:szCs w:val="21"/>
          <w:highlight w:val="none"/>
          <w:lang w:val="en-US" w:eastAsia="zh-CN"/>
        </w:rPr>
        <w:t>前文</w:t>
      </w:r>
      <w:r>
        <w:rPr>
          <w:rFonts w:hint="eastAsia" w:ascii="宋体" w:hAnsi="宋体" w:eastAsia="宋体" w:cs="Times New Roman"/>
          <w:color w:val="auto"/>
          <w:szCs w:val="21"/>
          <w:highlight w:val="none"/>
          <w:lang w:val="en-US" w:eastAsia="zh-CN"/>
        </w:rPr>
        <w:t>约定的、乙方为每批次货款支付提供的不可撤销见索即付银行独立保函或现金担保，与</w:t>
      </w:r>
      <w:r>
        <w:rPr>
          <w:rFonts w:hint="eastAsia" w:ascii="宋体" w:hAnsi="宋体" w:eastAsia="宋体" w:cs="Times New Roman"/>
          <w:b w:val="0"/>
          <w:bCs/>
          <w:color w:val="auto"/>
          <w:szCs w:val="21"/>
          <w:highlight w:val="none"/>
          <w:lang w:val="en-US" w:eastAsia="zh-CN"/>
        </w:rPr>
        <w:t>本合同约定的</w:t>
      </w:r>
      <w:r>
        <w:rPr>
          <w:rFonts w:hint="eastAsia" w:ascii="宋体" w:hAnsi="宋体" w:eastAsia="宋体" w:cs="Times New Roman"/>
          <w:color w:val="auto"/>
          <w:szCs w:val="21"/>
          <w:highlight w:val="none"/>
          <w:lang w:val="en-US" w:eastAsia="zh-CN"/>
        </w:rPr>
        <w:t>“履约担保”为并行担保机制，互不替代、互不抵扣，共同保障本合同履行。</w:t>
      </w:r>
    </w:p>
    <w:p w14:paraId="3243DD11">
      <w:pPr>
        <w:adjustRightInd w:val="0"/>
        <w:snapToGrid w:val="0"/>
        <w:spacing w:line="360" w:lineRule="auto"/>
        <w:ind w:firstLine="371" w:firstLineChars="177"/>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2、银行独立保函的开立银行、担保金额、有效期、核心条款等，严格按照本合同第八条第2款第（1）项约定执行，乙方提交的保函需明确载明“见索即付”“独立保函” 性质，不得附加任何影响保函效力的限制性条款。</w:t>
      </w:r>
    </w:p>
    <w:p w14:paraId="43548F59">
      <w:pPr>
        <w:adjustRightInd w:val="0"/>
        <w:snapToGrid w:val="0"/>
        <w:spacing w:line="360" w:lineRule="auto"/>
        <w:ind w:firstLine="371" w:firstLineChars="177"/>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w:t>
      </w:r>
      <w:r>
        <w:rPr>
          <w:rFonts w:hint="default" w:ascii="宋体" w:hAnsi="宋体" w:eastAsia="宋体" w:cs="Times New Roman"/>
          <w:color w:val="auto"/>
          <w:szCs w:val="21"/>
          <w:highlight w:val="none"/>
          <w:lang w:val="en-US" w:eastAsia="zh-CN"/>
        </w:rPr>
        <w:t>乙方未按</w:t>
      </w:r>
      <w:r>
        <w:rPr>
          <w:rFonts w:hint="eastAsia" w:ascii="宋体" w:hAnsi="宋体" w:eastAsia="宋体" w:cs="Times New Roman"/>
          <w:color w:val="auto"/>
          <w:szCs w:val="21"/>
          <w:highlight w:val="none"/>
          <w:lang w:val="en-US" w:eastAsia="zh-CN"/>
        </w:rPr>
        <w:t>本合同</w:t>
      </w:r>
      <w:r>
        <w:rPr>
          <w:rFonts w:hint="default" w:ascii="宋体" w:hAnsi="宋体" w:eastAsia="宋体" w:cs="Times New Roman"/>
          <w:color w:val="auto"/>
          <w:szCs w:val="21"/>
          <w:highlight w:val="none"/>
          <w:lang w:val="en-US" w:eastAsia="zh-CN"/>
        </w:rPr>
        <w:t>约定提交合格</w:t>
      </w:r>
      <w:r>
        <w:rPr>
          <w:rFonts w:hint="eastAsia" w:ascii="宋体" w:hAnsi="宋体" w:eastAsia="宋体" w:cs="Times New Roman"/>
          <w:color w:val="auto"/>
          <w:szCs w:val="21"/>
          <w:highlight w:val="none"/>
          <w:lang w:val="en-US" w:eastAsia="zh-CN"/>
        </w:rPr>
        <w:t>银行独立</w:t>
      </w:r>
      <w:r>
        <w:rPr>
          <w:rFonts w:hint="default" w:ascii="宋体" w:hAnsi="宋体" w:eastAsia="宋体" w:cs="Times New Roman"/>
          <w:color w:val="auto"/>
          <w:szCs w:val="21"/>
          <w:highlight w:val="none"/>
          <w:lang w:val="en-US" w:eastAsia="zh-CN"/>
        </w:rPr>
        <w:t>保函或现金担保的，甲方有权</w:t>
      </w:r>
      <w:r>
        <w:rPr>
          <w:rFonts w:hint="eastAsia" w:ascii="宋体" w:hAnsi="宋体" w:eastAsia="宋体" w:cs="Times New Roman"/>
          <w:color w:val="auto"/>
          <w:szCs w:val="21"/>
          <w:highlight w:val="none"/>
          <w:lang w:val="en-US" w:eastAsia="zh-CN"/>
        </w:rPr>
        <w:t>暂缓</w:t>
      </w:r>
      <w:r>
        <w:rPr>
          <w:rFonts w:hint="default" w:ascii="宋体" w:hAnsi="宋体" w:eastAsia="宋体" w:cs="Times New Roman"/>
          <w:color w:val="auto"/>
          <w:szCs w:val="21"/>
          <w:highlight w:val="none"/>
          <w:lang w:val="en-US" w:eastAsia="zh-CN"/>
        </w:rPr>
        <w:t>支付对应批次货款，且不承担任何违约责任，由此导致</w:t>
      </w:r>
      <w:r>
        <w:rPr>
          <w:rFonts w:hint="eastAsia" w:ascii="宋体" w:hAnsi="宋体" w:eastAsia="宋体" w:cs="Times New Roman"/>
          <w:color w:val="auto"/>
          <w:szCs w:val="21"/>
          <w:highlight w:val="none"/>
          <w:lang w:val="en-US" w:eastAsia="zh-CN"/>
        </w:rPr>
        <w:t>的</w:t>
      </w:r>
      <w:r>
        <w:rPr>
          <w:rFonts w:hint="default" w:ascii="宋体" w:hAnsi="宋体" w:eastAsia="宋体" w:cs="Times New Roman"/>
          <w:color w:val="auto"/>
          <w:szCs w:val="21"/>
          <w:highlight w:val="none"/>
          <w:lang w:val="en-US" w:eastAsia="zh-CN"/>
        </w:rPr>
        <w:t>后果均由乙方承担。</w:t>
      </w:r>
    </w:p>
    <w:p w14:paraId="36AAA9D6">
      <w:pPr>
        <w:adjustRightInd w:val="0"/>
        <w:snapToGrid w:val="0"/>
        <w:spacing w:line="360" w:lineRule="auto"/>
        <w:ind w:firstLine="371" w:firstLineChars="177"/>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w:t>
      </w:r>
      <w:r>
        <w:rPr>
          <w:rFonts w:hint="default" w:ascii="宋体" w:hAnsi="宋体" w:eastAsia="宋体" w:cs="Times New Roman"/>
          <w:color w:val="auto"/>
          <w:szCs w:val="21"/>
          <w:highlight w:val="none"/>
          <w:lang w:val="en-US" w:eastAsia="zh-CN"/>
        </w:rPr>
        <w:t>甲方</w:t>
      </w:r>
      <w:r>
        <w:rPr>
          <w:rFonts w:hint="eastAsia" w:ascii="宋体" w:hAnsi="宋体" w:eastAsia="宋体" w:cs="Times New Roman"/>
          <w:color w:val="auto"/>
          <w:szCs w:val="21"/>
          <w:highlight w:val="none"/>
          <w:lang w:val="en-US" w:eastAsia="zh-CN"/>
        </w:rPr>
        <w:t>就该批次货物到货验收不合格向开立独立保函的银行发起索赔或直接扣除现金担保时</w:t>
      </w:r>
      <w:r>
        <w:rPr>
          <w:rFonts w:hint="default" w:ascii="宋体" w:hAnsi="宋体" w:eastAsia="宋体" w:cs="Times New Roman"/>
          <w:color w:val="auto"/>
          <w:szCs w:val="21"/>
          <w:highlight w:val="none"/>
          <w:lang w:val="en-US" w:eastAsia="zh-CN"/>
        </w:rPr>
        <w:t>，无需事先向乙方追偿或举证证明损失金额。</w:t>
      </w:r>
    </w:p>
    <w:p w14:paraId="51682DB6">
      <w:pPr>
        <w:adjustRightInd w:val="0"/>
        <w:snapToGrid w:val="0"/>
        <w:spacing w:line="360" w:lineRule="auto"/>
        <w:ind w:firstLine="420" w:firstLineChars="200"/>
        <w:rPr>
          <w:rFonts w:ascii="宋体" w:hAnsi="宋体" w:eastAsia="宋体" w:cs="Times New Roman"/>
          <w:b/>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Times New Roman"/>
          <w:color w:val="auto"/>
          <w:szCs w:val="21"/>
          <w:highlight w:val="none"/>
          <w:lang w:val="en-US" w:eastAsia="zh-CN"/>
        </w:rPr>
        <w:t>乙方</w:t>
      </w:r>
      <w:r>
        <w:rPr>
          <w:rFonts w:hint="eastAsia" w:ascii="宋体" w:hAnsi="宋体" w:eastAsia="宋体" w:cs="Times New Roman"/>
          <w:color w:val="auto"/>
          <w:szCs w:val="21"/>
          <w:highlight w:val="none"/>
        </w:rPr>
        <w:t>应保证</w:t>
      </w:r>
      <w:r>
        <w:rPr>
          <w:rFonts w:hint="eastAsia" w:ascii="宋体" w:hAnsi="宋体" w:eastAsia="宋体" w:cs="Times New Roman"/>
          <w:color w:val="auto"/>
          <w:szCs w:val="21"/>
          <w:highlight w:val="none"/>
          <w:lang w:val="en-US" w:eastAsia="zh-CN"/>
        </w:rPr>
        <w:t>供货</w:t>
      </w:r>
      <w:r>
        <w:rPr>
          <w:rFonts w:hint="eastAsia" w:ascii="宋体" w:hAnsi="宋体" w:eastAsia="宋体" w:cs="Times New Roman"/>
          <w:color w:val="auto"/>
          <w:szCs w:val="21"/>
          <w:highlight w:val="none"/>
        </w:rPr>
        <w:t>担保</w:t>
      </w:r>
      <w:r>
        <w:rPr>
          <w:rFonts w:hint="eastAsia" w:ascii="宋体" w:hAnsi="宋体" w:eastAsia="宋体" w:cs="Times New Roman"/>
          <w:color w:val="auto"/>
          <w:szCs w:val="21"/>
          <w:highlight w:val="none"/>
          <w:lang w:val="en-US" w:eastAsia="zh-CN"/>
        </w:rPr>
        <w:t>有效及符合本合同要求</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因</w:t>
      </w:r>
      <w:r>
        <w:rPr>
          <w:rFonts w:hint="eastAsia" w:ascii="宋体" w:hAnsi="宋体" w:eastAsia="宋体" w:cs="Times New Roman"/>
          <w:color w:val="auto"/>
          <w:szCs w:val="21"/>
          <w:highlight w:val="none"/>
          <w:lang w:val="en-US" w:eastAsia="zh-CN"/>
        </w:rPr>
        <w:t>甲方发起索赔或直接扣除现金担保</w:t>
      </w:r>
      <w:r>
        <w:rPr>
          <w:rFonts w:hint="eastAsia" w:ascii="宋体" w:hAnsi="宋体" w:eastAsia="宋体" w:cs="Times New Roman"/>
          <w:color w:val="auto"/>
          <w:szCs w:val="21"/>
          <w:highlight w:val="none"/>
        </w:rPr>
        <w:t>等原因导致</w:t>
      </w:r>
      <w:r>
        <w:rPr>
          <w:rFonts w:hint="eastAsia" w:ascii="宋体" w:hAnsi="宋体" w:eastAsia="宋体" w:cs="Times New Roman"/>
          <w:color w:val="auto"/>
          <w:szCs w:val="21"/>
          <w:highlight w:val="none"/>
          <w:lang w:val="en-US" w:eastAsia="zh-CN"/>
        </w:rPr>
        <w:t>供货</w:t>
      </w:r>
      <w:r>
        <w:rPr>
          <w:rFonts w:hint="eastAsia" w:ascii="宋体" w:hAnsi="宋体" w:eastAsia="宋体" w:cs="Times New Roman"/>
          <w:color w:val="auto"/>
          <w:szCs w:val="21"/>
          <w:highlight w:val="none"/>
        </w:rPr>
        <w:t>担保</w:t>
      </w:r>
      <w:r>
        <w:rPr>
          <w:rFonts w:hint="eastAsia" w:ascii="宋体" w:hAnsi="宋体" w:eastAsia="宋体" w:cs="Times New Roman"/>
          <w:color w:val="auto"/>
          <w:szCs w:val="21"/>
          <w:highlight w:val="none"/>
          <w:lang w:eastAsia="zh-CN"/>
        </w:rPr>
        <w:t>的</w:t>
      </w:r>
      <w:r>
        <w:rPr>
          <w:rFonts w:hint="eastAsia" w:ascii="宋体" w:hAnsi="宋体" w:eastAsia="宋体" w:cs="Times New Roman"/>
          <w:color w:val="auto"/>
          <w:szCs w:val="21"/>
          <w:highlight w:val="none"/>
          <w:lang w:val="en-US" w:eastAsia="zh-CN"/>
        </w:rPr>
        <w:t>保函</w:t>
      </w:r>
      <w:r>
        <w:rPr>
          <w:rFonts w:hint="eastAsia" w:ascii="宋体" w:hAnsi="宋体" w:eastAsia="宋体" w:cs="Times New Roman"/>
          <w:color w:val="auto"/>
          <w:szCs w:val="21"/>
          <w:highlight w:val="none"/>
        </w:rPr>
        <w:t>金额</w:t>
      </w:r>
      <w:r>
        <w:rPr>
          <w:rFonts w:hint="eastAsia" w:ascii="宋体" w:hAnsi="宋体" w:eastAsia="宋体" w:cs="Times New Roman"/>
          <w:color w:val="auto"/>
          <w:szCs w:val="21"/>
          <w:highlight w:val="none"/>
          <w:lang w:val="en-US" w:eastAsia="zh-CN"/>
        </w:rPr>
        <w:t>或现金余额少于该批次</w:t>
      </w:r>
      <w:r>
        <w:rPr>
          <w:rFonts w:hint="eastAsia" w:ascii="宋体" w:hAnsi="宋体" w:eastAsia="宋体" w:cs="Times New Roman"/>
          <w:color w:val="auto"/>
          <w:sz w:val="21"/>
          <w:szCs w:val="21"/>
          <w:highlight w:val="none"/>
          <w:lang w:val="en-US" w:eastAsia="zh-CN"/>
        </w:rPr>
        <w:t>《供货通知单》载明的含税总价</w:t>
      </w:r>
      <w:r>
        <w:rPr>
          <w:rFonts w:hint="eastAsia" w:ascii="宋体" w:hAnsi="宋体" w:eastAsia="宋体" w:cs="Times New Roman"/>
          <w:color w:val="auto"/>
          <w:szCs w:val="21"/>
          <w:highlight w:val="none"/>
        </w:rPr>
        <w:t>的，乙方应当在</w:t>
      </w:r>
      <w:r>
        <w:rPr>
          <w:rFonts w:hint="eastAsia" w:ascii="宋体" w:hAnsi="宋体" w:eastAsia="宋体" w:cs="Times New Roman"/>
          <w:color w:val="auto"/>
          <w:szCs w:val="21"/>
          <w:highlight w:val="none"/>
          <w:lang w:val="en-US" w:eastAsia="zh-CN"/>
        </w:rPr>
        <w:t>保函</w:t>
      </w:r>
      <w:r>
        <w:rPr>
          <w:rFonts w:hint="eastAsia" w:ascii="宋体" w:hAnsi="宋体" w:eastAsia="宋体" w:cs="Times New Roman"/>
          <w:color w:val="auto"/>
          <w:szCs w:val="21"/>
          <w:highlight w:val="none"/>
        </w:rPr>
        <w:t>金额不足</w:t>
      </w:r>
      <w:r>
        <w:rPr>
          <w:rFonts w:hint="eastAsia" w:ascii="宋体" w:hAnsi="宋体" w:eastAsia="宋体" w:cs="Times New Roman"/>
          <w:color w:val="auto"/>
          <w:szCs w:val="21"/>
          <w:highlight w:val="none"/>
          <w:lang w:val="en-US" w:eastAsia="zh-CN"/>
        </w:rPr>
        <w:t>或现金担保金额不足</w:t>
      </w:r>
      <w:r>
        <w:rPr>
          <w:rFonts w:hint="eastAsia" w:ascii="宋体" w:hAnsi="宋体" w:eastAsia="宋体" w:cs="Times New Roman"/>
          <w:color w:val="auto"/>
          <w:szCs w:val="21"/>
          <w:highlight w:val="none"/>
        </w:rPr>
        <w:t>之日起15天内予以补足；如违反的，甲方有权按</w:t>
      </w:r>
      <w:r>
        <w:rPr>
          <w:rFonts w:hint="eastAsia" w:ascii="宋体" w:hAnsi="宋体" w:eastAsia="宋体" w:cs="Times New Roman"/>
          <w:color w:val="auto"/>
          <w:szCs w:val="21"/>
          <w:highlight w:val="none"/>
          <w:lang w:val="en-US" w:eastAsia="zh-CN"/>
        </w:rPr>
        <w:t>需补</w:t>
      </w:r>
      <w:r>
        <w:rPr>
          <w:rFonts w:hint="eastAsia" w:ascii="宋体" w:hAnsi="宋体" w:eastAsia="宋体" w:cs="Times New Roman"/>
          <w:color w:val="auto"/>
          <w:szCs w:val="21"/>
          <w:highlight w:val="none"/>
        </w:rPr>
        <w:t>足部分金额为限要求乙方承担违约金，违约金可直接从应付而未付</w:t>
      </w:r>
      <w:r>
        <w:rPr>
          <w:rFonts w:hint="eastAsia" w:ascii="宋体" w:hAnsi="宋体" w:eastAsia="宋体" w:cs="Times New Roman"/>
          <w:color w:val="auto"/>
          <w:szCs w:val="21"/>
          <w:highlight w:val="none"/>
          <w:lang w:val="en-US" w:eastAsia="zh-CN"/>
        </w:rPr>
        <w:t>货</w:t>
      </w:r>
      <w:r>
        <w:rPr>
          <w:rFonts w:hint="eastAsia" w:ascii="宋体" w:hAnsi="宋体" w:eastAsia="宋体" w:cs="Times New Roman"/>
          <w:color w:val="auto"/>
          <w:szCs w:val="21"/>
          <w:highlight w:val="none"/>
        </w:rPr>
        <w:t>款</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履约担保</w:t>
      </w:r>
      <w:r>
        <w:rPr>
          <w:rFonts w:hint="eastAsia" w:ascii="宋体" w:hAnsi="宋体" w:eastAsia="宋体" w:cs="Times New Roman"/>
          <w:color w:val="auto"/>
          <w:szCs w:val="21"/>
          <w:highlight w:val="none"/>
        </w:rPr>
        <w:t>中扣除</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不足部分甲方有权继续追偿</w:t>
      </w:r>
      <w:r>
        <w:rPr>
          <w:rFonts w:hint="eastAsia" w:ascii="宋体" w:hAnsi="宋体" w:eastAsia="宋体" w:cs="Times New Roman"/>
          <w:color w:val="auto"/>
          <w:szCs w:val="21"/>
          <w:highlight w:val="none"/>
          <w:lang w:eastAsia="zh-CN"/>
        </w:rPr>
        <w:t>。</w:t>
      </w:r>
    </w:p>
    <w:p w14:paraId="3A1CC18E">
      <w:pPr>
        <w:adjustRightInd w:val="0"/>
        <w:snapToGrid w:val="0"/>
        <w:spacing w:line="360" w:lineRule="auto"/>
        <w:ind w:firstLine="373" w:firstLineChars="177"/>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第十</w:t>
      </w:r>
      <w:r>
        <w:rPr>
          <w:rFonts w:hint="eastAsia" w:ascii="宋体" w:hAnsi="宋体" w:eastAsia="宋体" w:cs="Times New Roman"/>
          <w:b/>
          <w:color w:val="auto"/>
          <w:szCs w:val="21"/>
          <w:highlight w:val="none"/>
          <w:lang w:val="en-US" w:eastAsia="zh-CN"/>
        </w:rPr>
        <w:t>二</w:t>
      </w:r>
      <w:r>
        <w:rPr>
          <w:rFonts w:hint="eastAsia" w:ascii="宋体" w:hAnsi="宋体" w:eastAsia="宋体" w:cs="Times New Roman"/>
          <w:b/>
          <w:color w:val="auto"/>
          <w:szCs w:val="21"/>
          <w:highlight w:val="none"/>
        </w:rPr>
        <w:t>条 权利保证</w:t>
      </w:r>
    </w:p>
    <w:p w14:paraId="6AF3D832">
      <w:pPr>
        <w:adjustRightInd w:val="0"/>
        <w:snapToGrid w:val="0"/>
        <w:spacing w:line="360" w:lineRule="auto"/>
        <w:ind w:firstLine="424" w:firstLineChars="20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乙方应保证合同项下提供的货物（含技术资料、远传模块软件等）不侵犯任何第三方的专利、商标、</w:t>
      </w:r>
      <w:r>
        <w:rPr>
          <w:rFonts w:hint="eastAsia" w:ascii="宋体" w:hAnsi="宋体" w:eastAsia="宋体" w:cs="宋体"/>
          <w:color w:val="auto"/>
          <w:kern w:val="0"/>
          <w:szCs w:val="21"/>
          <w:highlight w:val="none"/>
          <w:lang w:val="en-US" w:eastAsia="zh-CN"/>
        </w:rPr>
        <w:t>著作</w:t>
      </w:r>
      <w:r>
        <w:rPr>
          <w:rFonts w:hint="eastAsia" w:ascii="宋体" w:hAnsi="宋体" w:eastAsia="宋体" w:cs="宋体"/>
          <w:color w:val="auto"/>
          <w:kern w:val="0"/>
          <w:szCs w:val="21"/>
          <w:highlight w:val="none"/>
        </w:rPr>
        <w:t>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商业秘密等知识产权</w:t>
      </w:r>
      <w:r>
        <w:rPr>
          <w:rFonts w:hint="eastAsia" w:ascii="宋体" w:hAnsi="宋体" w:eastAsia="宋体" w:cs="宋体"/>
          <w:color w:val="auto"/>
          <w:kern w:val="0"/>
          <w:szCs w:val="21"/>
          <w:highlight w:val="none"/>
        </w:rPr>
        <w:t>及其</w:t>
      </w:r>
      <w:r>
        <w:rPr>
          <w:rFonts w:hint="eastAsia" w:ascii="宋体" w:hAnsi="宋体" w:eastAsia="宋体" w:cs="宋体"/>
          <w:color w:val="auto"/>
          <w:kern w:val="0"/>
          <w:szCs w:val="21"/>
          <w:highlight w:val="none"/>
          <w:lang w:eastAsia="zh-CN"/>
        </w:rPr>
        <w:t>他</w:t>
      </w:r>
      <w:r>
        <w:rPr>
          <w:rFonts w:hint="eastAsia" w:ascii="宋体" w:hAnsi="宋体" w:eastAsia="宋体" w:cs="宋体"/>
          <w:color w:val="auto"/>
          <w:kern w:val="0"/>
          <w:szCs w:val="21"/>
          <w:highlight w:val="none"/>
          <w:lang w:val="en-US" w:eastAsia="zh-CN"/>
        </w:rPr>
        <w:t>合法</w:t>
      </w:r>
      <w:r>
        <w:rPr>
          <w:rFonts w:hint="eastAsia" w:ascii="宋体" w:hAnsi="宋体" w:eastAsia="宋体" w:cs="宋体"/>
          <w:color w:val="auto"/>
          <w:kern w:val="0"/>
          <w:szCs w:val="21"/>
          <w:highlight w:val="none"/>
        </w:rPr>
        <w:t>权利</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若因乙方提供的货物存在上述侵权情形，导致甲方被第三方投诉、索赔或涉诉的，乙方须承担全部责任及费用（包括但不限于第三方索赔款、诉讼费、律师费、鉴定费、公证费、行政罚款、甲方为应对纠纷支付的合理开支等）；如因此造成甲方直接损失（包括但不限于货款损失、商誉损失、停工损失等）的，乙方应予以全额赔偿，甲方有权同时依据本合同</w:t>
      </w:r>
      <w:r>
        <w:rPr>
          <w:rFonts w:hint="eastAsia" w:ascii="宋体" w:hAnsi="宋体" w:eastAsia="宋体" w:cs="宋体"/>
          <w:color w:val="auto"/>
          <w:kern w:val="0"/>
          <w:szCs w:val="21"/>
          <w:highlight w:val="none"/>
          <w:lang w:val="en-US" w:eastAsia="zh-CN"/>
        </w:rPr>
        <w:t>约定</w:t>
      </w:r>
      <w:r>
        <w:rPr>
          <w:rFonts w:hint="eastAsia" w:ascii="宋体" w:hAnsi="宋体" w:eastAsia="宋体" w:cs="宋体"/>
          <w:color w:val="auto"/>
          <w:kern w:val="0"/>
          <w:szCs w:val="21"/>
          <w:highlight w:val="none"/>
        </w:rPr>
        <w:t>追究乙方违约责任。</w:t>
      </w:r>
    </w:p>
    <w:p w14:paraId="11046746">
      <w:pPr>
        <w:adjustRightInd w:val="0"/>
        <w:snapToGrid w:val="0"/>
        <w:spacing w:line="360" w:lineRule="auto"/>
        <w:ind w:firstLine="373" w:firstLineChars="177"/>
        <w:outlineLvl w:val="9"/>
        <w:rPr>
          <w:rFonts w:hint="eastAsia" w:ascii="宋体" w:hAnsi="宋体" w:eastAsia="宋体" w:cs="Times New Roman"/>
          <w:b/>
          <w:color w:val="auto"/>
          <w:szCs w:val="21"/>
          <w:highlight w:val="none"/>
        </w:rPr>
      </w:pPr>
    </w:p>
    <w:p w14:paraId="78FDFAA0">
      <w:pPr>
        <w:adjustRightInd w:val="0"/>
        <w:snapToGrid w:val="0"/>
        <w:spacing w:line="360" w:lineRule="auto"/>
        <w:ind w:firstLine="373" w:firstLineChars="177"/>
        <w:outlineLvl w:val="1"/>
        <w:rPr>
          <w:rFonts w:hint="eastAsia"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rPr>
        <w:t>第十</w:t>
      </w:r>
      <w:r>
        <w:rPr>
          <w:rFonts w:hint="eastAsia" w:ascii="宋体" w:hAnsi="宋体" w:eastAsia="宋体" w:cs="Times New Roman"/>
          <w:b/>
          <w:color w:val="auto"/>
          <w:szCs w:val="21"/>
          <w:highlight w:val="none"/>
          <w:lang w:val="en-US" w:eastAsia="zh-CN"/>
        </w:rPr>
        <w:t>三</w:t>
      </w:r>
      <w:r>
        <w:rPr>
          <w:rFonts w:hint="eastAsia" w:ascii="宋体" w:hAnsi="宋体" w:eastAsia="宋体" w:cs="Times New Roman"/>
          <w:b/>
          <w:color w:val="auto"/>
          <w:szCs w:val="21"/>
          <w:highlight w:val="none"/>
        </w:rPr>
        <w:t xml:space="preserve">条 </w:t>
      </w:r>
      <w:r>
        <w:rPr>
          <w:rFonts w:hint="eastAsia" w:ascii="宋体" w:hAnsi="宋体" w:eastAsia="宋体" w:cs="Times New Roman"/>
          <w:b/>
          <w:color w:val="auto"/>
          <w:szCs w:val="21"/>
          <w:highlight w:val="none"/>
          <w:lang w:val="en-US" w:eastAsia="zh-CN"/>
        </w:rPr>
        <w:t>质量保证与质量争议处理</w:t>
      </w:r>
    </w:p>
    <w:p w14:paraId="62234ED7">
      <w:pPr>
        <w:adjustRightInd w:val="0"/>
        <w:snapToGrid w:val="0"/>
        <w:spacing w:line="360" w:lineRule="auto"/>
        <w:ind w:firstLine="424" w:firstLineChars="202"/>
        <w:rPr>
          <w:rFonts w:hint="eastAsia" w:ascii="宋体" w:hAnsi="宋体" w:eastAsia="宋体" w:cs="宋体"/>
          <w:color w:val="auto"/>
          <w:kern w:val="0"/>
          <w:sz w:val="21"/>
          <w:szCs w:val="21"/>
          <w:highlight w:val="none"/>
          <w:lang w:eastAsia="zh-Hans"/>
        </w:rPr>
      </w:pPr>
      <w:r>
        <w:rPr>
          <w:rFonts w:hint="eastAsia" w:ascii="宋体" w:hAnsi="宋体" w:eastAsia="宋体" w:cs="宋体"/>
          <w:color w:val="auto"/>
          <w:kern w:val="0"/>
          <w:sz w:val="21"/>
          <w:szCs w:val="21"/>
          <w:highlight w:val="none"/>
          <w:lang w:eastAsia="zh-Hans"/>
        </w:rPr>
        <w:t>1、</w:t>
      </w:r>
      <w:r>
        <w:rPr>
          <w:rFonts w:hint="eastAsia" w:ascii="宋体" w:hAnsi="宋体" w:eastAsia="宋体" w:cs="宋体"/>
          <w:color w:val="auto"/>
          <w:kern w:val="0"/>
          <w:sz w:val="21"/>
          <w:szCs w:val="21"/>
          <w:highlight w:val="none"/>
          <w:lang w:val="en-US" w:eastAsia="zh-CN"/>
        </w:rPr>
        <w:t>乙方保证所供货物</w:t>
      </w:r>
      <w:r>
        <w:rPr>
          <w:rFonts w:hint="eastAsia" w:ascii="宋体" w:hAnsi="宋体" w:eastAsia="宋体" w:cs="宋体"/>
          <w:color w:val="auto"/>
          <w:kern w:val="0"/>
          <w:sz w:val="21"/>
          <w:szCs w:val="21"/>
          <w:highlight w:val="none"/>
          <w:lang w:eastAsia="zh-Hans"/>
        </w:rPr>
        <w:t>符合国家</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zh-Hans"/>
        </w:rPr>
        <w:t>行业标准及厂方出厂标准，并符合《用户需求书》</w:t>
      </w:r>
      <w:r>
        <w:rPr>
          <w:rFonts w:hint="eastAsia" w:ascii="宋体" w:hAnsi="宋体" w:eastAsia="宋体" w:cs="宋体"/>
          <w:color w:val="auto"/>
          <w:kern w:val="0"/>
          <w:sz w:val="21"/>
          <w:szCs w:val="21"/>
          <w:highlight w:val="none"/>
          <w:lang w:val="en-US" w:eastAsia="zh-CN"/>
        </w:rPr>
        <w:t>列明的</w:t>
      </w:r>
      <w:r>
        <w:rPr>
          <w:rFonts w:hint="eastAsia" w:ascii="宋体" w:hAnsi="宋体" w:eastAsia="宋体" w:cs="宋体"/>
          <w:color w:val="auto"/>
          <w:kern w:val="0"/>
          <w:sz w:val="21"/>
          <w:szCs w:val="21"/>
          <w:highlight w:val="none"/>
          <w:lang w:eastAsia="zh-Hans"/>
        </w:rPr>
        <w:t>技术标准和</w:t>
      </w:r>
      <w:r>
        <w:rPr>
          <w:rFonts w:hint="eastAsia" w:ascii="宋体" w:hAnsi="宋体" w:eastAsia="宋体" w:cs="宋体"/>
          <w:color w:val="auto"/>
          <w:kern w:val="0"/>
          <w:sz w:val="21"/>
          <w:szCs w:val="21"/>
          <w:highlight w:val="none"/>
          <w:lang w:val="en-US" w:eastAsia="zh-CN"/>
        </w:rPr>
        <w:t>技术</w:t>
      </w:r>
      <w:r>
        <w:rPr>
          <w:rFonts w:hint="eastAsia" w:ascii="宋体" w:hAnsi="宋体" w:eastAsia="宋体" w:cs="宋体"/>
          <w:color w:val="auto"/>
          <w:kern w:val="0"/>
          <w:sz w:val="21"/>
          <w:szCs w:val="21"/>
          <w:highlight w:val="none"/>
          <w:lang w:eastAsia="zh-Hans"/>
        </w:rPr>
        <w:t>要求，完全满足甲方的实际使用需要。</w:t>
      </w:r>
    </w:p>
    <w:p w14:paraId="6D8EB04D">
      <w:pPr>
        <w:adjustRightInd w:val="0"/>
        <w:snapToGrid w:val="0"/>
        <w:spacing w:line="360" w:lineRule="auto"/>
        <w:ind w:firstLine="424" w:firstLineChars="202"/>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Hans"/>
        </w:rPr>
        <w:t>、</w:t>
      </w:r>
      <w:r>
        <w:rPr>
          <w:rFonts w:hint="eastAsia" w:ascii="宋体" w:hAnsi="宋体" w:eastAsia="宋体" w:cs="宋体"/>
          <w:color w:val="auto"/>
          <w:kern w:val="0"/>
          <w:sz w:val="21"/>
          <w:szCs w:val="21"/>
          <w:highlight w:val="none"/>
          <w:lang w:val="zh-CN" w:eastAsia="zh-Hans"/>
        </w:rPr>
        <w:t>DN</w:t>
      </w:r>
      <w:r>
        <w:rPr>
          <w:rFonts w:hint="eastAsia" w:ascii="宋体" w:hAnsi="宋体" w:eastAsia="宋体" w:cs="宋体"/>
          <w:color w:val="auto"/>
          <w:kern w:val="0"/>
          <w:sz w:val="21"/>
          <w:szCs w:val="21"/>
          <w:highlight w:val="none"/>
          <w:lang w:val="en-US" w:eastAsia="zh-Hans"/>
        </w:rPr>
        <w:t>80</w:t>
      </w:r>
      <w:r>
        <w:rPr>
          <w:rFonts w:hint="eastAsia" w:ascii="宋体" w:hAnsi="宋体" w:eastAsia="宋体" w:cs="宋体"/>
          <w:color w:val="auto"/>
          <w:kern w:val="0"/>
          <w:sz w:val="21"/>
          <w:szCs w:val="21"/>
          <w:highlight w:val="none"/>
          <w:lang w:val="zh-CN" w:eastAsia="zh-Hans"/>
        </w:rPr>
        <w:t>-</w:t>
      </w:r>
      <w:r>
        <w:rPr>
          <w:rFonts w:hint="eastAsia" w:ascii="宋体" w:hAnsi="宋体" w:eastAsia="宋体" w:cs="宋体"/>
          <w:color w:val="auto"/>
          <w:kern w:val="0"/>
          <w:sz w:val="21"/>
          <w:szCs w:val="21"/>
          <w:highlight w:val="none"/>
          <w:lang w:val="en-US" w:eastAsia="zh-Hans"/>
        </w:rPr>
        <w:t>DN3</w:t>
      </w:r>
      <w:r>
        <w:rPr>
          <w:rFonts w:hint="eastAsia" w:ascii="宋体" w:hAnsi="宋体" w:eastAsia="宋体" w:cs="宋体"/>
          <w:color w:val="auto"/>
          <w:kern w:val="0"/>
          <w:sz w:val="21"/>
          <w:szCs w:val="21"/>
          <w:highlight w:val="none"/>
          <w:lang w:val="zh-CN" w:eastAsia="zh-Hans"/>
        </w:rPr>
        <w:t>00</w:t>
      </w:r>
      <w:r>
        <w:rPr>
          <w:rFonts w:hint="eastAsia" w:ascii="宋体" w:hAnsi="宋体" w:eastAsia="宋体" w:cs="宋体"/>
          <w:color w:val="auto"/>
          <w:kern w:val="0"/>
          <w:sz w:val="21"/>
          <w:szCs w:val="21"/>
          <w:highlight w:val="none"/>
          <w:lang w:eastAsia="zh-Hans"/>
        </w:rPr>
        <w:t>电磁水表整表（含配远传模块、计量电池、通讯电池和通讯资费）质保期6年</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Cs w:val="21"/>
          <w:highlight w:val="none"/>
          <w:lang w:val="en-US" w:eastAsia="zh-CN"/>
        </w:rPr>
        <w:t>自</w:t>
      </w:r>
      <w:r>
        <w:rPr>
          <w:rFonts w:hint="eastAsia" w:ascii="宋体" w:hAnsi="宋体" w:eastAsia="宋体" w:cs="宋体"/>
          <w:color w:val="auto"/>
          <w:kern w:val="0"/>
          <w:szCs w:val="21"/>
          <w:highlight w:val="none"/>
        </w:rPr>
        <w:t>每批次</w:t>
      </w:r>
      <w:r>
        <w:rPr>
          <w:rFonts w:hint="eastAsia" w:ascii="宋体" w:hAnsi="宋体" w:eastAsia="宋体" w:cs="宋体"/>
          <w:color w:val="auto"/>
          <w:kern w:val="0"/>
          <w:sz w:val="21"/>
          <w:szCs w:val="21"/>
          <w:highlight w:val="none"/>
          <w:lang w:eastAsia="zh-Hans"/>
        </w:rPr>
        <w:t>货物</w:t>
      </w:r>
      <w:r>
        <w:rPr>
          <w:rFonts w:hint="eastAsia" w:ascii="宋体" w:hAnsi="宋体" w:eastAsia="宋体" w:cs="宋体"/>
          <w:color w:val="auto"/>
          <w:kern w:val="0"/>
          <w:sz w:val="21"/>
          <w:szCs w:val="21"/>
          <w:highlight w:val="none"/>
          <w:lang w:val="en-US" w:eastAsia="zh-CN"/>
        </w:rPr>
        <w:t>到货</w:t>
      </w:r>
      <w:r>
        <w:rPr>
          <w:rFonts w:hint="eastAsia" w:ascii="宋体" w:hAnsi="宋体" w:eastAsia="宋体" w:cs="宋体"/>
          <w:color w:val="auto"/>
          <w:kern w:val="0"/>
          <w:sz w:val="21"/>
          <w:szCs w:val="21"/>
          <w:highlight w:val="none"/>
          <w:lang w:eastAsia="zh-Hans"/>
        </w:rPr>
        <w:t>验收合格</w:t>
      </w:r>
      <w:r>
        <w:rPr>
          <w:rFonts w:hint="eastAsia" w:ascii="宋体" w:hAnsi="宋体" w:eastAsia="宋体" w:cs="宋体"/>
          <w:dstrike w:val="0"/>
          <w:color w:val="auto"/>
          <w:kern w:val="0"/>
          <w:sz w:val="21"/>
          <w:szCs w:val="21"/>
          <w:highlight w:val="none"/>
          <w:lang w:eastAsia="zh-Hans"/>
        </w:rPr>
        <w:t>之日</w:t>
      </w:r>
      <w:r>
        <w:rPr>
          <w:rFonts w:hint="eastAsia" w:ascii="宋体" w:hAnsi="宋体" w:eastAsia="宋体" w:cs="宋体"/>
          <w:color w:val="auto"/>
          <w:kern w:val="0"/>
          <w:sz w:val="21"/>
          <w:szCs w:val="21"/>
          <w:highlight w:val="none"/>
          <w:lang w:eastAsia="zh-Hans"/>
        </w:rPr>
        <w:t>起算。</w:t>
      </w:r>
    </w:p>
    <w:p w14:paraId="4097B2E3">
      <w:pPr>
        <w:snapToGrid w:val="0"/>
        <w:spacing w:line="360" w:lineRule="auto"/>
        <w:ind w:firstLine="424" w:firstLineChars="202"/>
        <w:rPr>
          <w:rFonts w:hint="default" w:ascii="宋体" w:hAnsi="宋体" w:eastAsia="宋体" w:cs="宋体"/>
          <w:color w:val="auto"/>
          <w:kern w:val="0"/>
          <w:sz w:val="21"/>
          <w:szCs w:val="21"/>
          <w:highlight w:val="none"/>
          <w:lang w:val="en-US" w:eastAsia="zh-Hans"/>
        </w:rPr>
      </w:pPr>
      <w:r>
        <w:rPr>
          <w:rFonts w:hint="default" w:ascii="宋体" w:hAnsi="宋体" w:eastAsia="宋体" w:cs="宋体"/>
          <w:color w:val="auto"/>
          <w:kern w:val="0"/>
          <w:sz w:val="21"/>
          <w:szCs w:val="21"/>
          <w:highlight w:val="none"/>
          <w:lang w:val="en-US" w:eastAsia="zh-Hans"/>
        </w:rPr>
        <w:t>3、质保期内乙方免费维修、更换产品。如因乙方原因导致货物出现严重质量或技术问题而必须完全停止运行，或乙方未能及时维修、替换缺陷货物，该质保期相应延长。</w:t>
      </w:r>
    </w:p>
    <w:p w14:paraId="4EC4A6DA">
      <w:pPr>
        <w:snapToGrid w:val="0"/>
        <w:spacing w:line="360" w:lineRule="auto"/>
        <w:ind w:firstLine="424" w:firstLineChars="202"/>
        <w:rPr>
          <w:rFonts w:hint="default" w:ascii="宋体" w:hAnsi="宋体" w:eastAsia="宋体" w:cs="宋体"/>
          <w:color w:val="auto"/>
          <w:kern w:val="0"/>
          <w:sz w:val="21"/>
          <w:szCs w:val="21"/>
          <w:highlight w:val="none"/>
          <w:lang w:val="en-US" w:eastAsia="zh-Hans"/>
        </w:rPr>
      </w:pPr>
      <w:r>
        <w:rPr>
          <w:rFonts w:hint="default" w:ascii="宋体" w:hAnsi="宋体" w:eastAsia="宋体" w:cs="宋体"/>
          <w:color w:val="auto"/>
          <w:kern w:val="0"/>
          <w:sz w:val="21"/>
          <w:szCs w:val="21"/>
          <w:highlight w:val="none"/>
          <w:lang w:val="en-US" w:eastAsia="zh-Hans"/>
        </w:rPr>
        <w:t>4、质保期内出现质量故障的，若乙方接到甲方售后通知须于</w:t>
      </w:r>
      <w:r>
        <w:rPr>
          <w:rFonts w:hint="default" w:ascii="宋体" w:hAnsi="宋体" w:eastAsia="宋体" w:cs="宋体"/>
          <w:color w:val="auto"/>
          <w:kern w:val="0"/>
          <w:sz w:val="21"/>
          <w:szCs w:val="21"/>
          <w:highlight w:val="none"/>
          <w:u w:val="single"/>
          <w:lang w:val="en-US" w:eastAsia="zh-Hans"/>
        </w:rPr>
        <w:t xml:space="preserve">   </w:t>
      </w:r>
      <w:r>
        <w:rPr>
          <w:rFonts w:hint="default" w:ascii="宋体" w:hAnsi="宋体" w:eastAsia="宋体" w:cs="宋体"/>
          <w:color w:val="auto"/>
          <w:kern w:val="0"/>
          <w:sz w:val="21"/>
          <w:szCs w:val="21"/>
          <w:highlight w:val="none"/>
          <w:lang w:val="en-US" w:eastAsia="zh-Hans"/>
        </w:rPr>
        <w:t>小时内作出响应，当甲方要求现场处理时，乙方需派遣有经验的技术人员于</w:t>
      </w:r>
      <w:r>
        <w:rPr>
          <w:rFonts w:hint="default" w:ascii="宋体" w:hAnsi="宋体" w:eastAsia="宋体" w:cs="宋体"/>
          <w:color w:val="auto"/>
          <w:kern w:val="0"/>
          <w:sz w:val="21"/>
          <w:szCs w:val="21"/>
          <w:highlight w:val="none"/>
          <w:u w:val="single"/>
          <w:lang w:val="en-US" w:eastAsia="zh-Hans"/>
        </w:rPr>
        <w:t xml:space="preserve">   </w:t>
      </w:r>
      <w:r>
        <w:rPr>
          <w:rFonts w:hint="default" w:ascii="宋体" w:hAnsi="宋体" w:eastAsia="宋体" w:cs="宋体"/>
          <w:color w:val="auto"/>
          <w:kern w:val="0"/>
          <w:sz w:val="21"/>
          <w:szCs w:val="21"/>
          <w:highlight w:val="none"/>
          <w:lang w:val="en-US" w:eastAsia="zh-Hans"/>
        </w:rPr>
        <w:t>小时内携带必备的工具和资料无条件到场处理。逾期处理的，甲方有权自行或委托第三方处理，费用由乙方支付。</w:t>
      </w:r>
    </w:p>
    <w:p w14:paraId="783E0056">
      <w:pPr>
        <w:snapToGrid w:val="0"/>
        <w:spacing w:line="360" w:lineRule="auto"/>
        <w:ind w:firstLine="424" w:firstLineChars="202"/>
        <w:rPr>
          <w:rFonts w:hint="default" w:ascii="宋体" w:hAnsi="宋体" w:eastAsia="宋体" w:cs="宋体"/>
          <w:color w:val="auto"/>
          <w:kern w:val="0"/>
          <w:sz w:val="21"/>
          <w:szCs w:val="21"/>
          <w:highlight w:val="none"/>
          <w:lang w:val="en-US" w:eastAsia="zh-Hans"/>
        </w:rPr>
      </w:pPr>
      <w:r>
        <w:rPr>
          <w:rFonts w:hint="default" w:ascii="宋体" w:hAnsi="宋体" w:eastAsia="宋体" w:cs="宋体"/>
          <w:color w:val="auto"/>
          <w:kern w:val="0"/>
          <w:sz w:val="21"/>
          <w:szCs w:val="21"/>
          <w:highlight w:val="none"/>
          <w:lang w:val="en-US" w:eastAsia="zh-Hans"/>
        </w:rPr>
        <w:t>5、质保期内发现货物存在缺陷的质量问题，甲方有权要求乙方进行整改。具体的整改要求、整改合格标准及整改期限，以甲方发出的整改通知书为准。</w:t>
      </w:r>
    </w:p>
    <w:p w14:paraId="6E455407">
      <w:pPr>
        <w:snapToGrid w:val="0"/>
        <w:spacing w:line="360" w:lineRule="auto"/>
        <w:ind w:firstLine="424" w:firstLineChars="202"/>
        <w:rPr>
          <w:rFonts w:hint="default" w:ascii="宋体" w:hAnsi="宋体" w:eastAsia="宋体" w:cs="宋体"/>
          <w:color w:val="auto"/>
          <w:kern w:val="0"/>
          <w:sz w:val="21"/>
          <w:szCs w:val="21"/>
          <w:highlight w:val="none"/>
          <w:lang w:val="en-US" w:eastAsia="zh-Hans"/>
        </w:rPr>
      </w:pPr>
      <w:r>
        <w:rPr>
          <w:rFonts w:hint="default" w:ascii="宋体" w:hAnsi="宋体" w:eastAsia="宋体" w:cs="宋体"/>
          <w:color w:val="auto"/>
          <w:kern w:val="0"/>
          <w:sz w:val="21"/>
          <w:szCs w:val="21"/>
          <w:highlight w:val="none"/>
          <w:lang w:val="en-US" w:eastAsia="zh-Hans"/>
        </w:rPr>
        <w:t>6、若乙方对甲方认定的质量问题提出异议的，应在争议发生后7日内提交东莞市质检部门或有资质及鉴定能力的鉴定机构进行质量鉴定，鉴定费由乙方先行垫付。鉴定结果确认货物质量符合合同（含附件）约定的，鉴定费由甲方承担；不符合合同约定的，鉴定费由乙方承担，乙方同时按本合同约定承担违约责任。</w:t>
      </w:r>
    </w:p>
    <w:p w14:paraId="6F3A9146">
      <w:pPr>
        <w:snapToGrid w:val="0"/>
        <w:spacing w:line="360" w:lineRule="auto"/>
        <w:ind w:firstLine="424" w:firstLineChars="202"/>
        <w:rPr>
          <w:rFonts w:hint="default" w:ascii="宋体" w:hAnsi="宋体" w:eastAsia="宋体" w:cs="宋体"/>
          <w:color w:val="auto"/>
          <w:kern w:val="0"/>
          <w:szCs w:val="21"/>
          <w:highlight w:val="none"/>
          <w:lang w:eastAsia="zh-Hans"/>
        </w:rPr>
      </w:pPr>
      <w:r>
        <w:rPr>
          <w:rFonts w:hint="default" w:ascii="宋体" w:hAnsi="宋体" w:eastAsia="宋体" w:cs="宋体"/>
          <w:color w:val="auto"/>
          <w:kern w:val="0"/>
          <w:sz w:val="21"/>
          <w:szCs w:val="21"/>
          <w:highlight w:val="none"/>
          <w:lang w:val="en-US" w:eastAsia="zh-Hans"/>
        </w:rPr>
        <w:t>7、甲方在使用货物时所遇技术问题或修改通讯对接协议、系统功能模块等，乙方应按甲方要求及时向甲方无偿提供服务。</w:t>
      </w:r>
    </w:p>
    <w:p w14:paraId="67632CBC">
      <w:pPr>
        <w:adjustRightInd w:val="0"/>
        <w:snapToGrid w:val="0"/>
        <w:spacing w:line="360" w:lineRule="auto"/>
        <w:ind w:firstLine="373" w:firstLineChars="177"/>
        <w:outlineLvl w:val="9"/>
        <w:rPr>
          <w:rFonts w:hint="eastAsia" w:ascii="宋体" w:hAnsi="宋体" w:eastAsia="宋体" w:cs="Times New Roman"/>
          <w:b/>
          <w:color w:val="auto"/>
          <w:szCs w:val="21"/>
          <w:highlight w:val="none"/>
        </w:rPr>
      </w:pPr>
    </w:p>
    <w:p w14:paraId="36E58688">
      <w:pPr>
        <w:adjustRightInd w:val="0"/>
        <w:snapToGrid w:val="0"/>
        <w:spacing w:line="360" w:lineRule="auto"/>
        <w:ind w:firstLine="373" w:firstLineChars="177"/>
        <w:outlineLvl w:val="1"/>
        <w:rPr>
          <w:rFonts w:ascii="Times New Roman" w:hAnsi="Times New Roman" w:eastAsia="宋体" w:cs="Times New Roman"/>
          <w:color w:val="auto"/>
          <w:szCs w:val="24"/>
          <w:highlight w:val="none"/>
        </w:rPr>
      </w:pPr>
      <w:r>
        <w:rPr>
          <w:rFonts w:hint="eastAsia" w:ascii="宋体" w:hAnsi="宋体" w:eastAsia="宋体" w:cs="Times New Roman"/>
          <w:b/>
          <w:color w:val="auto"/>
          <w:szCs w:val="21"/>
          <w:highlight w:val="none"/>
        </w:rPr>
        <w:t>第十</w:t>
      </w:r>
      <w:r>
        <w:rPr>
          <w:rFonts w:hint="eastAsia" w:ascii="宋体" w:hAnsi="宋体" w:eastAsia="宋体" w:cs="Times New Roman"/>
          <w:b/>
          <w:color w:val="auto"/>
          <w:szCs w:val="21"/>
          <w:highlight w:val="none"/>
          <w:lang w:val="en-US" w:eastAsia="zh-CN"/>
        </w:rPr>
        <w:t>四</w:t>
      </w:r>
      <w:r>
        <w:rPr>
          <w:rFonts w:hint="eastAsia" w:ascii="宋体" w:hAnsi="宋体" w:eastAsia="宋体" w:cs="Times New Roman"/>
          <w:b/>
          <w:color w:val="auto"/>
          <w:szCs w:val="21"/>
          <w:highlight w:val="none"/>
        </w:rPr>
        <w:t>条 违约责任</w:t>
      </w:r>
    </w:p>
    <w:p w14:paraId="65EFBBF7">
      <w:pPr>
        <w:numPr>
          <w:ilvl w:val="0"/>
          <w:numId w:val="0"/>
        </w:numPr>
        <w:adjustRightInd w:val="0"/>
        <w:snapToGrid w:val="0"/>
        <w:spacing w:line="360" w:lineRule="auto"/>
        <w:ind w:firstLine="371" w:firstLineChars="177"/>
        <w:rPr>
          <w:rFonts w:hint="eastAsia" w:ascii="Times New Roman" w:hAnsi="宋体" w:eastAsia="宋体" w:cs="Times New Roman"/>
          <w:color w:val="auto"/>
          <w:szCs w:val="21"/>
          <w:highlight w:val="none"/>
          <w:lang w:val="en-US" w:eastAsia="zh-Hans"/>
        </w:rPr>
      </w:pPr>
      <w:r>
        <w:rPr>
          <w:rFonts w:ascii="Times New Roman" w:hAnsi="宋体" w:eastAsia="宋体" w:cs="Times New Roman"/>
          <w:color w:val="auto"/>
          <w:szCs w:val="21"/>
          <w:highlight w:val="none"/>
          <w:lang w:eastAsia="zh-Hans"/>
        </w:rPr>
        <w:t>1</w:t>
      </w:r>
      <w:r>
        <w:rPr>
          <w:rFonts w:hint="eastAsia" w:ascii="Times New Roman" w:hAnsi="宋体" w:eastAsia="宋体" w:cs="Times New Roman"/>
          <w:color w:val="auto"/>
          <w:szCs w:val="21"/>
          <w:highlight w:val="none"/>
          <w:lang w:eastAsia="zh-Hans"/>
        </w:rPr>
        <w:t>、乙方未</w:t>
      </w:r>
      <w:r>
        <w:rPr>
          <w:rFonts w:hint="eastAsia" w:ascii="Times New Roman" w:hAnsi="宋体" w:eastAsia="宋体" w:cs="Times New Roman"/>
          <w:color w:val="auto"/>
          <w:szCs w:val="21"/>
          <w:highlight w:val="none"/>
          <w:lang w:val="en-US" w:eastAsia="zh-Hans"/>
        </w:rPr>
        <w:t>按《供货通知单》</w:t>
      </w:r>
      <w:r>
        <w:rPr>
          <w:rFonts w:hint="eastAsia" w:ascii="Times New Roman" w:hAnsi="宋体" w:eastAsia="宋体" w:cs="Times New Roman"/>
          <w:color w:val="auto"/>
          <w:szCs w:val="21"/>
          <w:highlight w:val="none"/>
          <w:lang w:eastAsia="zh-Hans"/>
        </w:rPr>
        <w:t>约定的时间</w:t>
      </w:r>
      <w:r>
        <w:rPr>
          <w:rFonts w:hint="eastAsia" w:ascii="Times New Roman" w:hAnsi="宋体" w:eastAsia="宋体" w:cs="Times New Roman"/>
          <w:color w:val="auto"/>
          <w:szCs w:val="21"/>
          <w:highlight w:val="none"/>
          <w:lang w:val="en-US" w:eastAsia="zh-Hans"/>
        </w:rPr>
        <w:t>全部供</w:t>
      </w:r>
      <w:r>
        <w:rPr>
          <w:rFonts w:hint="eastAsia" w:ascii="Times New Roman" w:hAnsi="宋体" w:eastAsia="宋体" w:cs="Times New Roman"/>
          <w:color w:val="auto"/>
          <w:szCs w:val="21"/>
          <w:highlight w:val="none"/>
          <w:lang w:eastAsia="zh-Hans"/>
        </w:rPr>
        <w:t>货，每逾期一日，应按</w:t>
      </w:r>
      <w:r>
        <w:rPr>
          <w:rFonts w:hint="eastAsia" w:ascii="Times New Roman" w:hAnsi="宋体" w:eastAsia="宋体" w:cs="Times New Roman"/>
          <w:color w:val="auto"/>
          <w:szCs w:val="21"/>
          <w:highlight w:val="none"/>
          <w:lang w:val="en-US" w:eastAsia="zh-Hans"/>
        </w:rPr>
        <w:t>逾期供货货物的含税</w:t>
      </w:r>
      <w:r>
        <w:rPr>
          <w:rFonts w:hint="eastAsia" w:ascii="Times New Roman" w:hAnsi="宋体" w:eastAsia="宋体" w:cs="Times New Roman"/>
          <w:color w:val="auto"/>
          <w:szCs w:val="21"/>
          <w:highlight w:val="none"/>
          <w:lang w:eastAsia="zh-Hans"/>
        </w:rPr>
        <w:t>总</w:t>
      </w:r>
      <w:r>
        <w:rPr>
          <w:rFonts w:hint="eastAsia" w:ascii="Times New Roman" w:hAnsi="宋体" w:eastAsia="宋体" w:cs="Times New Roman"/>
          <w:color w:val="auto"/>
          <w:szCs w:val="21"/>
          <w:highlight w:val="none"/>
          <w:lang w:val="en-US" w:eastAsia="zh-Hans"/>
        </w:rPr>
        <w:t>价的5</w:t>
      </w:r>
      <w:r>
        <w:rPr>
          <w:rFonts w:hint="eastAsia" w:ascii="Times New Roman" w:hAnsi="宋体" w:eastAsia="宋体" w:cs="Times New Roman"/>
          <w:color w:val="auto"/>
          <w:szCs w:val="21"/>
          <w:highlight w:val="none"/>
          <w:lang w:eastAsia="zh-Hans"/>
        </w:rPr>
        <w:t>‰向甲方支付违约金，</w:t>
      </w:r>
      <w:r>
        <w:rPr>
          <w:rFonts w:hint="eastAsia" w:ascii="Times New Roman" w:hAnsi="宋体" w:eastAsia="宋体" w:cs="Times New Roman"/>
          <w:color w:val="auto"/>
          <w:szCs w:val="21"/>
          <w:highlight w:val="none"/>
          <w:lang w:val="en-US" w:eastAsia="zh-Hans"/>
        </w:rPr>
        <w:t>累计不超过逾期供货货物的含税</w:t>
      </w:r>
      <w:r>
        <w:rPr>
          <w:rFonts w:hint="eastAsia" w:ascii="Times New Roman" w:hAnsi="宋体" w:eastAsia="宋体" w:cs="Times New Roman"/>
          <w:color w:val="auto"/>
          <w:szCs w:val="21"/>
          <w:highlight w:val="none"/>
          <w:lang w:eastAsia="zh-Hans"/>
        </w:rPr>
        <w:t>总</w:t>
      </w:r>
      <w:r>
        <w:rPr>
          <w:rFonts w:hint="eastAsia" w:ascii="Times New Roman" w:hAnsi="宋体" w:eastAsia="宋体" w:cs="Times New Roman"/>
          <w:color w:val="auto"/>
          <w:szCs w:val="21"/>
          <w:highlight w:val="none"/>
          <w:lang w:val="en-US" w:eastAsia="zh-Hans"/>
        </w:rPr>
        <w:t>价</w:t>
      </w:r>
      <w:r>
        <w:rPr>
          <w:rFonts w:hint="eastAsia" w:ascii="Times New Roman" w:hAnsi="宋体" w:eastAsia="宋体" w:cs="Times New Roman"/>
          <w:color w:val="auto"/>
          <w:szCs w:val="21"/>
          <w:highlight w:val="none"/>
          <w:lang w:eastAsia="zh-Hans"/>
        </w:rPr>
        <w:t>的</w:t>
      </w:r>
      <w:r>
        <w:rPr>
          <w:rFonts w:hint="eastAsia" w:ascii="Times New Roman" w:hAnsi="宋体" w:eastAsia="宋体" w:cs="Times New Roman"/>
          <w:color w:val="auto"/>
          <w:szCs w:val="21"/>
          <w:highlight w:val="none"/>
          <w:lang w:val="en-US" w:eastAsia="zh-Hans"/>
        </w:rPr>
        <w:t>15%</w:t>
      </w:r>
      <w:r>
        <w:rPr>
          <w:rFonts w:hint="eastAsia" w:ascii="Times New Roman" w:hAnsi="宋体" w:eastAsia="宋体" w:cs="Times New Roman"/>
          <w:color w:val="auto"/>
          <w:szCs w:val="21"/>
          <w:highlight w:val="none"/>
          <w:lang w:eastAsia="zh-Hans"/>
        </w:rPr>
        <w:t>。逾期超过_30_日的，甲方</w:t>
      </w:r>
      <w:r>
        <w:rPr>
          <w:rFonts w:hint="eastAsia" w:ascii="Times New Roman" w:hAnsi="宋体" w:eastAsia="宋体" w:cs="Times New Roman"/>
          <w:color w:val="auto"/>
          <w:szCs w:val="21"/>
          <w:highlight w:val="none"/>
          <w:lang w:val="en-US" w:eastAsia="zh-Hans"/>
        </w:rPr>
        <w:t>有权选择以下任一或多项救济措施：</w:t>
      </w:r>
    </w:p>
    <w:p w14:paraId="3D2F213B">
      <w:pPr>
        <w:numPr>
          <w:ilvl w:val="0"/>
          <w:numId w:val="0"/>
        </w:numPr>
        <w:adjustRightInd w:val="0"/>
        <w:snapToGrid w:val="0"/>
        <w:spacing w:line="360" w:lineRule="auto"/>
        <w:ind w:firstLine="371" w:firstLineChars="177"/>
        <w:rPr>
          <w:rFonts w:hint="eastAsia" w:ascii="Times New Roman" w:hAnsi="宋体" w:eastAsia="宋体" w:cs="Times New Roman"/>
          <w:color w:val="auto"/>
          <w:szCs w:val="21"/>
          <w:highlight w:val="none"/>
          <w:lang w:val="en-US" w:eastAsia="zh-Hans"/>
        </w:rPr>
      </w:pPr>
      <w:r>
        <w:rPr>
          <w:rFonts w:hint="eastAsia" w:ascii="Times New Roman" w:hAnsi="宋体" w:eastAsia="宋体" w:cs="Times New Roman"/>
          <w:color w:val="auto"/>
          <w:szCs w:val="21"/>
          <w:highlight w:val="none"/>
          <w:lang w:val="en-US" w:eastAsia="zh-Hans"/>
        </w:rPr>
        <w:t>（1）要求乙方在   日内全额退还该批次已支付的全部货款；</w:t>
      </w:r>
    </w:p>
    <w:p w14:paraId="547E83C3">
      <w:pPr>
        <w:numPr>
          <w:ilvl w:val="0"/>
          <w:numId w:val="0"/>
        </w:numPr>
        <w:adjustRightInd w:val="0"/>
        <w:snapToGrid w:val="0"/>
        <w:spacing w:line="360" w:lineRule="auto"/>
        <w:ind w:firstLine="371" w:firstLineChars="177"/>
        <w:rPr>
          <w:rFonts w:hint="eastAsia" w:ascii="Times New Roman" w:hAnsi="宋体" w:eastAsia="宋体" w:cs="Times New Roman"/>
          <w:color w:val="auto"/>
          <w:szCs w:val="21"/>
          <w:highlight w:val="none"/>
          <w:lang w:val="en-US" w:eastAsia="zh-Hans"/>
        </w:rPr>
      </w:pPr>
      <w:r>
        <w:rPr>
          <w:rFonts w:hint="eastAsia" w:ascii="Times New Roman" w:hAnsi="宋体" w:eastAsia="宋体" w:cs="Times New Roman"/>
          <w:color w:val="auto"/>
          <w:szCs w:val="21"/>
          <w:highlight w:val="none"/>
          <w:lang w:val="en-US" w:eastAsia="zh-Hans"/>
        </w:rPr>
        <w:t>（2）要求乙方按该批次货款含税总价的10%支付违约金，如违约金不足以弥补因乙方逾期供货给甲方造成的实际损失，不足部分乙方还应继续承担；</w:t>
      </w:r>
    </w:p>
    <w:p w14:paraId="1B4FF516">
      <w:pPr>
        <w:numPr>
          <w:ilvl w:val="0"/>
          <w:numId w:val="0"/>
        </w:numPr>
        <w:adjustRightInd w:val="0"/>
        <w:snapToGrid w:val="0"/>
        <w:spacing w:line="360" w:lineRule="auto"/>
        <w:ind w:firstLine="371" w:firstLineChars="177"/>
        <w:rPr>
          <w:rFonts w:hint="eastAsia" w:ascii="Times New Roman" w:hAnsi="宋体" w:eastAsia="宋体" w:cs="Times New Roman"/>
          <w:color w:val="auto"/>
          <w:szCs w:val="21"/>
          <w:highlight w:val="none"/>
          <w:lang w:eastAsia="zh-Hans"/>
        </w:rPr>
      </w:pPr>
      <w:r>
        <w:rPr>
          <w:rFonts w:hint="eastAsia" w:ascii="Times New Roman" w:hAnsi="宋体" w:eastAsia="宋体" w:cs="Times New Roman"/>
          <w:color w:val="auto"/>
          <w:szCs w:val="21"/>
          <w:highlight w:val="none"/>
          <w:lang w:val="en-US" w:eastAsia="zh-Hans"/>
        </w:rPr>
        <w:t>（3）单方解除合同，乙方除按本款第（1）（2）点履行退款、赔偿义务外，还应按合同暂定总价的20%支付违约金。</w:t>
      </w:r>
    </w:p>
    <w:p w14:paraId="31FAE2E7">
      <w:pPr>
        <w:numPr>
          <w:ilvl w:val="0"/>
          <w:numId w:val="0"/>
        </w:numPr>
        <w:adjustRightInd w:val="0"/>
        <w:snapToGrid w:val="0"/>
        <w:spacing w:line="360" w:lineRule="auto"/>
        <w:ind w:firstLine="371" w:firstLineChars="177"/>
        <w:rPr>
          <w:rFonts w:hint="eastAsia" w:ascii="Times New Roman" w:hAnsi="宋体" w:eastAsia="宋体" w:cs="Times New Roman"/>
          <w:color w:val="auto"/>
          <w:szCs w:val="21"/>
          <w:highlight w:val="none"/>
          <w:lang w:eastAsia="zh-Hans"/>
        </w:rPr>
      </w:pPr>
      <w:r>
        <w:rPr>
          <w:rFonts w:hint="eastAsia" w:ascii="Times New Roman" w:hAnsi="宋体" w:eastAsia="宋体" w:cs="Times New Roman"/>
          <w:color w:val="auto"/>
          <w:szCs w:val="21"/>
          <w:highlight w:val="none"/>
          <w:lang w:val="en-US" w:eastAsia="zh-Hans"/>
        </w:rPr>
        <w:t>2、</w:t>
      </w:r>
      <w:r>
        <w:rPr>
          <w:rFonts w:hint="eastAsia" w:ascii="Times New Roman" w:hAnsi="宋体" w:eastAsia="宋体" w:cs="Times New Roman"/>
          <w:color w:val="auto"/>
          <w:szCs w:val="21"/>
          <w:highlight w:val="none"/>
          <w:lang w:eastAsia="zh-Hans"/>
        </w:rPr>
        <w:t>质保期内，</w:t>
      </w:r>
      <w:r>
        <w:rPr>
          <w:rFonts w:hint="eastAsia" w:ascii="Times New Roman" w:hAnsi="宋体" w:eastAsia="宋体" w:cs="Times New Roman"/>
          <w:color w:val="auto"/>
          <w:szCs w:val="21"/>
          <w:highlight w:val="none"/>
          <w:lang w:val="en-US" w:eastAsia="zh-Hans"/>
        </w:rPr>
        <w:t>若乙方所供</w:t>
      </w:r>
      <w:r>
        <w:rPr>
          <w:rFonts w:hint="eastAsia" w:ascii="Times New Roman" w:hAnsi="宋体" w:eastAsia="宋体" w:cs="Times New Roman"/>
          <w:color w:val="auto"/>
          <w:szCs w:val="21"/>
          <w:highlight w:val="none"/>
          <w:lang w:eastAsia="zh-Hans"/>
        </w:rPr>
        <w:t>货物</w:t>
      </w:r>
      <w:r>
        <w:rPr>
          <w:rFonts w:hint="eastAsia" w:ascii="Times New Roman" w:hAnsi="宋体" w:eastAsia="宋体" w:cs="Times New Roman"/>
          <w:color w:val="auto"/>
          <w:szCs w:val="21"/>
          <w:highlight w:val="none"/>
          <w:lang w:val="en-US" w:eastAsia="zh-Hans"/>
        </w:rPr>
        <w:t>出现缺陷的质量问题，且逾期未完成整改或整改仍不合格</w:t>
      </w:r>
      <w:r>
        <w:rPr>
          <w:rFonts w:hint="eastAsia" w:ascii="Times New Roman" w:hAnsi="宋体" w:eastAsia="宋体" w:cs="Times New Roman"/>
          <w:color w:val="auto"/>
          <w:szCs w:val="21"/>
          <w:highlight w:val="none"/>
          <w:lang w:eastAsia="zh-Hans"/>
        </w:rPr>
        <w:t>的，</w:t>
      </w:r>
      <w:r>
        <w:rPr>
          <w:rFonts w:hint="eastAsia" w:ascii="Times New Roman" w:hAnsi="宋体" w:eastAsia="宋体" w:cs="Times New Roman"/>
          <w:color w:val="auto"/>
          <w:szCs w:val="21"/>
          <w:highlight w:val="none"/>
          <w:lang w:val="en-US" w:eastAsia="zh-Hans"/>
        </w:rPr>
        <w:t>应按照</w:t>
      </w:r>
      <w:r>
        <w:rPr>
          <w:rFonts w:hint="default" w:ascii="Times New Roman" w:hAnsi="宋体" w:eastAsia="宋体" w:cs="Times New Roman"/>
          <w:color w:val="auto"/>
          <w:szCs w:val="21"/>
          <w:highlight w:val="none"/>
          <w:lang w:val="en-US" w:eastAsia="zh-Hans"/>
        </w:rPr>
        <w:t>该</w:t>
      </w:r>
      <w:r>
        <w:rPr>
          <w:rFonts w:hint="eastAsia" w:ascii="Times New Roman" w:hAnsi="宋体" w:eastAsia="宋体" w:cs="Times New Roman"/>
          <w:color w:val="auto"/>
          <w:szCs w:val="21"/>
          <w:highlight w:val="none"/>
          <w:lang w:eastAsia="zh-Hans"/>
        </w:rPr>
        <w:t>货物价款</w:t>
      </w:r>
      <w:r>
        <w:rPr>
          <w:rFonts w:hint="eastAsia" w:ascii="Times New Roman" w:hAnsi="宋体" w:eastAsia="宋体" w:cs="Times New Roman"/>
          <w:color w:val="auto"/>
          <w:szCs w:val="21"/>
          <w:highlight w:val="none"/>
          <w:lang w:val="en-US" w:eastAsia="zh-Hans"/>
        </w:rPr>
        <w:t>20</w:t>
      </w:r>
      <w:r>
        <w:rPr>
          <w:rFonts w:hint="eastAsia" w:ascii="Times New Roman" w:hAnsi="宋体" w:eastAsia="宋体" w:cs="Times New Roman"/>
          <w:color w:val="auto"/>
          <w:szCs w:val="21"/>
          <w:highlight w:val="none"/>
          <w:lang w:eastAsia="zh-Hans"/>
        </w:rPr>
        <w:t>0%</w:t>
      </w:r>
      <w:r>
        <w:rPr>
          <w:rFonts w:hint="eastAsia" w:ascii="Times New Roman" w:hAnsi="宋体" w:eastAsia="宋体" w:cs="Times New Roman"/>
          <w:color w:val="auto"/>
          <w:szCs w:val="21"/>
          <w:highlight w:val="none"/>
          <w:lang w:val="en-US" w:eastAsia="zh-Hans"/>
        </w:rPr>
        <w:t>向甲方支付违约</w:t>
      </w:r>
      <w:r>
        <w:rPr>
          <w:rFonts w:hint="eastAsia" w:ascii="Times New Roman" w:hAnsi="宋体" w:eastAsia="宋体" w:cs="Times New Roman"/>
          <w:color w:val="auto"/>
          <w:szCs w:val="21"/>
          <w:highlight w:val="none"/>
          <w:lang w:eastAsia="zh-Hans"/>
        </w:rPr>
        <w:t>金。</w:t>
      </w:r>
    </w:p>
    <w:p w14:paraId="7E9BA0EE">
      <w:pPr>
        <w:numPr>
          <w:ilvl w:val="0"/>
          <w:numId w:val="0"/>
        </w:numPr>
        <w:adjustRightInd w:val="0"/>
        <w:snapToGrid w:val="0"/>
        <w:spacing w:line="360" w:lineRule="auto"/>
        <w:ind w:firstLine="371" w:firstLineChars="177"/>
        <w:rPr>
          <w:rFonts w:hint="default" w:ascii="Times New Roman" w:hAnsi="宋体" w:eastAsia="宋体" w:cs="Times New Roman"/>
          <w:color w:val="auto"/>
          <w:szCs w:val="21"/>
          <w:highlight w:val="none"/>
          <w:lang w:val="en-US" w:eastAsia="zh-Hans"/>
        </w:rPr>
      </w:pPr>
      <w:r>
        <w:rPr>
          <w:rFonts w:hint="eastAsia" w:ascii="Times New Roman" w:hAnsi="宋体" w:eastAsia="宋体" w:cs="Times New Roman"/>
          <w:color w:val="auto"/>
          <w:szCs w:val="21"/>
          <w:highlight w:val="none"/>
          <w:lang w:val="en-US" w:eastAsia="zh-Hans"/>
        </w:rPr>
        <w:t>3、乙方所供货物经质量鉴定不合格的，除</w:t>
      </w:r>
      <w:r>
        <w:rPr>
          <w:rFonts w:hint="eastAsia" w:ascii="Times New Roman" w:hAnsi="宋体" w:eastAsia="宋体" w:cs="Times New Roman"/>
          <w:color w:val="auto"/>
          <w:szCs w:val="21"/>
          <w:highlight w:val="none"/>
          <w:lang w:eastAsia="zh-Hans"/>
        </w:rPr>
        <w:t>应按本合同约定承担</w:t>
      </w:r>
      <w:r>
        <w:rPr>
          <w:rFonts w:hint="eastAsia" w:ascii="Times New Roman" w:hAnsi="宋体" w:eastAsia="宋体" w:cs="Times New Roman"/>
          <w:color w:val="auto"/>
          <w:szCs w:val="21"/>
          <w:highlight w:val="none"/>
          <w:lang w:val="en-US" w:eastAsia="zh-Hans"/>
        </w:rPr>
        <w:t>质保期免费维修</w:t>
      </w:r>
      <w:r>
        <w:rPr>
          <w:rFonts w:hint="eastAsia" w:ascii="Times New Roman" w:hAnsi="宋体" w:eastAsia="宋体" w:cs="Times New Roman"/>
          <w:color w:val="auto"/>
          <w:szCs w:val="21"/>
          <w:highlight w:val="none"/>
          <w:lang w:eastAsia="zh-Hans"/>
        </w:rPr>
        <w:t>、更换责任</w:t>
      </w:r>
      <w:r>
        <w:rPr>
          <w:rFonts w:hint="eastAsia" w:ascii="Times New Roman" w:hAnsi="宋体" w:eastAsia="宋体" w:cs="Times New Roman"/>
          <w:color w:val="auto"/>
          <w:szCs w:val="21"/>
          <w:highlight w:val="none"/>
          <w:lang w:val="en-US" w:eastAsia="zh-Hans"/>
        </w:rPr>
        <w:t>外</w:t>
      </w:r>
      <w:r>
        <w:rPr>
          <w:rFonts w:hint="eastAsia" w:ascii="Times New Roman" w:hAnsi="宋体" w:eastAsia="宋体" w:cs="Times New Roman"/>
          <w:color w:val="auto"/>
          <w:szCs w:val="21"/>
          <w:highlight w:val="none"/>
          <w:lang w:eastAsia="zh-Hans"/>
        </w:rPr>
        <w:t>，</w:t>
      </w:r>
      <w:r>
        <w:rPr>
          <w:rFonts w:hint="eastAsia" w:ascii="Times New Roman" w:hAnsi="宋体" w:eastAsia="宋体" w:cs="Times New Roman"/>
          <w:color w:val="auto"/>
          <w:szCs w:val="21"/>
          <w:highlight w:val="none"/>
          <w:lang w:val="en-US" w:eastAsia="zh-Hans"/>
        </w:rPr>
        <w:t>还应</w:t>
      </w:r>
      <w:r>
        <w:rPr>
          <w:rFonts w:hint="eastAsia" w:ascii="Times New Roman" w:hAnsi="宋体" w:eastAsia="宋体" w:cs="Times New Roman"/>
          <w:color w:val="auto"/>
          <w:szCs w:val="21"/>
          <w:highlight w:val="none"/>
          <w:lang w:eastAsia="zh-Hans"/>
        </w:rPr>
        <w:t>支付</w:t>
      </w:r>
      <w:r>
        <w:rPr>
          <w:rFonts w:hint="eastAsia" w:ascii="Times New Roman" w:hAnsi="宋体" w:eastAsia="宋体" w:cs="Times New Roman"/>
          <w:color w:val="auto"/>
          <w:szCs w:val="21"/>
          <w:highlight w:val="none"/>
          <w:lang w:val="en-US" w:eastAsia="zh-Hans"/>
        </w:rPr>
        <w:t>相当于</w:t>
      </w:r>
      <w:r>
        <w:rPr>
          <w:rFonts w:hint="eastAsia" w:ascii="Times New Roman" w:hAnsi="宋体" w:eastAsia="宋体" w:cs="Times New Roman"/>
          <w:color w:val="auto"/>
          <w:szCs w:val="21"/>
          <w:highlight w:val="none"/>
          <w:lang w:eastAsia="zh-Hans"/>
        </w:rPr>
        <w:t>该批次货款</w:t>
      </w:r>
      <w:r>
        <w:rPr>
          <w:rFonts w:hint="eastAsia" w:ascii="Times New Roman" w:hAnsi="宋体" w:eastAsia="宋体" w:cs="Times New Roman"/>
          <w:color w:val="auto"/>
          <w:szCs w:val="21"/>
          <w:highlight w:val="none"/>
          <w:lang w:val="en-US" w:eastAsia="zh-Hans"/>
        </w:rPr>
        <w:t>含税总价</w:t>
      </w:r>
      <w:r>
        <w:rPr>
          <w:rFonts w:hint="eastAsia" w:ascii="Times New Roman" w:hAnsi="宋体" w:eastAsia="宋体" w:cs="Times New Roman"/>
          <w:color w:val="auto"/>
          <w:szCs w:val="21"/>
          <w:highlight w:val="none"/>
          <w:lang w:eastAsia="zh-Hans"/>
        </w:rPr>
        <w:t>5%的违约金；</w:t>
      </w:r>
      <w:r>
        <w:rPr>
          <w:rFonts w:hint="eastAsia" w:ascii="Times New Roman" w:hAnsi="宋体" w:eastAsia="宋体" w:cs="Times New Roman"/>
          <w:color w:val="auto"/>
          <w:szCs w:val="21"/>
          <w:highlight w:val="none"/>
          <w:lang w:val="en-US" w:eastAsia="zh-Hans"/>
        </w:rPr>
        <w:t>逾期更换或更换后仍质量不合格的，</w:t>
      </w:r>
      <w:r>
        <w:rPr>
          <w:rFonts w:hint="eastAsia" w:ascii="Times New Roman" w:hAnsi="宋体" w:eastAsia="宋体" w:cs="Times New Roman"/>
          <w:color w:val="auto"/>
          <w:szCs w:val="21"/>
          <w:highlight w:val="none"/>
          <w:lang w:eastAsia="zh-Hans"/>
        </w:rPr>
        <w:t>乙方</w:t>
      </w:r>
      <w:r>
        <w:rPr>
          <w:rFonts w:hint="eastAsia" w:ascii="Times New Roman" w:hAnsi="宋体" w:eastAsia="宋体" w:cs="Times New Roman"/>
          <w:color w:val="auto"/>
          <w:szCs w:val="21"/>
          <w:highlight w:val="none"/>
          <w:lang w:val="en-US" w:eastAsia="zh-Hans"/>
        </w:rPr>
        <w:t>应当</w:t>
      </w:r>
      <w:r>
        <w:rPr>
          <w:rFonts w:hint="eastAsia" w:ascii="Times New Roman" w:hAnsi="宋体" w:eastAsia="宋体" w:cs="Times New Roman"/>
          <w:color w:val="auto"/>
          <w:szCs w:val="21"/>
          <w:highlight w:val="none"/>
          <w:lang w:eastAsia="zh-Hans"/>
        </w:rPr>
        <w:t>全额退还该批次已付货款，</w:t>
      </w:r>
      <w:r>
        <w:rPr>
          <w:rFonts w:hint="eastAsia" w:ascii="Times New Roman" w:hAnsi="宋体" w:eastAsia="宋体" w:cs="Times New Roman"/>
          <w:color w:val="auto"/>
          <w:szCs w:val="21"/>
          <w:highlight w:val="none"/>
          <w:lang w:val="en-US" w:eastAsia="zh-Hans"/>
        </w:rPr>
        <w:t>并</w:t>
      </w:r>
      <w:r>
        <w:rPr>
          <w:rFonts w:hint="eastAsia" w:ascii="Times New Roman" w:hAnsi="宋体" w:eastAsia="宋体" w:cs="Times New Roman"/>
          <w:color w:val="auto"/>
          <w:szCs w:val="21"/>
          <w:highlight w:val="none"/>
          <w:lang w:eastAsia="zh-Hans"/>
        </w:rPr>
        <w:t>支付</w:t>
      </w:r>
      <w:r>
        <w:rPr>
          <w:rFonts w:hint="eastAsia" w:ascii="Times New Roman" w:hAnsi="宋体" w:eastAsia="宋体" w:cs="Times New Roman"/>
          <w:color w:val="auto"/>
          <w:szCs w:val="21"/>
          <w:highlight w:val="none"/>
          <w:lang w:val="en-US" w:eastAsia="zh-Hans"/>
        </w:rPr>
        <w:t>相当于该批次货款含税总价</w:t>
      </w:r>
      <w:r>
        <w:rPr>
          <w:rFonts w:hint="eastAsia" w:ascii="Times New Roman" w:hAnsi="宋体" w:eastAsia="宋体" w:cs="Times New Roman"/>
          <w:color w:val="auto"/>
          <w:szCs w:val="21"/>
          <w:highlight w:val="none"/>
          <w:lang w:eastAsia="zh-Hans"/>
        </w:rPr>
        <w:t>10%的违约金</w:t>
      </w:r>
      <w:r>
        <w:rPr>
          <w:rFonts w:hint="eastAsia" w:ascii="Times New Roman" w:hAnsi="宋体" w:eastAsia="宋体" w:cs="Times New Roman"/>
          <w:color w:val="auto"/>
          <w:szCs w:val="21"/>
          <w:highlight w:val="none"/>
          <w:lang w:val="en-US" w:eastAsia="zh-Hans"/>
        </w:rPr>
        <w:t>。</w:t>
      </w:r>
    </w:p>
    <w:p w14:paraId="71861FB2">
      <w:pPr>
        <w:numPr>
          <w:ilvl w:val="0"/>
          <w:numId w:val="0"/>
        </w:numPr>
        <w:adjustRightInd w:val="0"/>
        <w:snapToGrid w:val="0"/>
        <w:spacing w:line="360" w:lineRule="auto"/>
        <w:ind w:firstLine="371" w:firstLineChars="177"/>
        <w:rPr>
          <w:rFonts w:hint="eastAsia" w:ascii="Times New Roman" w:hAnsi="宋体" w:eastAsia="宋体" w:cs="Times New Roman"/>
          <w:color w:val="auto"/>
          <w:szCs w:val="21"/>
          <w:highlight w:val="none"/>
          <w:lang w:eastAsia="zh-Hans"/>
        </w:rPr>
      </w:pPr>
      <w:r>
        <w:rPr>
          <w:rFonts w:hint="eastAsia" w:ascii="Times New Roman" w:hAnsi="宋体" w:eastAsia="宋体" w:cs="Times New Roman"/>
          <w:color w:val="auto"/>
          <w:szCs w:val="21"/>
          <w:highlight w:val="none"/>
          <w:lang w:val="en-US" w:eastAsia="zh-Hans"/>
        </w:rPr>
        <w:t>4、因乙方所供货物存在缺陷</w:t>
      </w:r>
      <w:r>
        <w:rPr>
          <w:rFonts w:hint="eastAsia" w:ascii="Times New Roman" w:hAnsi="宋体" w:eastAsia="宋体" w:cs="Times New Roman"/>
          <w:color w:val="auto"/>
          <w:szCs w:val="21"/>
          <w:highlight w:val="none"/>
          <w:lang w:val="en-GB" w:eastAsia="zh-Hans"/>
        </w:rPr>
        <w:t>给甲方或第三方造成</w:t>
      </w:r>
      <w:r>
        <w:rPr>
          <w:rFonts w:hint="eastAsia" w:ascii="Times New Roman" w:hAnsi="宋体" w:eastAsia="宋体" w:cs="Times New Roman"/>
          <w:color w:val="auto"/>
          <w:szCs w:val="21"/>
          <w:highlight w:val="none"/>
          <w:lang w:val="en-US" w:eastAsia="zh-Hans"/>
        </w:rPr>
        <w:t>实际</w:t>
      </w:r>
      <w:r>
        <w:rPr>
          <w:rFonts w:hint="eastAsia" w:ascii="Times New Roman" w:hAnsi="宋体" w:eastAsia="宋体" w:cs="Times New Roman"/>
          <w:color w:val="auto"/>
          <w:szCs w:val="21"/>
          <w:highlight w:val="none"/>
          <w:lang w:val="en-GB" w:eastAsia="zh-Hans"/>
        </w:rPr>
        <w:t>损失的，</w:t>
      </w:r>
      <w:r>
        <w:rPr>
          <w:rFonts w:hint="eastAsia" w:ascii="Times New Roman" w:hAnsi="宋体" w:eastAsia="宋体" w:cs="Times New Roman"/>
          <w:color w:val="auto"/>
          <w:szCs w:val="21"/>
          <w:highlight w:val="none"/>
          <w:lang w:val="en-US" w:eastAsia="zh-Hans"/>
        </w:rPr>
        <w:t>乙方应当对实际损失进行赔偿；</w:t>
      </w:r>
      <w:r>
        <w:rPr>
          <w:rFonts w:hint="eastAsia" w:ascii="Times New Roman" w:hAnsi="宋体" w:eastAsia="宋体" w:cs="Times New Roman"/>
          <w:color w:val="auto"/>
          <w:szCs w:val="21"/>
          <w:highlight w:val="none"/>
          <w:lang w:eastAsia="zh-Hans"/>
        </w:rPr>
        <w:t>当</w:t>
      </w:r>
      <w:r>
        <w:rPr>
          <w:rFonts w:hint="eastAsia" w:ascii="Times New Roman" w:hAnsi="宋体" w:eastAsia="宋体" w:cs="Times New Roman"/>
          <w:color w:val="auto"/>
          <w:szCs w:val="21"/>
          <w:highlight w:val="none"/>
          <w:lang w:val="en-US" w:eastAsia="zh-Hans"/>
        </w:rPr>
        <w:t>实际</w:t>
      </w:r>
      <w:r>
        <w:rPr>
          <w:rFonts w:hint="eastAsia" w:ascii="Times New Roman" w:hAnsi="宋体" w:eastAsia="宋体" w:cs="Times New Roman"/>
          <w:color w:val="auto"/>
          <w:szCs w:val="21"/>
          <w:highlight w:val="none"/>
          <w:lang w:eastAsia="zh-Hans"/>
        </w:rPr>
        <w:t>损失无法计算时，按</w:t>
      </w:r>
      <w:r>
        <w:rPr>
          <w:rFonts w:hint="eastAsia" w:ascii="Times New Roman" w:hAnsi="宋体" w:eastAsia="宋体" w:cs="Times New Roman"/>
          <w:color w:val="auto"/>
          <w:szCs w:val="21"/>
          <w:highlight w:val="none"/>
          <w:lang w:val="en-US" w:eastAsia="zh-Hans"/>
        </w:rPr>
        <w:t>存在缺陷</w:t>
      </w:r>
      <w:r>
        <w:rPr>
          <w:rFonts w:hint="eastAsia" w:ascii="Times New Roman" w:hAnsi="宋体" w:eastAsia="宋体" w:cs="Times New Roman"/>
          <w:color w:val="auto"/>
          <w:szCs w:val="21"/>
          <w:highlight w:val="none"/>
          <w:lang w:eastAsia="zh-Hans"/>
        </w:rPr>
        <w:t>货物</w:t>
      </w:r>
      <w:r>
        <w:rPr>
          <w:rFonts w:hint="eastAsia" w:ascii="Times New Roman" w:hAnsi="宋体" w:eastAsia="宋体" w:cs="Times New Roman"/>
          <w:color w:val="auto"/>
          <w:szCs w:val="21"/>
          <w:highlight w:val="none"/>
          <w:lang w:val="en-US" w:eastAsia="zh-Hans"/>
        </w:rPr>
        <w:t>对应批次的含税</w:t>
      </w:r>
      <w:r>
        <w:rPr>
          <w:rFonts w:hint="eastAsia" w:ascii="Times New Roman" w:hAnsi="宋体" w:eastAsia="宋体" w:cs="Times New Roman"/>
          <w:color w:val="auto"/>
          <w:szCs w:val="21"/>
          <w:highlight w:val="none"/>
          <w:lang w:eastAsia="zh-Hans"/>
        </w:rPr>
        <w:t>总</w:t>
      </w:r>
      <w:r>
        <w:rPr>
          <w:rFonts w:hint="eastAsia" w:ascii="Times New Roman" w:hAnsi="宋体" w:eastAsia="宋体" w:cs="Times New Roman"/>
          <w:color w:val="auto"/>
          <w:szCs w:val="21"/>
          <w:highlight w:val="none"/>
          <w:lang w:val="en-US" w:eastAsia="zh-Hans"/>
        </w:rPr>
        <w:t>价</w:t>
      </w:r>
      <w:r>
        <w:rPr>
          <w:rFonts w:hint="eastAsia" w:ascii="Times New Roman" w:hAnsi="宋体" w:eastAsia="宋体" w:cs="Times New Roman"/>
          <w:color w:val="auto"/>
          <w:szCs w:val="21"/>
          <w:highlight w:val="none"/>
          <w:lang w:eastAsia="zh-Hans"/>
        </w:rPr>
        <w:t>的</w:t>
      </w:r>
      <w:r>
        <w:rPr>
          <w:rFonts w:ascii="Times New Roman" w:hAnsi="宋体" w:eastAsia="宋体" w:cs="Times New Roman"/>
          <w:color w:val="auto"/>
          <w:szCs w:val="21"/>
          <w:highlight w:val="none"/>
          <w:lang w:eastAsia="zh-Hans"/>
        </w:rPr>
        <w:t>20</w:t>
      </w:r>
      <w:r>
        <w:rPr>
          <w:rFonts w:hint="eastAsia" w:ascii="Times New Roman" w:hAnsi="宋体" w:eastAsia="宋体" w:cs="Times New Roman"/>
          <w:color w:val="auto"/>
          <w:szCs w:val="21"/>
          <w:highlight w:val="none"/>
          <w:lang w:eastAsia="zh-Hans"/>
        </w:rPr>
        <w:t>%赔偿。</w:t>
      </w:r>
    </w:p>
    <w:p w14:paraId="5E22234E">
      <w:pPr>
        <w:numPr>
          <w:ilvl w:val="0"/>
          <w:numId w:val="0"/>
        </w:numPr>
        <w:adjustRightInd w:val="0"/>
        <w:snapToGrid w:val="0"/>
        <w:spacing w:line="360" w:lineRule="auto"/>
        <w:ind w:firstLine="371" w:firstLineChars="177"/>
        <w:rPr>
          <w:rFonts w:hint="eastAsia" w:ascii="Times New Roman" w:hAnsi="宋体" w:eastAsia="宋体" w:cs="Times New Roman"/>
          <w:color w:val="auto"/>
          <w:szCs w:val="21"/>
          <w:highlight w:val="none"/>
          <w:lang w:eastAsia="zh-Hans"/>
        </w:rPr>
      </w:pPr>
      <w:r>
        <w:rPr>
          <w:rFonts w:hint="eastAsia" w:ascii="Times New Roman" w:hAnsi="宋体" w:eastAsia="宋体" w:cs="Times New Roman"/>
          <w:color w:val="auto"/>
          <w:szCs w:val="21"/>
          <w:highlight w:val="none"/>
          <w:lang w:val="en-US" w:eastAsia="zh-Hans"/>
        </w:rPr>
        <w:t>5、</w:t>
      </w:r>
      <w:r>
        <w:rPr>
          <w:rFonts w:hint="eastAsia" w:ascii="Times New Roman" w:hAnsi="宋体" w:eastAsia="宋体" w:cs="Times New Roman"/>
          <w:color w:val="auto"/>
          <w:szCs w:val="21"/>
          <w:highlight w:val="none"/>
          <w:lang w:eastAsia="zh-Hans"/>
        </w:rPr>
        <w:t>乙方未按约定</w:t>
      </w:r>
      <w:r>
        <w:rPr>
          <w:rFonts w:hint="eastAsia" w:ascii="Times New Roman" w:hAnsi="宋体" w:eastAsia="宋体" w:cs="Times New Roman"/>
          <w:color w:val="auto"/>
          <w:szCs w:val="21"/>
          <w:highlight w:val="none"/>
          <w:lang w:val="en-US" w:eastAsia="zh-Hans"/>
        </w:rPr>
        <w:t>响应</w:t>
      </w:r>
      <w:r>
        <w:rPr>
          <w:rFonts w:hint="eastAsia" w:ascii="Times New Roman" w:hAnsi="宋体" w:eastAsia="宋体" w:cs="Times New Roman"/>
          <w:color w:val="auto"/>
          <w:szCs w:val="21"/>
          <w:highlight w:val="none"/>
          <w:lang w:eastAsia="zh-Hans"/>
        </w:rPr>
        <w:t>售后服务</w:t>
      </w:r>
      <w:r>
        <w:rPr>
          <w:rFonts w:hint="eastAsia" w:ascii="Times New Roman" w:hAnsi="宋体" w:eastAsia="宋体" w:cs="Times New Roman"/>
          <w:color w:val="auto"/>
          <w:szCs w:val="21"/>
          <w:highlight w:val="none"/>
          <w:lang w:val="en-US" w:eastAsia="zh-Hans"/>
        </w:rPr>
        <w:t>需求（逾期超过6小时）或逾期到达现场（逾期超过24小时）</w:t>
      </w:r>
      <w:r>
        <w:rPr>
          <w:rFonts w:hint="eastAsia" w:ascii="Times New Roman" w:hAnsi="宋体" w:eastAsia="宋体" w:cs="Times New Roman"/>
          <w:color w:val="auto"/>
          <w:szCs w:val="21"/>
          <w:highlight w:val="none"/>
          <w:lang w:eastAsia="zh-Hans"/>
        </w:rPr>
        <w:t>的，每逾期1次，支付该批次货款</w:t>
      </w:r>
      <w:r>
        <w:rPr>
          <w:rFonts w:hint="eastAsia" w:ascii="Times New Roman" w:hAnsi="宋体" w:eastAsia="宋体" w:cs="Times New Roman"/>
          <w:color w:val="auto"/>
          <w:szCs w:val="21"/>
          <w:highlight w:val="none"/>
          <w:lang w:val="en-US" w:eastAsia="zh-Hans"/>
        </w:rPr>
        <w:t>含税总价</w:t>
      </w:r>
      <w:r>
        <w:rPr>
          <w:rFonts w:hint="eastAsia" w:ascii="Times New Roman" w:hAnsi="宋体" w:eastAsia="宋体" w:cs="Times New Roman"/>
          <w:color w:val="auto"/>
          <w:szCs w:val="21"/>
          <w:highlight w:val="none"/>
          <w:lang w:eastAsia="zh-Hans"/>
        </w:rPr>
        <w:t>0.5‰的违约金，</w:t>
      </w:r>
      <w:r>
        <w:rPr>
          <w:rFonts w:hint="eastAsia" w:ascii="Times New Roman" w:hAnsi="宋体" w:eastAsia="宋体" w:cs="Times New Roman"/>
          <w:color w:val="auto"/>
          <w:szCs w:val="21"/>
          <w:highlight w:val="none"/>
          <w:lang w:val="en-US" w:eastAsia="zh-Hans"/>
        </w:rPr>
        <w:t>累计不超过合同暂定总价的</w:t>
      </w:r>
      <w:r>
        <w:rPr>
          <w:rFonts w:hint="eastAsia" w:ascii="Times New Roman" w:hAnsi="宋体" w:eastAsia="宋体" w:cs="Times New Roman"/>
          <w:color w:val="auto"/>
          <w:szCs w:val="21"/>
          <w:highlight w:val="none"/>
          <w:lang w:eastAsia="zh-Hans"/>
        </w:rPr>
        <w:t>5‰</w:t>
      </w:r>
      <w:r>
        <w:rPr>
          <w:rFonts w:hint="eastAsia" w:ascii="Times New Roman" w:hAnsi="宋体" w:eastAsia="宋体" w:cs="Times New Roman"/>
          <w:color w:val="auto"/>
          <w:szCs w:val="21"/>
          <w:highlight w:val="none"/>
          <w:lang w:val="en-US" w:eastAsia="zh-Hans"/>
        </w:rPr>
        <w:t>。因售后延误导致甲方或第三方损失的，乙方承担全部赔偿责任。</w:t>
      </w:r>
    </w:p>
    <w:p w14:paraId="3CD8C3D3">
      <w:pPr>
        <w:numPr>
          <w:ilvl w:val="0"/>
          <w:numId w:val="0"/>
        </w:numPr>
        <w:adjustRightInd w:val="0"/>
        <w:snapToGrid w:val="0"/>
        <w:spacing w:line="360" w:lineRule="auto"/>
        <w:ind w:firstLine="371" w:firstLineChars="177"/>
        <w:rPr>
          <w:rFonts w:ascii="Times New Roman" w:hAnsi="宋体" w:eastAsia="宋体" w:cs="Times New Roman"/>
          <w:color w:val="auto"/>
          <w:szCs w:val="21"/>
          <w:highlight w:val="none"/>
          <w:lang w:eastAsia="zh-Hans"/>
        </w:rPr>
      </w:pPr>
      <w:r>
        <w:rPr>
          <w:rFonts w:hint="eastAsia" w:ascii="Times New Roman" w:hAnsi="宋体" w:eastAsia="宋体" w:cs="Times New Roman"/>
          <w:color w:val="auto"/>
          <w:szCs w:val="21"/>
          <w:highlight w:val="none"/>
          <w:lang w:val="en-US" w:eastAsia="zh-Hans"/>
        </w:rPr>
        <w:t>6、</w:t>
      </w:r>
      <w:r>
        <w:rPr>
          <w:rFonts w:hint="eastAsia" w:ascii="Times New Roman" w:hAnsi="宋体" w:eastAsia="宋体" w:cs="Times New Roman"/>
          <w:color w:val="auto"/>
          <w:szCs w:val="21"/>
          <w:highlight w:val="none"/>
          <w:lang w:eastAsia="zh-Hans"/>
        </w:rPr>
        <w:t>在本合同履行期限内</w:t>
      </w:r>
      <w:r>
        <w:rPr>
          <w:rFonts w:ascii="Times New Roman" w:hAnsi="宋体" w:eastAsia="宋体" w:cs="Times New Roman"/>
          <w:color w:val="auto"/>
          <w:szCs w:val="21"/>
          <w:highlight w:val="none"/>
          <w:lang w:eastAsia="zh-Hans"/>
        </w:rPr>
        <w:t>，</w:t>
      </w:r>
      <w:r>
        <w:rPr>
          <w:rFonts w:hint="eastAsia" w:ascii="Times New Roman" w:hAnsi="宋体" w:eastAsia="宋体" w:cs="Times New Roman"/>
          <w:color w:val="auto"/>
          <w:szCs w:val="21"/>
          <w:highlight w:val="none"/>
          <w:lang w:eastAsia="zh-Hans"/>
        </w:rPr>
        <w:t>乙方</w:t>
      </w:r>
      <w:r>
        <w:rPr>
          <w:rFonts w:hint="eastAsia" w:ascii="Times New Roman" w:hAnsi="宋体" w:eastAsia="宋体" w:cs="Times New Roman"/>
          <w:color w:val="auto"/>
          <w:szCs w:val="21"/>
          <w:highlight w:val="none"/>
          <w:lang w:val="en-US" w:eastAsia="zh-Hans"/>
        </w:rPr>
        <w:t>擅自</w:t>
      </w:r>
      <w:r>
        <w:rPr>
          <w:rFonts w:hint="eastAsia" w:ascii="Times New Roman" w:hAnsi="宋体" w:eastAsia="宋体" w:cs="Times New Roman"/>
          <w:color w:val="auto"/>
          <w:szCs w:val="21"/>
          <w:highlight w:val="none"/>
          <w:lang w:eastAsia="zh-Hans"/>
        </w:rPr>
        <w:t>将本合同约定项下的全部项目</w:t>
      </w:r>
      <w:r>
        <w:rPr>
          <w:rFonts w:hint="eastAsia" w:ascii="Times New Roman" w:hAnsi="宋体" w:eastAsia="宋体" w:cs="Times New Roman"/>
          <w:color w:val="auto"/>
          <w:szCs w:val="21"/>
          <w:highlight w:val="none"/>
          <w:lang w:val="en-US" w:eastAsia="zh-Hans"/>
        </w:rPr>
        <w:t>转包</w:t>
      </w:r>
      <w:r>
        <w:rPr>
          <w:rFonts w:hint="eastAsia" w:ascii="Times New Roman" w:hAnsi="宋体" w:eastAsia="宋体" w:cs="Times New Roman"/>
          <w:color w:val="auto"/>
          <w:szCs w:val="21"/>
          <w:highlight w:val="none"/>
          <w:lang w:eastAsia="zh-Hans"/>
        </w:rPr>
        <w:t>或部分项目</w:t>
      </w:r>
      <w:r>
        <w:rPr>
          <w:rFonts w:hint="eastAsia" w:ascii="Times New Roman" w:hAnsi="宋体" w:eastAsia="宋体" w:cs="Times New Roman"/>
          <w:color w:val="auto"/>
          <w:szCs w:val="21"/>
          <w:highlight w:val="none"/>
          <w:lang w:val="en-US" w:eastAsia="zh-Hans"/>
        </w:rPr>
        <w:t>分</w:t>
      </w:r>
      <w:r>
        <w:rPr>
          <w:rFonts w:hint="eastAsia" w:ascii="Times New Roman" w:hAnsi="宋体" w:eastAsia="宋体" w:cs="Times New Roman"/>
          <w:color w:val="auto"/>
          <w:szCs w:val="21"/>
          <w:highlight w:val="none"/>
          <w:lang w:eastAsia="zh-Hans"/>
        </w:rPr>
        <w:t>包给第三方的</w:t>
      </w:r>
      <w:r>
        <w:rPr>
          <w:rFonts w:ascii="Times New Roman" w:hAnsi="宋体" w:eastAsia="宋体" w:cs="Times New Roman"/>
          <w:color w:val="auto"/>
          <w:szCs w:val="21"/>
          <w:highlight w:val="none"/>
          <w:lang w:eastAsia="zh-Hans"/>
        </w:rPr>
        <w:t>，</w:t>
      </w:r>
      <w:r>
        <w:rPr>
          <w:rFonts w:hint="eastAsia" w:ascii="Times New Roman" w:hAnsi="宋体" w:eastAsia="宋体" w:cs="Times New Roman"/>
          <w:color w:val="auto"/>
          <w:szCs w:val="21"/>
          <w:highlight w:val="none"/>
          <w:lang w:eastAsia="zh-Hans"/>
        </w:rPr>
        <w:t>甲方有权单方解除合同</w:t>
      </w:r>
      <w:r>
        <w:rPr>
          <w:rFonts w:hint="eastAsia" w:ascii="Times New Roman" w:hAnsi="宋体" w:eastAsia="宋体" w:cs="Times New Roman"/>
          <w:color w:val="auto"/>
          <w:szCs w:val="21"/>
          <w:highlight w:val="none"/>
          <w:lang w:val="en-US" w:eastAsia="zh-Hans"/>
        </w:rPr>
        <w:t>并</w:t>
      </w:r>
      <w:r>
        <w:rPr>
          <w:rFonts w:hint="eastAsia" w:ascii="Times New Roman" w:hAnsi="宋体" w:eastAsia="宋体" w:cs="Times New Roman"/>
          <w:color w:val="auto"/>
          <w:szCs w:val="21"/>
          <w:highlight w:val="none"/>
          <w:lang w:eastAsia="zh-Hans"/>
        </w:rPr>
        <w:t>要求乙方</w:t>
      </w:r>
      <w:r>
        <w:rPr>
          <w:rFonts w:hint="eastAsia" w:ascii="Times New Roman" w:hAnsi="宋体" w:eastAsia="宋体" w:cs="Times New Roman"/>
          <w:color w:val="auto"/>
          <w:szCs w:val="21"/>
          <w:highlight w:val="none"/>
          <w:lang w:val="en-US" w:eastAsia="zh-Hans"/>
        </w:rPr>
        <w:t>支付</w:t>
      </w:r>
      <w:r>
        <w:rPr>
          <w:rFonts w:hint="eastAsia" w:ascii="Times New Roman" w:hAnsi="宋体" w:eastAsia="宋体" w:cs="Times New Roman"/>
          <w:color w:val="auto"/>
          <w:szCs w:val="21"/>
          <w:highlight w:val="none"/>
          <w:lang w:eastAsia="zh-Hans"/>
        </w:rPr>
        <w:t>合同暂定总价（含销项税额）</w:t>
      </w:r>
      <w:r>
        <w:rPr>
          <w:rFonts w:ascii="Times New Roman" w:hAnsi="宋体" w:eastAsia="宋体" w:cs="Times New Roman"/>
          <w:color w:val="auto"/>
          <w:szCs w:val="21"/>
          <w:highlight w:val="none"/>
          <w:lang w:eastAsia="zh-Hans"/>
        </w:rPr>
        <w:t>20%</w:t>
      </w:r>
      <w:r>
        <w:rPr>
          <w:rFonts w:hint="eastAsia" w:ascii="Times New Roman" w:hAnsi="宋体" w:eastAsia="宋体" w:cs="Times New Roman"/>
          <w:color w:val="auto"/>
          <w:szCs w:val="21"/>
          <w:highlight w:val="none"/>
          <w:lang w:eastAsia="zh-Hans"/>
        </w:rPr>
        <w:t>的</w:t>
      </w:r>
      <w:r>
        <w:rPr>
          <w:rFonts w:hint="eastAsia" w:ascii="Times New Roman" w:hAnsi="宋体" w:eastAsia="宋体" w:cs="Times New Roman"/>
          <w:color w:val="auto"/>
          <w:szCs w:val="21"/>
          <w:highlight w:val="none"/>
          <w:lang w:val="en-US" w:eastAsia="zh-Hans"/>
        </w:rPr>
        <w:t>违约金，退还全部已支付货款</w:t>
      </w:r>
      <w:r>
        <w:rPr>
          <w:rFonts w:ascii="Times New Roman" w:hAnsi="宋体" w:eastAsia="宋体" w:cs="Times New Roman"/>
          <w:color w:val="auto"/>
          <w:szCs w:val="21"/>
          <w:highlight w:val="none"/>
          <w:lang w:eastAsia="zh-Hans"/>
        </w:rPr>
        <w:t>。</w:t>
      </w:r>
    </w:p>
    <w:p w14:paraId="2E2631BB">
      <w:pPr>
        <w:numPr>
          <w:ilvl w:val="0"/>
          <w:numId w:val="0"/>
        </w:numPr>
        <w:adjustRightInd w:val="0"/>
        <w:snapToGrid w:val="0"/>
        <w:spacing w:line="360" w:lineRule="auto"/>
        <w:ind w:firstLine="371" w:firstLineChars="177"/>
        <w:rPr>
          <w:rFonts w:hint="eastAsia" w:ascii="Times New Roman" w:hAnsi="宋体" w:eastAsia="宋体" w:cs="Times New Roman"/>
          <w:color w:val="auto"/>
          <w:szCs w:val="21"/>
          <w:highlight w:val="none"/>
          <w:lang w:eastAsia="zh-Hans"/>
        </w:rPr>
      </w:pPr>
      <w:r>
        <w:rPr>
          <w:rFonts w:hint="eastAsia" w:ascii="Times New Roman" w:hAnsi="宋体" w:eastAsia="宋体" w:cs="Times New Roman"/>
          <w:color w:val="auto"/>
          <w:szCs w:val="21"/>
          <w:highlight w:val="none"/>
          <w:lang w:val="en-US" w:eastAsia="zh-Hans"/>
        </w:rPr>
        <w:t>7、</w:t>
      </w:r>
      <w:r>
        <w:rPr>
          <w:rFonts w:hint="default" w:ascii="Times New Roman" w:hAnsi="宋体" w:eastAsia="宋体" w:cs="Times New Roman"/>
          <w:color w:val="auto"/>
          <w:szCs w:val="21"/>
          <w:highlight w:val="none"/>
          <w:lang w:eastAsia="zh-Hans"/>
        </w:rPr>
        <w:t>乙方提供的货物侵犯第三方知识产权的，</w:t>
      </w:r>
      <w:r>
        <w:rPr>
          <w:rFonts w:hint="eastAsia" w:ascii="Times New Roman" w:hAnsi="宋体" w:eastAsia="宋体" w:cs="Times New Roman"/>
          <w:color w:val="auto"/>
          <w:szCs w:val="21"/>
          <w:highlight w:val="none"/>
          <w:lang w:val="en-US" w:eastAsia="zh-Hans"/>
        </w:rPr>
        <w:t>除</w:t>
      </w:r>
      <w:r>
        <w:rPr>
          <w:rFonts w:hint="default" w:ascii="Times New Roman" w:hAnsi="宋体" w:eastAsia="宋体" w:cs="Times New Roman"/>
          <w:color w:val="auto"/>
          <w:szCs w:val="21"/>
          <w:highlight w:val="none"/>
          <w:lang w:eastAsia="zh-Hans"/>
        </w:rPr>
        <w:t>按本合同</w:t>
      </w:r>
      <w:r>
        <w:rPr>
          <w:rFonts w:hint="eastAsia" w:ascii="Times New Roman" w:hAnsi="宋体" w:eastAsia="宋体" w:cs="Times New Roman"/>
          <w:color w:val="auto"/>
          <w:szCs w:val="21"/>
          <w:highlight w:val="none"/>
          <w:lang w:eastAsia="zh-Hans"/>
        </w:rPr>
        <w:t>“</w:t>
      </w:r>
      <w:r>
        <w:rPr>
          <w:rFonts w:hint="eastAsia" w:ascii="Times New Roman" w:hAnsi="宋体" w:eastAsia="宋体" w:cs="Times New Roman"/>
          <w:color w:val="auto"/>
          <w:szCs w:val="21"/>
          <w:highlight w:val="none"/>
          <w:lang w:val="en-US" w:eastAsia="zh-Hans"/>
        </w:rPr>
        <w:t>权利保证</w:t>
      </w:r>
      <w:r>
        <w:rPr>
          <w:rFonts w:hint="eastAsia" w:ascii="Times New Roman" w:hAnsi="宋体" w:eastAsia="宋体" w:cs="Times New Roman"/>
          <w:color w:val="auto"/>
          <w:szCs w:val="21"/>
          <w:highlight w:val="none"/>
          <w:lang w:eastAsia="zh-Hans"/>
        </w:rPr>
        <w:t>”</w:t>
      </w:r>
      <w:r>
        <w:rPr>
          <w:rFonts w:hint="eastAsia" w:ascii="Times New Roman" w:hAnsi="宋体" w:eastAsia="宋体" w:cs="Times New Roman"/>
          <w:color w:val="auto"/>
          <w:szCs w:val="21"/>
          <w:highlight w:val="none"/>
          <w:lang w:val="en-US" w:eastAsia="zh-Hans"/>
        </w:rPr>
        <w:t>条款约定</w:t>
      </w:r>
      <w:r>
        <w:rPr>
          <w:rFonts w:hint="default" w:ascii="Times New Roman" w:hAnsi="宋体" w:eastAsia="宋体" w:cs="Times New Roman"/>
          <w:color w:val="auto"/>
          <w:szCs w:val="21"/>
          <w:highlight w:val="none"/>
          <w:lang w:eastAsia="zh-Hans"/>
        </w:rPr>
        <w:t>承担责任</w:t>
      </w:r>
      <w:r>
        <w:rPr>
          <w:rFonts w:hint="eastAsia" w:ascii="Times New Roman" w:hAnsi="宋体" w:eastAsia="宋体" w:cs="Times New Roman"/>
          <w:color w:val="auto"/>
          <w:szCs w:val="21"/>
          <w:highlight w:val="none"/>
          <w:lang w:val="en-US" w:eastAsia="zh-Hans"/>
        </w:rPr>
        <w:t>外</w:t>
      </w:r>
      <w:r>
        <w:rPr>
          <w:rFonts w:hint="default" w:ascii="Times New Roman" w:hAnsi="宋体" w:eastAsia="宋体" w:cs="Times New Roman"/>
          <w:color w:val="auto"/>
          <w:szCs w:val="21"/>
          <w:highlight w:val="none"/>
          <w:lang w:eastAsia="zh-Hans"/>
        </w:rPr>
        <w:t>，</w:t>
      </w:r>
      <w:r>
        <w:rPr>
          <w:rFonts w:hint="eastAsia" w:ascii="Times New Roman" w:hAnsi="宋体" w:eastAsia="宋体" w:cs="Times New Roman"/>
          <w:color w:val="auto"/>
          <w:szCs w:val="21"/>
          <w:highlight w:val="none"/>
          <w:lang w:val="en-US" w:eastAsia="zh-Hans"/>
        </w:rPr>
        <w:t>还应向甲方</w:t>
      </w:r>
      <w:r>
        <w:rPr>
          <w:rFonts w:hint="default" w:ascii="Times New Roman" w:hAnsi="宋体" w:eastAsia="宋体" w:cs="Times New Roman"/>
          <w:color w:val="auto"/>
          <w:szCs w:val="21"/>
          <w:highlight w:val="none"/>
          <w:lang w:eastAsia="zh-Hans"/>
        </w:rPr>
        <w:t>支付</w:t>
      </w:r>
      <w:r>
        <w:rPr>
          <w:rFonts w:hint="eastAsia" w:ascii="Times New Roman" w:hAnsi="宋体" w:eastAsia="宋体" w:cs="Times New Roman"/>
          <w:color w:val="auto"/>
          <w:szCs w:val="21"/>
          <w:highlight w:val="none"/>
          <w:lang w:val="en-US" w:eastAsia="zh-Hans"/>
        </w:rPr>
        <w:t>相当于</w:t>
      </w:r>
      <w:r>
        <w:rPr>
          <w:rFonts w:hint="default" w:ascii="Times New Roman" w:hAnsi="宋体" w:eastAsia="宋体" w:cs="Times New Roman"/>
          <w:color w:val="auto"/>
          <w:szCs w:val="21"/>
          <w:highlight w:val="none"/>
          <w:lang w:eastAsia="zh-Hans"/>
        </w:rPr>
        <w:t>合同暂定总价</w:t>
      </w:r>
      <w:r>
        <w:rPr>
          <w:rFonts w:hint="eastAsia" w:ascii="Times New Roman" w:hAnsi="宋体" w:eastAsia="宋体" w:cs="Times New Roman"/>
          <w:color w:val="auto"/>
          <w:szCs w:val="21"/>
          <w:highlight w:val="none"/>
          <w:lang w:eastAsia="zh-Hans"/>
        </w:rPr>
        <w:t>（含销项税额）</w:t>
      </w:r>
      <w:r>
        <w:rPr>
          <w:rFonts w:hint="default" w:ascii="Times New Roman" w:hAnsi="宋体" w:eastAsia="宋体" w:cs="Times New Roman"/>
          <w:color w:val="auto"/>
          <w:szCs w:val="21"/>
          <w:highlight w:val="none"/>
          <w:lang w:eastAsia="zh-Hans"/>
        </w:rPr>
        <w:t>10%的违约金，</w:t>
      </w:r>
      <w:r>
        <w:rPr>
          <w:rFonts w:hint="eastAsia" w:ascii="Times New Roman" w:hAnsi="宋体" w:eastAsia="宋体" w:cs="Times New Roman"/>
          <w:color w:val="auto"/>
          <w:szCs w:val="21"/>
          <w:highlight w:val="none"/>
          <w:lang w:val="en-US" w:eastAsia="zh-Hans"/>
        </w:rPr>
        <w:t>同时，</w:t>
      </w:r>
      <w:r>
        <w:rPr>
          <w:rFonts w:hint="default" w:ascii="Times New Roman" w:hAnsi="宋体" w:eastAsia="宋体" w:cs="Times New Roman"/>
          <w:color w:val="auto"/>
          <w:szCs w:val="21"/>
          <w:highlight w:val="none"/>
          <w:lang w:eastAsia="zh-Hans"/>
        </w:rPr>
        <w:t>甲方有权解除本合同并要求乙方退还全部已支付货款</w:t>
      </w:r>
      <w:r>
        <w:rPr>
          <w:rFonts w:hint="eastAsia" w:ascii="Times New Roman" w:hAnsi="宋体" w:eastAsia="宋体" w:cs="Times New Roman"/>
          <w:color w:val="auto"/>
          <w:szCs w:val="21"/>
          <w:highlight w:val="none"/>
          <w:lang w:eastAsia="zh-Hans"/>
        </w:rPr>
        <w:t>。</w:t>
      </w:r>
    </w:p>
    <w:p w14:paraId="7817AF69">
      <w:pPr>
        <w:numPr>
          <w:ilvl w:val="0"/>
          <w:numId w:val="0"/>
        </w:numPr>
        <w:adjustRightInd w:val="0"/>
        <w:snapToGrid w:val="0"/>
        <w:spacing w:line="360" w:lineRule="auto"/>
        <w:ind w:firstLine="371" w:firstLineChars="177"/>
        <w:rPr>
          <w:rFonts w:hint="eastAsia" w:ascii="Times New Roman" w:hAnsi="宋体" w:eastAsia="宋体" w:cs="Times New Roman"/>
          <w:color w:val="auto"/>
          <w:szCs w:val="21"/>
          <w:highlight w:val="none"/>
          <w:lang w:val="en-US" w:eastAsia="zh-Hans"/>
        </w:rPr>
      </w:pPr>
      <w:r>
        <w:rPr>
          <w:rFonts w:hint="eastAsia" w:ascii="Times New Roman" w:hAnsi="宋体" w:eastAsia="宋体" w:cs="Times New Roman"/>
          <w:color w:val="auto"/>
          <w:szCs w:val="21"/>
          <w:highlight w:val="none"/>
          <w:lang w:val="en-US" w:eastAsia="zh-Hans"/>
        </w:rPr>
        <w:t>8、乙方未按本合同要求退还已付货款的，应按应退货款金额的万分之五按日支付逾期退款违约金。</w:t>
      </w:r>
    </w:p>
    <w:p w14:paraId="61F523EF">
      <w:pPr>
        <w:numPr>
          <w:ilvl w:val="0"/>
          <w:numId w:val="0"/>
        </w:numPr>
        <w:adjustRightInd w:val="0"/>
        <w:snapToGrid w:val="0"/>
        <w:spacing w:line="360" w:lineRule="auto"/>
        <w:ind w:firstLine="371" w:firstLineChars="177"/>
        <w:rPr>
          <w:rFonts w:hint="eastAsia" w:ascii="Times New Roman" w:hAnsi="宋体" w:eastAsia="宋体" w:cs="Times New Roman"/>
          <w:color w:val="auto"/>
          <w:szCs w:val="21"/>
          <w:highlight w:val="none"/>
          <w:lang w:val="en-US" w:eastAsia="zh-CN"/>
        </w:rPr>
      </w:pPr>
      <w:r>
        <w:rPr>
          <w:rFonts w:hint="default" w:ascii="Times New Roman" w:hAnsi="宋体" w:eastAsia="宋体" w:cs="Times New Roman"/>
          <w:color w:val="auto"/>
          <w:szCs w:val="21"/>
          <w:highlight w:val="none"/>
          <w:lang w:val="en-US" w:eastAsia="zh-Hans"/>
        </w:rPr>
        <w:t>9</w:t>
      </w:r>
      <w:r>
        <w:rPr>
          <w:rFonts w:hint="eastAsia" w:ascii="Times New Roman" w:hAnsi="宋体" w:eastAsia="宋体" w:cs="Times New Roman"/>
          <w:color w:val="auto"/>
          <w:szCs w:val="21"/>
          <w:highlight w:val="none"/>
          <w:lang w:val="en-US" w:eastAsia="zh-Hans"/>
        </w:rPr>
        <w:t>、</w:t>
      </w:r>
      <w:r>
        <w:rPr>
          <w:rFonts w:hint="eastAsia" w:ascii="Times New Roman" w:hAnsi="宋体" w:eastAsia="宋体" w:cs="Times New Roman"/>
          <w:b w:val="0"/>
          <w:bCs w:val="0"/>
          <w:color w:val="auto"/>
          <w:sz w:val="21"/>
          <w:szCs w:val="21"/>
          <w:highlight w:val="none"/>
          <w:lang w:val="en-US" w:eastAsia="zh-CN"/>
        </w:rPr>
        <w:t>乙方应当严格按照本合同约定履行供货和质保义务，除出现法律规定或本合同约定的情形外，乙方不得擅自中止履行或任意解除合同，如有违反，乙方应按照</w:t>
      </w:r>
      <w:r>
        <w:rPr>
          <w:rFonts w:hint="eastAsia" w:ascii="Times New Roman" w:hAnsi="宋体" w:eastAsia="宋体" w:cs="Times New Roman"/>
          <w:color w:val="auto"/>
          <w:szCs w:val="21"/>
          <w:highlight w:val="none"/>
          <w:lang w:val="en-US" w:eastAsia="zh-CN"/>
        </w:rPr>
        <w:t>合同</w:t>
      </w:r>
      <w:r>
        <w:rPr>
          <w:rFonts w:hint="eastAsia" w:ascii="Times New Roman" w:hAnsi="宋体" w:eastAsia="宋体" w:cs="Times New Roman"/>
          <w:color w:val="auto"/>
          <w:szCs w:val="21"/>
          <w:highlight w:val="none"/>
        </w:rPr>
        <w:t>暂定总价的</w:t>
      </w:r>
      <w:r>
        <w:rPr>
          <w:rFonts w:hint="eastAsia" w:ascii="Times New Roman" w:hAnsi="宋体" w:eastAsia="宋体" w:cs="Times New Roman"/>
          <w:color w:val="auto"/>
          <w:szCs w:val="21"/>
          <w:highlight w:val="none"/>
          <w:lang w:val="en-US" w:eastAsia="zh-CN"/>
        </w:rPr>
        <w:t>20</w:t>
      </w:r>
      <w:r>
        <w:rPr>
          <w:rFonts w:hint="eastAsia" w:ascii="Times New Roman" w:hAnsi="宋体" w:eastAsia="宋体" w:cs="Times New Roman"/>
          <w:color w:val="auto"/>
          <w:szCs w:val="21"/>
          <w:highlight w:val="none"/>
        </w:rPr>
        <w:t>%</w:t>
      </w:r>
      <w:r>
        <w:rPr>
          <w:rFonts w:hint="eastAsia" w:ascii="Times New Roman" w:hAnsi="宋体" w:eastAsia="宋体" w:cs="Times New Roman"/>
          <w:color w:val="auto"/>
          <w:szCs w:val="21"/>
          <w:highlight w:val="none"/>
          <w:lang w:val="en-US" w:eastAsia="zh-CN"/>
        </w:rPr>
        <w:t>向甲方</w:t>
      </w:r>
      <w:r>
        <w:rPr>
          <w:rFonts w:hint="eastAsia" w:ascii="Times New Roman" w:hAnsi="宋体" w:eastAsia="宋体" w:cs="Times New Roman"/>
          <w:color w:val="auto"/>
          <w:szCs w:val="21"/>
          <w:highlight w:val="none"/>
        </w:rPr>
        <w:t>支付违约金</w:t>
      </w:r>
      <w:r>
        <w:rPr>
          <w:rFonts w:hint="eastAsia" w:ascii="Times New Roman" w:hAnsi="宋体" w:eastAsia="宋体" w:cs="Times New Roman"/>
          <w:color w:val="auto"/>
          <w:szCs w:val="21"/>
          <w:highlight w:val="none"/>
          <w:lang w:eastAsia="zh-CN"/>
        </w:rPr>
        <w:t>。</w:t>
      </w:r>
      <w:r>
        <w:rPr>
          <w:rFonts w:hint="eastAsia" w:ascii="Times New Roman" w:hAnsi="宋体" w:eastAsia="宋体" w:cs="Times New Roman"/>
          <w:color w:val="auto"/>
          <w:szCs w:val="21"/>
          <w:highlight w:val="none"/>
          <w:lang w:val="en-US" w:eastAsia="zh-CN"/>
        </w:rPr>
        <w:t>如违约金不足以弥补由此给甲方造成的实际损失的，不足部分乙方还应继续承担。</w:t>
      </w:r>
    </w:p>
    <w:p w14:paraId="71B40C20">
      <w:pPr>
        <w:numPr>
          <w:ilvl w:val="0"/>
          <w:numId w:val="0"/>
        </w:numPr>
        <w:adjustRightInd w:val="0"/>
        <w:snapToGrid w:val="0"/>
        <w:spacing w:line="360" w:lineRule="auto"/>
        <w:ind w:firstLine="371" w:firstLineChars="177"/>
        <w:rPr>
          <w:rFonts w:hint="default" w:ascii="Times New Roman" w:hAnsi="宋体" w:eastAsia="宋体" w:cs="Times New Roman"/>
          <w:color w:val="auto"/>
          <w:szCs w:val="21"/>
          <w:highlight w:val="none"/>
          <w:lang w:val="en-US" w:eastAsia="zh-Hans"/>
        </w:rPr>
      </w:pPr>
      <w:r>
        <w:rPr>
          <w:rFonts w:hint="eastAsia" w:ascii="Times New Roman" w:hAnsi="宋体" w:eastAsia="宋体" w:cs="Times New Roman"/>
          <w:color w:val="auto"/>
          <w:szCs w:val="21"/>
          <w:highlight w:val="none"/>
          <w:lang w:val="en-US" w:eastAsia="zh-CN"/>
        </w:rPr>
        <w:t>1</w:t>
      </w:r>
      <w:r>
        <w:rPr>
          <w:rFonts w:hint="default" w:ascii="Times New Roman" w:hAnsi="宋体" w:eastAsia="宋体" w:cs="Times New Roman"/>
          <w:color w:val="auto"/>
          <w:szCs w:val="21"/>
          <w:highlight w:val="none"/>
          <w:lang w:val="en-US" w:eastAsia="zh-CN"/>
        </w:rPr>
        <w:t>0</w:t>
      </w:r>
      <w:r>
        <w:rPr>
          <w:rFonts w:hint="eastAsia" w:ascii="Times New Roman" w:hAnsi="宋体" w:eastAsia="宋体" w:cs="Times New Roman"/>
          <w:color w:val="auto"/>
          <w:szCs w:val="21"/>
          <w:highlight w:val="none"/>
          <w:lang w:val="en-US" w:eastAsia="zh-CN"/>
        </w:rPr>
        <w:t>、</w:t>
      </w:r>
      <w:r>
        <w:rPr>
          <w:rFonts w:hint="eastAsia" w:ascii="Times New Roman" w:hAnsi="宋体" w:eastAsia="宋体" w:cs="Times New Roman"/>
          <w:color w:val="auto"/>
          <w:szCs w:val="21"/>
          <w:highlight w:val="none"/>
          <w:lang w:val="en-US" w:eastAsia="zh-Hans"/>
        </w:rPr>
        <w:t>因乙方违约导致甲方解除合同，甲方重新招标产生的损失（如重新招标的费用、新中标价与原中标价的差价等）由乙方承担。</w:t>
      </w:r>
    </w:p>
    <w:p w14:paraId="10F37763">
      <w:pPr>
        <w:numPr>
          <w:ilvl w:val="0"/>
          <w:numId w:val="0"/>
        </w:numPr>
        <w:adjustRightInd w:val="0"/>
        <w:snapToGrid w:val="0"/>
        <w:spacing w:line="360" w:lineRule="auto"/>
        <w:ind w:firstLine="371" w:firstLineChars="177"/>
        <w:rPr>
          <w:rFonts w:hint="default" w:ascii="Times New Roman" w:hAnsi="宋体" w:eastAsia="宋体" w:cs="Times New Roman"/>
          <w:color w:val="auto"/>
          <w:szCs w:val="21"/>
          <w:highlight w:val="none"/>
          <w:lang w:val="en-US" w:eastAsia="zh-CN"/>
        </w:rPr>
      </w:pPr>
      <w:r>
        <w:rPr>
          <w:rFonts w:hint="eastAsia" w:ascii="Times New Roman" w:hAnsi="宋体" w:eastAsia="宋体" w:cs="Times New Roman"/>
          <w:color w:val="auto"/>
          <w:szCs w:val="21"/>
          <w:highlight w:val="none"/>
          <w:lang w:val="en-US" w:eastAsia="zh-CN"/>
        </w:rPr>
        <w:t>11、如出现本合同约定退货退款情形，如水表已安装，拆除的费用由乙方承担，甲方在收到相应退还货物的货款及拆除费用后再将货物退还给乙方，乙方应在收到甲方通知后15个工作日自行运回货物。乙方逾期不处理，每逾期1日，应按照该退回货物含税总价5‰向甲方支付违约金，违约金累计不超过需退回货物含税总价的15%，逾期30日，乙方除按照上述约定支付违约金外，甲方还有权处置该批次货物，由此产生的后果由乙方自行承担。</w:t>
      </w:r>
    </w:p>
    <w:p w14:paraId="3047401E">
      <w:pPr>
        <w:numPr>
          <w:ilvl w:val="0"/>
          <w:numId w:val="0"/>
        </w:numPr>
        <w:adjustRightInd w:val="0"/>
        <w:snapToGrid w:val="0"/>
        <w:spacing w:line="360" w:lineRule="auto"/>
        <w:ind w:firstLine="371" w:firstLineChars="177"/>
        <w:rPr>
          <w:rFonts w:hint="eastAsia" w:ascii="宋体" w:hAnsi="宋体" w:eastAsia="宋体" w:cs="宋体"/>
          <w:color w:val="auto"/>
          <w:kern w:val="0"/>
          <w:sz w:val="21"/>
          <w:szCs w:val="21"/>
          <w:highlight w:val="none"/>
          <w:lang w:eastAsia="zh-Hans"/>
        </w:rPr>
      </w:pPr>
      <w:r>
        <w:rPr>
          <w:rFonts w:hint="eastAsia" w:ascii="Times New Roman" w:hAnsi="宋体" w:eastAsia="宋体" w:cs="Times New Roman"/>
          <w:color w:val="auto"/>
          <w:szCs w:val="21"/>
          <w:highlight w:val="none"/>
          <w:lang w:val="en-US" w:eastAsia="zh-Hans"/>
        </w:rPr>
        <w:t>1</w:t>
      </w:r>
      <w:r>
        <w:rPr>
          <w:rFonts w:hint="eastAsia" w:ascii="Times New Roman" w:hAnsi="宋体" w:eastAsia="宋体" w:cs="Times New Roman"/>
          <w:color w:val="auto"/>
          <w:szCs w:val="21"/>
          <w:highlight w:val="none"/>
          <w:lang w:val="en-US" w:eastAsia="zh-CN"/>
        </w:rPr>
        <w:t>2</w:t>
      </w:r>
      <w:r>
        <w:rPr>
          <w:rFonts w:hint="eastAsia" w:ascii="Times New Roman" w:hAnsi="宋体" w:eastAsia="宋体" w:cs="Times New Roman"/>
          <w:color w:val="auto"/>
          <w:szCs w:val="21"/>
          <w:highlight w:val="none"/>
          <w:lang w:val="en-US" w:eastAsia="zh-Hans"/>
        </w:rPr>
        <w:t>、</w:t>
      </w:r>
      <w:r>
        <w:rPr>
          <w:rFonts w:hint="eastAsia" w:ascii="Times New Roman" w:hAnsi="宋体" w:eastAsia="宋体" w:cs="Times New Roman"/>
          <w:color w:val="auto"/>
          <w:szCs w:val="21"/>
          <w:highlight w:val="none"/>
          <w:lang w:eastAsia="zh-Hans"/>
        </w:rPr>
        <w:t>因乙方违反本合同约定导致甲方权益受损的</w:t>
      </w:r>
      <w:r>
        <w:rPr>
          <w:rFonts w:ascii="Times New Roman" w:hAnsi="宋体" w:eastAsia="宋体" w:cs="Times New Roman"/>
          <w:color w:val="auto"/>
          <w:szCs w:val="21"/>
          <w:highlight w:val="none"/>
          <w:lang w:eastAsia="zh-Hans"/>
        </w:rPr>
        <w:t>，</w:t>
      </w:r>
      <w:r>
        <w:rPr>
          <w:rFonts w:hint="eastAsia" w:ascii="Times New Roman" w:hAnsi="宋体" w:eastAsia="宋体" w:cs="Times New Roman"/>
          <w:color w:val="auto"/>
          <w:szCs w:val="21"/>
          <w:highlight w:val="none"/>
          <w:lang w:eastAsia="zh-Hans"/>
        </w:rPr>
        <w:t>甲方为维护自身权益所支付的所有费用均由乙方承担</w:t>
      </w:r>
      <w:r>
        <w:rPr>
          <w:rFonts w:ascii="Times New Roman" w:hAnsi="宋体" w:eastAsia="宋体" w:cs="Times New Roman"/>
          <w:color w:val="auto"/>
          <w:szCs w:val="21"/>
          <w:highlight w:val="none"/>
          <w:lang w:eastAsia="zh-Hans"/>
        </w:rPr>
        <w:t>，</w:t>
      </w:r>
      <w:r>
        <w:rPr>
          <w:rFonts w:hint="eastAsia" w:ascii="Times New Roman" w:hAnsi="宋体" w:eastAsia="宋体" w:cs="Times New Roman"/>
          <w:color w:val="auto"/>
          <w:szCs w:val="21"/>
          <w:highlight w:val="none"/>
          <w:lang w:eastAsia="zh-Hans"/>
        </w:rPr>
        <w:t>包括但不限于甲方为此支付的诉讼费、律师费、鉴定费、公证费、交通住宿费、财产保全责任保险费、调查取证费等全部费用</w:t>
      </w:r>
      <w:r>
        <w:rPr>
          <w:rFonts w:ascii="Times New Roman" w:hAnsi="宋体" w:eastAsia="宋体" w:cs="Times New Roman"/>
          <w:color w:val="auto"/>
          <w:szCs w:val="21"/>
          <w:highlight w:val="none"/>
          <w:lang w:eastAsia="zh-Hans"/>
        </w:rPr>
        <w:t>。</w:t>
      </w:r>
    </w:p>
    <w:p w14:paraId="2D648FEF">
      <w:pPr>
        <w:adjustRightInd w:val="0"/>
        <w:snapToGrid w:val="0"/>
        <w:spacing w:line="360" w:lineRule="auto"/>
        <w:ind w:firstLine="373" w:firstLineChars="177"/>
        <w:rPr>
          <w:rFonts w:ascii="宋体" w:hAnsi="宋体" w:eastAsia="宋体" w:cs="Times New Roman"/>
          <w:b/>
          <w:color w:val="auto"/>
          <w:szCs w:val="21"/>
          <w:highlight w:val="none"/>
        </w:rPr>
      </w:pPr>
    </w:p>
    <w:p w14:paraId="4250C550">
      <w:pPr>
        <w:adjustRightInd w:val="0"/>
        <w:snapToGrid w:val="0"/>
        <w:spacing w:line="360" w:lineRule="auto"/>
        <w:ind w:firstLine="373" w:firstLineChars="177"/>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第十</w:t>
      </w:r>
      <w:r>
        <w:rPr>
          <w:rFonts w:hint="eastAsia" w:ascii="宋体" w:hAnsi="宋体" w:eastAsia="宋体" w:cs="Times New Roman"/>
          <w:b/>
          <w:color w:val="auto"/>
          <w:szCs w:val="21"/>
          <w:highlight w:val="none"/>
          <w:lang w:val="en-US" w:eastAsia="zh-CN"/>
        </w:rPr>
        <w:t>五</w:t>
      </w:r>
      <w:r>
        <w:rPr>
          <w:rFonts w:hint="eastAsia" w:ascii="宋体" w:hAnsi="宋体" w:eastAsia="宋体" w:cs="Times New Roman"/>
          <w:b/>
          <w:color w:val="auto"/>
          <w:szCs w:val="21"/>
          <w:highlight w:val="none"/>
        </w:rPr>
        <w:t>条 不可抗力</w:t>
      </w:r>
    </w:p>
    <w:p w14:paraId="572BBB01">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15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1CA2826B">
      <w:pPr>
        <w:adjustRightInd w:val="0"/>
        <w:snapToGrid w:val="0"/>
        <w:spacing w:line="360" w:lineRule="auto"/>
        <w:ind w:firstLine="0" w:firstLineChars="0"/>
        <w:rPr>
          <w:rFonts w:ascii="宋体" w:hAnsi="宋体" w:eastAsia="宋体" w:cs="Times New Roman"/>
          <w:b/>
          <w:color w:val="auto"/>
          <w:szCs w:val="21"/>
          <w:highlight w:val="none"/>
        </w:rPr>
      </w:pPr>
    </w:p>
    <w:p w14:paraId="51BA0ADA">
      <w:pPr>
        <w:adjustRightInd w:val="0"/>
        <w:snapToGrid w:val="0"/>
        <w:spacing w:line="360" w:lineRule="auto"/>
        <w:ind w:firstLine="373" w:firstLineChars="177"/>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第十</w:t>
      </w:r>
      <w:r>
        <w:rPr>
          <w:rFonts w:hint="eastAsia" w:ascii="宋体" w:hAnsi="宋体" w:eastAsia="宋体" w:cs="Times New Roman"/>
          <w:b/>
          <w:color w:val="auto"/>
          <w:szCs w:val="21"/>
          <w:highlight w:val="none"/>
          <w:lang w:val="en-US" w:eastAsia="zh-CN"/>
        </w:rPr>
        <w:t>六</w:t>
      </w:r>
      <w:r>
        <w:rPr>
          <w:rFonts w:hint="eastAsia" w:ascii="宋体" w:hAnsi="宋体" w:eastAsia="宋体" w:cs="Times New Roman"/>
          <w:b/>
          <w:color w:val="auto"/>
          <w:szCs w:val="21"/>
          <w:highlight w:val="none"/>
        </w:rPr>
        <w:t>条 争议解决</w:t>
      </w:r>
    </w:p>
    <w:p w14:paraId="6470A7C9">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双方在履约中发生争执和分歧，双方应通过友好协商解决，如不能通过友好协商解决的，双方同意向</w:t>
      </w:r>
      <w:r>
        <w:rPr>
          <w:rFonts w:hint="eastAsia" w:ascii="宋体" w:hAnsi="宋体" w:eastAsia="宋体" w:cs="Times New Roman"/>
          <w:color w:val="auto"/>
          <w:szCs w:val="21"/>
          <w:highlight w:val="none"/>
          <w:lang w:val="en-US" w:eastAsia="zh-CN"/>
        </w:rPr>
        <w:t>甲方住所地有管辖权的人民</w:t>
      </w:r>
      <w:r>
        <w:rPr>
          <w:rFonts w:hint="eastAsia" w:ascii="宋体" w:hAnsi="宋体" w:eastAsia="宋体" w:cs="Times New Roman"/>
          <w:color w:val="auto"/>
          <w:szCs w:val="21"/>
          <w:highlight w:val="none"/>
        </w:rPr>
        <w:t>法院提起诉讼解决。</w:t>
      </w:r>
    </w:p>
    <w:p w14:paraId="59206E79">
      <w:pPr>
        <w:adjustRightInd w:val="0"/>
        <w:snapToGrid w:val="0"/>
        <w:spacing w:line="360" w:lineRule="auto"/>
        <w:ind w:firstLine="373" w:firstLineChars="177"/>
        <w:rPr>
          <w:rFonts w:ascii="宋体" w:hAnsi="宋体" w:eastAsia="宋体" w:cs="Times New Roman"/>
          <w:b/>
          <w:color w:val="auto"/>
          <w:szCs w:val="21"/>
          <w:highlight w:val="none"/>
        </w:rPr>
      </w:pPr>
    </w:p>
    <w:p w14:paraId="774C45BE">
      <w:pPr>
        <w:adjustRightInd w:val="0"/>
        <w:snapToGrid w:val="0"/>
        <w:spacing w:line="360" w:lineRule="auto"/>
        <w:ind w:firstLine="373" w:firstLineChars="177"/>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第</w:t>
      </w:r>
      <w:r>
        <w:rPr>
          <w:rFonts w:hint="eastAsia" w:ascii="宋体" w:hAnsi="宋体" w:eastAsia="宋体" w:cs="Times New Roman"/>
          <w:b/>
          <w:color w:val="auto"/>
          <w:szCs w:val="21"/>
          <w:highlight w:val="none"/>
          <w:lang w:val="en-US" w:eastAsia="zh-CN"/>
        </w:rPr>
        <w:t>十七</w:t>
      </w:r>
      <w:r>
        <w:rPr>
          <w:rFonts w:hint="eastAsia" w:ascii="宋体" w:hAnsi="宋体" w:eastAsia="宋体" w:cs="Times New Roman"/>
          <w:b/>
          <w:color w:val="auto"/>
          <w:szCs w:val="21"/>
          <w:highlight w:val="none"/>
        </w:rPr>
        <w:t>条 其他</w:t>
      </w:r>
    </w:p>
    <w:p w14:paraId="03F44076">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、合同履</w:t>
      </w:r>
      <w:r>
        <w:rPr>
          <w:rFonts w:hint="eastAsia" w:ascii="宋体" w:hAnsi="宋体" w:eastAsia="宋体" w:cs="Times New Roman"/>
          <w:color w:val="auto"/>
          <w:szCs w:val="21"/>
          <w:highlight w:val="none"/>
          <w:lang w:val="en-US" w:eastAsia="zh-CN"/>
        </w:rPr>
        <w:t>行</w:t>
      </w:r>
      <w:r>
        <w:rPr>
          <w:rFonts w:hint="eastAsia" w:ascii="宋体" w:hAnsi="宋体" w:eastAsia="宋体" w:cs="Times New Roman"/>
          <w:color w:val="auto"/>
          <w:szCs w:val="21"/>
          <w:highlight w:val="none"/>
        </w:rPr>
        <w:t>过程中，对货物报价、技术参数等条款存在多种理解的，按公平原则及合同目的解释，优先保护甲方合理权益；乙方投标文件未响应招标文件实质性要求的，视为乙方同意按招标文件执行，相关费用已包含在合同价中。</w:t>
      </w:r>
    </w:p>
    <w:p w14:paraId="2077C9AC">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、本合同壹式</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份，甲方执</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份，乙方执</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份，招标代理机构</w:t>
      </w:r>
      <w:r>
        <w:rPr>
          <w:rFonts w:hint="eastAsia" w:ascii="宋体" w:hAnsi="宋体" w:eastAsia="宋体" w:cs="Times New Roman"/>
          <w:color w:val="auto"/>
          <w:szCs w:val="21"/>
          <w:highlight w:val="none"/>
          <w:u w:val="single"/>
        </w:rPr>
        <w:t xml:space="preserve"> 壹 </w:t>
      </w:r>
      <w:r>
        <w:rPr>
          <w:rFonts w:hint="eastAsia" w:ascii="宋体" w:hAnsi="宋体" w:eastAsia="宋体" w:cs="Times New Roman"/>
          <w:color w:val="auto"/>
          <w:szCs w:val="21"/>
          <w:highlight w:val="none"/>
        </w:rPr>
        <w:t>份均具有同等法律效力。</w:t>
      </w:r>
    </w:p>
    <w:p w14:paraId="3C0026A0">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、本合同自甲乙双方</w:t>
      </w:r>
      <w:r>
        <w:rPr>
          <w:rFonts w:hint="eastAsia" w:ascii="Times New Roman" w:hAnsi="宋体" w:eastAsia="宋体" w:cs="Times New Roman"/>
          <w:color w:val="auto"/>
          <w:szCs w:val="21"/>
          <w:highlight w:val="none"/>
        </w:rPr>
        <w:t>法定代表人或负责人</w:t>
      </w:r>
      <w:r>
        <w:rPr>
          <w:rFonts w:hint="eastAsia" w:ascii="宋体" w:hAnsi="宋体" w:eastAsia="宋体" w:cs="Times New Roman"/>
          <w:color w:val="auto"/>
          <w:szCs w:val="21"/>
          <w:highlight w:val="none"/>
        </w:rPr>
        <w:t>签字</w:t>
      </w:r>
      <w:r>
        <w:rPr>
          <w:rFonts w:hint="eastAsia" w:ascii="宋体" w:hAnsi="宋体" w:eastAsia="宋体" w:cs="宋体"/>
          <w:color w:val="auto"/>
          <w:kern w:val="0"/>
          <w:szCs w:val="21"/>
          <w:highlight w:val="none"/>
        </w:rPr>
        <w:t>并</w:t>
      </w:r>
      <w:r>
        <w:rPr>
          <w:rFonts w:hint="eastAsia" w:ascii="宋体" w:hAnsi="宋体" w:eastAsia="宋体" w:cs="宋体"/>
          <w:color w:val="auto"/>
          <w:kern w:val="0"/>
          <w:szCs w:val="21"/>
          <w:highlight w:val="none"/>
          <w:lang w:eastAsia="zh-CN"/>
        </w:rPr>
        <w:t>加</w:t>
      </w:r>
      <w:r>
        <w:rPr>
          <w:rFonts w:hint="eastAsia" w:ascii="宋体" w:hAnsi="宋体" w:eastAsia="宋体" w:cs="宋体"/>
          <w:color w:val="auto"/>
          <w:kern w:val="0"/>
          <w:szCs w:val="21"/>
          <w:highlight w:val="none"/>
        </w:rPr>
        <w:t>盖</w:t>
      </w:r>
      <w:r>
        <w:rPr>
          <w:rFonts w:hint="eastAsia" w:ascii="宋体" w:hAnsi="宋体" w:eastAsia="宋体" w:cs="宋体"/>
          <w:color w:val="auto"/>
          <w:kern w:val="0"/>
          <w:szCs w:val="21"/>
          <w:highlight w:val="none"/>
          <w:lang w:eastAsia="zh-CN"/>
        </w:rPr>
        <w:t>公司公</w:t>
      </w:r>
      <w:r>
        <w:rPr>
          <w:rFonts w:hint="eastAsia" w:ascii="宋体" w:hAnsi="宋体" w:eastAsia="宋体" w:cs="宋体"/>
          <w:color w:val="auto"/>
          <w:kern w:val="0"/>
          <w:szCs w:val="21"/>
          <w:highlight w:val="none"/>
        </w:rPr>
        <w:t>章</w:t>
      </w:r>
      <w:r>
        <w:rPr>
          <w:rFonts w:hint="eastAsia" w:ascii="宋体" w:hAnsi="宋体" w:eastAsia="宋体" w:cs="Times New Roman"/>
          <w:color w:val="auto"/>
          <w:szCs w:val="21"/>
          <w:highlight w:val="none"/>
          <w:lang w:val="en-US" w:eastAsia="zh-CN"/>
        </w:rPr>
        <w:t>后</w:t>
      </w:r>
      <w:r>
        <w:rPr>
          <w:rFonts w:hint="eastAsia" w:ascii="宋体" w:hAnsi="宋体" w:eastAsia="宋体" w:cs="Times New Roman"/>
          <w:color w:val="auto"/>
          <w:szCs w:val="21"/>
          <w:highlight w:val="none"/>
        </w:rPr>
        <w:t>生效，至全部合同义务履行完毕（含质保期届满）终止。</w:t>
      </w:r>
    </w:p>
    <w:p w14:paraId="12E591BD">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、本合同及</w:t>
      </w:r>
      <w:r>
        <w:rPr>
          <w:rFonts w:hint="eastAsia" w:ascii="宋体" w:hAnsi="宋体" w:eastAsia="宋体" w:cs="Times New Roman"/>
          <w:color w:val="auto"/>
          <w:szCs w:val="21"/>
          <w:highlight w:val="none"/>
          <w:lang w:val="en-US" w:eastAsia="zh-CN"/>
        </w:rPr>
        <w:t>附件</w:t>
      </w:r>
      <w:r>
        <w:rPr>
          <w:rFonts w:hint="eastAsia" w:ascii="宋体" w:hAnsi="宋体" w:eastAsia="宋体" w:cs="Times New Roman"/>
          <w:color w:val="auto"/>
          <w:szCs w:val="21"/>
          <w:highlight w:val="none"/>
        </w:rPr>
        <w:t>均为合同的有效组成部分。</w:t>
      </w:r>
      <w:r>
        <w:rPr>
          <w:rFonts w:ascii="宋体" w:hAnsi="宋体" w:eastAsia="宋体" w:cs="Times New Roman"/>
          <w:color w:val="auto"/>
          <w:szCs w:val="21"/>
          <w:highlight w:val="none"/>
        </w:rPr>
        <w:t>本合同未尽事宜，由双方协商</w:t>
      </w:r>
      <w:r>
        <w:rPr>
          <w:rFonts w:hint="eastAsia" w:ascii="宋体" w:hAnsi="宋体" w:eastAsia="宋体" w:cs="Times New Roman"/>
          <w:color w:val="auto"/>
          <w:szCs w:val="21"/>
          <w:highlight w:val="none"/>
        </w:rPr>
        <w:t>签订补充协议，补充协议与本合同具有同等法律效力</w:t>
      </w:r>
      <w:r>
        <w:rPr>
          <w:rFonts w:ascii="宋体" w:hAnsi="宋体" w:eastAsia="宋体" w:cs="Times New Roman"/>
          <w:color w:val="auto"/>
          <w:szCs w:val="21"/>
          <w:highlight w:val="none"/>
        </w:rPr>
        <w:t>。</w:t>
      </w:r>
    </w:p>
    <w:p w14:paraId="36FB4BE2">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附件：1.用户需求书</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含附件《预算表》</w:t>
      </w:r>
      <w:r>
        <w:rPr>
          <w:rFonts w:hint="eastAsia" w:ascii="宋体" w:hAnsi="宋体" w:eastAsia="宋体" w:cs="Times New Roman"/>
          <w:color w:val="auto"/>
          <w:szCs w:val="21"/>
          <w:highlight w:val="none"/>
          <w:lang w:eastAsia="zh-CN"/>
        </w:rPr>
        <w:t>）</w:t>
      </w:r>
    </w:p>
    <w:p w14:paraId="2664F157">
      <w:pPr>
        <w:adjustRightInd w:val="0"/>
        <w:snapToGrid w:val="0"/>
        <w:spacing w:line="360" w:lineRule="auto"/>
        <w:ind w:left="0" w:leftChars="0" w:firstLine="1058" w:firstLineChars="504"/>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2.采购</w:t>
      </w:r>
      <w:r>
        <w:rPr>
          <w:rFonts w:hint="eastAsia" w:ascii="宋体" w:hAnsi="宋体" w:eastAsia="宋体" w:cs="Times New Roman"/>
          <w:color w:val="auto"/>
          <w:szCs w:val="21"/>
          <w:highlight w:val="none"/>
          <w:lang w:eastAsia="zh-CN"/>
        </w:rPr>
        <w:t>清单</w:t>
      </w:r>
    </w:p>
    <w:p w14:paraId="7B8877AB">
      <w:pPr>
        <w:adjustRightInd w:val="0"/>
        <w:snapToGrid w:val="0"/>
        <w:spacing w:line="360" w:lineRule="auto"/>
        <w:ind w:left="0" w:leftChars="0" w:firstLine="1058" w:firstLineChars="504"/>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w:t>
      </w:r>
      <w:r>
        <w:rPr>
          <w:rFonts w:hint="eastAsia" w:ascii="宋体" w:hAnsi="宋体" w:eastAsia="宋体" w:cs="宋体"/>
          <w:color w:val="auto"/>
          <w:sz w:val="21"/>
          <w:szCs w:val="21"/>
          <w:highlight w:val="none"/>
          <w:lang w:eastAsia="zh-CN"/>
        </w:rPr>
        <w:t>东莞市水务环境投资控股集团供水有限公司货物到货验收表</w:t>
      </w:r>
    </w:p>
    <w:p w14:paraId="78EEEF59">
      <w:pPr>
        <w:adjustRightInd w:val="0"/>
        <w:snapToGrid w:val="0"/>
        <w:spacing w:line="360" w:lineRule="auto"/>
        <w:ind w:firstLine="1058" w:firstLineChars="504"/>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.中标通知书</w:t>
      </w:r>
    </w:p>
    <w:p w14:paraId="29A07609">
      <w:pPr>
        <w:adjustRightInd w:val="0"/>
        <w:snapToGrid w:val="0"/>
        <w:spacing w:line="360" w:lineRule="auto"/>
        <w:ind w:firstLine="1058" w:firstLineChars="504"/>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.廉洁协议书</w:t>
      </w:r>
    </w:p>
    <w:p w14:paraId="4431B4B9">
      <w:pPr>
        <w:adjustRightInd w:val="0"/>
        <w:snapToGrid w:val="0"/>
        <w:spacing w:line="360" w:lineRule="auto"/>
        <w:ind w:firstLine="1058" w:firstLineChars="504"/>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.履约担保</w:t>
      </w:r>
    </w:p>
    <w:p w14:paraId="6EAE9219">
      <w:pPr>
        <w:snapToGrid w:val="0"/>
        <w:spacing w:line="360" w:lineRule="auto"/>
        <w:ind w:firstLine="1058" w:firstLineChars="504"/>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7.供货保函（格式）</w:t>
      </w:r>
    </w:p>
    <w:p w14:paraId="6334E93C">
      <w:pPr>
        <w:adjustRightInd w:val="0"/>
        <w:snapToGrid w:val="0"/>
        <w:spacing w:line="360" w:lineRule="auto"/>
        <w:ind w:firstLine="373" w:firstLineChars="177"/>
        <w:rPr>
          <w:rFonts w:hint="eastAsia" w:ascii="宋体" w:hAnsi="宋体" w:eastAsia="宋体" w:cs="Times New Roman"/>
          <w:b/>
          <w:color w:val="auto"/>
          <w:szCs w:val="21"/>
          <w:highlight w:val="none"/>
        </w:rPr>
      </w:pPr>
    </w:p>
    <w:p w14:paraId="4BE85870">
      <w:pPr>
        <w:adjustRightInd w:val="0"/>
        <w:snapToGrid w:val="0"/>
        <w:spacing w:line="360" w:lineRule="auto"/>
        <w:ind w:firstLine="373" w:firstLineChars="177"/>
        <w:rPr>
          <w:rFonts w:hint="eastAsia" w:ascii="宋体" w:hAnsi="宋体" w:eastAsia="宋体" w:cs="Times New Roman"/>
          <w:b/>
          <w:color w:val="auto"/>
          <w:szCs w:val="21"/>
          <w:highlight w:val="none"/>
        </w:rPr>
      </w:pPr>
    </w:p>
    <w:p w14:paraId="180EC048">
      <w:pPr>
        <w:adjustRightInd w:val="0"/>
        <w:snapToGrid w:val="0"/>
        <w:spacing w:line="360" w:lineRule="auto"/>
        <w:ind w:firstLine="373" w:firstLineChars="177"/>
        <w:rPr>
          <w:rFonts w:hint="eastAsia" w:ascii="宋体" w:hAnsi="宋体" w:eastAsia="宋体" w:cs="Times New Roman"/>
          <w:b/>
          <w:color w:val="auto"/>
          <w:szCs w:val="21"/>
          <w:highlight w:val="none"/>
        </w:rPr>
      </w:pPr>
    </w:p>
    <w:p w14:paraId="2E80E34B">
      <w:pPr>
        <w:adjustRightInd w:val="0"/>
        <w:snapToGrid w:val="0"/>
        <w:spacing w:line="360" w:lineRule="auto"/>
        <w:ind w:firstLine="373" w:firstLineChars="177"/>
        <w:rPr>
          <w:rFonts w:ascii="宋体" w:hAnsi="宋体" w:eastAsia="宋体" w:cs="Times New Roman"/>
          <w:color w:val="auto"/>
          <w:szCs w:val="21"/>
          <w:highlight w:val="none"/>
        </w:rPr>
      </w:pPr>
      <w:r>
        <w:rPr>
          <w:rFonts w:hint="eastAsia" w:ascii="宋体" w:hAnsi="宋体" w:eastAsia="宋体" w:cs="Times New Roman"/>
          <w:b/>
          <w:color w:val="auto"/>
          <w:szCs w:val="21"/>
          <w:highlight w:val="none"/>
        </w:rPr>
        <w:t>甲方(买方)：</w:t>
      </w:r>
      <w:r>
        <w:rPr>
          <w:rFonts w:hint="eastAsia" w:ascii="宋体" w:hAnsi="宋体" w:eastAsia="宋体" w:cs="Times New Roman"/>
          <w:color w:val="auto"/>
          <w:szCs w:val="21"/>
          <w:highlight w:val="none"/>
        </w:rPr>
        <w:t xml:space="preserve">                           </w:t>
      </w:r>
      <w:r>
        <w:rPr>
          <w:rFonts w:hint="eastAsia" w:ascii="宋体" w:hAnsi="宋体" w:eastAsia="宋体" w:cs="Times New Roman"/>
          <w:b/>
          <w:color w:val="auto"/>
          <w:szCs w:val="21"/>
          <w:highlight w:val="none"/>
        </w:rPr>
        <w:t xml:space="preserve"> 乙方(卖方)：</w:t>
      </w:r>
    </w:p>
    <w:p w14:paraId="720293DB">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法定代表人</w:t>
      </w:r>
      <w:r>
        <w:rPr>
          <w:rFonts w:hint="eastAsia" w:ascii="宋体" w:hAnsi="宋体" w:eastAsia="宋体" w:cs="Times New Roman"/>
          <w:color w:val="auto"/>
          <w:szCs w:val="21"/>
          <w:highlight w:val="none"/>
          <w:lang w:eastAsia="zh-Hans"/>
        </w:rPr>
        <w:t>或负责人</w:t>
      </w:r>
      <w:r>
        <w:rPr>
          <w:rFonts w:hint="eastAsia" w:ascii="宋体" w:hAnsi="宋体" w:eastAsia="宋体" w:cs="Times New Roman"/>
          <w:color w:val="auto"/>
          <w:szCs w:val="21"/>
          <w:highlight w:val="none"/>
        </w:rPr>
        <w:t>：                    法定代表人</w:t>
      </w:r>
      <w:r>
        <w:rPr>
          <w:rFonts w:hint="eastAsia" w:ascii="宋体" w:hAnsi="宋体" w:eastAsia="宋体" w:cs="Times New Roman"/>
          <w:color w:val="auto"/>
          <w:szCs w:val="21"/>
          <w:highlight w:val="none"/>
          <w:lang w:eastAsia="zh-Hans"/>
        </w:rPr>
        <w:t>或负责人</w:t>
      </w:r>
      <w:r>
        <w:rPr>
          <w:rFonts w:hint="eastAsia" w:ascii="宋体" w:hAnsi="宋体" w:eastAsia="宋体" w:cs="Times New Roman"/>
          <w:color w:val="auto"/>
          <w:szCs w:val="21"/>
          <w:highlight w:val="none"/>
        </w:rPr>
        <w:t>：</w:t>
      </w:r>
    </w:p>
    <w:p w14:paraId="25C93A06">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地址：                                  地址：</w:t>
      </w:r>
    </w:p>
    <w:p w14:paraId="4E165E56">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电话：                                  电话：</w:t>
      </w:r>
    </w:p>
    <w:p w14:paraId="751CF416">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传真：                                  传真：</w:t>
      </w:r>
    </w:p>
    <w:p w14:paraId="52CD3EE4">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开户银行：                              开户银行：</w:t>
      </w:r>
    </w:p>
    <w:p w14:paraId="78705393">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银行账户：                              银行账户：</w:t>
      </w:r>
    </w:p>
    <w:p w14:paraId="73FC9C39">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银行账号：                              银行账号：</w:t>
      </w:r>
    </w:p>
    <w:p w14:paraId="1074426C">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签约日期：     年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xml:space="preserve"> 月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xml:space="preserve"> 日</w:t>
      </w:r>
    </w:p>
    <w:p w14:paraId="7E4A4E92">
      <w:pPr>
        <w:widowControl/>
        <w:snapToGrid w:val="0"/>
        <w:spacing w:after="0" w:line="360" w:lineRule="auto"/>
        <w:ind w:firstLine="371" w:firstLineChars="177"/>
        <w:jc w:val="left"/>
        <w:outlineLvl w:val="9"/>
        <w:rPr>
          <w:rFonts w:hint="eastAsia" w:ascii="宋体" w:hAnsi="宋体" w:eastAsia="宋体" w:cs="宋体"/>
          <w:b/>
          <w:color w:val="auto"/>
          <w:sz w:val="21"/>
          <w:szCs w:val="21"/>
          <w:highlight w:val="none"/>
          <w:lang w:val="en-US" w:eastAsia="zh-CN"/>
        </w:rPr>
      </w:pPr>
      <w:r>
        <w:rPr>
          <w:rFonts w:hint="eastAsia" w:ascii="宋体" w:hAnsi="宋体" w:eastAsia="宋体" w:cs="Times New Roman"/>
          <w:color w:val="auto"/>
          <w:szCs w:val="21"/>
          <w:highlight w:val="none"/>
        </w:rPr>
        <w:t>合同签订地点：东莞市水务环境投资控股集团供水有限公司</w:t>
      </w:r>
    </w:p>
    <w:p w14:paraId="3A3BB589">
      <w:pPr>
        <w:pStyle w:val="37"/>
        <w:ind w:left="0" w:leftChars="0" w:firstLine="0" w:firstLineChars="0"/>
        <w:rPr>
          <w:rFonts w:hint="eastAsia" w:ascii="宋体" w:hAnsi="宋体" w:eastAsia="宋体" w:cs="宋体"/>
          <w:color w:val="auto"/>
          <w:sz w:val="21"/>
          <w:szCs w:val="21"/>
          <w:highlight w:val="none"/>
          <w:lang w:val="en-US" w:eastAsia="zh-CN"/>
        </w:rPr>
      </w:pPr>
    </w:p>
    <w:p w14:paraId="7DED6FB5">
      <w:pPr>
        <w:rPr>
          <w:rFonts w:hint="eastAsia" w:ascii="宋体" w:hAnsi="宋体" w:eastAsia="宋体" w:cs="宋体"/>
          <w:color w:val="auto"/>
          <w:sz w:val="21"/>
          <w:szCs w:val="21"/>
          <w:highlight w:val="none"/>
          <w:lang w:val="en-US" w:eastAsia="zh-CN"/>
        </w:rPr>
      </w:pPr>
    </w:p>
    <w:p w14:paraId="3C5052E5">
      <w:pPr>
        <w:widowControl/>
        <w:spacing w:after="0" w:line="240" w:lineRule="auto"/>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br w:type="page"/>
      </w:r>
    </w:p>
    <w:p w14:paraId="0440754D">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2"/>
        <w:rPr>
          <w:rFonts w:hint="eastAsia" w:ascii="宋体" w:hAnsi="宋体" w:eastAsia="宋体"/>
          <w:b/>
          <w:color w:val="auto"/>
          <w:highlight w:val="none"/>
        </w:rPr>
      </w:pPr>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采购</w:t>
      </w:r>
      <w:r>
        <w:rPr>
          <w:rFonts w:hint="eastAsia" w:ascii="宋体" w:hAnsi="宋体" w:eastAsia="宋体" w:cs="宋体"/>
          <w:b/>
          <w:color w:val="auto"/>
          <w:szCs w:val="21"/>
          <w:highlight w:val="none"/>
          <w:lang w:eastAsia="zh-CN"/>
        </w:rPr>
        <w:t>清单》</w:t>
      </w:r>
      <w:r>
        <w:rPr>
          <w:rFonts w:hint="eastAsia" w:ascii="宋体" w:hAnsi="宋体" w:eastAsia="宋体"/>
          <w:b/>
          <w:color w:val="auto"/>
          <w:highlight w:val="none"/>
        </w:rPr>
        <w:t>（模版）</w:t>
      </w:r>
    </w:p>
    <w:p w14:paraId="56A45B74">
      <w:pPr>
        <w:spacing w:line="360" w:lineRule="auto"/>
        <w:outlineLvl w:val="9"/>
        <w:rPr>
          <w:rFonts w:hint="eastAsia" w:ascii="宋体" w:hAnsi="宋体" w:eastAsia="宋体" w:cs="宋体"/>
          <w:b/>
          <w:color w:val="auto"/>
          <w:szCs w:val="21"/>
          <w:highlight w:val="none"/>
          <w:lang w:eastAsia="zh-CN"/>
        </w:rPr>
      </w:pPr>
      <w:r>
        <w:rPr>
          <w:rFonts w:hint="eastAsia" w:ascii="宋体" w:hAnsi="宋体" w:eastAsia="宋体"/>
          <w:b/>
          <w:color w:val="auto"/>
          <w:highlight w:val="none"/>
        </w:rPr>
        <w:t>（注：该模版内容届时以合同签订为准）</w:t>
      </w:r>
    </w:p>
    <w:p w14:paraId="6A9AB634">
      <w:pPr>
        <w:autoSpaceDE w:val="0"/>
        <w:autoSpaceDN w:val="0"/>
        <w:adjustRightInd w:val="0"/>
        <w:snapToGrid w:val="0"/>
        <w:spacing w:line="360" w:lineRule="auto"/>
        <w:jc w:val="center"/>
        <w:rPr>
          <w:rFonts w:ascii="宋体" w:hAnsi="宋体" w:eastAsia="宋体" w:cs="Times New Roman"/>
          <w:color w:val="auto"/>
          <w:kern w:val="0"/>
          <w:szCs w:val="21"/>
          <w:highlight w:val="none"/>
        </w:rPr>
      </w:pPr>
      <w:r>
        <w:rPr>
          <w:rFonts w:hint="eastAsia" w:ascii="宋体" w:hAnsi="宋体" w:eastAsia="宋体" w:cs="宋体"/>
          <w:b/>
          <w:color w:val="auto"/>
          <w:sz w:val="24"/>
          <w:szCs w:val="24"/>
          <w:highlight w:val="none"/>
          <w:lang w:val="en-US" w:eastAsia="zh-CN"/>
        </w:rPr>
        <w:t>采购</w:t>
      </w:r>
      <w:r>
        <w:rPr>
          <w:rFonts w:hint="eastAsia" w:ascii="宋体" w:hAnsi="宋体" w:eastAsia="宋体" w:cs="宋体"/>
          <w:b/>
          <w:color w:val="auto"/>
          <w:sz w:val="24"/>
          <w:szCs w:val="24"/>
          <w:highlight w:val="none"/>
          <w:lang w:eastAsia="zh-CN"/>
        </w:rPr>
        <w:t>清单</w:t>
      </w:r>
    </w:p>
    <w:tbl>
      <w:tblPr>
        <w:tblStyle w:val="39"/>
        <w:tblW w:w="10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21"/>
        <w:gridCol w:w="792"/>
        <w:gridCol w:w="958"/>
        <w:gridCol w:w="847"/>
        <w:gridCol w:w="888"/>
        <w:gridCol w:w="751"/>
        <w:gridCol w:w="1219"/>
        <w:gridCol w:w="1576"/>
        <w:gridCol w:w="1645"/>
      </w:tblGrid>
      <w:tr w14:paraId="37336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5F16A31">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序号</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2830B189">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货物名称</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78D77689">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品牌</w:t>
            </w:r>
          </w:p>
        </w:tc>
        <w:tc>
          <w:tcPr>
            <w:tcW w:w="958" w:type="dxa"/>
            <w:tcBorders>
              <w:top w:val="single" w:color="auto" w:sz="4" w:space="0"/>
              <w:left w:val="single" w:color="auto" w:sz="4" w:space="0"/>
              <w:bottom w:val="single" w:color="auto" w:sz="4" w:space="0"/>
              <w:right w:val="single" w:color="auto" w:sz="4" w:space="0"/>
            </w:tcBorders>
            <w:noWrap w:val="0"/>
            <w:vAlign w:val="center"/>
          </w:tcPr>
          <w:p w14:paraId="53E329AA">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产地</w:t>
            </w:r>
          </w:p>
        </w:tc>
        <w:tc>
          <w:tcPr>
            <w:tcW w:w="847" w:type="dxa"/>
            <w:tcBorders>
              <w:top w:val="single" w:color="auto" w:sz="4" w:space="0"/>
              <w:left w:val="single" w:color="auto" w:sz="4" w:space="0"/>
              <w:bottom w:val="single" w:color="auto" w:sz="4" w:space="0"/>
              <w:right w:val="single" w:color="auto" w:sz="4" w:space="0"/>
            </w:tcBorders>
            <w:noWrap w:val="0"/>
            <w:vAlign w:val="center"/>
          </w:tcPr>
          <w:p w14:paraId="1149671E">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lang w:eastAsia="zh-CN"/>
              </w:rPr>
            </w:pPr>
            <w:r>
              <w:rPr>
                <w:rFonts w:hint="eastAsia" w:ascii="宋体" w:hAnsi="宋体" w:eastAsia="宋体"/>
                <w:b/>
                <w:bCs/>
                <w:color w:val="auto"/>
                <w:highlight w:val="none"/>
              </w:rPr>
              <w:t>规格</w:t>
            </w:r>
            <w:r>
              <w:rPr>
                <w:rFonts w:hint="eastAsia" w:ascii="宋体" w:hAnsi="宋体" w:eastAsia="宋体"/>
                <w:b/>
                <w:bCs/>
                <w:color w:val="auto"/>
                <w:highlight w:val="none"/>
                <w:lang w:val="en-US" w:eastAsia="zh-CN"/>
              </w:rPr>
              <w:t>参数</w:t>
            </w:r>
          </w:p>
        </w:tc>
        <w:tc>
          <w:tcPr>
            <w:tcW w:w="888" w:type="dxa"/>
            <w:tcBorders>
              <w:top w:val="single" w:color="auto" w:sz="4" w:space="0"/>
              <w:left w:val="single" w:color="auto" w:sz="4" w:space="0"/>
              <w:bottom w:val="single" w:color="auto" w:sz="4" w:space="0"/>
              <w:right w:val="single" w:color="auto" w:sz="4" w:space="0"/>
            </w:tcBorders>
            <w:noWrap w:val="0"/>
            <w:vAlign w:val="center"/>
          </w:tcPr>
          <w:p w14:paraId="75786636">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单位</w:t>
            </w:r>
          </w:p>
        </w:tc>
        <w:tc>
          <w:tcPr>
            <w:tcW w:w="751" w:type="dxa"/>
            <w:tcBorders>
              <w:top w:val="single" w:color="auto" w:sz="4" w:space="0"/>
              <w:left w:val="single" w:color="auto" w:sz="4" w:space="0"/>
              <w:bottom w:val="single" w:color="auto" w:sz="4" w:space="0"/>
              <w:right w:val="single" w:color="auto" w:sz="4" w:space="0"/>
            </w:tcBorders>
            <w:noWrap w:val="0"/>
            <w:vAlign w:val="center"/>
          </w:tcPr>
          <w:p w14:paraId="271A79B3">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暂定数量</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1C3BE4E8">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生产厂家</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0F493C19">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不含税预算综合单价（元）</w:t>
            </w:r>
          </w:p>
        </w:tc>
        <w:tc>
          <w:tcPr>
            <w:tcW w:w="1645" w:type="dxa"/>
            <w:tcBorders>
              <w:top w:val="single" w:color="auto" w:sz="4" w:space="0"/>
              <w:left w:val="single" w:color="auto" w:sz="4" w:space="0"/>
              <w:bottom w:val="single" w:color="auto" w:sz="4" w:space="0"/>
              <w:right w:val="single" w:color="auto" w:sz="4" w:space="0"/>
            </w:tcBorders>
            <w:noWrap w:val="0"/>
            <w:vAlign w:val="center"/>
          </w:tcPr>
          <w:p w14:paraId="7AF913D6">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不含税</w:t>
            </w:r>
            <w:r>
              <w:rPr>
                <w:rFonts w:hint="eastAsia" w:ascii="宋体" w:hAnsi="宋体" w:eastAsia="宋体"/>
                <w:b/>
                <w:bCs/>
                <w:color w:val="auto"/>
                <w:highlight w:val="none"/>
                <w:lang w:val="en-US" w:eastAsia="zh-CN"/>
              </w:rPr>
              <w:t>中标</w:t>
            </w:r>
            <w:r>
              <w:rPr>
                <w:rFonts w:hint="eastAsia" w:ascii="宋体" w:hAnsi="宋体" w:eastAsia="宋体"/>
                <w:b/>
                <w:bCs/>
                <w:color w:val="auto"/>
                <w:highlight w:val="none"/>
              </w:rPr>
              <w:t>综合单价（元）</w:t>
            </w:r>
          </w:p>
        </w:tc>
      </w:tr>
      <w:tr w14:paraId="18C74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106AAAE">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r>
              <w:rPr>
                <w:rFonts w:hint="eastAsia" w:ascii="宋体" w:hAnsi="宋体" w:eastAsia="宋体"/>
                <w:color w:val="auto"/>
                <w:kern w:val="0"/>
                <w:sz w:val="18"/>
                <w:szCs w:val="18"/>
                <w:highlight w:val="none"/>
              </w:rPr>
              <w:t>1</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2877F0EA">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6551C59F">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14A47636">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45A0B8D0">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4D3CCF5C">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21569476">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57D02E4D">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5CDE0ACD">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14:paraId="6F6F53F9">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r>
      <w:tr w14:paraId="75D24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A01D5C2">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r>
              <w:rPr>
                <w:rFonts w:hint="eastAsia" w:ascii="宋体" w:hAnsi="宋体" w:eastAsia="宋体"/>
                <w:color w:val="auto"/>
                <w:kern w:val="0"/>
                <w:sz w:val="18"/>
                <w:szCs w:val="18"/>
                <w:highlight w:val="none"/>
              </w:rPr>
              <w:t>2</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3A131FE3">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5E93A744">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7C772961">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06A73C3F">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2FEEDDBE">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2E0E4513">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32EF73EF">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56167C18">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14:paraId="4F31E737">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r>
      <w:tr w14:paraId="7623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479B862">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r>
              <w:rPr>
                <w:rFonts w:hint="eastAsia" w:ascii="宋体" w:hAnsi="宋体" w:eastAsia="宋体"/>
                <w:color w:val="auto"/>
                <w:kern w:val="0"/>
                <w:sz w:val="18"/>
                <w:szCs w:val="18"/>
                <w:highlight w:val="none"/>
              </w:rPr>
              <w:t>3</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4671D55B">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67C3BCAC">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5969FF0E">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5A183763">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2AD59AB5">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74E1EABC">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78BF13AF">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6E8749D5">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14:paraId="72EB8420">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r>
      <w:tr w14:paraId="2CEDE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BFA7C4E">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r>
              <w:rPr>
                <w:rFonts w:hint="eastAsia" w:ascii="宋体" w:hAnsi="宋体" w:eastAsia="宋体"/>
                <w:color w:val="auto"/>
                <w:kern w:val="0"/>
                <w:sz w:val="18"/>
                <w:szCs w:val="18"/>
                <w:highlight w:val="none"/>
              </w:rPr>
              <w:t>4</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3C092B29">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7DD0C5A8">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32A49BC5">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22E750BA">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044DD182">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66F6691C">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7BD07AB1">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446FD619">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14:paraId="7713D58A">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r>
      <w:tr w14:paraId="7384D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20667EC">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r>
              <w:rPr>
                <w:rFonts w:hint="eastAsia" w:ascii="宋体" w:hAnsi="宋体" w:eastAsia="宋体"/>
                <w:color w:val="auto"/>
                <w:kern w:val="0"/>
                <w:sz w:val="18"/>
                <w:szCs w:val="18"/>
                <w:highlight w:val="none"/>
              </w:rPr>
              <w:t>5</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5C5D069C">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3B2D47E2">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12B0BB9C">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2EB63762">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2D2AC39C">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698B5CD5">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2352D877">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58133D5D">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14:paraId="0D409B39">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r>
      <w:tr w14:paraId="61D4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13B1ED7">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r>
              <w:rPr>
                <w:rFonts w:hint="eastAsia" w:ascii="宋体" w:hAnsi="宋体" w:eastAsia="宋体"/>
                <w:color w:val="auto"/>
                <w:kern w:val="0"/>
                <w:sz w:val="20"/>
                <w:szCs w:val="20"/>
                <w:highlight w:val="none"/>
              </w:rPr>
              <w:t>...</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5205D470">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17D99A36">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113B35DA">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53B2C47A">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5117CE64">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sz w:val="20"/>
                <w:szCs w:val="20"/>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73DC5A94">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28049890">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4C012AFD">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14:paraId="2BA9477D">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r>
      <w:tr w14:paraId="3039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92C459A">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sz w:val="20"/>
                <w:szCs w:val="20"/>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5CBEA941">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416C29D8">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55BF5D2E">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2EA19BCE">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73BD8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sz w:val="20"/>
                <w:szCs w:val="20"/>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451B9B35">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6224FAD0">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01519B27">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14:paraId="2674F862">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r>
    </w:tbl>
    <w:p w14:paraId="3AA544DA">
      <w:pPr>
        <w:rPr>
          <w:rFonts w:hint="eastAsia" w:ascii="宋体" w:hAnsi="宋体" w:eastAsia="宋体" w:cs="宋体"/>
          <w:b/>
          <w:bCs/>
          <w:color w:val="auto"/>
          <w:sz w:val="21"/>
          <w:szCs w:val="21"/>
          <w:highlight w:val="none"/>
          <w:lang w:val="en-US" w:eastAsia="zh-CN"/>
        </w:rPr>
      </w:pPr>
    </w:p>
    <w:p w14:paraId="18CEDFBE">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9"/>
        <w:rPr>
          <w:rFonts w:hint="eastAsia" w:ascii="宋体" w:hAnsi="宋体" w:eastAsia="宋体" w:cs="宋体"/>
          <w:b/>
          <w:bCs/>
          <w:color w:val="auto"/>
          <w:sz w:val="21"/>
          <w:szCs w:val="21"/>
          <w:highlight w:val="none"/>
          <w:lang w:val="en-US" w:eastAsia="zh-CN"/>
        </w:rPr>
      </w:pPr>
    </w:p>
    <w:p w14:paraId="348CA8B8">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9"/>
        <w:rPr>
          <w:rFonts w:hint="eastAsia" w:ascii="宋体" w:hAnsi="宋体" w:eastAsia="宋体" w:cs="宋体"/>
          <w:b/>
          <w:bCs/>
          <w:color w:val="auto"/>
          <w:sz w:val="21"/>
          <w:szCs w:val="21"/>
          <w:highlight w:val="none"/>
          <w:lang w:val="en-US" w:eastAsia="zh-CN"/>
        </w:rPr>
      </w:pPr>
    </w:p>
    <w:p w14:paraId="6F7F10FE">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9"/>
        <w:rPr>
          <w:rFonts w:hint="eastAsia" w:ascii="宋体" w:hAnsi="宋体" w:eastAsia="宋体" w:cs="宋体"/>
          <w:b/>
          <w:bCs/>
          <w:color w:val="auto"/>
          <w:sz w:val="21"/>
          <w:szCs w:val="21"/>
          <w:highlight w:val="none"/>
          <w:lang w:val="en-US" w:eastAsia="zh-CN"/>
        </w:rPr>
      </w:pPr>
    </w:p>
    <w:p w14:paraId="70CB79A1">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9"/>
        <w:rPr>
          <w:rFonts w:hint="eastAsia" w:ascii="宋体" w:hAnsi="宋体" w:eastAsia="宋体" w:cs="宋体"/>
          <w:b/>
          <w:bCs/>
          <w:color w:val="auto"/>
          <w:sz w:val="21"/>
          <w:szCs w:val="21"/>
          <w:highlight w:val="none"/>
          <w:lang w:val="en-US" w:eastAsia="zh-CN"/>
        </w:rPr>
      </w:pPr>
    </w:p>
    <w:p w14:paraId="1BCABAD8">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9"/>
        <w:rPr>
          <w:rFonts w:hint="eastAsia" w:ascii="宋体" w:hAnsi="宋体" w:eastAsia="宋体" w:cs="宋体"/>
          <w:b/>
          <w:bCs/>
          <w:color w:val="auto"/>
          <w:sz w:val="21"/>
          <w:szCs w:val="21"/>
          <w:highlight w:val="none"/>
          <w:lang w:val="en-US" w:eastAsia="zh-CN"/>
        </w:rPr>
      </w:pPr>
    </w:p>
    <w:p w14:paraId="30F79F3B">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9"/>
        <w:rPr>
          <w:rFonts w:hint="eastAsia" w:ascii="宋体" w:hAnsi="宋体" w:eastAsia="宋体" w:cs="宋体"/>
          <w:b/>
          <w:bCs/>
          <w:color w:val="auto"/>
          <w:sz w:val="21"/>
          <w:szCs w:val="21"/>
          <w:highlight w:val="none"/>
          <w:lang w:val="en-US" w:eastAsia="zh-CN"/>
        </w:rPr>
      </w:pPr>
    </w:p>
    <w:p w14:paraId="29330036">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9"/>
        <w:rPr>
          <w:rFonts w:hint="eastAsia" w:ascii="宋体" w:hAnsi="宋体" w:eastAsia="宋体" w:cs="宋体"/>
          <w:b/>
          <w:bCs/>
          <w:color w:val="auto"/>
          <w:sz w:val="21"/>
          <w:szCs w:val="21"/>
          <w:highlight w:val="none"/>
          <w:lang w:val="en-US" w:eastAsia="zh-CN"/>
        </w:rPr>
      </w:pPr>
    </w:p>
    <w:p w14:paraId="7DE2F83F">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9"/>
        <w:rPr>
          <w:rFonts w:hint="eastAsia" w:ascii="宋体" w:hAnsi="宋体" w:eastAsia="宋体" w:cs="宋体"/>
          <w:b/>
          <w:bCs/>
          <w:color w:val="auto"/>
          <w:sz w:val="21"/>
          <w:szCs w:val="21"/>
          <w:highlight w:val="none"/>
          <w:lang w:val="en-US" w:eastAsia="zh-CN"/>
        </w:rPr>
      </w:pPr>
    </w:p>
    <w:p w14:paraId="5DBD916B">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9"/>
        <w:rPr>
          <w:rFonts w:hint="eastAsia" w:ascii="宋体" w:hAnsi="宋体" w:eastAsia="宋体" w:cs="宋体"/>
          <w:b/>
          <w:bCs/>
          <w:color w:val="auto"/>
          <w:sz w:val="21"/>
          <w:szCs w:val="21"/>
          <w:highlight w:val="none"/>
          <w:lang w:val="en-US" w:eastAsia="zh-CN"/>
        </w:rPr>
      </w:pPr>
    </w:p>
    <w:p w14:paraId="78A3D7CF">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9"/>
        <w:rPr>
          <w:rFonts w:hint="eastAsia" w:ascii="宋体" w:hAnsi="宋体" w:eastAsia="宋体" w:cs="宋体"/>
          <w:b/>
          <w:bCs/>
          <w:color w:val="auto"/>
          <w:sz w:val="21"/>
          <w:szCs w:val="21"/>
          <w:highlight w:val="none"/>
          <w:lang w:val="en-US" w:eastAsia="zh-CN"/>
        </w:rPr>
      </w:pPr>
    </w:p>
    <w:p w14:paraId="62C08DD7">
      <w:pPr>
        <w:pStyle w:val="38"/>
        <w:outlineLvl w:val="9"/>
        <w:rPr>
          <w:rFonts w:hint="eastAsia"/>
          <w:highlight w:val="none"/>
          <w:lang w:val="en-US" w:eastAsia="zh-CN"/>
        </w:rPr>
      </w:pPr>
    </w:p>
    <w:p w14:paraId="511CEF7D">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9"/>
        <w:rPr>
          <w:rFonts w:hint="eastAsia" w:ascii="宋体" w:hAnsi="宋体" w:eastAsia="宋体" w:cs="宋体"/>
          <w:b/>
          <w:bCs/>
          <w:color w:val="auto"/>
          <w:sz w:val="21"/>
          <w:szCs w:val="21"/>
          <w:highlight w:val="none"/>
          <w:lang w:val="en-US" w:eastAsia="zh-CN"/>
        </w:rPr>
      </w:pPr>
    </w:p>
    <w:p w14:paraId="623CD8B7">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2"/>
        <w:rPr>
          <w:rFonts w:hint="eastAsia" w:ascii="宋体" w:hAnsi="宋体" w:eastAsia="宋体" w:cs="宋体"/>
          <w:b/>
          <w:bCs/>
          <w:color w:val="auto"/>
          <w:sz w:val="21"/>
          <w:szCs w:val="21"/>
          <w:highlight w:val="none"/>
          <w:lang w:val="en-US" w:eastAsia="zh-CN"/>
        </w:rPr>
      </w:pPr>
      <w:bookmarkStart w:id="543" w:name="_Toc18619"/>
      <w:r>
        <w:rPr>
          <w:rFonts w:hint="eastAsia" w:ascii="宋体" w:hAnsi="宋体" w:eastAsia="宋体" w:cs="宋体"/>
          <w:b/>
          <w:bCs/>
          <w:color w:val="auto"/>
          <w:sz w:val="21"/>
          <w:szCs w:val="21"/>
          <w:highlight w:val="none"/>
          <w:lang w:val="en-US" w:eastAsia="zh-CN"/>
        </w:rPr>
        <w:t>附件3：东莞市水务环境投资控股集团供水有限公司货物到货验收表</w:t>
      </w:r>
      <w:bookmarkEnd w:id="543"/>
    </w:p>
    <w:p w14:paraId="571D0E8E">
      <w:pPr>
        <w:widowControl w:val="0"/>
        <w:spacing w:after="0" w:line="600" w:lineRule="exact"/>
        <w:jc w:val="center"/>
        <w:rPr>
          <w:rFonts w:hint="default" w:ascii="Times New Roman" w:hAnsi="Times New Roman" w:eastAsia="方正小标宋简体" w:cs="Times New Roman"/>
          <w:b w:val="0"/>
          <w:bCs/>
          <w:color w:val="auto"/>
          <w:spacing w:val="-10"/>
          <w:kern w:val="2"/>
          <w:sz w:val="44"/>
          <w:szCs w:val="44"/>
          <w:highlight w:val="none"/>
          <w:lang w:val="en-US" w:eastAsia="zh-CN" w:bidi="ar-SA"/>
        </w:rPr>
      </w:pPr>
      <w:r>
        <w:rPr>
          <w:rFonts w:hint="default" w:ascii="Times New Roman" w:hAnsi="Times New Roman" w:eastAsia="方正小标宋简体" w:cs="Times New Roman"/>
          <w:b w:val="0"/>
          <w:bCs/>
          <w:color w:val="auto"/>
          <w:spacing w:val="-10"/>
          <w:kern w:val="2"/>
          <w:sz w:val="44"/>
          <w:szCs w:val="44"/>
          <w:highlight w:val="none"/>
          <w:lang w:val="en-US" w:eastAsia="zh-CN" w:bidi="ar-SA"/>
        </w:rPr>
        <w:t>东莞市水务环境投资控股集团供水有限公司</w:t>
      </w:r>
    </w:p>
    <w:p w14:paraId="5D26C048">
      <w:pPr>
        <w:widowControl w:val="0"/>
        <w:spacing w:after="0" w:line="600" w:lineRule="exact"/>
        <w:jc w:val="center"/>
        <w:rPr>
          <w:rFonts w:hint="eastAsia" w:ascii="Times New Roman" w:hAnsi="Times New Roman" w:eastAsia="方正小标宋简体" w:cs="Times New Roman"/>
          <w:b w:val="0"/>
          <w:bCs/>
          <w:color w:val="auto"/>
          <w:spacing w:val="-10"/>
          <w:kern w:val="2"/>
          <w:sz w:val="44"/>
          <w:szCs w:val="44"/>
          <w:highlight w:val="none"/>
          <w:lang w:val="en-US" w:eastAsia="zh-CN" w:bidi="ar-SA"/>
        </w:rPr>
      </w:pPr>
      <w:r>
        <w:rPr>
          <w:rFonts w:hint="default" w:ascii="Times New Roman" w:hAnsi="Times New Roman" w:eastAsia="方正小标宋简体" w:cs="Times New Roman"/>
          <w:b w:val="0"/>
          <w:bCs/>
          <w:color w:val="auto"/>
          <w:spacing w:val="-10"/>
          <w:kern w:val="2"/>
          <w:sz w:val="44"/>
          <w:szCs w:val="44"/>
          <w:highlight w:val="none"/>
          <w:lang w:val="en-US" w:eastAsia="zh-CN" w:bidi="ar-SA"/>
        </w:rPr>
        <w:t>货物</w:t>
      </w:r>
      <w:r>
        <w:rPr>
          <w:rFonts w:hint="eastAsia" w:ascii="Times New Roman" w:hAnsi="Times New Roman" w:eastAsia="方正小标宋简体" w:cs="Times New Roman"/>
          <w:b w:val="0"/>
          <w:bCs/>
          <w:color w:val="auto"/>
          <w:spacing w:val="-10"/>
          <w:kern w:val="2"/>
          <w:sz w:val="44"/>
          <w:szCs w:val="44"/>
          <w:highlight w:val="none"/>
          <w:lang w:val="en-US" w:eastAsia="zh-CN" w:bidi="ar-SA"/>
        </w:rPr>
        <w:t>到货验收表</w:t>
      </w:r>
    </w:p>
    <w:p w14:paraId="347A6C3D">
      <w:pPr>
        <w:pStyle w:val="18"/>
        <w:rPr>
          <w:rFonts w:hint="default" w:ascii="Times New Roman" w:hAnsi="Times New Roman" w:eastAsia="仿宋_GB2312" w:cs="Times New Roman"/>
          <w:b w:val="0"/>
          <w:bCs/>
          <w:snapToGrid/>
          <w:color w:val="auto"/>
          <w:kern w:val="2"/>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 xml:space="preserve">编号：                                     </w:t>
      </w:r>
    </w:p>
    <w:tbl>
      <w:tblPr>
        <w:tblStyle w:val="39"/>
        <w:tblpPr w:leftFromText="180" w:rightFromText="180" w:vertAnchor="text" w:horzAnchor="page" w:tblpX="1088" w:tblpY="94"/>
        <w:tblOverlap w:val="never"/>
        <w:tblW w:w="10370" w:type="dxa"/>
        <w:tblInd w:w="0" w:type="dxa"/>
        <w:tblLayout w:type="fixed"/>
        <w:tblCellMar>
          <w:top w:w="0" w:type="dxa"/>
          <w:left w:w="108" w:type="dxa"/>
          <w:bottom w:w="0" w:type="dxa"/>
          <w:right w:w="108" w:type="dxa"/>
        </w:tblCellMar>
      </w:tblPr>
      <w:tblGrid>
        <w:gridCol w:w="1306"/>
        <w:gridCol w:w="3371"/>
        <w:gridCol w:w="206"/>
        <w:gridCol w:w="698"/>
        <w:gridCol w:w="1108"/>
        <w:gridCol w:w="3681"/>
      </w:tblGrid>
      <w:tr w14:paraId="6C9649D0">
        <w:tblPrEx>
          <w:tblCellMar>
            <w:top w:w="0" w:type="dxa"/>
            <w:left w:w="108" w:type="dxa"/>
            <w:bottom w:w="0" w:type="dxa"/>
            <w:right w:w="108" w:type="dxa"/>
          </w:tblCellMar>
        </w:tblPrEx>
        <w:trPr>
          <w:trHeight w:val="437" w:hRule="atLeast"/>
        </w:trPr>
        <w:tc>
          <w:tcPr>
            <w:tcW w:w="1306" w:type="dxa"/>
            <w:tcBorders>
              <w:top w:val="single" w:color="auto" w:sz="4" w:space="0"/>
              <w:left w:val="single" w:color="auto" w:sz="4" w:space="0"/>
              <w:bottom w:val="single" w:color="auto" w:sz="4" w:space="0"/>
              <w:right w:val="single" w:color="auto" w:sz="4" w:space="0"/>
            </w:tcBorders>
            <w:noWrap/>
            <w:vAlign w:val="center"/>
          </w:tcPr>
          <w:p w14:paraId="3F3628BA">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合同名称</w:t>
            </w:r>
          </w:p>
        </w:tc>
        <w:tc>
          <w:tcPr>
            <w:tcW w:w="9064" w:type="dxa"/>
            <w:gridSpan w:val="5"/>
            <w:tcBorders>
              <w:top w:val="single" w:color="auto" w:sz="4" w:space="0"/>
              <w:left w:val="single" w:color="auto" w:sz="4" w:space="0"/>
              <w:bottom w:val="single" w:color="auto" w:sz="4" w:space="0"/>
              <w:right w:val="single" w:color="auto" w:sz="4" w:space="0"/>
            </w:tcBorders>
            <w:noWrap/>
            <w:vAlign w:val="center"/>
          </w:tcPr>
          <w:p w14:paraId="471C2B20">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东莞市供水计量设施更新项目（2026-2027年计量仪表)</w:t>
            </w:r>
            <w:r>
              <w:rPr>
                <w:rFonts w:hint="default" w:ascii="Times New Roman" w:hAnsi="Times New Roman" w:eastAsia="仿宋_GB2312" w:cs="Times New Roman"/>
                <w:b w:val="0"/>
                <w:bCs/>
                <w:snapToGrid/>
                <w:color w:val="auto"/>
                <w:kern w:val="0"/>
                <w:sz w:val="22"/>
                <w:szCs w:val="22"/>
                <w:highlight w:val="none"/>
                <w:lang w:eastAsia="zh-CN"/>
              </w:rPr>
              <w:t>－</w:t>
            </w:r>
            <w:r>
              <w:rPr>
                <w:rFonts w:hint="eastAsia" w:ascii="Times New Roman" w:hAnsi="Times New Roman" w:eastAsia="仿宋_GB2312" w:cs="Times New Roman"/>
                <w:b w:val="0"/>
                <w:bCs/>
                <w:snapToGrid/>
                <w:color w:val="auto"/>
                <w:kern w:val="0"/>
                <w:sz w:val="22"/>
                <w:szCs w:val="22"/>
                <w:highlight w:val="none"/>
                <w:lang w:eastAsia="zh-CN"/>
              </w:rPr>
              <w:t>电磁水表</w:t>
            </w:r>
          </w:p>
        </w:tc>
      </w:tr>
      <w:tr w14:paraId="59178640">
        <w:tblPrEx>
          <w:tblCellMar>
            <w:top w:w="0" w:type="dxa"/>
            <w:left w:w="108" w:type="dxa"/>
            <w:bottom w:w="0" w:type="dxa"/>
            <w:right w:w="108" w:type="dxa"/>
          </w:tblCellMar>
        </w:tblPrEx>
        <w:trPr>
          <w:trHeight w:val="460" w:hRule="atLeast"/>
        </w:trPr>
        <w:tc>
          <w:tcPr>
            <w:tcW w:w="1306" w:type="dxa"/>
            <w:tcBorders>
              <w:top w:val="single" w:color="auto" w:sz="4" w:space="0"/>
              <w:left w:val="single" w:color="auto" w:sz="4" w:space="0"/>
              <w:bottom w:val="single" w:color="auto" w:sz="4" w:space="0"/>
              <w:right w:val="single" w:color="auto" w:sz="4" w:space="0"/>
            </w:tcBorders>
            <w:noWrap/>
            <w:vAlign w:val="center"/>
          </w:tcPr>
          <w:p w14:paraId="2C448FF1">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供货单位</w:t>
            </w:r>
          </w:p>
        </w:tc>
        <w:tc>
          <w:tcPr>
            <w:tcW w:w="3371" w:type="dxa"/>
            <w:tcBorders>
              <w:top w:val="single" w:color="auto" w:sz="4" w:space="0"/>
              <w:left w:val="single" w:color="auto" w:sz="4" w:space="0"/>
              <w:bottom w:val="single" w:color="auto" w:sz="4" w:space="0"/>
              <w:right w:val="single" w:color="auto" w:sz="4" w:space="0"/>
            </w:tcBorders>
            <w:noWrap/>
            <w:vAlign w:val="center"/>
          </w:tcPr>
          <w:p w14:paraId="57021942">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val="en-US" w:eastAsia="zh-CN"/>
              </w:rPr>
            </w:pPr>
          </w:p>
        </w:tc>
        <w:tc>
          <w:tcPr>
            <w:tcW w:w="2012" w:type="dxa"/>
            <w:gridSpan w:val="3"/>
            <w:tcBorders>
              <w:top w:val="single" w:color="auto" w:sz="4" w:space="0"/>
              <w:left w:val="single" w:color="auto" w:sz="4" w:space="0"/>
              <w:bottom w:val="single" w:color="auto" w:sz="4" w:space="0"/>
              <w:right w:val="single" w:color="auto" w:sz="4" w:space="0"/>
            </w:tcBorders>
            <w:noWrap/>
            <w:vAlign w:val="center"/>
          </w:tcPr>
          <w:p w14:paraId="3685CDD6">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到货时间</w:t>
            </w:r>
          </w:p>
        </w:tc>
        <w:tc>
          <w:tcPr>
            <w:tcW w:w="3681" w:type="dxa"/>
            <w:tcBorders>
              <w:top w:val="single" w:color="auto" w:sz="4" w:space="0"/>
              <w:left w:val="single" w:color="auto" w:sz="4" w:space="0"/>
              <w:bottom w:val="single" w:color="auto" w:sz="4" w:space="0"/>
              <w:right w:val="single" w:color="auto" w:sz="4" w:space="0"/>
            </w:tcBorders>
            <w:noWrap/>
            <w:vAlign w:val="center"/>
          </w:tcPr>
          <w:p w14:paraId="5A929FAE">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 xml:space="preserve">         年    月    日</w:t>
            </w:r>
          </w:p>
        </w:tc>
      </w:tr>
      <w:tr w14:paraId="5D8CE687">
        <w:tblPrEx>
          <w:tblCellMar>
            <w:top w:w="0" w:type="dxa"/>
            <w:left w:w="108" w:type="dxa"/>
            <w:bottom w:w="0" w:type="dxa"/>
            <w:right w:w="108" w:type="dxa"/>
          </w:tblCellMar>
        </w:tblPrEx>
        <w:trPr>
          <w:trHeight w:val="460" w:hRule="atLeast"/>
        </w:trPr>
        <w:tc>
          <w:tcPr>
            <w:tcW w:w="1306" w:type="dxa"/>
            <w:tcBorders>
              <w:top w:val="single" w:color="auto" w:sz="4" w:space="0"/>
              <w:left w:val="single" w:color="auto" w:sz="4" w:space="0"/>
              <w:bottom w:val="single" w:color="auto" w:sz="4" w:space="0"/>
              <w:right w:val="single" w:color="auto" w:sz="4" w:space="0"/>
            </w:tcBorders>
            <w:noWrap/>
            <w:vAlign w:val="center"/>
          </w:tcPr>
          <w:p w14:paraId="405459C0">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采购</w:t>
            </w:r>
            <w:r>
              <w:rPr>
                <w:rFonts w:hint="default" w:ascii="Times New Roman" w:hAnsi="Times New Roman" w:eastAsia="仿宋_GB2312" w:cs="Times New Roman"/>
                <w:b w:val="0"/>
                <w:bCs/>
                <w:snapToGrid/>
                <w:color w:val="auto"/>
                <w:kern w:val="0"/>
                <w:sz w:val="22"/>
                <w:szCs w:val="22"/>
                <w:highlight w:val="none"/>
                <w:lang w:eastAsia="zh-CN"/>
              </w:rPr>
              <w:t>单位</w:t>
            </w:r>
          </w:p>
        </w:tc>
        <w:tc>
          <w:tcPr>
            <w:tcW w:w="3371" w:type="dxa"/>
            <w:tcBorders>
              <w:top w:val="single" w:color="auto" w:sz="4" w:space="0"/>
              <w:left w:val="single" w:color="auto" w:sz="4" w:space="0"/>
              <w:bottom w:val="single" w:color="auto" w:sz="4" w:space="0"/>
              <w:right w:val="single" w:color="auto" w:sz="4" w:space="0"/>
            </w:tcBorders>
            <w:noWrap/>
            <w:vAlign w:val="center"/>
          </w:tcPr>
          <w:p w14:paraId="11E0C7FB">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2012" w:type="dxa"/>
            <w:gridSpan w:val="3"/>
            <w:tcBorders>
              <w:top w:val="single" w:color="auto" w:sz="4" w:space="0"/>
              <w:left w:val="single" w:color="auto" w:sz="4" w:space="0"/>
              <w:bottom w:val="single" w:color="auto" w:sz="4" w:space="0"/>
              <w:right w:val="single" w:color="auto" w:sz="4" w:space="0"/>
            </w:tcBorders>
            <w:noWrap/>
            <w:vAlign w:val="center"/>
          </w:tcPr>
          <w:p w14:paraId="6F58C63E">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验收时间</w:t>
            </w:r>
          </w:p>
        </w:tc>
        <w:tc>
          <w:tcPr>
            <w:tcW w:w="3681" w:type="dxa"/>
            <w:tcBorders>
              <w:top w:val="single" w:color="auto" w:sz="4" w:space="0"/>
              <w:left w:val="single" w:color="auto" w:sz="4" w:space="0"/>
              <w:bottom w:val="single" w:color="auto" w:sz="4" w:space="0"/>
              <w:right w:val="single" w:color="auto" w:sz="4" w:space="0"/>
            </w:tcBorders>
            <w:noWrap/>
            <w:vAlign w:val="center"/>
          </w:tcPr>
          <w:p w14:paraId="462DAD80">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 xml:space="preserve">         年    月    日</w:t>
            </w:r>
          </w:p>
        </w:tc>
      </w:tr>
      <w:tr w14:paraId="1BC87897">
        <w:tblPrEx>
          <w:tblCellMar>
            <w:top w:w="0" w:type="dxa"/>
            <w:left w:w="108" w:type="dxa"/>
            <w:bottom w:w="0" w:type="dxa"/>
            <w:right w:w="108" w:type="dxa"/>
          </w:tblCellMar>
        </w:tblPrEx>
        <w:trPr>
          <w:trHeight w:val="1356" w:hRule="atLeast"/>
        </w:trPr>
        <w:tc>
          <w:tcPr>
            <w:tcW w:w="1306" w:type="dxa"/>
            <w:tcBorders>
              <w:top w:val="single" w:color="auto" w:sz="4" w:space="0"/>
              <w:left w:val="single" w:color="auto" w:sz="4" w:space="0"/>
              <w:right w:val="single" w:color="auto" w:sz="4" w:space="0"/>
            </w:tcBorders>
            <w:noWrap/>
            <w:vAlign w:val="center"/>
          </w:tcPr>
          <w:p w14:paraId="5D8CCCBB">
            <w:pPr>
              <w:widowControl/>
              <w:kinsoku/>
              <w:autoSpaceDE/>
              <w:autoSpaceDN/>
              <w:adjustRightInd/>
              <w:snapToGrid w:val="0"/>
              <w:spacing w:line="300" w:lineRule="exact"/>
              <w:ind w:left="-105" w:leftChars="-50" w:right="-105" w:rightChars="-5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w:t>
            </w:r>
          </w:p>
          <w:p w14:paraId="020370B4">
            <w:pPr>
              <w:widowControl/>
              <w:kinsoku/>
              <w:autoSpaceDE/>
              <w:autoSpaceDN/>
              <w:adjustRightInd/>
              <w:snapToGrid w:val="0"/>
              <w:spacing w:line="300" w:lineRule="exact"/>
              <w:ind w:left="-105" w:leftChars="-50" w:right="-105" w:rightChars="-5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清单</w:t>
            </w:r>
          </w:p>
        </w:tc>
        <w:tc>
          <w:tcPr>
            <w:tcW w:w="9064" w:type="dxa"/>
            <w:gridSpan w:val="5"/>
            <w:tcBorders>
              <w:top w:val="single" w:color="auto" w:sz="4" w:space="0"/>
              <w:left w:val="single" w:color="auto" w:sz="4" w:space="0"/>
              <w:bottom w:val="single" w:color="auto" w:sz="4" w:space="0"/>
              <w:right w:val="single" w:color="auto" w:sz="4" w:space="0"/>
            </w:tcBorders>
            <w:noWrap w:val="0"/>
            <w:vAlign w:val="center"/>
          </w:tcPr>
          <w:p w14:paraId="1AA02716">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val="en-US" w:eastAsia="zh-CN"/>
              </w:rPr>
            </w:pPr>
            <w:r>
              <w:rPr>
                <w:rFonts w:hint="eastAsia" w:ascii="仿宋" w:hAnsi="仿宋" w:eastAsia="仿宋" w:cs="仿宋"/>
                <w:b w:val="0"/>
                <w:bCs w:val="0"/>
                <w:color w:val="auto"/>
                <w:sz w:val="24"/>
                <w:szCs w:val="24"/>
                <w:highlight w:val="none"/>
                <w:lang w:val="en-US" w:eastAsia="zh-CN"/>
              </w:rPr>
              <w:t>已供货物详见附件清单</w:t>
            </w:r>
          </w:p>
        </w:tc>
      </w:tr>
      <w:tr w14:paraId="57474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06" w:type="dxa"/>
            <w:vMerge w:val="restart"/>
            <w:tcBorders>
              <w:top w:val="single" w:color="auto" w:sz="4" w:space="0"/>
              <w:left w:val="single" w:color="auto" w:sz="4" w:space="0"/>
              <w:right w:val="single" w:color="auto" w:sz="4" w:space="0"/>
            </w:tcBorders>
            <w:noWrap w:val="0"/>
            <w:vAlign w:val="center"/>
          </w:tcPr>
          <w:p w14:paraId="4A127C2F">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进场</w:t>
            </w:r>
          </w:p>
          <w:p w14:paraId="12D0C507">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检查</w:t>
            </w:r>
          </w:p>
          <w:p w14:paraId="6F5026F4">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情况</w:t>
            </w:r>
          </w:p>
        </w:tc>
        <w:tc>
          <w:tcPr>
            <w:tcW w:w="3371" w:type="dxa"/>
            <w:tcBorders>
              <w:top w:val="single" w:color="auto" w:sz="4" w:space="0"/>
              <w:left w:val="single" w:color="auto" w:sz="4" w:space="0"/>
              <w:right w:val="single" w:color="auto" w:sz="4" w:space="0"/>
            </w:tcBorders>
            <w:noWrap w:val="0"/>
            <w:vAlign w:val="center"/>
          </w:tcPr>
          <w:p w14:paraId="0861551D">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货物数量是否齐全，如否请备注缺货或错货情况</w:t>
            </w:r>
          </w:p>
        </w:tc>
        <w:tc>
          <w:tcPr>
            <w:tcW w:w="5693" w:type="dxa"/>
            <w:gridSpan w:val="4"/>
            <w:tcBorders>
              <w:top w:val="single" w:color="auto" w:sz="4" w:space="0"/>
              <w:left w:val="single" w:color="auto" w:sz="4" w:space="0"/>
              <w:right w:val="single" w:color="auto" w:sz="4" w:space="0"/>
            </w:tcBorders>
            <w:noWrap w:val="0"/>
            <w:vAlign w:val="center"/>
          </w:tcPr>
          <w:p w14:paraId="466D3825">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67FCD44F">
            <w:pPr>
              <w:widowControl w:val="0"/>
              <w:spacing w:after="0" w:line="300" w:lineRule="exact"/>
              <w:ind w:firstLine="0" w:firstLineChars="0"/>
              <w:jc w:val="both"/>
              <w:rPr>
                <w:rFonts w:hint="default" w:ascii="Times New Roman" w:hAnsi="Times New Roman" w:eastAsia="仿宋_GB2312" w:cs="Times New Roman"/>
                <w:bCs/>
                <w:color w:val="auto"/>
                <w:kern w:val="2"/>
                <w:sz w:val="21"/>
                <w:szCs w:val="24"/>
                <w:highlight w:val="none"/>
                <w:lang w:val="en-US" w:eastAsia="zh-CN" w:bidi="ar-SA"/>
              </w:rPr>
            </w:pPr>
            <w:r>
              <w:rPr>
                <w:rFonts w:hint="default" w:ascii="Times New Roman" w:hAnsi="Times New Roman" w:eastAsia="仿宋_GB2312" w:cs="Times New Roman"/>
                <w:b w:val="0"/>
                <w:bCs/>
                <w:color w:val="auto"/>
                <w:kern w:val="0"/>
                <w:sz w:val="22"/>
                <w:szCs w:val="22"/>
                <w:highlight w:val="none"/>
                <w:lang w:val="en-US" w:eastAsia="zh-CN" w:bidi="ar-SA"/>
              </w:rPr>
              <w:t>备注：</w:t>
            </w:r>
          </w:p>
        </w:tc>
      </w:tr>
      <w:tr w14:paraId="2D11E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06" w:type="dxa"/>
            <w:vMerge w:val="continue"/>
            <w:tcBorders>
              <w:left w:val="single" w:color="auto" w:sz="4" w:space="0"/>
              <w:right w:val="single" w:color="auto" w:sz="4" w:space="0"/>
            </w:tcBorders>
            <w:noWrap w:val="0"/>
            <w:vAlign w:val="center"/>
          </w:tcPr>
          <w:p w14:paraId="1C75CEC0">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3371" w:type="dxa"/>
            <w:tcBorders>
              <w:top w:val="single" w:color="auto" w:sz="4" w:space="0"/>
              <w:left w:val="single" w:color="auto" w:sz="4" w:space="0"/>
              <w:right w:val="single" w:color="auto" w:sz="4" w:space="0"/>
            </w:tcBorders>
            <w:noWrap w:val="0"/>
            <w:vAlign w:val="center"/>
          </w:tcPr>
          <w:p w14:paraId="61BB3438">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货物是否完好无损，如否请备注货损情况</w:t>
            </w:r>
          </w:p>
        </w:tc>
        <w:tc>
          <w:tcPr>
            <w:tcW w:w="5693" w:type="dxa"/>
            <w:gridSpan w:val="4"/>
            <w:tcBorders>
              <w:top w:val="single" w:color="auto" w:sz="4" w:space="0"/>
              <w:left w:val="single" w:color="auto" w:sz="4" w:space="0"/>
              <w:right w:val="single" w:color="auto" w:sz="4" w:space="0"/>
            </w:tcBorders>
            <w:noWrap w:val="0"/>
            <w:vAlign w:val="center"/>
          </w:tcPr>
          <w:p w14:paraId="06CF0EFF">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49818901">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75B82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06" w:type="dxa"/>
            <w:vMerge w:val="continue"/>
            <w:tcBorders>
              <w:left w:val="single" w:color="auto" w:sz="4" w:space="0"/>
              <w:right w:val="single" w:color="auto" w:sz="4" w:space="0"/>
            </w:tcBorders>
            <w:noWrap w:val="0"/>
            <w:vAlign w:val="center"/>
          </w:tcPr>
          <w:p w14:paraId="62B10F62">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3371" w:type="dxa"/>
            <w:tcBorders>
              <w:top w:val="single" w:color="auto" w:sz="4" w:space="0"/>
              <w:left w:val="single" w:color="auto" w:sz="4" w:space="0"/>
              <w:right w:val="single" w:color="auto" w:sz="4" w:space="0"/>
            </w:tcBorders>
            <w:noWrap w:val="0"/>
            <w:vAlign w:val="center"/>
          </w:tcPr>
          <w:p w14:paraId="5D48E0B4">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随货物备品备件和专用工具情况，如有缺请备注</w:t>
            </w:r>
          </w:p>
        </w:tc>
        <w:tc>
          <w:tcPr>
            <w:tcW w:w="5693" w:type="dxa"/>
            <w:gridSpan w:val="4"/>
            <w:tcBorders>
              <w:top w:val="single" w:color="auto" w:sz="4" w:space="0"/>
              <w:left w:val="single" w:color="auto" w:sz="4" w:space="0"/>
              <w:right w:val="single" w:color="auto" w:sz="4" w:space="0"/>
            </w:tcBorders>
            <w:noWrap w:val="0"/>
            <w:vAlign w:val="center"/>
          </w:tcPr>
          <w:p w14:paraId="7E1AB08E">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27325134">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21C8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06" w:type="dxa"/>
            <w:vMerge w:val="continue"/>
            <w:tcBorders>
              <w:left w:val="single" w:color="auto" w:sz="4" w:space="0"/>
              <w:right w:val="single" w:color="auto" w:sz="4" w:space="0"/>
            </w:tcBorders>
            <w:noWrap w:val="0"/>
            <w:vAlign w:val="center"/>
          </w:tcPr>
          <w:p w14:paraId="56E8B22D">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3371" w:type="dxa"/>
            <w:tcBorders>
              <w:top w:val="single" w:color="auto" w:sz="4" w:space="0"/>
              <w:left w:val="single" w:color="auto" w:sz="4" w:space="0"/>
              <w:right w:val="single" w:color="auto" w:sz="4" w:space="0"/>
            </w:tcBorders>
            <w:noWrap w:val="0"/>
            <w:vAlign w:val="center"/>
          </w:tcPr>
          <w:p w14:paraId="15191872">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货物和配件材质是否</w:t>
            </w:r>
            <w:r>
              <w:rPr>
                <w:rFonts w:hint="eastAsia" w:ascii="Times New Roman" w:hAnsi="Times New Roman" w:eastAsia="仿宋_GB2312" w:cs="Times New Roman"/>
                <w:b w:val="0"/>
                <w:bCs/>
                <w:snapToGrid/>
                <w:color w:val="auto"/>
                <w:kern w:val="0"/>
                <w:sz w:val="22"/>
                <w:szCs w:val="22"/>
                <w:highlight w:val="none"/>
                <w:lang w:val="en-US" w:eastAsia="zh-CN"/>
              </w:rPr>
              <w:t>符合需求</w:t>
            </w:r>
            <w:r>
              <w:rPr>
                <w:rFonts w:hint="default" w:ascii="Times New Roman" w:hAnsi="Times New Roman" w:eastAsia="仿宋_GB2312" w:cs="Times New Roman"/>
                <w:b w:val="0"/>
                <w:bCs/>
                <w:snapToGrid/>
                <w:color w:val="auto"/>
                <w:kern w:val="0"/>
                <w:sz w:val="22"/>
                <w:szCs w:val="22"/>
                <w:highlight w:val="none"/>
                <w:lang w:eastAsia="zh-CN"/>
              </w:rPr>
              <w:t>，如否请备注情况</w:t>
            </w:r>
          </w:p>
        </w:tc>
        <w:tc>
          <w:tcPr>
            <w:tcW w:w="5693" w:type="dxa"/>
            <w:gridSpan w:val="4"/>
            <w:tcBorders>
              <w:top w:val="single" w:color="auto" w:sz="4" w:space="0"/>
              <w:left w:val="single" w:color="auto" w:sz="4" w:space="0"/>
              <w:right w:val="single" w:color="auto" w:sz="4" w:space="0"/>
            </w:tcBorders>
            <w:noWrap w:val="0"/>
            <w:vAlign w:val="center"/>
          </w:tcPr>
          <w:p w14:paraId="70EC5DA6">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1D4B36F8">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5AA5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06" w:type="dxa"/>
            <w:vMerge w:val="continue"/>
            <w:tcBorders>
              <w:left w:val="single" w:color="auto" w:sz="4" w:space="0"/>
              <w:right w:val="single" w:color="auto" w:sz="4" w:space="0"/>
            </w:tcBorders>
            <w:noWrap w:val="0"/>
            <w:vAlign w:val="center"/>
          </w:tcPr>
          <w:p w14:paraId="4C829E1B">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3371" w:type="dxa"/>
            <w:tcBorders>
              <w:top w:val="single" w:color="auto" w:sz="4" w:space="0"/>
              <w:left w:val="single" w:color="auto" w:sz="4" w:space="0"/>
              <w:right w:val="single" w:color="auto" w:sz="4" w:space="0"/>
            </w:tcBorders>
            <w:noWrap w:val="0"/>
            <w:vAlign w:val="center"/>
          </w:tcPr>
          <w:p w14:paraId="07EE6288">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货物和配件性能参数是否</w:t>
            </w:r>
            <w:r>
              <w:rPr>
                <w:rFonts w:hint="eastAsia" w:ascii="Times New Roman" w:hAnsi="Times New Roman" w:eastAsia="仿宋_GB2312" w:cs="Times New Roman"/>
                <w:b w:val="0"/>
                <w:bCs/>
                <w:snapToGrid/>
                <w:color w:val="auto"/>
                <w:kern w:val="0"/>
                <w:sz w:val="22"/>
                <w:szCs w:val="22"/>
                <w:highlight w:val="none"/>
                <w:lang w:val="en-US" w:eastAsia="zh-CN"/>
              </w:rPr>
              <w:t>符合需求</w:t>
            </w:r>
            <w:r>
              <w:rPr>
                <w:rFonts w:hint="default" w:ascii="Times New Roman" w:hAnsi="Times New Roman" w:eastAsia="仿宋_GB2312" w:cs="Times New Roman"/>
                <w:b w:val="0"/>
                <w:bCs/>
                <w:snapToGrid/>
                <w:color w:val="auto"/>
                <w:kern w:val="0"/>
                <w:sz w:val="22"/>
                <w:szCs w:val="22"/>
                <w:highlight w:val="none"/>
                <w:lang w:eastAsia="zh-CN"/>
              </w:rPr>
              <w:t>，如否请备注情况</w:t>
            </w:r>
          </w:p>
        </w:tc>
        <w:tc>
          <w:tcPr>
            <w:tcW w:w="5693" w:type="dxa"/>
            <w:gridSpan w:val="4"/>
            <w:tcBorders>
              <w:top w:val="single" w:color="auto" w:sz="4" w:space="0"/>
              <w:left w:val="single" w:color="auto" w:sz="4" w:space="0"/>
              <w:right w:val="single" w:color="auto" w:sz="4" w:space="0"/>
            </w:tcBorders>
            <w:noWrap w:val="0"/>
            <w:vAlign w:val="center"/>
          </w:tcPr>
          <w:p w14:paraId="3A56B4C8">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79AB3890">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5A3C3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06" w:type="dxa"/>
            <w:vMerge w:val="continue"/>
            <w:tcBorders>
              <w:left w:val="single" w:color="auto" w:sz="4" w:space="0"/>
              <w:bottom w:val="single" w:color="auto" w:sz="4" w:space="0"/>
              <w:right w:val="single" w:color="auto" w:sz="4" w:space="0"/>
            </w:tcBorders>
            <w:noWrap w:val="0"/>
            <w:vAlign w:val="center"/>
          </w:tcPr>
          <w:p w14:paraId="2DB681B9">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3371" w:type="dxa"/>
            <w:tcBorders>
              <w:top w:val="single" w:color="auto" w:sz="4" w:space="0"/>
              <w:left w:val="single" w:color="auto" w:sz="4" w:space="0"/>
              <w:right w:val="single" w:color="auto" w:sz="4" w:space="0"/>
            </w:tcBorders>
            <w:noWrap w:val="0"/>
            <w:vAlign w:val="center"/>
          </w:tcPr>
          <w:p w14:paraId="1A734CB0">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到货资料检查</w:t>
            </w:r>
          </w:p>
        </w:tc>
        <w:tc>
          <w:tcPr>
            <w:tcW w:w="5693" w:type="dxa"/>
            <w:gridSpan w:val="4"/>
            <w:tcBorders>
              <w:top w:val="single" w:color="auto" w:sz="4" w:space="0"/>
              <w:left w:val="single" w:color="auto" w:sz="4" w:space="0"/>
              <w:right w:val="single" w:color="auto" w:sz="4" w:space="0"/>
            </w:tcBorders>
            <w:noWrap w:val="0"/>
            <w:vAlign w:val="center"/>
          </w:tcPr>
          <w:p w14:paraId="622E76F8">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val="en-US" w:eastAsia="zh-CN"/>
              </w:rPr>
              <w:t>产品说明书</w:t>
            </w:r>
            <w:r>
              <w:rPr>
                <w:rFonts w:hint="default" w:ascii="Times New Roman" w:hAnsi="Times New Roman" w:eastAsia="仿宋_GB2312" w:cs="Times New Roman"/>
                <w:b w:val="0"/>
                <w:bCs/>
                <w:snapToGrid/>
                <w:color w:val="auto"/>
                <w:kern w:val="0"/>
                <w:sz w:val="22"/>
                <w:szCs w:val="22"/>
                <w:highlight w:val="none"/>
                <w:lang w:eastAsia="zh-CN"/>
              </w:rPr>
              <w:t>、</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产品合格证、</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保修单、</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val="en-US" w:eastAsia="zh-CN"/>
              </w:rPr>
              <w:t>出厂检测</w:t>
            </w:r>
            <w:r>
              <w:rPr>
                <w:rFonts w:hint="default" w:ascii="Times New Roman" w:hAnsi="Times New Roman" w:eastAsia="仿宋_GB2312" w:cs="Times New Roman"/>
                <w:b w:val="0"/>
                <w:bCs/>
                <w:snapToGrid/>
                <w:color w:val="auto"/>
                <w:kern w:val="0"/>
                <w:sz w:val="22"/>
                <w:szCs w:val="22"/>
                <w:highlight w:val="none"/>
                <w:lang w:eastAsia="zh-CN"/>
              </w:rPr>
              <w:t>报告、</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技术图纸、</w:t>
            </w:r>
            <w:r>
              <w:rPr>
                <w:rFonts w:hint="eastAsia" w:ascii="Times New Roman" w:hAnsi="Times New Roman" w:eastAsia="仿宋_GB2312" w:cs="Times New Roman"/>
                <w:b w:val="0"/>
                <w:bCs/>
                <w:snapToGrid/>
                <w:color w:val="auto"/>
                <w:kern w:val="0"/>
                <w:sz w:val="22"/>
                <w:szCs w:val="22"/>
                <w:highlight w:val="none"/>
                <w:lang w:eastAsia="zh-CN"/>
              </w:rPr>
              <w:t>其他</w:t>
            </w:r>
            <w:r>
              <w:rPr>
                <w:rFonts w:hint="default" w:ascii="Times New Roman" w:hAnsi="Times New Roman" w:eastAsia="仿宋_GB2312" w:cs="Times New Roman"/>
                <w:b w:val="0"/>
                <w:bCs/>
                <w:snapToGrid/>
                <w:color w:val="auto"/>
                <w:kern w:val="0"/>
                <w:sz w:val="22"/>
                <w:szCs w:val="22"/>
                <w:highlight w:val="none"/>
                <w:lang w:eastAsia="zh-CN"/>
              </w:rPr>
              <w:t xml:space="preserve">      </w:t>
            </w:r>
          </w:p>
        </w:tc>
      </w:tr>
      <w:tr w14:paraId="4A032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06" w:type="dxa"/>
            <w:vMerge w:val="continue"/>
            <w:tcBorders>
              <w:left w:val="single" w:color="auto" w:sz="4" w:space="0"/>
              <w:bottom w:val="single" w:color="auto" w:sz="4" w:space="0"/>
              <w:right w:val="single" w:color="auto" w:sz="4" w:space="0"/>
            </w:tcBorders>
            <w:noWrap w:val="0"/>
            <w:vAlign w:val="center"/>
          </w:tcPr>
          <w:p w14:paraId="4D0A26FB">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3371" w:type="dxa"/>
            <w:tcBorders>
              <w:top w:val="single" w:color="auto" w:sz="4" w:space="0"/>
              <w:left w:val="single" w:color="auto" w:sz="4" w:space="0"/>
              <w:right w:val="single" w:color="auto" w:sz="4" w:space="0"/>
            </w:tcBorders>
            <w:noWrap w:val="0"/>
            <w:vAlign w:val="center"/>
          </w:tcPr>
          <w:p w14:paraId="57F9BFE2">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是否需要送检</w:t>
            </w:r>
          </w:p>
        </w:tc>
        <w:tc>
          <w:tcPr>
            <w:tcW w:w="5693" w:type="dxa"/>
            <w:gridSpan w:val="4"/>
            <w:tcBorders>
              <w:top w:val="single" w:color="auto" w:sz="4" w:space="0"/>
              <w:left w:val="single" w:color="auto" w:sz="4" w:space="0"/>
              <w:right w:val="single" w:color="auto" w:sz="4" w:space="0"/>
            </w:tcBorders>
            <w:noWrap w:val="0"/>
            <w:vAlign w:val="center"/>
          </w:tcPr>
          <w:p w14:paraId="32141173">
            <w:pPr>
              <w:widowControl w:val="0"/>
              <w:kinsoku/>
              <w:autoSpaceDE/>
              <w:autoSpaceDN/>
              <w:adjustRightInd/>
              <w:snapToGrid w:val="0"/>
              <w:spacing w:line="300" w:lineRule="exact"/>
              <w:ind w:firstLine="880" w:firstLineChars="40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tc>
      </w:tr>
      <w:tr w14:paraId="42BC5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06" w:type="dxa"/>
            <w:vMerge w:val="continue"/>
            <w:tcBorders>
              <w:left w:val="single" w:color="auto" w:sz="4" w:space="0"/>
              <w:bottom w:val="single" w:color="auto" w:sz="4" w:space="0"/>
              <w:right w:val="single" w:color="auto" w:sz="4" w:space="0"/>
            </w:tcBorders>
            <w:noWrap w:val="0"/>
            <w:vAlign w:val="center"/>
          </w:tcPr>
          <w:p w14:paraId="17D47182">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3371" w:type="dxa"/>
            <w:tcBorders>
              <w:top w:val="single" w:color="auto" w:sz="4" w:space="0"/>
              <w:left w:val="single" w:color="auto" w:sz="4" w:space="0"/>
              <w:right w:val="single" w:color="auto" w:sz="4" w:space="0"/>
            </w:tcBorders>
            <w:noWrap w:val="0"/>
            <w:vAlign w:val="center"/>
          </w:tcPr>
          <w:p w14:paraId="46C7999A">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其他问题</w:t>
            </w:r>
          </w:p>
        </w:tc>
        <w:tc>
          <w:tcPr>
            <w:tcW w:w="5693" w:type="dxa"/>
            <w:gridSpan w:val="4"/>
            <w:tcBorders>
              <w:top w:val="single" w:color="auto" w:sz="4" w:space="0"/>
              <w:left w:val="single" w:color="auto" w:sz="4" w:space="0"/>
              <w:right w:val="single" w:color="auto" w:sz="4" w:space="0"/>
            </w:tcBorders>
            <w:noWrap w:val="0"/>
            <w:vAlign w:val="center"/>
          </w:tcPr>
          <w:p w14:paraId="721BD9A4">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p>
        </w:tc>
      </w:tr>
      <w:tr w14:paraId="6D7A0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4883" w:type="dxa"/>
            <w:gridSpan w:val="3"/>
            <w:tcBorders>
              <w:left w:val="single" w:color="auto" w:sz="4" w:space="0"/>
              <w:bottom w:val="single" w:color="auto" w:sz="4" w:space="0"/>
              <w:right w:val="single" w:color="auto" w:sz="4" w:space="0"/>
            </w:tcBorders>
            <w:noWrap w:val="0"/>
            <w:vAlign w:val="center"/>
          </w:tcPr>
          <w:p w14:paraId="4BEAA13B">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现场到货验收意见</w:t>
            </w:r>
          </w:p>
        </w:tc>
        <w:tc>
          <w:tcPr>
            <w:tcW w:w="5487" w:type="dxa"/>
            <w:gridSpan w:val="3"/>
            <w:tcBorders>
              <w:top w:val="single" w:color="auto" w:sz="4" w:space="0"/>
              <w:left w:val="single" w:color="auto" w:sz="4" w:space="0"/>
              <w:right w:val="single" w:color="auto" w:sz="4" w:space="0"/>
            </w:tcBorders>
            <w:noWrap w:val="0"/>
            <w:vAlign w:val="center"/>
          </w:tcPr>
          <w:p w14:paraId="2DF97149">
            <w:pPr>
              <w:pStyle w:val="18"/>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left="0" w:right="0" w:firstLine="620" w:firstLineChars="200"/>
              <w:textAlignment w:val="auto"/>
              <w:rPr>
                <w:rFonts w:hint="default" w:ascii="Times New Roman" w:hAnsi="Times New Roman" w:eastAsia="仿宋_GB2312" w:cs="Times New Roman"/>
                <w:b w:val="0"/>
                <w:bCs/>
                <w:snapToGrid/>
                <w:color w:val="auto"/>
                <w:kern w:val="2"/>
                <w:sz w:val="31"/>
                <w:szCs w:val="24"/>
                <w:highlight w:val="none"/>
                <w:lang w:eastAsia="zh-CN"/>
              </w:rPr>
            </w:pPr>
          </w:p>
          <w:p w14:paraId="035FAA45">
            <w:pPr>
              <w:pStyle w:val="18"/>
              <w:rPr>
                <w:rFonts w:hint="default"/>
                <w:color w:val="auto"/>
                <w:highlight w:val="none"/>
                <w:lang w:eastAsia="zh-CN"/>
              </w:rPr>
            </w:pPr>
          </w:p>
          <w:p w14:paraId="63F01228">
            <w:pPr>
              <w:rPr>
                <w:rFonts w:hint="default"/>
                <w:color w:val="auto"/>
                <w:highlight w:val="none"/>
                <w:lang w:eastAsia="zh-CN"/>
              </w:rPr>
            </w:pPr>
          </w:p>
        </w:tc>
      </w:tr>
      <w:tr w14:paraId="210F322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0" w:hRule="atLeast"/>
        </w:trPr>
        <w:tc>
          <w:tcPr>
            <w:tcW w:w="10370" w:type="dxa"/>
            <w:gridSpan w:val="6"/>
            <w:tcBorders>
              <w:top w:val="single" w:color="auto" w:sz="6" w:space="0"/>
              <w:left w:val="single" w:color="auto" w:sz="6" w:space="0"/>
              <w:bottom w:val="single" w:color="auto" w:sz="6" w:space="0"/>
              <w:right w:val="single" w:color="auto" w:sz="6" w:space="0"/>
            </w:tcBorders>
            <w:noWrap/>
            <w:vAlign w:val="center"/>
          </w:tcPr>
          <w:p w14:paraId="3DA3E583">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 xml:space="preserve">参 加  验 收 的 单 位 和 代 表 （签 </w:t>
            </w:r>
            <w:r>
              <w:rPr>
                <w:rFonts w:hint="default" w:ascii="Times New Roman" w:hAnsi="Times New Roman" w:eastAsia="仿宋_GB2312" w:cs="Times New Roman"/>
                <w:b w:val="0"/>
                <w:bCs/>
                <w:snapToGrid/>
                <w:color w:val="auto"/>
                <w:kern w:val="2"/>
                <w:sz w:val="22"/>
                <w:szCs w:val="22"/>
                <w:highlight w:val="none"/>
                <w:lang w:val="en-US" w:eastAsia="zh-CN"/>
              </w:rPr>
              <w:t>字</w:t>
            </w:r>
            <w:r>
              <w:rPr>
                <w:rFonts w:hint="default" w:ascii="Times New Roman" w:hAnsi="Times New Roman" w:eastAsia="仿宋_GB2312" w:cs="Times New Roman"/>
                <w:b w:val="0"/>
                <w:bCs/>
                <w:snapToGrid/>
                <w:color w:val="auto"/>
                <w:kern w:val="2"/>
                <w:sz w:val="22"/>
                <w:szCs w:val="22"/>
                <w:highlight w:val="none"/>
                <w:lang w:eastAsia="zh-CN"/>
              </w:rPr>
              <w:t>）</w:t>
            </w:r>
          </w:p>
        </w:tc>
      </w:tr>
      <w:tr w14:paraId="26FC4F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92" w:hRule="atLeast"/>
        </w:trPr>
        <w:tc>
          <w:tcPr>
            <w:tcW w:w="5581" w:type="dxa"/>
            <w:gridSpan w:val="4"/>
            <w:tcBorders>
              <w:top w:val="single" w:color="auto" w:sz="6" w:space="0"/>
              <w:left w:val="single" w:color="auto" w:sz="6" w:space="0"/>
              <w:bottom w:val="single" w:color="auto" w:sz="6" w:space="0"/>
              <w:right w:val="single" w:color="auto" w:sz="6" w:space="0"/>
            </w:tcBorders>
            <w:noWrap/>
            <w:vAlign w:val="top"/>
          </w:tcPr>
          <w:p w14:paraId="29DF4166">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2"/>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供货</w:t>
            </w:r>
            <w:r>
              <w:rPr>
                <w:rFonts w:hint="default" w:ascii="Times New Roman" w:hAnsi="Times New Roman" w:eastAsia="仿宋_GB2312" w:cs="Times New Roman"/>
                <w:b w:val="0"/>
                <w:bCs/>
                <w:snapToGrid/>
                <w:color w:val="auto"/>
                <w:kern w:val="2"/>
                <w:sz w:val="22"/>
                <w:szCs w:val="22"/>
                <w:highlight w:val="none"/>
                <w:lang w:eastAsia="zh-CN"/>
              </w:rPr>
              <w:t>单位</w:t>
            </w:r>
            <w:r>
              <w:rPr>
                <w:rFonts w:hint="eastAsia" w:ascii="Times New Roman" w:hAnsi="Times New Roman" w:eastAsia="仿宋_GB2312" w:cs="Times New Roman"/>
                <w:b w:val="0"/>
                <w:bCs/>
                <w:snapToGrid/>
                <w:color w:val="auto"/>
                <w:kern w:val="2"/>
                <w:sz w:val="22"/>
                <w:szCs w:val="22"/>
                <w:highlight w:val="none"/>
                <w:lang w:val="en-US" w:eastAsia="zh-CN"/>
              </w:rPr>
              <w:t xml:space="preserve">  </w:t>
            </w:r>
          </w:p>
        </w:tc>
        <w:tc>
          <w:tcPr>
            <w:tcW w:w="4789" w:type="dxa"/>
            <w:gridSpan w:val="2"/>
            <w:tcBorders>
              <w:top w:val="single" w:color="auto" w:sz="6" w:space="0"/>
              <w:left w:val="single" w:color="auto" w:sz="6" w:space="0"/>
              <w:bottom w:val="single" w:color="auto" w:sz="6" w:space="0"/>
              <w:right w:val="single" w:color="auto" w:sz="6" w:space="0"/>
            </w:tcBorders>
            <w:noWrap w:val="0"/>
            <w:vAlign w:val="top"/>
          </w:tcPr>
          <w:p w14:paraId="76ABC6A1">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采购</w:t>
            </w:r>
            <w:r>
              <w:rPr>
                <w:rFonts w:hint="default" w:ascii="Times New Roman" w:hAnsi="Times New Roman" w:eastAsia="仿宋_GB2312" w:cs="Times New Roman"/>
                <w:b w:val="0"/>
                <w:bCs/>
                <w:snapToGrid/>
                <w:color w:val="auto"/>
                <w:kern w:val="2"/>
                <w:sz w:val="22"/>
                <w:szCs w:val="22"/>
                <w:highlight w:val="none"/>
                <w:lang w:eastAsia="zh-CN"/>
              </w:rPr>
              <w:t>单位</w:t>
            </w:r>
            <w:r>
              <w:rPr>
                <w:rFonts w:hint="eastAsia" w:ascii="Times New Roman" w:hAnsi="Times New Roman" w:eastAsia="仿宋_GB2312" w:cs="Times New Roman"/>
                <w:b w:val="0"/>
                <w:bCs/>
                <w:snapToGrid/>
                <w:color w:val="auto"/>
                <w:kern w:val="2"/>
                <w:sz w:val="22"/>
                <w:szCs w:val="22"/>
                <w:highlight w:val="none"/>
                <w:lang w:val="en-US" w:eastAsia="zh-CN"/>
              </w:rPr>
              <w:t xml:space="preserve">  </w:t>
            </w:r>
          </w:p>
        </w:tc>
      </w:tr>
      <w:tr w14:paraId="0D24705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37" w:hRule="atLeast"/>
        </w:trPr>
        <w:tc>
          <w:tcPr>
            <w:tcW w:w="10370" w:type="dxa"/>
            <w:gridSpan w:val="6"/>
            <w:tcBorders>
              <w:top w:val="single" w:color="auto" w:sz="6" w:space="0"/>
              <w:left w:val="single" w:color="auto" w:sz="6" w:space="0"/>
              <w:bottom w:val="single" w:color="auto" w:sz="6" w:space="0"/>
              <w:right w:val="single" w:color="auto" w:sz="6" w:space="0"/>
            </w:tcBorders>
            <w:noWrap/>
            <w:vAlign w:val="top"/>
          </w:tcPr>
          <w:p w14:paraId="7E03F252">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2"/>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注：对于需要调试和整体验收的项目，本验收表签署仅代表货物到场，不代表完全认可货物的质量，不代表货物所有权转移。</w:t>
            </w:r>
          </w:p>
        </w:tc>
      </w:tr>
    </w:tbl>
    <w:p w14:paraId="3456F005">
      <w:pPr>
        <w:pStyle w:val="18"/>
        <w:rPr>
          <w:rFonts w:hint="default" w:ascii="Times New Roman" w:hAnsi="Times New Roman" w:eastAsia="仿宋_GB2312" w:cs="Times New Roman"/>
          <w:b w:val="0"/>
          <w:bCs/>
          <w:snapToGrid/>
          <w:color w:val="auto"/>
          <w:kern w:val="2"/>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此表一式</w:t>
      </w:r>
      <w:r>
        <w:rPr>
          <w:rFonts w:hint="default" w:ascii="Times New Roman" w:hAnsi="Times New Roman" w:eastAsia="仿宋_GB2312" w:cs="Times New Roman"/>
          <w:b w:val="0"/>
          <w:bCs/>
          <w:snapToGrid/>
          <w:color w:val="auto"/>
          <w:kern w:val="2"/>
          <w:sz w:val="22"/>
          <w:szCs w:val="22"/>
          <w:highlight w:val="none"/>
          <w:lang w:val="en-US" w:eastAsia="zh-CN"/>
        </w:rPr>
        <w:t>两</w:t>
      </w:r>
      <w:r>
        <w:rPr>
          <w:rFonts w:hint="default" w:ascii="Times New Roman" w:hAnsi="Times New Roman" w:eastAsia="仿宋_GB2312" w:cs="Times New Roman"/>
          <w:b w:val="0"/>
          <w:bCs/>
          <w:snapToGrid/>
          <w:color w:val="auto"/>
          <w:kern w:val="2"/>
          <w:sz w:val="22"/>
          <w:szCs w:val="22"/>
          <w:highlight w:val="none"/>
          <w:lang w:eastAsia="zh-CN"/>
        </w:rPr>
        <w:t>份，</w:t>
      </w:r>
      <w:r>
        <w:rPr>
          <w:rFonts w:hint="default" w:ascii="Times New Roman" w:hAnsi="Times New Roman" w:eastAsia="仿宋_GB2312" w:cs="Times New Roman"/>
          <w:b w:val="0"/>
          <w:bCs/>
          <w:snapToGrid/>
          <w:color w:val="auto"/>
          <w:kern w:val="2"/>
          <w:sz w:val="22"/>
          <w:szCs w:val="22"/>
          <w:highlight w:val="none"/>
          <w:lang w:val="en-US" w:eastAsia="zh-CN"/>
        </w:rPr>
        <w:t>供货</w:t>
      </w:r>
      <w:r>
        <w:rPr>
          <w:rFonts w:hint="default" w:ascii="Times New Roman" w:hAnsi="Times New Roman" w:eastAsia="仿宋_GB2312" w:cs="Times New Roman"/>
          <w:b w:val="0"/>
          <w:bCs/>
          <w:snapToGrid/>
          <w:color w:val="auto"/>
          <w:kern w:val="2"/>
          <w:sz w:val="22"/>
          <w:szCs w:val="22"/>
          <w:highlight w:val="none"/>
          <w:lang w:eastAsia="zh-CN"/>
        </w:rPr>
        <w:t>单位、</w:t>
      </w:r>
      <w:r>
        <w:rPr>
          <w:rFonts w:hint="default" w:ascii="Times New Roman" w:hAnsi="Times New Roman" w:eastAsia="仿宋_GB2312" w:cs="Times New Roman"/>
          <w:b w:val="0"/>
          <w:bCs/>
          <w:snapToGrid/>
          <w:color w:val="auto"/>
          <w:kern w:val="2"/>
          <w:sz w:val="22"/>
          <w:szCs w:val="22"/>
          <w:highlight w:val="none"/>
          <w:lang w:val="en-US" w:eastAsia="zh-CN"/>
        </w:rPr>
        <w:t>采购</w:t>
      </w:r>
      <w:r>
        <w:rPr>
          <w:rFonts w:hint="default" w:ascii="Times New Roman" w:hAnsi="Times New Roman" w:eastAsia="仿宋_GB2312" w:cs="Times New Roman"/>
          <w:b w:val="0"/>
          <w:bCs/>
          <w:snapToGrid/>
          <w:color w:val="auto"/>
          <w:kern w:val="2"/>
          <w:sz w:val="22"/>
          <w:szCs w:val="22"/>
          <w:highlight w:val="none"/>
          <w:lang w:eastAsia="zh-CN"/>
        </w:rPr>
        <w:t>单位各存一份。</w:t>
      </w:r>
    </w:p>
    <w:p w14:paraId="6DDF78BF">
      <w:pPr>
        <w:rPr>
          <w:rFonts w:hint="eastAsia" w:ascii="宋体" w:hAnsi="宋体" w:eastAsia="宋体" w:cs="宋体"/>
          <w:color w:val="auto"/>
          <w:sz w:val="21"/>
          <w:szCs w:val="21"/>
          <w:highlight w:val="none"/>
          <w:lang w:val="en-US" w:eastAsia="zh-CN"/>
        </w:rPr>
      </w:pPr>
    </w:p>
    <w:p w14:paraId="6D421EEE">
      <w:p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14:paraId="1B10E665">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附件5：廉洁协议书</w:t>
      </w:r>
    </w:p>
    <w:p w14:paraId="63007F3F">
      <w:pPr>
        <w:spacing w:line="360" w:lineRule="auto"/>
        <w:jc w:val="center"/>
        <w:rPr>
          <w:rFonts w:hint="eastAsia" w:ascii="宋体" w:hAnsi="宋体" w:eastAsia="宋体" w:cs="宋体"/>
          <w:b/>
          <w:bCs/>
          <w:color w:val="auto"/>
          <w:kern w:val="2"/>
          <w:sz w:val="28"/>
          <w:szCs w:val="28"/>
          <w:highlight w:val="none"/>
        </w:rPr>
      </w:pPr>
      <w:r>
        <w:rPr>
          <w:rFonts w:hint="eastAsia" w:ascii="宋体" w:hAnsi="宋体" w:eastAsia="宋体" w:cs="宋体"/>
          <w:b/>
          <w:bCs/>
          <w:color w:val="auto"/>
          <w:sz w:val="28"/>
          <w:szCs w:val="28"/>
          <w:highlight w:val="none"/>
        </w:rPr>
        <w:t>廉洁协议书</w:t>
      </w:r>
    </w:p>
    <w:p w14:paraId="464F905B">
      <w:pPr>
        <w:autoSpaceDE w:val="0"/>
        <w:autoSpaceDN w:val="0"/>
        <w:adjustRightInd w:val="0"/>
        <w:spacing w:line="360" w:lineRule="auto"/>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项目名称：</w:t>
      </w:r>
      <w:r>
        <w:rPr>
          <w:rFonts w:hint="eastAsia" w:ascii="宋体" w:hAnsi="宋体" w:eastAsia="宋体" w:cs="宋体"/>
          <w:color w:val="auto"/>
          <w:kern w:val="0"/>
          <w:sz w:val="21"/>
          <w:szCs w:val="21"/>
          <w:highlight w:val="none"/>
          <w:lang w:val="en-US" w:eastAsia="zh-CN"/>
        </w:rPr>
        <w:t>东莞市供水计量设施更新项目（2026-2027年计量仪表）</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电磁水表</w:t>
      </w:r>
      <w:r>
        <w:rPr>
          <w:rFonts w:hint="eastAsia" w:ascii="宋体" w:hAnsi="宋体" w:eastAsia="宋体" w:cs="宋体"/>
          <w:color w:val="auto"/>
          <w:kern w:val="0"/>
          <w:sz w:val="21"/>
          <w:szCs w:val="21"/>
          <w:highlight w:val="none"/>
        </w:rPr>
        <w:t>（招标编号：</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w:t>
      </w:r>
    </w:p>
    <w:p w14:paraId="7D0D11C3">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甲方（业主单位）：</w:t>
      </w:r>
      <w:r>
        <w:rPr>
          <w:rFonts w:hint="eastAsia" w:ascii="宋体" w:hAnsi="宋体" w:eastAsia="宋体" w:cs="宋体"/>
          <w:color w:val="auto"/>
          <w:kern w:val="0"/>
          <w:sz w:val="21"/>
          <w:szCs w:val="21"/>
          <w:highlight w:val="none"/>
          <w:lang w:val="en-US" w:eastAsia="zh-CN"/>
        </w:rPr>
        <w:t>东莞市水务环境投资控股集团供水有限公司</w:t>
      </w:r>
      <w:r>
        <w:rPr>
          <w:rFonts w:hint="eastAsia" w:ascii="宋体" w:hAnsi="宋体" w:eastAsia="宋体" w:cs="宋体"/>
          <w:color w:val="auto"/>
          <w:kern w:val="0"/>
          <w:sz w:val="21"/>
          <w:szCs w:val="21"/>
          <w:highlight w:val="none"/>
        </w:rPr>
        <w:t xml:space="preserve"> </w:t>
      </w:r>
    </w:p>
    <w:p w14:paraId="36CF6D2B">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w:t>
      </w:r>
    </w:p>
    <w:p w14:paraId="1E3A129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458EEF1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第一条  甲乙双方的权利和义务</w:t>
      </w:r>
    </w:p>
    <w:p w14:paraId="2D55C10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（一）严格遵守党和国家有关法律法规等有关廉洁从业规定。</w:t>
      </w:r>
    </w:p>
    <w:p w14:paraId="24FE00B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（二）严格执行本项目的合同文件，自觉按合同办事。</w:t>
      </w:r>
    </w:p>
    <w:p w14:paraId="58FFB4D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14:paraId="46C1559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（四）建立健全廉洁制度，开展廉洁教育，设立廉洁监督公示牌，公布举报电话，监督并认真查处违法违纪行为。</w:t>
      </w:r>
    </w:p>
    <w:p w14:paraId="5037DF9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（五）发现对方在业务活动中有违反廉洁规定的行为，有及时提醒对方纠正的权利和义务。</w:t>
      </w:r>
    </w:p>
    <w:p w14:paraId="2409F57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（六）发现对方严重违反本协议义务条款的行为，有向其上级有关部门举报、建议给予处理并要求告知处理结果的权利。</w:t>
      </w:r>
    </w:p>
    <w:p w14:paraId="0C49046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第二条  甲方的义务</w:t>
      </w:r>
    </w:p>
    <w:p w14:paraId="5830E7F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（一）甲方及其工作人员不得索要或接受乙方的礼金、有价证券和贵重物品，不得在乙方报销任何应由甲方或个人支付的费用。</w:t>
      </w:r>
    </w:p>
    <w:p w14:paraId="0F79915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（二）甲方工作人员不得参加乙方安排的高消费宴请和娱乐活动；不得接受乙方提供的通讯工具、交通工具和高档办公用品。</w:t>
      </w:r>
    </w:p>
    <w:p w14:paraId="3B0EE5B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（三）甲方及其工作人员不得要求或者接受乙方为其住房装修、婚丧嫁娶活动、家属或亲友的工作安排以及出国出境、旅游等提供方便。</w:t>
      </w:r>
    </w:p>
    <w:p w14:paraId="5CCDE0A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（四）甲方工作人员不得向乙方介绍其家属或者亲友（包括家属或亲友开办的公司企业）从事于本项目涉及的经济业务活动。</w:t>
      </w:r>
    </w:p>
    <w:p w14:paraId="0E1E16E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（五）甲方及其工作人员不得以任何理由向乙方推荐分包单位，不得要求乙方购买合同规定外的材料和设备。</w:t>
      </w:r>
    </w:p>
    <w:p w14:paraId="2429280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（六）甲方及其工作人员不得进行违反廉洁规定的其他活动。</w:t>
      </w:r>
    </w:p>
    <w:p w14:paraId="3B01828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645D050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第三条  乙方义务</w:t>
      </w:r>
    </w:p>
    <w:p w14:paraId="2BA2FF5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（一）乙方不得以任何理由向甲方及其工作人员馈赠礼金、有价证券、贵重礼品，或报销应由甲方单位或个人支付的任何费用。</w:t>
      </w:r>
    </w:p>
    <w:p w14:paraId="525A429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（二）乙方及其工作人员不得以考察、参观、洽谈业务、签订合同等的借口邀请甲方及其工作人员参加高消费的宴请、娱乐和健身等活动。</w:t>
      </w:r>
    </w:p>
    <w:p w14:paraId="1D630C7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（三）乙方不得为甲方单位和个人购置或提供通讯工具、交通工具和高档办公用品等。</w:t>
      </w:r>
    </w:p>
    <w:p w14:paraId="22F4F49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（四）乙方及其工作人员不得为甲方工作人员购买、装修、维修私人住房、汽车等。</w:t>
      </w:r>
    </w:p>
    <w:p w14:paraId="4A1454F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（五）乙方及其工作人员不得为甲方工作人员的婚丧嫁娶、家属或亲友的工作安排，及出国出境提供方便以及报销任何私人消费的费用。</w:t>
      </w:r>
    </w:p>
    <w:p w14:paraId="0E2146A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（六）乙方及其工作人员不得进行影响甲方及其工作人员公正执行合同和履行职务的其他活动。</w:t>
      </w:r>
    </w:p>
    <w:p w14:paraId="211E96D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6734277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第四条  违约责任</w:t>
      </w:r>
    </w:p>
    <w:p w14:paraId="0D14D4A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（一）甲方违反本协议第一、第二条给乙方单位造成经济损失的，应予以赔偿。</w:t>
      </w:r>
    </w:p>
    <w:p w14:paraId="22F736F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（二）乙方违反本协议第一、第三条给甲方单位造成经济损失的，应予以赔偿。</w:t>
      </w:r>
    </w:p>
    <w:p w14:paraId="2D3E357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第五条  监督检查</w:t>
      </w:r>
    </w:p>
    <w:p w14:paraId="021E4BE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甲乙双方的廉洁从业行为由双方或双方上级单位的纪检、监察负责监督，对本协议履行情况进行检查。</w:t>
      </w:r>
    </w:p>
    <w:p w14:paraId="0564375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第六条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举报信访受理</w:t>
      </w:r>
    </w:p>
    <w:p w14:paraId="04336BF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(一)举报受理部门: </w:t>
      </w:r>
      <w:r>
        <w:rPr>
          <w:rFonts w:hint="eastAsia" w:ascii="宋体" w:hAnsi="宋体" w:eastAsia="宋体" w:cs="宋体"/>
          <w:color w:val="auto"/>
          <w:kern w:val="0"/>
          <w:sz w:val="21"/>
          <w:szCs w:val="21"/>
          <w:highlight w:val="none"/>
          <w:lang w:val="en-US" w:eastAsia="zh-CN"/>
        </w:rPr>
        <w:t>东莞市水务环境投资控股集团有限公司</w:t>
      </w:r>
      <w:r>
        <w:rPr>
          <w:rFonts w:hint="eastAsia" w:ascii="宋体" w:hAnsi="宋体" w:eastAsia="宋体" w:cs="宋体"/>
          <w:color w:val="auto"/>
          <w:kern w:val="0"/>
          <w:sz w:val="21"/>
          <w:szCs w:val="21"/>
          <w:highlight w:val="none"/>
        </w:rPr>
        <w:t>纪检监察部。</w:t>
      </w:r>
    </w:p>
    <w:p w14:paraId="45E9DA6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(二)举报电话: ( 0769 ) 23076092</w:t>
      </w:r>
    </w:p>
    <w:p w14:paraId="7A97432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(三)举报邮箱:</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jcsi@dgsw</w:t>
      </w:r>
      <w:r>
        <w:rPr>
          <w:rFonts w:hint="eastAsia" w:ascii="宋体" w:hAnsi="宋体" w:eastAsia="宋体" w:cs="宋体"/>
          <w:color w:val="auto"/>
          <w:kern w:val="0"/>
          <w:sz w:val="21"/>
          <w:szCs w:val="21"/>
          <w:highlight w:val="none"/>
          <w:lang w:val="en-US" w:eastAsia="zh-CN"/>
        </w:rPr>
        <w:t>j</w:t>
      </w:r>
      <w:r>
        <w:rPr>
          <w:rFonts w:hint="eastAsia" w:ascii="宋体" w:hAnsi="宋体" w:eastAsia="宋体" w:cs="宋体"/>
          <w:color w:val="auto"/>
          <w:kern w:val="0"/>
          <w:sz w:val="21"/>
          <w:szCs w:val="21"/>
          <w:highlight w:val="none"/>
        </w:rPr>
        <w:t>t.cn.</w:t>
      </w:r>
    </w:p>
    <w:p w14:paraId="53FD5B1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(四)信访地址: 广东省东莞市东城街道育华路 1 号 </w:t>
      </w:r>
    </w:p>
    <w:p w14:paraId="0DD085F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第七条  </w:t>
      </w:r>
      <w:r>
        <w:rPr>
          <w:rFonts w:hint="eastAsia" w:ascii="宋体" w:hAnsi="宋体" w:eastAsia="宋体" w:cs="宋体"/>
          <w:color w:val="auto"/>
          <w:kern w:val="0"/>
          <w:sz w:val="21"/>
          <w:szCs w:val="21"/>
          <w:highlight w:val="none"/>
        </w:rPr>
        <w:t>其他</w:t>
      </w:r>
    </w:p>
    <w:p w14:paraId="639A069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本协议有效期为甲乙双方法定代表人或负责人签字并盖章之日起至该工程/采购项目竣工验收完毕，质保期/服务期满后止。本协议一式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份，甲、乙双方各执</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份，甲、乙双方上级主管部门各执</w:t>
      </w:r>
      <w:r>
        <w:rPr>
          <w:rFonts w:hint="eastAsia" w:ascii="宋体" w:hAnsi="宋体" w:eastAsia="宋体" w:cs="宋体"/>
          <w:strike w:val="0"/>
          <w:dstrike w:val="0"/>
          <w:color w:val="auto"/>
          <w:kern w:val="0"/>
          <w:sz w:val="21"/>
          <w:szCs w:val="21"/>
          <w:highlight w:val="none"/>
          <w:u w:val="single"/>
        </w:rPr>
        <w:t xml:space="preserve"> </w:t>
      </w:r>
      <w:r>
        <w:rPr>
          <w:rFonts w:hint="eastAsia" w:ascii="宋体" w:hAnsi="宋体" w:eastAsia="宋体" w:cs="宋体"/>
          <w:strike w:val="0"/>
          <w:dstrike w:val="0"/>
          <w:color w:val="auto"/>
          <w:kern w:val="0"/>
          <w:sz w:val="21"/>
          <w:szCs w:val="21"/>
          <w:highlight w:val="none"/>
          <w:u w:val="single"/>
          <w:lang w:val="en-US" w:eastAsia="zh-CN"/>
        </w:rPr>
        <w:t xml:space="preserve"> </w:t>
      </w:r>
      <w:r>
        <w:rPr>
          <w:rFonts w:hint="eastAsia" w:ascii="宋体" w:hAnsi="宋体" w:eastAsia="宋体" w:cs="宋体"/>
          <w:strike w:val="0"/>
          <w:dstrike w:val="0"/>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w:t>
      </w:r>
    </w:p>
    <w:p w14:paraId="08529E2D">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p>
    <w:p w14:paraId="049AB533">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jc w:val="both"/>
        <w:textAlignment w:val="auto"/>
        <w:rPr>
          <w:rFonts w:hint="eastAsia" w:ascii="宋体" w:hAnsi="宋体" w:eastAsia="宋体" w:cs="宋体"/>
          <w:color w:val="auto"/>
          <w:kern w:val="2"/>
          <w:sz w:val="21"/>
          <w:szCs w:val="21"/>
          <w:highlight w:val="none"/>
        </w:rPr>
      </w:pPr>
    </w:p>
    <w:p w14:paraId="613A3E66">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甲方（盖章）：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乙方（盖章）： </w:t>
      </w:r>
    </w:p>
    <w:p w14:paraId="3CCA4FBE">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p>
    <w:p w14:paraId="159CC9BA">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法定代表（或负责）人：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法定代表人：</w:t>
      </w:r>
    </w:p>
    <w:p w14:paraId="4F3451D6">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p>
    <w:p w14:paraId="3C8919BA">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甲方代表：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乙方代表：</w:t>
      </w:r>
    </w:p>
    <w:p w14:paraId="6142E9AC">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jc w:val="both"/>
        <w:textAlignment w:val="auto"/>
        <w:rPr>
          <w:rFonts w:hint="eastAsia" w:ascii="宋体" w:hAnsi="宋体" w:eastAsia="宋体" w:cs="宋体"/>
          <w:color w:val="auto"/>
          <w:kern w:val="2"/>
          <w:sz w:val="21"/>
          <w:szCs w:val="21"/>
          <w:highlight w:val="none"/>
        </w:rPr>
      </w:pPr>
    </w:p>
    <w:p w14:paraId="388B8E2A">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签订日期：</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年  月  日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年  月  日</w:t>
      </w:r>
    </w:p>
    <w:p w14:paraId="42F50EEB">
      <w:pPr>
        <w:spacing w:line="360" w:lineRule="auto"/>
        <w:rPr>
          <w:rFonts w:hint="eastAsia" w:ascii="宋体" w:hAnsi="宋体" w:eastAsia="宋体" w:cs="宋体"/>
          <w:color w:val="auto"/>
          <w:sz w:val="21"/>
          <w:szCs w:val="21"/>
          <w:highlight w:val="none"/>
        </w:rPr>
      </w:pPr>
    </w:p>
    <w:p w14:paraId="7B350F2F">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544" w:name="_Toc21227"/>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544"/>
    </w:p>
    <w:p w14:paraId="4B1D36F8">
      <w:pPr>
        <w:autoSpaceDE w:val="0"/>
        <w:autoSpaceDN w:val="0"/>
        <w:adjustRightInd w:val="0"/>
        <w:spacing w:after="120" w:afterLines="50" w:line="360" w:lineRule="auto"/>
        <w:jc w:val="left"/>
        <w:outlineLvl w:val="1"/>
        <w:rPr>
          <w:rFonts w:hint="eastAsia" w:ascii="宋体" w:hAnsi="宋体" w:eastAsia="宋体" w:cs="Times New Roman"/>
          <w:b/>
          <w:color w:val="auto"/>
          <w:kern w:val="0"/>
          <w:sz w:val="28"/>
          <w:szCs w:val="28"/>
          <w:highlight w:val="none"/>
          <w:lang w:val="en-US" w:eastAsia="zh-CN"/>
        </w:rPr>
      </w:pPr>
      <w:bookmarkStart w:id="545" w:name="_Toc27124"/>
      <w:r>
        <w:rPr>
          <w:rFonts w:hint="eastAsia" w:ascii="宋体" w:hAnsi="宋体" w:eastAsia="宋体" w:cs="Times New Roman"/>
          <w:b/>
          <w:color w:val="auto"/>
          <w:kern w:val="0"/>
          <w:sz w:val="28"/>
          <w:szCs w:val="28"/>
          <w:highlight w:val="none"/>
          <w:lang w:val="en-US" w:eastAsia="zh-CN"/>
        </w:rPr>
        <w:t>一、不可撤销银行履约保函格式</w:t>
      </w:r>
      <w:bookmarkEnd w:id="545"/>
    </w:p>
    <w:p w14:paraId="625B0A2C">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04484932">
      <w:pPr>
        <w:widowControl/>
        <w:autoSpaceDE w:val="0"/>
        <w:autoSpaceDN w:val="0"/>
        <w:adjustRightInd w:val="0"/>
        <w:spacing w:line="360" w:lineRule="auto"/>
        <w:jc w:val="left"/>
        <w:rPr>
          <w:rFonts w:ascii="宋体" w:hAnsi="宋体" w:eastAsia="宋体" w:cs="宋体"/>
          <w:color w:val="auto"/>
          <w:kern w:val="0"/>
          <w:szCs w:val="21"/>
          <w:highlight w:val="none"/>
        </w:rPr>
      </w:pPr>
    </w:p>
    <w:p w14:paraId="3C94B6C4">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01F898F7">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2A066448">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5022FE77">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249E811F">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7F8F459F">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5C0F5E93">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5B1CCF50">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应从合同签订之日起至合同期限届满并完成全部供货验收合格后二十八（28）日内保持有效。</w:t>
      </w:r>
    </w:p>
    <w:p w14:paraId="157F9D0E">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48D00197">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24ACB745">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196192BA">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6E5BCF5C">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407AC1FA">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06ADA65C">
      <w:pPr>
        <w:widowControl/>
        <w:autoSpaceDE w:val="0"/>
        <w:autoSpaceDN w:val="0"/>
        <w:adjustRightInd w:val="0"/>
        <w:spacing w:line="360" w:lineRule="auto"/>
        <w:jc w:val="left"/>
        <w:rPr>
          <w:rFonts w:ascii="宋体" w:hAnsi="宋体" w:eastAsia="宋体" w:cs="宋体"/>
          <w:color w:val="auto"/>
          <w:kern w:val="0"/>
          <w:szCs w:val="21"/>
          <w:highlight w:val="none"/>
        </w:rPr>
      </w:pPr>
    </w:p>
    <w:p w14:paraId="35998A76">
      <w:pPr>
        <w:widowControl/>
        <w:autoSpaceDE w:val="0"/>
        <w:autoSpaceDN w:val="0"/>
        <w:adjustRightInd w:val="0"/>
        <w:spacing w:line="360" w:lineRule="auto"/>
        <w:jc w:val="left"/>
        <w:rPr>
          <w:rFonts w:ascii="宋体" w:hAnsi="宋体" w:eastAsia="宋体" w:cs="宋体"/>
          <w:color w:val="auto"/>
          <w:kern w:val="0"/>
          <w:szCs w:val="21"/>
          <w:highlight w:val="none"/>
        </w:rPr>
      </w:pPr>
    </w:p>
    <w:p w14:paraId="5019D622">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2240" w:h="15840"/>
          <w:pgMar w:top="1191" w:right="1043"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pPr>
    </w:p>
    <w:p w14:paraId="6C2C0649">
      <w:pPr>
        <w:autoSpaceDE w:val="0"/>
        <w:autoSpaceDN w:val="0"/>
        <w:adjustRightInd w:val="0"/>
        <w:spacing w:after="120" w:afterLines="50" w:line="360" w:lineRule="auto"/>
        <w:jc w:val="left"/>
        <w:outlineLvl w:val="1"/>
        <w:rPr>
          <w:rFonts w:hint="eastAsia" w:ascii="宋体" w:hAnsi="宋体" w:eastAsia="宋体" w:cs="Times New Roman"/>
          <w:b/>
          <w:color w:val="auto"/>
          <w:kern w:val="0"/>
          <w:sz w:val="28"/>
          <w:szCs w:val="28"/>
          <w:highlight w:val="none"/>
          <w:lang w:val="en-US" w:eastAsia="zh-CN"/>
        </w:rPr>
      </w:pPr>
      <w:bookmarkStart w:id="546" w:name="_Toc16955"/>
      <w:r>
        <w:rPr>
          <w:rFonts w:hint="eastAsia" w:ascii="宋体" w:hAnsi="宋体" w:eastAsia="宋体" w:cs="Times New Roman"/>
          <w:b/>
          <w:color w:val="auto"/>
          <w:kern w:val="0"/>
          <w:sz w:val="28"/>
          <w:szCs w:val="28"/>
          <w:highlight w:val="none"/>
          <w:lang w:val="en-US" w:eastAsia="zh-CN"/>
        </w:rPr>
        <w:t>二、履约保证保险凭证格式</w:t>
      </w:r>
      <w:bookmarkEnd w:id="546"/>
    </w:p>
    <w:p w14:paraId="394213D6">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356A50ED">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7E30E8F8">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3C410E2A">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5D728C1B">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05E21DF6">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1BA45F5C">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32D7F53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2E73B89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62BDBD7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06E1B412">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3EF0BA9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6447517E">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52BC16A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71C8C93A">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4B1C352F">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6EFA812B">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应从合同签订之日起至合同期限届满并完成全部供货验收合格后二十八（28）日内保持有效。</w:t>
      </w:r>
    </w:p>
    <w:p w14:paraId="6B7761EF">
      <w:pPr>
        <w:numPr>
          <w:ilvl w:val="0"/>
          <w:numId w:val="0"/>
        </w:numPr>
        <w:outlineLvl w:val="9"/>
        <w:rPr>
          <w:rFonts w:hint="default"/>
          <w:color w:val="auto"/>
          <w:highlight w:val="none"/>
          <w:lang w:val="en-US" w:eastAsia="zh-CN"/>
        </w:rPr>
      </w:pPr>
    </w:p>
    <w:p w14:paraId="6817A62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2C600269">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5533B730">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7582D096">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113ED3B1">
      <w:pPr>
        <w:jc w:val="right"/>
        <w:rPr>
          <w:rFonts w:hint="eastAsia"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r>
        <w:rPr>
          <w:rFonts w:hint="eastAsia" w:ascii="宋体" w:hAnsi="宋体" w:eastAsia="宋体" w:cs="Times New Roman"/>
          <w:b/>
          <w:color w:val="auto"/>
          <w:kern w:val="0"/>
          <w:sz w:val="28"/>
          <w:szCs w:val="28"/>
          <w:highlight w:val="none"/>
        </w:rPr>
        <w:br w:type="page"/>
      </w:r>
    </w:p>
    <w:p w14:paraId="145B1C77">
      <w:pPr>
        <w:autoSpaceDE w:val="0"/>
        <w:autoSpaceDN w:val="0"/>
        <w:adjustRightInd w:val="0"/>
        <w:spacing w:after="120" w:afterLines="50" w:line="360" w:lineRule="auto"/>
        <w:jc w:val="left"/>
        <w:outlineLvl w:val="1"/>
        <w:rPr>
          <w:rFonts w:hint="eastAsia" w:ascii="宋体" w:hAnsi="宋体" w:eastAsia="宋体" w:cs="Times New Roman"/>
          <w:b/>
          <w:color w:val="auto"/>
          <w:kern w:val="0"/>
          <w:sz w:val="28"/>
          <w:szCs w:val="28"/>
          <w:highlight w:val="none"/>
          <w:lang w:val="en-US" w:eastAsia="zh-CN"/>
        </w:rPr>
      </w:pPr>
      <w:bookmarkStart w:id="547" w:name="_Toc26288"/>
      <w:r>
        <w:rPr>
          <w:rFonts w:hint="eastAsia" w:ascii="宋体" w:hAnsi="宋体" w:eastAsia="宋体" w:cs="Times New Roman"/>
          <w:b/>
          <w:color w:val="auto"/>
          <w:kern w:val="0"/>
          <w:sz w:val="28"/>
          <w:szCs w:val="28"/>
          <w:highlight w:val="none"/>
          <w:lang w:val="en-US" w:eastAsia="zh-CN"/>
        </w:rPr>
        <w:t>三、担保公司履约担保书格式</w:t>
      </w:r>
      <w:bookmarkEnd w:id="547"/>
    </w:p>
    <w:p w14:paraId="37FE8A3F">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051820CD">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4AE6D6A4">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1D43359C">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172430AD">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14DDE94D">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7AE0E98A">
      <w:pPr>
        <w:autoSpaceDE w:val="0"/>
        <w:autoSpaceDN w:val="0"/>
        <w:adjustRightInd w:val="0"/>
        <w:spacing w:line="360" w:lineRule="auto"/>
        <w:ind w:firstLine="437"/>
        <w:jc w:val="left"/>
        <w:rPr>
          <w:rFonts w:hint="eastAsia"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应从合同签订之日起至合同期限届满并完成全部供货验收合格后二十八（28）日内保持有效。</w:t>
      </w:r>
    </w:p>
    <w:p w14:paraId="7CD62AB4">
      <w:pPr>
        <w:autoSpaceDE w:val="0"/>
        <w:autoSpaceDN w:val="0"/>
        <w:adjustRightInd w:val="0"/>
        <w:spacing w:line="360" w:lineRule="auto"/>
        <w:jc w:val="left"/>
        <w:rPr>
          <w:rFonts w:hint="eastAsia" w:ascii="宋体" w:hAnsi="宋体" w:eastAsia="宋体" w:cs="Times New Roman"/>
          <w:color w:val="auto"/>
          <w:kern w:val="0"/>
          <w:szCs w:val="21"/>
          <w:highlight w:val="none"/>
        </w:rPr>
      </w:pPr>
    </w:p>
    <w:p w14:paraId="68E3ADF7">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6C8A9C60">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0EDF6D29">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7A95D625">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1A9B37DF">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2F604760">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7781A97">
      <w:pPr>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rPr>
        <w:br w:type="page"/>
      </w:r>
    </w:p>
    <w:p w14:paraId="40D51ECF">
      <w:pPr>
        <w:autoSpaceDE w:val="0"/>
        <w:autoSpaceDN w:val="0"/>
        <w:adjustRightInd w:val="0"/>
        <w:spacing w:after="120" w:afterLines="50" w:line="360" w:lineRule="auto"/>
        <w:jc w:val="left"/>
        <w:outlineLvl w:val="1"/>
        <w:rPr>
          <w:rFonts w:ascii="宋体" w:hAnsi="宋体" w:eastAsia="宋体" w:cs="Times New Roman"/>
          <w:b/>
          <w:color w:val="auto"/>
          <w:kern w:val="0"/>
          <w:sz w:val="28"/>
          <w:szCs w:val="28"/>
          <w:highlight w:val="none"/>
        </w:rPr>
      </w:pPr>
      <w:bookmarkStart w:id="548" w:name="_Toc8489"/>
      <w:r>
        <w:rPr>
          <w:rFonts w:hint="eastAsia" w:ascii="宋体" w:hAnsi="宋体" w:eastAsia="宋体" w:cs="Times New Roman"/>
          <w:b/>
          <w:color w:val="auto"/>
          <w:kern w:val="0"/>
          <w:sz w:val="28"/>
          <w:szCs w:val="28"/>
          <w:highlight w:val="none"/>
          <w:lang w:val="en-US" w:eastAsia="zh-CN"/>
        </w:rPr>
        <w:t>四</w:t>
      </w:r>
      <w:r>
        <w:rPr>
          <w:rFonts w:hint="eastAsia" w:ascii="宋体" w:hAnsi="宋体" w:eastAsia="宋体" w:cs="Times New Roman"/>
          <w:b/>
          <w:color w:val="auto"/>
          <w:kern w:val="0"/>
          <w:sz w:val="28"/>
          <w:szCs w:val="28"/>
          <w:highlight w:val="none"/>
        </w:rPr>
        <w:t>、</w:t>
      </w:r>
      <w:r>
        <w:rPr>
          <w:rFonts w:hint="eastAsia" w:ascii="宋体" w:hAnsi="宋体" w:eastAsia="宋体" w:cs="Times New Roman"/>
          <w:b/>
          <w:color w:val="auto"/>
          <w:kern w:val="0"/>
          <w:sz w:val="28"/>
          <w:szCs w:val="28"/>
          <w:highlight w:val="none"/>
          <w:lang w:val="en-US" w:eastAsia="zh-CN"/>
        </w:rPr>
        <w:t>供货</w:t>
      </w:r>
      <w:r>
        <w:rPr>
          <w:rFonts w:hint="eastAsia" w:ascii="宋体" w:hAnsi="宋体" w:eastAsia="宋体" w:cs="Times New Roman"/>
          <w:b/>
          <w:color w:val="auto"/>
          <w:kern w:val="0"/>
          <w:sz w:val="28"/>
          <w:szCs w:val="28"/>
          <w:highlight w:val="none"/>
        </w:rPr>
        <w:t>格式</w:t>
      </w:r>
      <w:bookmarkEnd w:id="548"/>
    </w:p>
    <w:p w14:paraId="31E60386">
      <w:pPr>
        <w:autoSpaceDE w:val="0"/>
        <w:autoSpaceDN w:val="0"/>
        <w:jc w:val="center"/>
        <w:rPr>
          <w:rFonts w:ascii="宋体" w:hAnsi="宋体" w:eastAsia="宋体"/>
          <w:b/>
          <w:color w:val="auto"/>
          <w:kern w:val="0"/>
          <w:sz w:val="30"/>
          <w:szCs w:val="30"/>
          <w:highlight w:val="none"/>
        </w:rPr>
      </w:pPr>
      <w:r>
        <w:rPr>
          <w:rFonts w:hint="eastAsia" w:ascii="宋体" w:hAnsi="宋体" w:eastAsia="宋体"/>
          <w:b/>
          <w:color w:val="auto"/>
          <w:kern w:val="0"/>
          <w:sz w:val="30"/>
          <w:szCs w:val="30"/>
          <w:highlight w:val="none"/>
          <w:lang w:val="en-US" w:eastAsia="zh-CN"/>
        </w:rPr>
        <w:t>供货</w:t>
      </w:r>
      <w:r>
        <w:rPr>
          <w:rFonts w:hint="eastAsia" w:ascii="宋体" w:hAnsi="宋体" w:eastAsia="宋体"/>
          <w:b/>
          <w:color w:val="auto"/>
          <w:kern w:val="0"/>
          <w:sz w:val="30"/>
          <w:szCs w:val="30"/>
          <w:highlight w:val="none"/>
        </w:rPr>
        <w:t>保函</w:t>
      </w:r>
    </w:p>
    <w:p w14:paraId="11687D05">
      <w:pPr>
        <w:widowControl/>
        <w:autoSpaceDE w:val="0"/>
        <w:autoSpaceDN w:val="0"/>
        <w:adjustRightInd w:val="0"/>
        <w:spacing w:line="360" w:lineRule="auto"/>
        <w:jc w:val="left"/>
        <w:rPr>
          <w:rFonts w:ascii="宋体" w:hAnsi="宋体" w:eastAsia="宋体" w:cs="宋体"/>
          <w:color w:val="auto"/>
          <w:kern w:val="0"/>
          <w:szCs w:val="21"/>
          <w:highlight w:val="none"/>
        </w:rPr>
      </w:pPr>
    </w:p>
    <w:p w14:paraId="7F83721B">
      <w:pPr>
        <w:pStyle w:val="37"/>
        <w:ind w:firstLineChars="200"/>
        <w:rPr>
          <w:rFonts w:ascii="宋体" w:hAnsi="宋体" w:eastAsia="宋体"/>
          <w:color w:val="auto"/>
          <w:szCs w:val="21"/>
          <w:highlight w:val="none"/>
        </w:rPr>
      </w:pPr>
      <w:r>
        <w:rPr>
          <w:rFonts w:ascii="宋体" w:hAnsi="宋体" w:eastAsia="宋体"/>
          <w:color w:val="auto"/>
          <w:szCs w:val="21"/>
          <w:highlight w:val="none"/>
        </w:rPr>
        <w:t xml:space="preserve">银行编号：             </w:t>
      </w:r>
    </w:p>
    <w:p w14:paraId="018834D6">
      <w:pPr>
        <w:pStyle w:val="37"/>
        <w:ind w:firstLineChars="200"/>
        <w:rPr>
          <w:rFonts w:ascii="宋体" w:hAnsi="宋体" w:eastAsia="宋体"/>
          <w:color w:val="auto"/>
          <w:szCs w:val="21"/>
          <w:highlight w:val="none"/>
        </w:rPr>
      </w:pPr>
    </w:p>
    <w:p w14:paraId="51032805">
      <w:pPr>
        <w:pStyle w:val="37"/>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致：                                  （下称“受益人”）</w:t>
      </w:r>
    </w:p>
    <w:p w14:paraId="70EF9D78">
      <w:pPr>
        <w:pStyle w:val="37"/>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鉴于</w:t>
      </w:r>
      <w:r>
        <w:rPr>
          <w:rFonts w:ascii="宋体" w:hAnsi="宋体" w:eastAsia="宋体"/>
          <w:color w:val="auto"/>
          <w:szCs w:val="21"/>
          <w:highlight w:val="none"/>
          <w:u w:val="single"/>
        </w:rPr>
        <w:t xml:space="preserve"> （申请人全称）  </w:t>
      </w:r>
      <w:r>
        <w:rPr>
          <w:rFonts w:ascii="宋体" w:hAnsi="宋体" w:eastAsia="宋体"/>
          <w:color w:val="auto"/>
          <w:szCs w:val="21"/>
          <w:highlight w:val="none"/>
        </w:rPr>
        <w:t>（下称“申请人”）与</w:t>
      </w:r>
      <w:r>
        <w:rPr>
          <w:rFonts w:ascii="宋体" w:hAnsi="宋体" w:eastAsia="宋体"/>
          <w:color w:val="auto"/>
          <w:szCs w:val="21"/>
          <w:highlight w:val="none"/>
          <w:u w:val="single"/>
        </w:rPr>
        <w:t xml:space="preserve">          </w:t>
      </w:r>
      <w:r>
        <w:rPr>
          <w:rFonts w:ascii="宋体" w:hAnsi="宋体" w:eastAsia="宋体"/>
          <w:color w:val="auto"/>
          <w:szCs w:val="21"/>
          <w:highlight w:val="none"/>
        </w:rPr>
        <w:t xml:space="preserve">（受益人全称）签订 </w:t>
      </w:r>
      <w:r>
        <w:rPr>
          <w:rFonts w:ascii="宋体" w:hAnsi="宋体" w:eastAsia="宋体"/>
          <w:color w:val="auto"/>
          <w:szCs w:val="21"/>
          <w:highlight w:val="none"/>
          <w:u w:val="single"/>
        </w:rPr>
        <w:t xml:space="preserve">            </w:t>
      </w:r>
      <w:r>
        <w:rPr>
          <w:rFonts w:ascii="宋体" w:hAnsi="宋体" w:eastAsia="宋体"/>
          <w:color w:val="auto"/>
          <w:szCs w:val="21"/>
          <w:highlight w:val="none"/>
        </w:rPr>
        <w:t>（项目名称）采购合同</w:t>
      </w:r>
      <w:r>
        <w:rPr>
          <w:rFonts w:ascii="宋体" w:hAnsi="宋体" w:eastAsia="宋体"/>
          <w:color w:val="auto"/>
          <w:szCs w:val="21"/>
          <w:highlight w:val="none"/>
          <w:u w:val="single"/>
        </w:rPr>
        <w:t>(编号     ，   年    月   日签署)</w:t>
      </w:r>
      <w:r>
        <w:rPr>
          <w:rFonts w:ascii="宋体" w:hAnsi="宋体" w:eastAsia="宋体"/>
          <w:color w:val="auto"/>
          <w:szCs w:val="21"/>
          <w:highlight w:val="none"/>
        </w:rPr>
        <w:t>，并保证申请人有权获得按合同约定为保证项目按时完成的由受益人支付的</w:t>
      </w:r>
      <w:r>
        <w:rPr>
          <w:rFonts w:hint="eastAsia" w:ascii="宋体" w:hAnsi="宋体" w:eastAsia="宋体"/>
          <w:color w:val="auto"/>
          <w:szCs w:val="21"/>
          <w:highlight w:val="none"/>
          <w:lang w:val="en-US" w:eastAsia="zh-CN"/>
        </w:rPr>
        <w:t>订单货</w:t>
      </w:r>
      <w:r>
        <w:rPr>
          <w:rFonts w:ascii="宋体" w:hAnsi="宋体" w:eastAsia="宋体"/>
          <w:color w:val="auto"/>
          <w:szCs w:val="21"/>
          <w:highlight w:val="none"/>
        </w:rPr>
        <w:t>款；受益人在合同中要求申请人应通过经认可的银行提交合同指定的与</w:t>
      </w:r>
      <w:r>
        <w:rPr>
          <w:rFonts w:hint="eastAsia" w:ascii="宋体" w:hAnsi="宋体" w:eastAsia="宋体"/>
          <w:color w:val="auto"/>
          <w:szCs w:val="21"/>
          <w:highlight w:val="none"/>
        </w:rPr>
        <w:t>采购订单载明的货款总额100%等值</w:t>
      </w:r>
      <w:r>
        <w:rPr>
          <w:rFonts w:ascii="宋体" w:hAnsi="宋体" w:eastAsia="宋体"/>
          <w:color w:val="auto"/>
          <w:szCs w:val="21"/>
          <w:highlight w:val="none"/>
        </w:rPr>
        <w:t>的担保金额等事实，我行愿意为申请人出具保函，以担保金额人民币(大写)</w:t>
      </w:r>
      <w:r>
        <w:rPr>
          <w:rFonts w:ascii="宋体" w:hAnsi="宋体" w:eastAsia="宋体"/>
          <w:color w:val="auto"/>
          <w:szCs w:val="21"/>
          <w:highlight w:val="none"/>
          <w:u w:val="single"/>
        </w:rPr>
        <w:t xml:space="preserve">              </w:t>
      </w:r>
      <w:r>
        <w:rPr>
          <w:rFonts w:ascii="宋体" w:hAnsi="宋体" w:eastAsia="宋体"/>
          <w:color w:val="auto"/>
          <w:szCs w:val="21"/>
          <w:highlight w:val="none"/>
        </w:rPr>
        <w:t>(</w:t>
      </w:r>
      <w:r>
        <w:rPr>
          <w:rFonts w:ascii="宋体" w:hAnsi="宋体" w:eastAsia="宋体"/>
          <w:color w:val="auto"/>
          <w:szCs w:val="21"/>
          <w:highlight w:val="none"/>
          <w:u w:val="single"/>
        </w:rPr>
        <w:t xml:space="preserve">             </w:t>
      </w:r>
      <w:r>
        <w:rPr>
          <w:rFonts w:ascii="宋体" w:hAnsi="宋体" w:eastAsia="宋体"/>
          <w:color w:val="auto"/>
          <w:szCs w:val="21"/>
          <w:highlight w:val="none"/>
        </w:rPr>
        <w:t>)向申请人提供无条件、不可撤销的担保。</w:t>
      </w:r>
    </w:p>
    <w:p w14:paraId="5D9D3E9D">
      <w:pPr>
        <w:pStyle w:val="37"/>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如果申请人在履行合同过程中发生违约或违背合同约定时，我行保证在</w:t>
      </w:r>
      <w:r>
        <w:rPr>
          <w:rFonts w:hint="eastAsia" w:ascii="宋体" w:hAnsi="宋体" w:eastAsia="宋体"/>
          <w:color w:val="auto"/>
          <w:szCs w:val="21"/>
          <w:highlight w:val="none"/>
        </w:rPr>
        <w:t>受益人出具本保函原件且提出因</w:t>
      </w:r>
      <w:r>
        <w:rPr>
          <w:rFonts w:hint="eastAsia" w:ascii="宋体" w:hAnsi="宋体" w:eastAsia="宋体"/>
          <w:color w:val="auto"/>
          <w:szCs w:val="21"/>
          <w:highlight w:val="none"/>
          <w:lang w:val="en-US" w:eastAsia="zh-CN"/>
        </w:rPr>
        <w:t>申</w:t>
      </w:r>
      <w:r>
        <w:rPr>
          <w:rFonts w:hint="eastAsia" w:ascii="宋体" w:hAnsi="宋体" w:eastAsia="宋体"/>
          <w:color w:val="auto"/>
          <w:szCs w:val="21"/>
          <w:highlight w:val="none"/>
        </w:rPr>
        <w:t>请人没有履行上述合同规定，而要求我方承担保证责任后，在</w:t>
      </w:r>
      <w:r>
        <w:rPr>
          <w:rFonts w:ascii="宋体" w:hAnsi="宋体" w:eastAsia="宋体"/>
          <w:color w:val="auto"/>
          <w:szCs w:val="21"/>
          <w:highlight w:val="none"/>
        </w:rPr>
        <w:t xml:space="preserve">担保金额额度内偿还或偿清受益人因该项违约或违背所造成的经济损失（无论该事实是否成立），并在接到受益人要求的第 10 </w:t>
      </w:r>
      <w:r>
        <w:rPr>
          <w:rFonts w:hint="eastAsia" w:ascii="宋体" w:hAnsi="宋体" w:eastAsia="宋体"/>
          <w:color w:val="auto"/>
          <w:szCs w:val="21"/>
          <w:highlight w:val="none"/>
          <w:lang w:val="en-US" w:eastAsia="zh-CN"/>
        </w:rPr>
        <w:t>个自然日</w:t>
      </w:r>
      <w:r>
        <w:rPr>
          <w:rFonts w:ascii="宋体" w:hAnsi="宋体" w:eastAsia="宋体"/>
          <w:color w:val="auto"/>
          <w:szCs w:val="21"/>
          <w:highlight w:val="none"/>
        </w:rPr>
        <w:t>内予以支付。</w:t>
      </w:r>
    </w:p>
    <w:p w14:paraId="0E9EC598">
      <w:pPr>
        <w:pStyle w:val="37"/>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在向我行提出要求前，我行将不坚持要求受益人首先向申请人提出上述款项的索赔。</w:t>
      </w:r>
    </w:p>
    <w:p w14:paraId="62C742DB">
      <w:pPr>
        <w:pStyle w:val="37"/>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我行承诺：无论是否经我行知晓或同意，我行的义务和责任不因受益人与申请人对合同条款所作的任何修改或补充而解除。</w:t>
      </w:r>
    </w:p>
    <w:p w14:paraId="08836FD8">
      <w:pPr>
        <w:pStyle w:val="37"/>
        <w:spacing w:line="360" w:lineRule="auto"/>
        <w:ind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rPr>
        <w:t>本保函</w:t>
      </w:r>
      <w:r>
        <w:rPr>
          <w:rFonts w:hint="eastAsia" w:ascii="宋体" w:hAnsi="宋体" w:eastAsia="宋体"/>
          <w:color w:val="auto"/>
          <w:szCs w:val="21"/>
          <w:highlight w:val="none"/>
          <w:lang w:val="en-US" w:eastAsia="zh-CN"/>
        </w:rPr>
        <w:t>在采购订单项下全部货物交付并经受益人验收合格后第</w:t>
      </w:r>
      <w:r>
        <w:rPr>
          <w:rFonts w:hint="eastAsia" w:ascii="宋体" w:hAnsi="宋体" w:eastAsia="宋体" w:cs="Times New Roman"/>
          <w:color w:val="auto"/>
          <w:szCs w:val="21"/>
          <w:highlight w:val="none"/>
          <w:lang w:val="en-US" w:eastAsia="zh-CN"/>
        </w:rPr>
        <w:t>28</w:t>
      </w:r>
      <w:r>
        <w:rPr>
          <w:rFonts w:hint="eastAsia" w:ascii="宋体" w:hAnsi="宋体" w:eastAsia="宋体" w:cs="Times New Roman"/>
          <w:color w:val="auto"/>
          <w:szCs w:val="21"/>
          <w:highlight w:val="none"/>
        </w:rPr>
        <w:t>个自然日</w:t>
      </w:r>
      <w:r>
        <w:rPr>
          <w:rFonts w:hint="eastAsia" w:ascii="宋体" w:hAnsi="宋体" w:eastAsia="宋体"/>
          <w:color w:val="auto"/>
          <w:szCs w:val="21"/>
          <w:highlight w:val="none"/>
          <w:lang w:val="en-US" w:eastAsia="zh-CN"/>
        </w:rPr>
        <w:t>起失效。</w:t>
      </w:r>
    </w:p>
    <w:p w14:paraId="09A5C0DA">
      <w:pPr>
        <w:pStyle w:val="37"/>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（银行联系人：                   银行联系电话：             ）</w:t>
      </w:r>
    </w:p>
    <w:p w14:paraId="1E107354">
      <w:pPr>
        <w:pStyle w:val="37"/>
        <w:spacing w:line="360" w:lineRule="auto"/>
        <w:ind w:firstLine="210"/>
        <w:rPr>
          <w:rFonts w:ascii="宋体" w:hAnsi="宋体" w:eastAsia="宋体"/>
          <w:color w:val="auto"/>
          <w:szCs w:val="21"/>
          <w:highlight w:val="none"/>
        </w:rPr>
      </w:pPr>
      <w:r>
        <w:rPr>
          <w:rFonts w:ascii="宋体" w:hAnsi="宋体" w:eastAsia="宋体"/>
          <w:color w:val="auto"/>
          <w:szCs w:val="21"/>
          <w:highlight w:val="none"/>
        </w:rPr>
        <w:t xml:space="preserve">                  法定代表人或其授权的代理人：       （签字或盖私章）      </w:t>
      </w:r>
    </w:p>
    <w:p w14:paraId="32F02854">
      <w:pPr>
        <w:pStyle w:val="37"/>
        <w:spacing w:line="360" w:lineRule="auto"/>
        <w:ind w:firstLine="3990" w:firstLineChars="1900"/>
        <w:rPr>
          <w:rFonts w:ascii="宋体" w:hAnsi="宋体" w:eastAsia="宋体"/>
          <w:color w:val="auto"/>
          <w:szCs w:val="21"/>
          <w:highlight w:val="none"/>
        </w:rPr>
      </w:pPr>
      <w:r>
        <w:rPr>
          <w:rFonts w:ascii="宋体" w:hAnsi="宋体" w:eastAsia="宋体"/>
          <w:color w:val="auto"/>
          <w:szCs w:val="21"/>
          <w:highlight w:val="none"/>
        </w:rPr>
        <w:t xml:space="preserve">担保银行盖章：                          </w:t>
      </w:r>
    </w:p>
    <w:p w14:paraId="5C354E0C">
      <w:pPr>
        <w:pStyle w:val="37"/>
        <w:spacing w:line="360" w:lineRule="auto"/>
        <w:ind w:firstLine="210"/>
        <w:rPr>
          <w:rFonts w:ascii="宋体" w:hAnsi="宋体" w:eastAsia="宋体"/>
          <w:color w:val="auto"/>
          <w:szCs w:val="21"/>
          <w:highlight w:val="none"/>
        </w:rPr>
      </w:pPr>
      <w:r>
        <w:rPr>
          <w:rFonts w:ascii="宋体" w:hAnsi="宋体" w:eastAsia="宋体"/>
          <w:color w:val="auto"/>
          <w:szCs w:val="21"/>
          <w:highlight w:val="none"/>
        </w:rPr>
        <w:t xml:space="preserve">                             </w:t>
      </w:r>
      <w:r>
        <w:rPr>
          <w:rFonts w:hint="eastAsia" w:ascii="宋体" w:hAnsi="宋体" w:eastAsia="宋体"/>
          <w:color w:val="auto"/>
          <w:szCs w:val="21"/>
          <w:highlight w:val="none"/>
        </w:rPr>
        <w:t xml:space="preserve">  </w:t>
      </w:r>
      <w:r>
        <w:rPr>
          <w:rFonts w:ascii="宋体" w:hAnsi="宋体" w:eastAsia="宋体"/>
          <w:color w:val="auto"/>
          <w:szCs w:val="21"/>
          <w:highlight w:val="none"/>
        </w:rPr>
        <w:t xml:space="preserve">     地址：                                  </w:t>
      </w:r>
    </w:p>
    <w:p w14:paraId="7EB2DC52">
      <w:pPr>
        <w:pStyle w:val="37"/>
        <w:spacing w:line="360" w:lineRule="auto"/>
        <w:ind w:firstLine="3990" w:firstLineChars="1900"/>
        <w:rPr>
          <w:rFonts w:ascii="宋体" w:hAnsi="宋体" w:eastAsia="宋体"/>
          <w:color w:val="auto"/>
          <w:szCs w:val="21"/>
          <w:highlight w:val="none"/>
        </w:rPr>
      </w:pPr>
      <w:r>
        <w:rPr>
          <w:rFonts w:ascii="宋体" w:hAnsi="宋体" w:eastAsia="宋体"/>
          <w:color w:val="auto"/>
          <w:szCs w:val="21"/>
          <w:highlight w:val="none"/>
        </w:rPr>
        <w:t>日期：   年    月   日</w:t>
      </w:r>
    </w:p>
    <w:p w14:paraId="37E9187A">
      <w:pPr>
        <w:rPr>
          <w:color w:val="auto"/>
          <w:highlight w:val="none"/>
        </w:rPr>
      </w:pPr>
    </w:p>
    <w:bookmarkEnd w:id="536"/>
    <w:bookmarkEnd w:id="537"/>
    <w:bookmarkEnd w:id="538"/>
    <w:bookmarkEnd w:id="539"/>
    <w:bookmarkEnd w:id="540"/>
    <w:bookmarkEnd w:id="541"/>
    <w:bookmarkEnd w:id="542"/>
    <w:p w14:paraId="7924AD7C">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549" w:name="_Toc486167708"/>
      <w:bookmarkStart w:id="550" w:name="_Toc11046"/>
      <w:bookmarkStart w:id="551" w:name="_Toc12794"/>
      <w:bookmarkStart w:id="552" w:name="_Toc32761_WPSOffice_Level1"/>
      <w:bookmarkStart w:id="553" w:name="_Toc142508361"/>
      <w:bookmarkStart w:id="554" w:name="_Toc450662895"/>
      <w:bookmarkStart w:id="555" w:name="_Toc21092"/>
      <w:bookmarkStart w:id="556" w:name="_Toc8165"/>
      <w:r>
        <w:rPr>
          <w:rFonts w:hint="eastAsia" w:ascii="宋体" w:hAnsi="宋体" w:eastAsia="宋体" w:cs="宋体"/>
          <w:b/>
          <w:bCs/>
          <w:color w:val="auto"/>
          <w:kern w:val="44"/>
          <w:sz w:val="32"/>
          <w:szCs w:val="32"/>
          <w:highlight w:val="none"/>
          <w:lang w:val="zh-CN"/>
        </w:rPr>
        <w:t>第六篇 投标文件格式</w:t>
      </w:r>
      <w:bookmarkEnd w:id="549"/>
      <w:bookmarkEnd w:id="550"/>
      <w:bookmarkEnd w:id="551"/>
      <w:bookmarkEnd w:id="552"/>
      <w:bookmarkEnd w:id="553"/>
      <w:bookmarkEnd w:id="554"/>
      <w:bookmarkEnd w:id="555"/>
      <w:bookmarkEnd w:id="556"/>
    </w:p>
    <w:p w14:paraId="776E1042">
      <w:pPr>
        <w:pStyle w:val="20"/>
        <w:spacing w:line="360" w:lineRule="auto"/>
        <w:jc w:val="center"/>
        <w:rPr>
          <w:rFonts w:hint="eastAsia" w:ascii="宋体" w:hAnsi="宋体" w:eastAsia="宋体" w:cs="宋体"/>
          <w:b/>
          <w:color w:val="auto"/>
          <w:kern w:val="0"/>
          <w:sz w:val="32"/>
          <w:szCs w:val="32"/>
          <w:highlight w:val="none"/>
        </w:rPr>
      </w:pPr>
      <w:bookmarkStart w:id="557" w:name="_Toc102860067"/>
      <w:bookmarkStart w:id="558" w:name="_Toc533708121"/>
      <w:bookmarkStart w:id="559" w:name="_Toc102860411"/>
      <w:bookmarkStart w:id="560" w:name="_Toc1977721"/>
      <w:bookmarkStart w:id="561" w:name="_Toc486167709"/>
      <w:bookmarkStart w:id="562" w:name="_Toc21133_WPSOffice_Level2"/>
      <w:bookmarkStart w:id="563" w:name="_Toc104991868"/>
      <w:bookmarkStart w:id="564" w:name="_Toc142508362"/>
      <w:bookmarkStart w:id="565" w:name="_Toc94107202"/>
      <w:bookmarkStart w:id="566" w:name="_Toc140596921"/>
      <w:r>
        <w:rPr>
          <w:rFonts w:hint="eastAsia" w:ascii="宋体" w:hAnsi="宋体" w:eastAsia="宋体" w:cs="宋体"/>
          <w:b/>
          <w:color w:val="auto"/>
          <w:kern w:val="0"/>
          <w:sz w:val="32"/>
          <w:szCs w:val="32"/>
          <w:highlight w:val="none"/>
        </w:rPr>
        <w:br w:type="page"/>
      </w:r>
    </w:p>
    <w:p w14:paraId="32D7EF9F">
      <w:pPr>
        <w:pStyle w:val="20"/>
        <w:spacing w:line="360" w:lineRule="auto"/>
        <w:jc w:val="center"/>
        <w:rPr>
          <w:rFonts w:hint="eastAsia" w:ascii="宋体" w:hAnsi="宋体" w:eastAsia="宋体" w:cs="宋体"/>
          <w:b/>
          <w:color w:val="auto"/>
          <w:kern w:val="0"/>
          <w:sz w:val="32"/>
          <w:szCs w:val="32"/>
          <w:highlight w:val="none"/>
        </w:rPr>
      </w:pPr>
    </w:p>
    <w:p w14:paraId="08DA3891">
      <w:pPr>
        <w:pStyle w:val="20"/>
        <w:spacing w:line="360" w:lineRule="auto"/>
        <w:jc w:val="center"/>
        <w:rPr>
          <w:rFonts w:hint="eastAsia" w:ascii="宋体" w:hAnsi="宋体" w:eastAsia="宋体" w:cs="宋体"/>
          <w:b/>
          <w:color w:val="auto"/>
          <w:kern w:val="0"/>
          <w:sz w:val="32"/>
          <w:szCs w:val="32"/>
          <w:highlight w:val="none"/>
        </w:rPr>
      </w:pPr>
    </w:p>
    <w:p w14:paraId="0982527E">
      <w:pPr>
        <w:pStyle w:val="20"/>
        <w:spacing w:line="360" w:lineRule="auto"/>
        <w:jc w:val="center"/>
        <w:rPr>
          <w:rFonts w:hint="eastAsia" w:ascii="宋体" w:hAnsi="宋体" w:eastAsia="宋体" w:cs="宋体"/>
          <w:b/>
          <w:color w:val="auto"/>
          <w:kern w:val="0"/>
          <w:sz w:val="32"/>
          <w:szCs w:val="32"/>
          <w:highlight w:val="none"/>
        </w:rPr>
      </w:pPr>
    </w:p>
    <w:p w14:paraId="277A4832">
      <w:pPr>
        <w:pStyle w:val="20"/>
        <w:spacing w:line="360" w:lineRule="auto"/>
        <w:jc w:val="center"/>
        <w:rPr>
          <w:rFonts w:hint="eastAsia" w:ascii="宋体" w:hAnsi="宋体" w:eastAsia="宋体" w:cs="宋体"/>
          <w:color w:val="auto"/>
          <w:sz w:val="84"/>
          <w:highlight w:val="none"/>
        </w:rPr>
      </w:pPr>
    </w:p>
    <w:p w14:paraId="24233FD1">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3D78677C">
      <w:pPr>
        <w:pStyle w:val="20"/>
        <w:spacing w:line="360" w:lineRule="auto"/>
        <w:rPr>
          <w:rFonts w:hint="eastAsia" w:ascii="宋体" w:hAnsi="宋体" w:eastAsia="宋体" w:cs="宋体"/>
          <w:color w:val="auto"/>
          <w:highlight w:val="none"/>
        </w:rPr>
      </w:pPr>
    </w:p>
    <w:p w14:paraId="5FC94DC0">
      <w:pPr>
        <w:pStyle w:val="20"/>
        <w:spacing w:line="360" w:lineRule="auto"/>
        <w:rPr>
          <w:rFonts w:hint="eastAsia" w:ascii="宋体" w:hAnsi="宋体" w:eastAsia="宋体" w:cs="宋体"/>
          <w:color w:val="auto"/>
          <w:highlight w:val="none"/>
        </w:rPr>
      </w:pPr>
    </w:p>
    <w:p w14:paraId="326AF174">
      <w:pPr>
        <w:pStyle w:val="20"/>
        <w:spacing w:line="360" w:lineRule="auto"/>
        <w:rPr>
          <w:rFonts w:hint="eastAsia" w:ascii="宋体" w:hAnsi="宋体" w:eastAsia="宋体" w:cs="宋体"/>
          <w:color w:val="auto"/>
          <w:highlight w:val="none"/>
        </w:rPr>
      </w:pPr>
    </w:p>
    <w:p w14:paraId="2758B6E5">
      <w:pPr>
        <w:pStyle w:val="20"/>
        <w:spacing w:line="360" w:lineRule="auto"/>
        <w:rPr>
          <w:rFonts w:hint="eastAsia" w:ascii="宋体" w:hAnsi="宋体" w:eastAsia="宋体" w:cs="宋体"/>
          <w:color w:val="auto"/>
          <w:highlight w:val="none"/>
        </w:rPr>
      </w:pPr>
    </w:p>
    <w:p w14:paraId="5D9A5BA0">
      <w:pPr>
        <w:pStyle w:val="20"/>
        <w:spacing w:line="360" w:lineRule="auto"/>
        <w:rPr>
          <w:rFonts w:hint="eastAsia" w:ascii="宋体" w:hAnsi="宋体" w:eastAsia="宋体" w:cs="宋体"/>
          <w:color w:val="auto"/>
          <w:highlight w:val="none"/>
        </w:rPr>
      </w:pPr>
    </w:p>
    <w:p w14:paraId="71FD2F1D">
      <w:pPr>
        <w:pStyle w:val="20"/>
        <w:spacing w:line="360" w:lineRule="auto"/>
        <w:rPr>
          <w:rFonts w:hint="eastAsia" w:ascii="宋体" w:hAnsi="宋体" w:eastAsia="宋体" w:cs="宋体"/>
          <w:color w:val="auto"/>
          <w:highlight w:val="none"/>
        </w:rPr>
      </w:pPr>
    </w:p>
    <w:p w14:paraId="4AAC7D67">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7E6AF3D3">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0585B2F0">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5682CFB9">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52C943A1">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6AB7E4AD">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11BC0CDD">
      <w:pPr>
        <w:pStyle w:val="20"/>
        <w:spacing w:line="360" w:lineRule="auto"/>
        <w:rPr>
          <w:rFonts w:hint="eastAsia" w:ascii="宋体" w:hAnsi="宋体" w:eastAsia="宋体" w:cs="宋体"/>
          <w:color w:val="auto"/>
          <w:highlight w:val="none"/>
        </w:rPr>
      </w:pPr>
    </w:p>
    <w:p w14:paraId="2059C557">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37C94A3">
      <w:pPr>
        <w:pStyle w:val="20"/>
        <w:spacing w:line="360" w:lineRule="auto"/>
        <w:rPr>
          <w:rFonts w:hint="eastAsia" w:ascii="宋体" w:hAnsi="宋体" w:eastAsia="宋体" w:cs="宋体"/>
          <w:color w:val="auto"/>
          <w:highlight w:val="none"/>
        </w:rPr>
      </w:pPr>
    </w:p>
    <w:p w14:paraId="02B6BC87">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9"/>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1786"/>
        <w:gridCol w:w="4430"/>
      </w:tblGrid>
      <w:tr w14:paraId="5A149C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14:paraId="5D27C384">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14:paraId="343C7EF1">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786" w:type="dxa"/>
            <w:vAlign w:val="center"/>
          </w:tcPr>
          <w:p w14:paraId="0DA50D08">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430" w:type="dxa"/>
            <w:tcBorders>
              <w:left w:val="single" w:color="auto" w:sz="4" w:space="0"/>
            </w:tcBorders>
            <w:vAlign w:val="center"/>
          </w:tcPr>
          <w:p w14:paraId="0C711B7F">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4B41D5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14:paraId="778B3222">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14:paraId="2ACAB911">
            <w:pPr>
              <w:adjustRightInd w:val="0"/>
              <w:snapToGrid w:val="0"/>
              <w:spacing w:line="360" w:lineRule="auto"/>
              <w:jc w:val="center"/>
              <w:rPr>
                <w:rFonts w:hint="eastAsia" w:ascii="宋体" w:hAnsi="宋体" w:eastAsia="宋体" w:cs="宋体"/>
                <w:bCs/>
                <w:color w:val="auto"/>
                <w:szCs w:val="21"/>
                <w:highlight w:val="none"/>
              </w:rPr>
            </w:pPr>
          </w:p>
        </w:tc>
        <w:tc>
          <w:tcPr>
            <w:tcW w:w="1786" w:type="dxa"/>
            <w:vAlign w:val="center"/>
          </w:tcPr>
          <w:p w14:paraId="4A03593E">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14:paraId="084315CA">
            <w:pPr>
              <w:adjustRightInd w:val="0"/>
              <w:snapToGrid w:val="0"/>
              <w:spacing w:line="360" w:lineRule="auto"/>
              <w:rPr>
                <w:rFonts w:hint="eastAsia" w:ascii="宋体" w:hAnsi="宋体" w:eastAsia="宋体" w:cs="宋体"/>
                <w:bCs/>
                <w:color w:val="auto"/>
                <w:szCs w:val="21"/>
                <w:highlight w:val="none"/>
              </w:rPr>
            </w:pPr>
          </w:p>
        </w:tc>
      </w:tr>
      <w:tr w14:paraId="7F38A9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14:paraId="55B98464">
            <w:pPr>
              <w:rPr>
                <w:rFonts w:hint="eastAsia" w:ascii="宋体" w:hAnsi="宋体" w:eastAsia="宋体" w:cs="宋体"/>
                <w:bCs/>
                <w:color w:val="auto"/>
                <w:szCs w:val="21"/>
                <w:highlight w:val="none"/>
              </w:rPr>
            </w:pPr>
          </w:p>
        </w:tc>
        <w:tc>
          <w:tcPr>
            <w:tcW w:w="2773" w:type="dxa"/>
            <w:vAlign w:val="center"/>
          </w:tcPr>
          <w:p w14:paraId="6C664E92">
            <w:pPr>
              <w:rPr>
                <w:rFonts w:hint="eastAsia" w:ascii="宋体" w:hAnsi="宋体" w:eastAsia="宋体" w:cs="宋体"/>
                <w:bCs/>
                <w:color w:val="auto"/>
                <w:szCs w:val="21"/>
                <w:highlight w:val="none"/>
              </w:rPr>
            </w:pPr>
          </w:p>
        </w:tc>
        <w:tc>
          <w:tcPr>
            <w:tcW w:w="1786" w:type="dxa"/>
            <w:vAlign w:val="center"/>
          </w:tcPr>
          <w:p w14:paraId="461B8363">
            <w:pPr>
              <w:rPr>
                <w:rFonts w:hint="eastAsia" w:ascii="宋体" w:hAnsi="宋体" w:eastAsia="宋体" w:cs="宋体"/>
                <w:bCs/>
                <w:color w:val="auto"/>
                <w:szCs w:val="21"/>
                <w:highlight w:val="none"/>
              </w:rPr>
            </w:pPr>
          </w:p>
        </w:tc>
        <w:tc>
          <w:tcPr>
            <w:tcW w:w="4430" w:type="dxa"/>
            <w:tcBorders>
              <w:left w:val="single" w:color="auto" w:sz="4" w:space="0"/>
            </w:tcBorders>
            <w:vAlign w:val="center"/>
          </w:tcPr>
          <w:p w14:paraId="77D38620">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3D7B31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14:paraId="595EB85E">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14:paraId="3A343759">
            <w:pPr>
              <w:adjustRightInd w:val="0"/>
              <w:snapToGrid w:val="0"/>
              <w:spacing w:line="360" w:lineRule="auto"/>
              <w:rPr>
                <w:rFonts w:hint="eastAsia" w:ascii="宋体" w:hAnsi="宋体" w:eastAsia="宋体" w:cs="宋体"/>
                <w:bCs/>
                <w:color w:val="auto"/>
                <w:szCs w:val="21"/>
                <w:highlight w:val="none"/>
              </w:rPr>
            </w:pPr>
          </w:p>
        </w:tc>
        <w:tc>
          <w:tcPr>
            <w:tcW w:w="1786" w:type="dxa"/>
            <w:vAlign w:val="center"/>
          </w:tcPr>
          <w:p w14:paraId="268A3584">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14:paraId="1DE198C3">
            <w:pPr>
              <w:spacing w:line="360" w:lineRule="auto"/>
              <w:ind w:firstLine="8" w:firstLineChars="4"/>
              <w:rPr>
                <w:rFonts w:hint="eastAsia" w:ascii="宋体" w:hAnsi="宋体" w:eastAsia="宋体" w:cs="宋体"/>
                <w:bCs/>
                <w:color w:val="auto"/>
                <w:szCs w:val="21"/>
                <w:highlight w:val="none"/>
              </w:rPr>
            </w:pPr>
          </w:p>
        </w:tc>
      </w:tr>
      <w:tr w14:paraId="2A5304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14:paraId="450C30BC">
            <w:pPr>
              <w:adjustRightInd w:val="0"/>
              <w:snapToGrid w:val="0"/>
              <w:spacing w:line="360" w:lineRule="auto"/>
              <w:jc w:val="center"/>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14:paraId="06818338">
            <w:pPr>
              <w:adjustRightInd w:val="0"/>
              <w:snapToGrid w:val="0"/>
              <w:spacing w:line="360" w:lineRule="auto"/>
              <w:rPr>
                <w:rFonts w:hint="eastAsia" w:ascii="宋体" w:hAnsi="宋体" w:eastAsia="宋体" w:cs="宋体"/>
                <w:bCs/>
                <w:color w:val="auto"/>
                <w:szCs w:val="21"/>
                <w:highlight w:val="none"/>
              </w:rPr>
            </w:pPr>
          </w:p>
        </w:tc>
        <w:tc>
          <w:tcPr>
            <w:tcW w:w="1786" w:type="dxa"/>
            <w:tcBorders>
              <w:top w:val="single" w:color="auto" w:sz="6" w:space="0"/>
              <w:left w:val="single" w:color="auto" w:sz="6" w:space="0"/>
              <w:bottom w:val="outset" w:color="808080" w:sz="6" w:space="0"/>
              <w:right w:val="single" w:color="auto" w:sz="6" w:space="0"/>
            </w:tcBorders>
            <w:vAlign w:val="center"/>
          </w:tcPr>
          <w:p w14:paraId="2D6616EB">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top w:val="single" w:color="auto" w:sz="6" w:space="0"/>
              <w:left w:val="single" w:color="auto" w:sz="4" w:space="0"/>
              <w:bottom w:val="outset" w:color="808080" w:sz="6" w:space="0"/>
              <w:right w:val="single" w:color="auto" w:sz="6" w:space="0"/>
            </w:tcBorders>
            <w:vAlign w:val="center"/>
          </w:tcPr>
          <w:p w14:paraId="3C91ED40">
            <w:pPr>
              <w:adjustRightInd w:val="0"/>
              <w:snapToGrid w:val="0"/>
              <w:spacing w:line="360" w:lineRule="auto"/>
              <w:rPr>
                <w:rFonts w:hint="eastAsia" w:ascii="宋体" w:hAnsi="宋体" w:eastAsia="宋体" w:cs="宋体"/>
                <w:bCs/>
                <w:color w:val="auto"/>
                <w:szCs w:val="21"/>
                <w:highlight w:val="none"/>
              </w:rPr>
            </w:pPr>
          </w:p>
        </w:tc>
      </w:tr>
      <w:tr w14:paraId="4BE7FB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14:paraId="19789D95">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786" w:type="dxa"/>
            <w:tcBorders>
              <w:bottom w:val="single" w:color="auto" w:sz="4" w:space="0"/>
            </w:tcBorders>
            <w:vAlign w:val="center"/>
          </w:tcPr>
          <w:p w14:paraId="64A7C0D5">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bottom w:val="single" w:color="auto" w:sz="4" w:space="0"/>
            </w:tcBorders>
            <w:vAlign w:val="center"/>
          </w:tcPr>
          <w:p w14:paraId="34358A0D">
            <w:pPr>
              <w:spacing w:line="360" w:lineRule="auto"/>
              <w:jc w:val="center"/>
              <w:rPr>
                <w:rFonts w:hint="eastAsia" w:ascii="宋体" w:hAnsi="宋体" w:eastAsia="宋体" w:cs="宋体"/>
                <w:bCs/>
                <w:color w:val="auto"/>
                <w:szCs w:val="21"/>
                <w:highlight w:val="none"/>
              </w:rPr>
            </w:pPr>
          </w:p>
        </w:tc>
      </w:tr>
    </w:tbl>
    <w:p w14:paraId="2C1F58E8">
      <w:pPr>
        <w:pStyle w:val="20"/>
        <w:spacing w:line="360" w:lineRule="auto"/>
        <w:rPr>
          <w:rFonts w:hint="eastAsia" w:ascii="宋体" w:hAnsi="宋体" w:eastAsia="宋体" w:cs="宋体"/>
          <w:color w:val="auto"/>
          <w:highlight w:val="none"/>
        </w:rPr>
      </w:pPr>
    </w:p>
    <w:p w14:paraId="51E0D7BD">
      <w:pPr>
        <w:pStyle w:val="20"/>
        <w:spacing w:line="360" w:lineRule="auto"/>
        <w:rPr>
          <w:rFonts w:hint="eastAsia" w:ascii="宋体" w:hAnsi="宋体" w:eastAsia="宋体" w:cs="宋体"/>
          <w:color w:val="auto"/>
          <w:highlight w:val="none"/>
        </w:rPr>
      </w:pPr>
    </w:p>
    <w:p w14:paraId="4661FBED">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6BDEE0A7">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567" w:name="_Toc22445"/>
      <w:bookmarkStart w:id="568" w:name="_Toc18706"/>
      <w:bookmarkStart w:id="569" w:name="_Toc3617"/>
      <w:bookmarkStart w:id="570" w:name="_Toc13331"/>
      <w:r>
        <w:rPr>
          <w:rFonts w:hint="eastAsia" w:ascii="宋体" w:hAnsi="宋体" w:eastAsia="宋体" w:cs="宋体"/>
          <w:b/>
          <w:color w:val="auto"/>
          <w:kern w:val="0"/>
          <w:sz w:val="32"/>
          <w:szCs w:val="32"/>
          <w:highlight w:val="none"/>
        </w:rPr>
        <w:t>一、投标函格式</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14:paraId="534D4328">
      <w:pPr>
        <w:autoSpaceDE w:val="0"/>
        <w:autoSpaceDN w:val="0"/>
        <w:adjustRightInd w:val="0"/>
        <w:spacing w:line="360" w:lineRule="auto"/>
        <w:jc w:val="center"/>
        <w:rPr>
          <w:rFonts w:ascii="宋体" w:hAnsi="宋体" w:eastAsia="宋体" w:cs="宋体"/>
          <w:b/>
          <w:bCs/>
          <w:color w:val="auto"/>
          <w:sz w:val="30"/>
          <w:szCs w:val="30"/>
          <w:highlight w:val="none"/>
        </w:rPr>
      </w:pPr>
      <w:bookmarkStart w:id="571" w:name="_Toc16695_WPSOffice_Level3"/>
      <w:r>
        <w:rPr>
          <w:rFonts w:hint="eastAsia" w:ascii="宋体" w:hAnsi="宋体" w:eastAsia="宋体" w:cs="宋体"/>
          <w:b/>
          <w:bCs/>
          <w:color w:val="auto"/>
          <w:sz w:val="30"/>
          <w:szCs w:val="30"/>
          <w:highlight w:val="none"/>
          <w:lang w:val="zh-CN"/>
        </w:rPr>
        <w:t>投 标 函</w:t>
      </w:r>
      <w:bookmarkEnd w:id="571"/>
    </w:p>
    <w:p w14:paraId="752882DA">
      <w:pPr>
        <w:autoSpaceDE w:val="0"/>
        <w:autoSpaceDN w:val="0"/>
        <w:adjustRightInd w:val="0"/>
        <w:spacing w:line="360" w:lineRule="auto"/>
        <w:rPr>
          <w:rFonts w:ascii="宋体" w:hAnsi="宋体" w:eastAsia="宋体" w:cs="宋体"/>
          <w:color w:val="auto"/>
          <w:szCs w:val="21"/>
          <w:highlight w:val="none"/>
          <w:lang w:val="zh-CN"/>
        </w:rPr>
      </w:pPr>
    </w:p>
    <w:p w14:paraId="35C6FEFE">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szCs w:val="21"/>
          <w:highlight w:val="none"/>
          <w:lang w:val="zh-CN" w:eastAsia="zh-CN"/>
        </w:rPr>
        <w:t>东莞市水务环境投资控股集团供水有限公司</w:t>
      </w:r>
    </w:p>
    <w:p w14:paraId="2CCC107F">
      <w:pPr>
        <w:autoSpaceDE w:val="0"/>
        <w:autoSpaceDN w:val="0"/>
        <w:adjustRightInd w:val="0"/>
        <w:spacing w:line="360" w:lineRule="auto"/>
        <w:rPr>
          <w:rFonts w:ascii="宋体" w:hAnsi="宋体" w:eastAsia="宋体" w:cs="宋体"/>
          <w:color w:val="auto"/>
          <w:szCs w:val="21"/>
          <w:highlight w:val="none"/>
        </w:rPr>
      </w:pPr>
    </w:p>
    <w:p w14:paraId="546964E6">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东莞市供水计量设施更新项目（2026-2027年计量仪表）－电磁水表</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GXTZ-ZB-2026第（39）号</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5FDF6F60">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szCs w:val="21"/>
          <w:highlight w:val="none"/>
          <w:lang w:val="zh-CN"/>
        </w:rPr>
        <w:t>内容，并已单独密封封装：</w:t>
      </w:r>
    </w:p>
    <w:p w14:paraId="782F5D0A">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53C4E1B9">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182654A8">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6D839CA5">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GXTZ-ZB-2026第（39）号</w:t>
      </w:r>
      <w:r>
        <w:rPr>
          <w:rFonts w:hint="eastAsia" w:ascii="宋体" w:hAnsi="宋体" w:eastAsia="宋体" w:cs="宋体"/>
          <w:color w:val="auto"/>
          <w:szCs w:val="21"/>
          <w:highlight w:val="none"/>
          <w:lang w:val="zh-CN"/>
        </w:rPr>
        <w:t>的投标；</w:t>
      </w:r>
    </w:p>
    <w:p w14:paraId="22E81578">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35938BA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62B6FBEF">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059DBE37">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w:t>
      </w:r>
      <w:r>
        <w:rPr>
          <w:rFonts w:hint="eastAsia" w:ascii="宋体" w:hAnsi="宋体" w:eastAsia="宋体" w:cs="宋体"/>
          <w:color w:val="auto"/>
          <w:szCs w:val="21"/>
          <w:highlight w:val="none"/>
          <w:lang w:val="en-US" w:eastAsia="zh-CN"/>
        </w:rPr>
        <w:t>其它</w:t>
      </w:r>
      <w:r>
        <w:rPr>
          <w:rFonts w:hint="eastAsia" w:ascii="宋体" w:hAnsi="宋体" w:eastAsia="宋体" w:cs="宋体"/>
          <w:color w:val="auto"/>
          <w:szCs w:val="21"/>
          <w:highlight w:val="none"/>
          <w:lang w:val="zh-CN"/>
        </w:rPr>
        <w:t>数据或信息；</w:t>
      </w:r>
    </w:p>
    <w:p w14:paraId="43027106">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517F5DC6">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0ECCCF9C">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4063E0B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61339DE1">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43CD870E">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7D85AFFA">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4D5B076B">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6EBB1018">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32EC2C01">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48CFB6FF">
      <w:pPr>
        <w:autoSpaceDE w:val="0"/>
        <w:autoSpaceDN w:val="0"/>
        <w:adjustRightIn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7B6104DF">
      <w:pPr>
        <w:autoSpaceDE w:val="0"/>
        <w:autoSpaceDN w:val="0"/>
        <w:adjustRightInd w:val="0"/>
        <w:spacing w:line="360" w:lineRule="auto"/>
        <w:rPr>
          <w:rFonts w:hint="eastAsia" w:ascii="宋体" w:hAnsi="宋体" w:eastAsia="宋体" w:cs="宋体"/>
          <w:color w:val="auto"/>
          <w:szCs w:val="21"/>
          <w:highlight w:val="none"/>
          <w:lang w:val="zh-CN"/>
        </w:rPr>
      </w:pPr>
    </w:p>
    <w:p w14:paraId="5E873EEC">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6A084FFD">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12ED298E">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4DF79CC7">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572" w:name="_Toc94107203"/>
      <w:bookmarkStart w:id="573" w:name="_Toc140596922"/>
      <w:bookmarkStart w:id="574" w:name="_Toc486167710"/>
      <w:bookmarkStart w:id="575" w:name="_Toc28613_WPSOffice_Level2"/>
      <w:bookmarkStart w:id="576" w:name="_Toc533708122"/>
      <w:bookmarkStart w:id="577" w:name="_Toc8696"/>
      <w:bookmarkStart w:id="578" w:name="_Toc104991869"/>
      <w:bookmarkStart w:id="579" w:name="_Toc102860068"/>
      <w:bookmarkStart w:id="580" w:name="_Toc21602"/>
      <w:bookmarkStart w:id="581" w:name="_Toc142508363"/>
      <w:bookmarkStart w:id="582" w:name="_Toc6855"/>
      <w:bookmarkStart w:id="583" w:name="_Toc102860412"/>
      <w:bookmarkStart w:id="584" w:name="_Toc26795"/>
      <w:bookmarkStart w:id="585" w:name="_Toc1977722"/>
      <w:r>
        <w:rPr>
          <w:rFonts w:hint="eastAsia" w:ascii="宋体" w:hAnsi="宋体" w:eastAsia="宋体" w:cs="宋体"/>
          <w:b/>
          <w:color w:val="auto"/>
          <w:kern w:val="0"/>
          <w:sz w:val="32"/>
          <w:szCs w:val="32"/>
          <w:highlight w:val="none"/>
        </w:rPr>
        <w:t>二、投标承诺书格式</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639BF6E3">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0E344DDF">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67A257F6">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东莞市供水计量设施更新项目（2026-2027年计量仪表）－电磁水表</w:t>
      </w:r>
      <w:r>
        <w:rPr>
          <w:rFonts w:hint="eastAsia" w:ascii="宋体" w:hAnsi="宋体" w:eastAsia="宋体" w:cs="Times New Roman"/>
          <w:color w:val="auto"/>
          <w:kern w:val="0"/>
          <w:szCs w:val="21"/>
          <w:highlight w:val="none"/>
        </w:rPr>
        <w:t>（招标编号：</w:t>
      </w:r>
      <w:r>
        <w:rPr>
          <w:rFonts w:hint="eastAsia" w:ascii="宋体" w:hAnsi="宋体" w:eastAsia="宋体" w:cs="宋体"/>
          <w:color w:val="auto"/>
          <w:szCs w:val="21"/>
          <w:highlight w:val="none"/>
          <w:u w:val="single"/>
          <w:lang w:val="zh-CN"/>
        </w:rPr>
        <w:t>GXTZ-ZB-2026第（39）号</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3151989E">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款约定按时提供原件核查的，因此导致我方无法参与东莞市水务环境投资控股集团有限公司相关招标采购活动的，由我方自行承担全部后果。</w:t>
      </w:r>
    </w:p>
    <w:p w14:paraId="5B85F674">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6BD5D829">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6BED7D34">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11E66095">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5EA200C3">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6800FD88">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7B6EE4D2">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64FBCA16">
      <w:pPr>
        <w:autoSpaceDE w:val="0"/>
        <w:autoSpaceDN w:val="0"/>
        <w:adjustRightInd w:val="0"/>
        <w:spacing w:line="360" w:lineRule="auto"/>
        <w:jc w:val="left"/>
        <w:rPr>
          <w:rFonts w:ascii="宋体" w:hAnsi="宋体" w:eastAsia="宋体" w:cs="宋体"/>
          <w:color w:val="auto"/>
          <w:kern w:val="0"/>
          <w:sz w:val="24"/>
          <w:szCs w:val="24"/>
          <w:highlight w:val="none"/>
        </w:rPr>
      </w:pPr>
    </w:p>
    <w:p w14:paraId="2A083D7C">
      <w:pPr>
        <w:autoSpaceDE w:val="0"/>
        <w:autoSpaceDN w:val="0"/>
        <w:adjustRightInd w:val="0"/>
        <w:spacing w:line="360" w:lineRule="auto"/>
        <w:jc w:val="left"/>
        <w:rPr>
          <w:rFonts w:ascii="宋体" w:hAnsi="宋体" w:eastAsia="宋体" w:cs="宋体"/>
          <w:color w:val="auto"/>
          <w:kern w:val="0"/>
          <w:sz w:val="24"/>
          <w:szCs w:val="24"/>
          <w:highlight w:val="none"/>
        </w:rPr>
      </w:pPr>
      <w:bookmarkStart w:id="586" w:name="_Toc311032584"/>
      <w:bookmarkStart w:id="587" w:name="_Toc326768876"/>
      <w:bookmarkStart w:id="588" w:name="_Toc316896755"/>
    </w:p>
    <w:p w14:paraId="52903E56">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589" w:name="_Toc104991870"/>
      <w:bookmarkStart w:id="590" w:name="_Toc82182546"/>
      <w:bookmarkStart w:id="591" w:name="_Toc12590"/>
      <w:bookmarkStart w:id="592" w:name="_Toc16135"/>
      <w:bookmarkStart w:id="593" w:name="_Toc86764083"/>
      <w:bookmarkStart w:id="594" w:name="_Toc9778"/>
      <w:bookmarkStart w:id="595" w:name="_Toc27332"/>
      <w:bookmarkStart w:id="596" w:name="_Toc102860413"/>
      <w:bookmarkStart w:id="597" w:name="_Toc102860069"/>
      <w:bookmarkStart w:id="598" w:name="_Toc142508364"/>
      <w:bookmarkStart w:id="599" w:name="_Toc94107204"/>
      <w:bookmarkStart w:id="600" w:name="_Toc140596923"/>
      <w:bookmarkStart w:id="601" w:name="_Toc1977723"/>
      <w:bookmarkStart w:id="602" w:name="_Toc533708123"/>
      <w:bookmarkStart w:id="603" w:name="_Toc7024_WPSOffice_Level2"/>
      <w:bookmarkStart w:id="604" w:name="_Toc486167711"/>
      <w:r>
        <w:rPr>
          <w:rFonts w:hint="eastAsia" w:ascii="宋体" w:hAnsi="宋体" w:eastAsia="宋体" w:cs="宋体"/>
          <w:b/>
          <w:color w:val="auto"/>
          <w:kern w:val="44"/>
          <w:sz w:val="32"/>
          <w:szCs w:val="32"/>
          <w:highlight w:val="none"/>
        </w:rPr>
        <w:t>三、供货及/或提供服务过程承诺函格式</w:t>
      </w:r>
      <w:bookmarkEnd w:id="589"/>
      <w:bookmarkEnd w:id="590"/>
      <w:bookmarkEnd w:id="591"/>
      <w:bookmarkEnd w:id="592"/>
      <w:bookmarkEnd w:id="593"/>
      <w:bookmarkEnd w:id="594"/>
      <w:bookmarkEnd w:id="595"/>
      <w:bookmarkEnd w:id="596"/>
      <w:bookmarkEnd w:id="597"/>
      <w:bookmarkEnd w:id="598"/>
      <w:bookmarkEnd w:id="599"/>
      <w:bookmarkEnd w:id="600"/>
    </w:p>
    <w:p w14:paraId="30EFBAB0">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17916BFA">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val="zh-CN" w:eastAsia="zh-CN"/>
        </w:rPr>
        <w:t>东莞市水务环境投资控股集团供水有限公司</w:t>
      </w:r>
      <w:r>
        <w:rPr>
          <w:rFonts w:hint="eastAsia" w:ascii="宋体" w:hAnsi="宋体" w:eastAsia="宋体" w:cs="宋体"/>
          <w:color w:val="auto"/>
          <w:kern w:val="0"/>
          <w:szCs w:val="21"/>
          <w:highlight w:val="none"/>
        </w:rPr>
        <w:t>：</w:t>
      </w:r>
    </w:p>
    <w:p w14:paraId="3FD4DC9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kern w:val="0"/>
          <w:szCs w:val="21"/>
          <w:highlight w:val="none"/>
          <w:u w:val="single"/>
          <w:lang w:eastAsia="zh-CN"/>
        </w:rPr>
        <w:t>东莞市供水计量设施更新项目（2026-2027年计量仪表）</w:t>
      </w:r>
      <w:r>
        <w:rPr>
          <w:rFonts w:hint="eastAsia" w:ascii="宋体" w:hAnsi="宋体" w:eastAsia="宋体" w:cs="Times New Roman"/>
          <w:color w:val="auto"/>
          <w:kern w:val="0"/>
          <w:szCs w:val="21"/>
          <w:highlight w:val="none"/>
          <w:lang w:eastAsia="zh-CN"/>
        </w:rPr>
        <w:t>－电磁水表</w:t>
      </w:r>
      <w:r>
        <w:rPr>
          <w:rFonts w:hint="eastAsia" w:ascii="宋体" w:hAnsi="宋体" w:eastAsia="宋体" w:cs="宋体"/>
          <w:color w:val="auto"/>
          <w:kern w:val="0"/>
          <w:szCs w:val="21"/>
          <w:highlight w:val="none"/>
        </w:rPr>
        <w:t>(招标编号：</w:t>
      </w:r>
      <w:r>
        <w:rPr>
          <w:rFonts w:hint="eastAsia" w:ascii="宋体" w:hAnsi="宋体" w:eastAsia="宋体" w:cs="宋体"/>
          <w:color w:val="auto"/>
          <w:szCs w:val="21"/>
          <w:highlight w:val="none"/>
          <w:u w:val="single"/>
          <w:lang w:val="zh-CN"/>
        </w:rPr>
        <w:t>GXTZ-ZB-2026第（39）号</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4016BF0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1C44610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2AC37DB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19D54F8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2A247D0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w:t>
      </w:r>
      <w:r>
        <w:rPr>
          <w:rFonts w:hint="eastAsia" w:ascii="宋体" w:hAnsi="宋体" w:eastAsia="宋体" w:cs="宋体"/>
          <w:color w:val="auto"/>
          <w:szCs w:val="21"/>
          <w:highlight w:val="none"/>
          <w:lang w:val="en-US" w:eastAsia="zh-CN"/>
        </w:rPr>
        <w:t>其它</w:t>
      </w:r>
      <w:r>
        <w:rPr>
          <w:rFonts w:hint="eastAsia" w:ascii="宋体" w:hAnsi="宋体" w:eastAsia="宋体" w:cs="宋体"/>
          <w:color w:val="auto"/>
          <w:kern w:val="0"/>
          <w:szCs w:val="21"/>
          <w:highlight w:val="none"/>
        </w:rPr>
        <w:t>工作场所活动，我方作业人员擅自到作业区域以外的</w:t>
      </w:r>
      <w:r>
        <w:rPr>
          <w:rFonts w:hint="eastAsia" w:ascii="宋体" w:hAnsi="宋体" w:eastAsia="宋体" w:cs="宋体"/>
          <w:color w:val="auto"/>
          <w:szCs w:val="21"/>
          <w:highlight w:val="none"/>
          <w:lang w:val="en-US" w:eastAsia="zh-CN"/>
        </w:rPr>
        <w:t>其它</w:t>
      </w:r>
      <w:r>
        <w:rPr>
          <w:rFonts w:hint="eastAsia" w:ascii="宋体" w:hAnsi="宋体" w:eastAsia="宋体" w:cs="宋体"/>
          <w:color w:val="auto"/>
          <w:kern w:val="0"/>
          <w:szCs w:val="21"/>
          <w:highlight w:val="none"/>
        </w:rPr>
        <w:t>工作场所活动，出现人身损害或财产损失的，由我方自行负责一切责任。我方作业人员如需动用或作业涉及到招标人所属设备、电器、管线及其他设施等，承诺事先征得招标人代表的同意，并采取安全防护措施。</w:t>
      </w:r>
    </w:p>
    <w:p w14:paraId="3B91BA7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w:t>
      </w:r>
      <w:r>
        <w:rPr>
          <w:rFonts w:hint="eastAsia" w:ascii="宋体" w:hAnsi="宋体" w:eastAsia="宋体" w:cs="宋体"/>
          <w:color w:val="auto"/>
          <w:kern w:val="0"/>
          <w:szCs w:val="21"/>
          <w:highlight w:val="none"/>
          <w:lang w:val="en-US" w:eastAsia="zh-CN"/>
        </w:rPr>
        <w:t>货物及有关</w:t>
      </w:r>
      <w:r>
        <w:rPr>
          <w:rFonts w:hint="eastAsia" w:ascii="宋体" w:hAnsi="宋体" w:eastAsia="宋体" w:cs="宋体"/>
          <w:color w:val="auto"/>
          <w:kern w:val="0"/>
          <w:szCs w:val="21"/>
          <w:highlight w:val="none"/>
        </w:rPr>
        <w:t>服务过程中，如因违反招标人相关规章制度、安全条例，或因不服从招标人监督而发生安全事故的，其结果与责任均由我方负责，招标人无须承担任何结果与责任。</w:t>
      </w:r>
    </w:p>
    <w:p w14:paraId="6A8FE3D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737F747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79C5344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0DED585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609D20D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333060C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231BF3B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65B9E0A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w:t>
      </w:r>
      <w:r>
        <w:rPr>
          <w:rFonts w:hint="eastAsia" w:ascii="宋体" w:hAnsi="宋体" w:eastAsia="宋体" w:cs="宋体"/>
          <w:color w:val="auto"/>
          <w:szCs w:val="21"/>
          <w:highlight w:val="none"/>
          <w:lang w:val="en-US" w:eastAsia="zh-CN"/>
        </w:rPr>
        <w:t>其它</w:t>
      </w:r>
      <w:r>
        <w:rPr>
          <w:rFonts w:hint="eastAsia" w:ascii="宋体" w:hAnsi="宋体" w:eastAsia="宋体" w:cs="宋体"/>
          <w:color w:val="auto"/>
          <w:kern w:val="0"/>
          <w:szCs w:val="21"/>
          <w:highlight w:val="none"/>
        </w:rPr>
        <w:t>火源的间距必须达到10M及以上。</w:t>
      </w:r>
    </w:p>
    <w:p w14:paraId="6398B22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4990FA6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090D21A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7B9ACD0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0549E94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16BB9F5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4B19479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70B157FA">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36EB5544">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491517AC">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601DF277">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1796526D">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605" w:name="_Toc102860070"/>
      <w:bookmarkStart w:id="606" w:name="_Toc104991871"/>
      <w:bookmarkStart w:id="607" w:name="_Toc94107205"/>
      <w:bookmarkStart w:id="608" w:name="_Toc82182547"/>
      <w:bookmarkStart w:id="609" w:name="_Toc102860414"/>
      <w:bookmarkStart w:id="610" w:name="_Toc142508365"/>
      <w:bookmarkStart w:id="611" w:name="_Toc140596924"/>
      <w:bookmarkStart w:id="612" w:name="_Toc86764084"/>
      <w:bookmarkStart w:id="613" w:name="_Toc3993"/>
      <w:bookmarkStart w:id="614" w:name="_Toc5363"/>
      <w:bookmarkStart w:id="615" w:name="_Toc2428"/>
      <w:bookmarkStart w:id="616" w:name="_Toc6287"/>
      <w:r>
        <w:rPr>
          <w:rFonts w:hint="eastAsia" w:ascii="宋体" w:hAnsi="宋体" w:eastAsia="宋体" w:cs="宋体"/>
          <w:b/>
          <w:color w:val="auto"/>
          <w:kern w:val="44"/>
          <w:sz w:val="32"/>
          <w:szCs w:val="32"/>
          <w:highlight w:val="none"/>
        </w:rPr>
        <w:t>四</w:t>
      </w:r>
      <w:bookmarkEnd w:id="605"/>
      <w:bookmarkEnd w:id="606"/>
      <w:bookmarkEnd w:id="607"/>
      <w:bookmarkEnd w:id="608"/>
      <w:bookmarkEnd w:id="609"/>
      <w:bookmarkEnd w:id="610"/>
      <w:bookmarkEnd w:id="611"/>
      <w:bookmarkEnd w:id="612"/>
      <w:bookmarkStart w:id="617" w:name="_Toc142508366"/>
      <w:bookmarkStart w:id="618" w:name="_Toc94107206"/>
      <w:bookmarkStart w:id="619" w:name="_Toc102860415"/>
      <w:bookmarkStart w:id="620" w:name="_Toc102860071"/>
      <w:bookmarkStart w:id="621" w:name="_Toc140596925"/>
      <w:bookmarkStart w:id="622" w:name="_Toc104991872"/>
      <w:r>
        <w:rPr>
          <w:rFonts w:hint="eastAsia" w:ascii="宋体" w:hAnsi="宋体" w:eastAsia="宋体" w:cs="宋体"/>
          <w:b/>
          <w:color w:val="auto"/>
          <w:kern w:val="0"/>
          <w:sz w:val="32"/>
          <w:szCs w:val="32"/>
          <w:highlight w:val="none"/>
        </w:rPr>
        <w:t>、投标报价表格式</w:t>
      </w:r>
      <w:bookmarkEnd w:id="601"/>
      <w:bookmarkEnd w:id="602"/>
      <w:bookmarkEnd w:id="603"/>
      <w:bookmarkEnd w:id="604"/>
      <w:bookmarkEnd w:id="613"/>
      <w:bookmarkEnd w:id="614"/>
      <w:bookmarkEnd w:id="615"/>
      <w:bookmarkEnd w:id="616"/>
      <w:bookmarkEnd w:id="617"/>
      <w:bookmarkEnd w:id="618"/>
      <w:bookmarkEnd w:id="619"/>
      <w:bookmarkEnd w:id="620"/>
      <w:bookmarkEnd w:id="621"/>
      <w:bookmarkEnd w:id="622"/>
    </w:p>
    <w:p w14:paraId="05B304A2">
      <w:pPr>
        <w:spacing w:line="360" w:lineRule="auto"/>
        <w:jc w:val="both"/>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4.1 投标报价表</w:t>
      </w:r>
    </w:p>
    <w:p w14:paraId="3815141E">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64C05B49">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东莞市供水计量设施更新项目（2026-2027年计量仪表）－电磁水表</w:t>
      </w:r>
    </w:p>
    <w:p w14:paraId="6DEC4549">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szCs w:val="21"/>
          <w:highlight w:val="none"/>
          <w:u w:val="single"/>
          <w:lang w:val="zh-CN"/>
        </w:rPr>
        <w:t>GXTZ-ZB-2026第（39）号</w:t>
      </w:r>
    </w:p>
    <w:tbl>
      <w:tblPr>
        <w:tblStyle w:val="39"/>
        <w:tblW w:w="103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35"/>
        <w:gridCol w:w="4909"/>
        <w:gridCol w:w="3094"/>
        <w:gridCol w:w="1332"/>
      </w:tblGrid>
      <w:tr w14:paraId="614B6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035" w:type="dxa"/>
            <w:tcBorders>
              <w:top w:val="single" w:color="auto" w:sz="4" w:space="0"/>
              <w:left w:val="single" w:color="auto" w:sz="4" w:space="0"/>
              <w:bottom w:val="single" w:color="auto" w:sz="4" w:space="0"/>
              <w:right w:val="single" w:color="auto" w:sz="4" w:space="0"/>
            </w:tcBorders>
            <w:vAlign w:val="center"/>
          </w:tcPr>
          <w:p w14:paraId="5A231DB8">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4909" w:type="dxa"/>
            <w:tcBorders>
              <w:top w:val="single" w:color="auto" w:sz="4" w:space="0"/>
              <w:left w:val="single" w:color="auto" w:sz="4" w:space="0"/>
              <w:bottom w:val="single" w:color="auto" w:sz="4" w:space="0"/>
              <w:right w:val="single" w:color="auto" w:sz="4" w:space="0"/>
            </w:tcBorders>
            <w:vAlign w:val="center"/>
          </w:tcPr>
          <w:p w14:paraId="3859DA8D">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3094" w:type="dxa"/>
            <w:tcBorders>
              <w:top w:val="single" w:color="auto" w:sz="4" w:space="0"/>
              <w:left w:val="single" w:color="auto" w:sz="4" w:space="0"/>
              <w:bottom w:val="single" w:color="auto" w:sz="4" w:space="0"/>
              <w:right w:val="single" w:color="auto" w:sz="4" w:space="0"/>
            </w:tcBorders>
            <w:vAlign w:val="center"/>
          </w:tcPr>
          <w:p w14:paraId="734BC761">
            <w:pPr>
              <w:autoSpaceDE w:val="0"/>
              <w:autoSpaceDN w:val="0"/>
              <w:spacing w:line="360" w:lineRule="auto"/>
              <w:jc w:val="center"/>
              <w:rPr>
                <w:rFonts w:hint="default"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t>折扣系数报价</w:t>
            </w:r>
          </w:p>
        </w:tc>
        <w:tc>
          <w:tcPr>
            <w:tcW w:w="1332" w:type="dxa"/>
            <w:tcBorders>
              <w:top w:val="single" w:color="auto" w:sz="4" w:space="0"/>
              <w:left w:val="single" w:color="auto" w:sz="4" w:space="0"/>
              <w:bottom w:val="single" w:color="auto" w:sz="4" w:space="0"/>
              <w:right w:val="single" w:color="auto" w:sz="4" w:space="0"/>
            </w:tcBorders>
            <w:vAlign w:val="center"/>
          </w:tcPr>
          <w:p w14:paraId="56CB33D8">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66526E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1035" w:type="dxa"/>
            <w:tcBorders>
              <w:top w:val="single" w:color="auto" w:sz="4" w:space="0"/>
              <w:left w:val="single" w:color="auto" w:sz="4" w:space="0"/>
              <w:right w:val="single" w:color="auto" w:sz="4" w:space="0"/>
            </w:tcBorders>
            <w:vAlign w:val="center"/>
          </w:tcPr>
          <w:p w14:paraId="6C8E8FA4">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4909" w:type="dxa"/>
            <w:tcBorders>
              <w:top w:val="single" w:color="auto" w:sz="4" w:space="0"/>
              <w:left w:val="single" w:color="auto" w:sz="4" w:space="0"/>
              <w:right w:val="single" w:color="auto" w:sz="4" w:space="0"/>
            </w:tcBorders>
            <w:vAlign w:val="center"/>
          </w:tcPr>
          <w:p w14:paraId="464B2C2F">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eastAsia="zh-CN"/>
              </w:rPr>
              <w:t>东莞市供水计量设施更新项目（2026-2027年计量仪表）</w:t>
            </w:r>
            <w:r>
              <w:rPr>
                <w:rFonts w:hint="eastAsia" w:ascii="宋体" w:hAnsi="宋体" w:eastAsia="宋体" w:cs="Times New Roman"/>
                <w:color w:val="auto"/>
                <w:szCs w:val="21"/>
                <w:highlight w:val="none"/>
                <w:lang w:val="zh-CN"/>
              </w:rPr>
              <w:t>－电磁水表</w:t>
            </w:r>
          </w:p>
        </w:tc>
        <w:tc>
          <w:tcPr>
            <w:tcW w:w="3094" w:type="dxa"/>
            <w:tcBorders>
              <w:top w:val="single" w:color="auto" w:sz="4" w:space="0"/>
              <w:left w:val="single" w:color="auto" w:sz="4" w:space="0"/>
              <w:right w:val="single" w:color="auto" w:sz="4" w:space="0"/>
            </w:tcBorders>
            <w:vAlign w:val="center"/>
          </w:tcPr>
          <w:p w14:paraId="61294E9A">
            <w:pPr>
              <w:keepNext w:val="0"/>
              <w:keepLines w:val="0"/>
              <w:suppressLineNumbers w:val="0"/>
              <w:spacing w:before="240" w:beforeLines="100" w:beforeAutospacing="0" w:after="0" w:afterAutospacing="0" w:line="360" w:lineRule="auto"/>
              <w:ind w:left="0" w:right="0"/>
              <w:rPr>
                <w:rFonts w:hint="default" w:ascii="宋体" w:hAnsi="宋体" w:eastAsia="宋体" w:cs="Times New Roman"/>
                <w:color w:val="auto"/>
                <w:kern w:val="0"/>
                <w:szCs w:val="21"/>
                <w:highlight w:val="none"/>
                <w:u w:val="single"/>
              </w:rPr>
            </w:pPr>
            <w:r>
              <w:rPr>
                <w:rFonts w:hint="eastAsia" w:ascii="宋体" w:hAnsi="宋体" w:eastAsia="宋体" w:cs="Times New Roman"/>
                <w:color w:val="auto"/>
                <w:kern w:val="0"/>
                <w:szCs w:val="21"/>
                <w:highlight w:val="none"/>
                <w:lang w:bidi="ar"/>
              </w:rPr>
              <w:t xml:space="preserve">      </w:t>
            </w:r>
            <w:r>
              <w:rPr>
                <w:rFonts w:hint="eastAsia" w:ascii="宋体" w:hAnsi="宋体" w:eastAsia="宋体" w:cs="Times New Roman"/>
                <w:color w:val="auto"/>
                <w:kern w:val="0"/>
                <w:szCs w:val="21"/>
                <w:highlight w:val="none"/>
                <w:u w:val="single"/>
                <w:lang w:bidi="ar"/>
              </w:rPr>
              <w:t xml:space="preserve">                       </w:t>
            </w:r>
          </w:p>
          <w:p w14:paraId="2E4793EF">
            <w:pPr>
              <w:pStyle w:val="15"/>
              <w:snapToGrid/>
              <w:spacing w:before="0"/>
              <w:jc w:val="center"/>
              <w:rPr>
                <w:rFonts w:hint="eastAsia" w:eastAsia="宋体"/>
                <w:color w:val="auto"/>
                <w:highlight w:val="none"/>
                <w:lang w:val="en-US" w:eastAsia="zh-CN"/>
              </w:rPr>
            </w:pPr>
            <w:r>
              <w:rPr>
                <w:rFonts w:hint="eastAsia" w:ascii="宋体" w:hAnsi="宋体" w:eastAsia="宋体" w:cs="宋体"/>
                <w:b/>
                <w:bCs/>
                <w:color w:val="auto"/>
                <w:kern w:val="0"/>
                <w:szCs w:val="21"/>
                <w:highlight w:val="none"/>
                <w:lang w:eastAsia="zh-CN" w:bidi="ar"/>
              </w:rPr>
              <w:t>【</w:t>
            </w:r>
            <w:r>
              <w:rPr>
                <w:rFonts w:hint="eastAsia" w:ascii="宋体" w:hAnsi="宋体" w:eastAsia="宋体" w:cs="宋体"/>
                <w:b/>
                <w:bCs/>
                <w:color w:val="auto"/>
                <w:kern w:val="0"/>
                <w:szCs w:val="21"/>
                <w:highlight w:val="none"/>
                <w:lang w:bidi="ar"/>
              </w:rPr>
              <w:t>折扣系数报价不得超过1.00，且不能为0.00或负数</w:t>
            </w:r>
            <w:r>
              <w:rPr>
                <w:rFonts w:hint="eastAsia" w:ascii="宋体" w:hAnsi="宋体" w:eastAsia="宋体" w:cs="宋体"/>
                <w:b/>
                <w:bCs/>
                <w:color w:val="auto"/>
                <w:kern w:val="0"/>
                <w:szCs w:val="21"/>
                <w:highlight w:val="none"/>
                <w:lang w:eastAsia="zh-CN" w:bidi="ar"/>
              </w:rPr>
              <w:t>】</w:t>
            </w:r>
          </w:p>
        </w:tc>
        <w:tc>
          <w:tcPr>
            <w:tcW w:w="1332" w:type="dxa"/>
            <w:tcBorders>
              <w:top w:val="single" w:color="auto" w:sz="4" w:space="0"/>
              <w:left w:val="single" w:color="auto" w:sz="4" w:space="0"/>
              <w:right w:val="single" w:color="auto" w:sz="4" w:space="0"/>
            </w:tcBorders>
            <w:vAlign w:val="center"/>
          </w:tcPr>
          <w:p w14:paraId="75FCED8B">
            <w:pPr>
              <w:tabs>
                <w:tab w:val="left" w:pos="8610"/>
              </w:tabs>
              <w:spacing w:line="360" w:lineRule="auto"/>
              <w:jc w:val="center"/>
              <w:rPr>
                <w:rFonts w:ascii="宋体" w:hAnsi="宋体" w:eastAsia="宋体" w:cs="Times New Roman"/>
                <w:color w:val="auto"/>
                <w:kern w:val="0"/>
                <w:szCs w:val="21"/>
                <w:highlight w:val="none"/>
              </w:rPr>
            </w:pPr>
          </w:p>
        </w:tc>
      </w:tr>
    </w:tbl>
    <w:p w14:paraId="2AA9DE1E">
      <w:pPr>
        <w:rPr>
          <w:rFonts w:ascii="宋体" w:hAnsi="宋体" w:eastAsia="宋体" w:cs="宋体"/>
          <w:color w:val="auto"/>
          <w:kern w:val="0"/>
          <w:sz w:val="20"/>
          <w:szCs w:val="21"/>
          <w:highlight w:val="none"/>
        </w:rPr>
      </w:pPr>
    </w:p>
    <w:p w14:paraId="7FCFFF35">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6C8AE680">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（1）本项目的投标报价采用统一折扣系数报价，合同履约过程中，采购清单中</w:t>
      </w:r>
      <w:r>
        <w:rPr>
          <w:rFonts w:hint="eastAsia" w:ascii="宋体" w:hAnsi="宋体" w:eastAsia="宋体" w:cs="宋体"/>
          <w:b/>
          <w:color w:val="auto"/>
          <w:sz w:val="21"/>
          <w:szCs w:val="21"/>
          <w:highlight w:val="none"/>
          <w:lang w:val="en-US" w:eastAsia="zh-CN"/>
        </w:rPr>
        <w:t>电磁水表</w:t>
      </w:r>
      <w:r>
        <w:rPr>
          <w:rFonts w:hint="eastAsia" w:ascii="宋体" w:hAnsi="宋体" w:eastAsia="宋体" w:cs="Times New Roman"/>
          <w:b/>
          <w:bCs/>
          <w:color w:val="auto"/>
          <w:kern w:val="0"/>
          <w:szCs w:val="21"/>
          <w:highlight w:val="none"/>
        </w:rPr>
        <w:t>不含税中标综合单价按以下方式计算：不含税中标综合单价=不含税预算综合单价×中标折扣系数，以实际供货数量进行结算，不含税中标综合单价出现小数点，保留小数点后两位，从小数点后第3位四舍五入。</w:t>
      </w:r>
    </w:p>
    <w:p w14:paraId="49716BFF">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）投标人的折扣系数报价不得超过1</w:t>
      </w:r>
      <w:r>
        <w:rPr>
          <w:rFonts w:hint="eastAsia" w:ascii="宋体" w:hAnsi="宋体" w:eastAsia="宋体" w:cs="Times New Roman"/>
          <w:b/>
          <w:bCs/>
          <w:color w:val="auto"/>
          <w:kern w:val="0"/>
          <w:szCs w:val="21"/>
          <w:highlight w:val="none"/>
          <w:lang w:val="en-US" w:eastAsia="zh-CN"/>
        </w:rPr>
        <w:t>.00</w:t>
      </w:r>
      <w:r>
        <w:rPr>
          <w:rFonts w:hint="eastAsia" w:ascii="宋体" w:hAnsi="宋体" w:eastAsia="宋体" w:cs="Times New Roman"/>
          <w:b/>
          <w:bCs/>
          <w:color w:val="auto"/>
          <w:kern w:val="0"/>
          <w:szCs w:val="21"/>
          <w:highlight w:val="none"/>
        </w:rPr>
        <w:t>，且不能为0</w:t>
      </w:r>
      <w:r>
        <w:rPr>
          <w:rFonts w:hint="eastAsia" w:ascii="宋体" w:hAnsi="宋体" w:eastAsia="宋体" w:cs="Times New Roman"/>
          <w:b/>
          <w:bCs/>
          <w:color w:val="auto"/>
          <w:kern w:val="0"/>
          <w:szCs w:val="21"/>
          <w:highlight w:val="none"/>
          <w:lang w:val="en-US" w:eastAsia="zh-CN"/>
        </w:rPr>
        <w:t>.00</w:t>
      </w:r>
      <w:r>
        <w:rPr>
          <w:rFonts w:hint="eastAsia" w:ascii="宋体" w:hAnsi="宋体" w:eastAsia="宋体" w:cs="Times New Roman"/>
          <w:b/>
          <w:bCs/>
          <w:color w:val="auto"/>
          <w:kern w:val="0"/>
          <w:szCs w:val="21"/>
          <w:highlight w:val="none"/>
        </w:rPr>
        <w:t>或负数，折扣系数报价最多保留小数点后两位。投标人未按招标文件要求进行折扣系数报价的，该投标人的投标文件将被视为无效投标。</w:t>
      </w:r>
    </w:p>
    <w:p w14:paraId="55D8D111">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rPr>
        <w:t>（</w:t>
      </w:r>
      <w:r>
        <w:rPr>
          <w:rFonts w:hint="eastAsia" w:ascii="宋体" w:hAnsi="宋体" w:eastAsia="宋体" w:cs="Times New Roman"/>
          <w:b/>
          <w:bCs/>
          <w:color w:val="auto"/>
          <w:kern w:val="0"/>
          <w:szCs w:val="21"/>
          <w:highlight w:val="none"/>
          <w:lang w:val="en-US" w:eastAsia="zh-CN"/>
        </w:rPr>
        <w:t>3</w:t>
      </w:r>
      <w:r>
        <w:rPr>
          <w:rFonts w:hint="eastAsia" w:ascii="宋体" w:hAnsi="宋体" w:eastAsia="宋体" w:cs="Times New Roman"/>
          <w:b/>
          <w:bCs/>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3B0EAB1D">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lang w:val="zh-CN"/>
        </w:rPr>
      </w:pPr>
    </w:p>
    <w:p w14:paraId="2053086F">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66E85A0D">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0FF28CED">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7DDDD906">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16E09A6B">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p>
    <w:p w14:paraId="47EDE1DC">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ascii="宋体" w:hAnsi="宋体" w:eastAsia="宋体" w:cs="Times New Roman"/>
          <w:color w:val="auto"/>
          <w:szCs w:val="24"/>
          <w:highlight w:val="none"/>
          <w:lang w:val="zh-CN"/>
        </w:rPr>
        <w:br w:type="page"/>
      </w:r>
      <w:bookmarkStart w:id="623" w:name="_Toc102860074"/>
      <w:bookmarkStart w:id="624" w:name="_Toc102860418"/>
      <w:bookmarkStart w:id="625" w:name="_Toc18828"/>
      <w:bookmarkStart w:id="626" w:name="_Toc24015"/>
      <w:bookmarkStart w:id="627" w:name="_Toc142508369"/>
      <w:bookmarkStart w:id="628" w:name="_Toc104991875"/>
      <w:bookmarkStart w:id="629" w:name="_Toc140596928"/>
      <w:bookmarkStart w:id="630" w:name="_Toc94107209"/>
      <w:bookmarkStart w:id="631" w:name="_Toc5158"/>
      <w:bookmarkStart w:id="632" w:name="_Toc17628"/>
      <w:bookmarkStart w:id="633" w:name="_Toc1977725"/>
      <w:bookmarkStart w:id="634" w:name="_Toc533708124"/>
      <w:bookmarkStart w:id="635" w:name="_Toc486167712"/>
      <w:bookmarkStart w:id="636" w:name="_Toc20759_WPSOffice_Level2"/>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623"/>
      <w:bookmarkEnd w:id="624"/>
      <w:bookmarkEnd w:id="625"/>
      <w:bookmarkEnd w:id="626"/>
      <w:bookmarkEnd w:id="627"/>
      <w:bookmarkEnd w:id="628"/>
      <w:bookmarkEnd w:id="629"/>
      <w:bookmarkEnd w:id="630"/>
      <w:bookmarkEnd w:id="631"/>
      <w:bookmarkEnd w:id="632"/>
      <w:bookmarkEnd w:id="633"/>
    </w:p>
    <w:p w14:paraId="1A0A0834">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37" w:name="_Toc30907"/>
      <w:bookmarkStart w:id="638" w:name="_Toc94107210"/>
      <w:bookmarkStart w:id="639" w:name="_Toc142508370"/>
      <w:bookmarkStart w:id="640" w:name="_Toc102860419"/>
      <w:bookmarkStart w:id="641" w:name="_Toc28382"/>
      <w:bookmarkStart w:id="642" w:name="_Toc102860075"/>
      <w:bookmarkStart w:id="643" w:name="_Toc140596929"/>
      <w:bookmarkStart w:id="644" w:name="_Toc21681"/>
      <w:bookmarkStart w:id="645" w:name="_Toc31420"/>
      <w:bookmarkStart w:id="646" w:name="_Toc104991876"/>
      <w:bookmarkStart w:id="647"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637"/>
      <w:bookmarkEnd w:id="638"/>
      <w:bookmarkEnd w:id="639"/>
      <w:bookmarkEnd w:id="640"/>
      <w:bookmarkEnd w:id="641"/>
      <w:bookmarkEnd w:id="642"/>
      <w:bookmarkEnd w:id="643"/>
      <w:bookmarkEnd w:id="644"/>
      <w:bookmarkEnd w:id="645"/>
      <w:bookmarkEnd w:id="646"/>
    </w:p>
    <w:p w14:paraId="1A23B0C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4F39D80">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footerReference r:id="rId6" w:type="first"/>
          <w:footerReference r:id="rId5" w:type="default"/>
          <w:pgSz w:w="12240" w:h="15840"/>
          <w:pgMar w:top="1191" w:right="1043"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pPr>
    </w:p>
    <w:p w14:paraId="2991EA92">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48" w:name="_Toc26822"/>
      <w:bookmarkStart w:id="649" w:name="_Toc102860076"/>
      <w:bookmarkStart w:id="650" w:name="_Toc104991877"/>
      <w:bookmarkStart w:id="651" w:name="_Toc102860420"/>
      <w:bookmarkStart w:id="652" w:name="_Toc9489"/>
      <w:bookmarkStart w:id="653" w:name="_Toc26345"/>
      <w:bookmarkStart w:id="654" w:name="_Toc140596930"/>
      <w:bookmarkStart w:id="655" w:name="_Toc94107211"/>
      <w:bookmarkStart w:id="656" w:name="_Toc142508371"/>
      <w:bookmarkStart w:id="657" w:name="_Toc21021"/>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648"/>
      <w:bookmarkEnd w:id="649"/>
      <w:bookmarkEnd w:id="650"/>
      <w:bookmarkEnd w:id="651"/>
      <w:bookmarkEnd w:id="652"/>
      <w:bookmarkEnd w:id="653"/>
      <w:bookmarkEnd w:id="654"/>
      <w:bookmarkEnd w:id="655"/>
      <w:bookmarkEnd w:id="656"/>
      <w:bookmarkEnd w:id="657"/>
    </w:p>
    <w:p w14:paraId="3C75A093">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658" w:name="_Toc142508372"/>
      <w:bookmarkStart w:id="659" w:name="_Toc102860077"/>
      <w:bookmarkStart w:id="660" w:name="_Toc644"/>
      <w:bookmarkStart w:id="661" w:name="_Toc104991878"/>
      <w:bookmarkStart w:id="662" w:name="_Toc21657"/>
      <w:bookmarkStart w:id="663" w:name="_Toc1402"/>
      <w:bookmarkStart w:id="664" w:name="_Toc26500"/>
      <w:bookmarkStart w:id="665" w:name="_Toc94107212"/>
      <w:bookmarkStart w:id="666" w:name="_Toc140596931"/>
      <w:bookmarkStart w:id="667" w:name="_Toc102860421"/>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658"/>
      <w:bookmarkEnd w:id="659"/>
      <w:bookmarkEnd w:id="660"/>
      <w:bookmarkEnd w:id="661"/>
      <w:bookmarkEnd w:id="662"/>
      <w:bookmarkEnd w:id="663"/>
      <w:bookmarkEnd w:id="664"/>
      <w:bookmarkEnd w:id="665"/>
      <w:bookmarkEnd w:id="666"/>
      <w:bookmarkEnd w:id="667"/>
    </w:p>
    <w:p w14:paraId="63BB5A9D">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634"/>
      <w:bookmarkEnd w:id="635"/>
      <w:bookmarkEnd w:id="636"/>
      <w:bookmarkEnd w:id="647"/>
    </w:p>
    <w:p w14:paraId="31066836">
      <w:pPr>
        <w:spacing w:before="120" w:after="120" w:line="360" w:lineRule="auto"/>
        <w:ind w:firstLine="608" w:firstLineChars="202"/>
        <w:jc w:val="center"/>
        <w:rPr>
          <w:rFonts w:ascii="宋体" w:hAnsi="宋体" w:eastAsia="宋体" w:cs="宋体"/>
          <w:b/>
          <w:color w:val="auto"/>
          <w:sz w:val="30"/>
          <w:szCs w:val="30"/>
          <w:highlight w:val="none"/>
        </w:rPr>
      </w:pPr>
    </w:p>
    <w:p w14:paraId="14541541">
      <w:pPr>
        <w:spacing w:before="120" w:after="120" w:line="360" w:lineRule="auto"/>
        <w:ind w:firstLine="608" w:firstLineChars="202"/>
        <w:jc w:val="center"/>
        <w:rPr>
          <w:rFonts w:ascii="宋体" w:hAnsi="宋体" w:eastAsia="宋体" w:cs="宋体"/>
          <w:b/>
          <w:bCs/>
          <w:color w:val="auto"/>
          <w:sz w:val="30"/>
          <w:szCs w:val="30"/>
          <w:highlight w:val="none"/>
        </w:rPr>
      </w:pPr>
      <w:bookmarkStart w:id="668" w:name="_Toc11033_WPSOffice_Level3"/>
      <w:r>
        <w:rPr>
          <w:rFonts w:hint="eastAsia" w:ascii="宋体" w:hAnsi="宋体" w:eastAsia="宋体" w:cs="宋体"/>
          <w:b/>
          <w:color w:val="auto"/>
          <w:sz w:val="30"/>
          <w:szCs w:val="30"/>
          <w:highlight w:val="none"/>
        </w:rPr>
        <w:t>法定代</w:t>
      </w:r>
      <w:bookmarkStart w:id="669" w:name="_Toc45995270"/>
      <w:bookmarkStart w:id="670" w:name="_Toc36971359"/>
      <w:r>
        <w:rPr>
          <w:rFonts w:hint="eastAsia" w:ascii="宋体" w:hAnsi="宋体" w:eastAsia="宋体" w:cs="宋体"/>
          <w:b/>
          <w:color w:val="auto"/>
          <w:sz w:val="30"/>
          <w:szCs w:val="30"/>
          <w:highlight w:val="none"/>
        </w:rPr>
        <w:t>表人身份证明书</w:t>
      </w:r>
      <w:bookmarkEnd w:id="668"/>
    </w:p>
    <w:bookmarkEnd w:id="669"/>
    <w:bookmarkEnd w:id="670"/>
    <w:p w14:paraId="7C265F3E">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4CFDFA9A">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63624405">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771C9F41">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7260A72E">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12B038E0">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5449370D">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44938420">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08475B90">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30AD60C1">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F7C66C1"/>
                          <w:p w14:paraId="1A16E5FF"/>
                          <w:p w14:paraId="48F5C880"/>
                          <w:p w14:paraId="0BF181D6"/>
                          <w:p w14:paraId="7A3A1994">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5F7C66C1"/>
                    <w:p w14:paraId="1A16E5FF"/>
                    <w:p w14:paraId="48F5C880"/>
                    <w:p w14:paraId="0BF181D6"/>
                    <w:p w14:paraId="7A3A1994">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63BE7CA"/>
                          <w:p w14:paraId="3EF7DC01"/>
                          <w:p w14:paraId="3AB1F27F"/>
                          <w:p w14:paraId="372DE1C8"/>
                          <w:p w14:paraId="10CA3D23">
                            <w:pPr>
                              <w:jc w:val="center"/>
                              <w:rPr>
                                <w:szCs w:val="21"/>
                              </w:rPr>
                            </w:pPr>
                            <w:r>
                              <w:rPr>
                                <w:rFonts w:hint="eastAsia"/>
                                <w:szCs w:val="21"/>
                              </w:rPr>
                              <w:t>法定代表人身份证反面</w:t>
                            </w:r>
                          </w:p>
                          <w:p w14:paraId="1BE96978">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763BE7CA"/>
                    <w:p w14:paraId="3EF7DC01"/>
                    <w:p w14:paraId="3AB1F27F"/>
                    <w:p w14:paraId="372DE1C8"/>
                    <w:p w14:paraId="10CA3D23">
                      <w:pPr>
                        <w:jc w:val="center"/>
                        <w:rPr>
                          <w:szCs w:val="21"/>
                        </w:rPr>
                      </w:pPr>
                      <w:r>
                        <w:rPr>
                          <w:rFonts w:hint="eastAsia"/>
                          <w:szCs w:val="21"/>
                        </w:rPr>
                        <w:t>法定代表人身份证反面</w:t>
                      </w:r>
                    </w:p>
                    <w:p w14:paraId="1BE96978">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044FB31"/>
                          <w:p w14:paraId="798C7D47"/>
                          <w:p w14:paraId="1C08C532"/>
                          <w:p w14:paraId="0611A9C4"/>
                          <w:p w14:paraId="785220B7">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4044FB31"/>
                    <w:p w14:paraId="798C7D47"/>
                    <w:p w14:paraId="1C08C532"/>
                    <w:p w14:paraId="0611A9C4"/>
                    <w:p w14:paraId="785220B7">
                      <w:pPr>
                        <w:jc w:val="center"/>
                      </w:pPr>
                      <w:r>
                        <w:rPr>
                          <w:rFonts w:hint="eastAsia"/>
                        </w:rPr>
                        <w:t>身份证正面</w:t>
                      </w:r>
                    </w:p>
                  </w:txbxContent>
                </v:textbox>
              </v:shape>
            </w:pict>
          </mc:Fallback>
        </mc:AlternateContent>
      </w:r>
    </w:p>
    <w:p w14:paraId="7F8D834A">
      <w:pPr>
        <w:autoSpaceDE w:val="0"/>
        <w:autoSpaceDN w:val="0"/>
        <w:adjustRightInd w:val="0"/>
        <w:jc w:val="left"/>
        <w:rPr>
          <w:rFonts w:ascii="宋体" w:hAnsi="宋体" w:eastAsia="宋体" w:cs="宋体"/>
          <w:color w:val="auto"/>
          <w:kern w:val="0"/>
          <w:sz w:val="24"/>
          <w:szCs w:val="24"/>
          <w:highlight w:val="none"/>
        </w:rPr>
      </w:pPr>
    </w:p>
    <w:p w14:paraId="025DC88F">
      <w:pPr>
        <w:autoSpaceDE w:val="0"/>
        <w:autoSpaceDN w:val="0"/>
        <w:adjustRightInd w:val="0"/>
        <w:jc w:val="left"/>
        <w:rPr>
          <w:rFonts w:ascii="宋体" w:hAnsi="宋体" w:eastAsia="宋体" w:cs="宋体"/>
          <w:color w:val="auto"/>
          <w:kern w:val="0"/>
          <w:sz w:val="24"/>
          <w:szCs w:val="24"/>
          <w:highlight w:val="none"/>
        </w:rPr>
      </w:pPr>
    </w:p>
    <w:p w14:paraId="641BFAE9">
      <w:pPr>
        <w:autoSpaceDE w:val="0"/>
        <w:autoSpaceDN w:val="0"/>
        <w:adjustRightInd w:val="0"/>
        <w:jc w:val="left"/>
        <w:rPr>
          <w:rFonts w:ascii="宋体" w:hAnsi="宋体" w:eastAsia="宋体" w:cs="宋体"/>
          <w:color w:val="auto"/>
          <w:kern w:val="0"/>
          <w:sz w:val="24"/>
          <w:szCs w:val="24"/>
          <w:highlight w:val="none"/>
        </w:rPr>
      </w:pPr>
    </w:p>
    <w:p w14:paraId="40A0AB5C">
      <w:pPr>
        <w:autoSpaceDE w:val="0"/>
        <w:autoSpaceDN w:val="0"/>
        <w:adjustRightInd w:val="0"/>
        <w:jc w:val="left"/>
        <w:rPr>
          <w:rFonts w:ascii="宋体" w:hAnsi="宋体" w:eastAsia="宋体" w:cs="宋体"/>
          <w:color w:val="auto"/>
          <w:kern w:val="0"/>
          <w:sz w:val="24"/>
          <w:szCs w:val="24"/>
          <w:highlight w:val="none"/>
        </w:rPr>
      </w:pPr>
    </w:p>
    <w:p w14:paraId="43C5837F">
      <w:pPr>
        <w:autoSpaceDE w:val="0"/>
        <w:autoSpaceDN w:val="0"/>
        <w:adjustRightInd w:val="0"/>
        <w:jc w:val="left"/>
        <w:rPr>
          <w:rFonts w:ascii="宋体" w:hAnsi="宋体" w:eastAsia="宋体" w:cs="宋体"/>
          <w:color w:val="auto"/>
          <w:kern w:val="0"/>
          <w:sz w:val="24"/>
          <w:szCs w:val="24"/>
          <w:highlight w:val="none"/>
        </w:rPr>
      </w:pPr>
    </w:p>
    <w:p w14:paraId="0D95659F">
      <w:pPr>
        <w:autoSpaceDE w:val="0"/>
        <w:autoSpaceDN w:val="0"/>
        <w:adjustRightInd w:val="0"/>
        <w:jc w:val="left"/>
        <w:rPr>
          <w:rFonts w:ascii="宋体" w:hAnsi="宋体" w:eastAsia="宋体" w:cs="宋体"/>
          <w:color w:val="auto"/>
          <w:kern w:val="0"/>
          <w:sz w:val="24"/>
          <w:szCs w:val="24"/>
          <w:highlight w:val="none"/>
        </w:rPr>
      </w:pPr>
    </w:p>
    <w:p w14:paraId="42E9D200">
      <w:pPr>
        <w:autoSpaceDE w:val="0"/>
        <w:autoSpaceDN w:val="0"/>
        <w:adjustRightInd w:val="0"/>
        <w:jc w:val="left"/>
        <w:rPr>
          <w:rFonts w:ascii="宋体" w:hAnsi="宋体" w:eastAsia="宋体" w:cs="宋体"/>
          <w:color w:val="auto"/>
          <w:kern w:val="0"/>
          <w:sz w:val="24"/>
          <w:szCs w:val="24"/>
          <w:highlight w:val="none"/>
        </w:rPr>
      </w:pPr>
    </w:p>
    <w:p w14:paraId="06647F5B">
      <w:pPr>
        <w:autoSpaceDE w:val="0"/>
        <w:autoSpaceDN w:val="0"/>
        <w:adjustRightInd w:val="0"/>
        <w:jc w:val="left"/>
        <w:rPr>
          <w:rFonts w:ascii="宋体" w:hAnsi="宋体" w:eastAsia="宋体" w:cs="宋体"/>
          <w:color w:val="auto"/>
          <w:kern w:val="0"/>
          <w:sz w:val="24"/>
          <w:szCs w:val="24"/>
          <w:highlight w:val="none"/>
        </w:rPr>
      </w:pPr>
    </w:p>
    <w:p w14:paraId="379053E3">
      <w:pPr>
        <w:autoSpaceDE w:val="0"/>
        <w:autoSpaceDN w:val="0"/>
        <w:adjustRightInd w:val="0"/>
        <w:jc w:val="left"/>
        <w:rPr>
          <w:rFonts w:ascii="宋体" w:hAnsi="宋体" w:eastAsia="宋体" w:cs="宋体"/>
          <w:color w:val="auto"/>
          <w:kern w:val="0"/>
          <w:sz w:val="24"/>
          <w:szCs w:val="24"/>
          <w:highlight w:val="none"/>
        </w:rPr>
      </w:pPr>
    </w:p>
    <w:p w14:paraId="5CCDEDD6">
      <w:pPr>
        <w:autoSpaceDE w:val="0"/>
        <w:autoSpaceDN w:val="0"/>
        <w:adjustRightInd w:val="0"/>
        <w:jc w:val="left"/>
        <w:rPr>
          <w:rFonts w:ascii="宋体" w:hAnsi="宋体" w:eastAsia="宋体" w:cs="宋体"/>
          <w:b/>
          <w:color w:val="auto"/>
          <w:kern w:val="0"/>
          <w:szCs w:val="21"/>
          <w:highlight w:val="none"/>
        </w:rPr>
      </w:pPr>
    </w:p>
    <w:p w14:paraId="61D4CA55">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1057DA81">
      <w:pPr>
        <w:autoSpaceDE w:val="0"/>
        <w:autoSpaceDN w:val="0"/>
        <w:adjustRightInd w:val="0"/>
        <w:jc w:val="left"/>
        <w:rPr>
          <w:rFonts w:ascii="宋体" w:hAnsi="宋体" w:eastAsia="宋体" w:cs="宋体"/>
          <w:color w:val="auto"/>
          <w:kern w:val="0"/>
          <w:szCs w:val="21"/>
          <w:highlight w:val="none"/>
        </w:rPr>
      </w:pPr>
    </w:p>
    <w:p w14:paraId="259A8F78">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586"/>
      <w:bookmarkEnd w:id="587"/>
      <w:bookmarkEnd w:id="588"/>
      <w:bookmarkStart w:id="671" w:name="_Toc6240_WPSOffice_Level2"/>
      <w:bookmarkStart w:id="672" w:name="_Toc1977727"/>
      <w:bookmarkStart w:id="673" w:name="_Toc486167713"/>
      <w:bookmarkStart w:id="674" w:name="_Toc533708125"/>
      <w:r>
        <w:rPr>
          <w:rFonts w:hint="eastAsia" w:ascii="宋体" w:hAnsi="宋体" w:eastAsia="宋体" w:cs="宋体"/>
          <w:b/>
          <w:color w:val="auto"/>
          <w:szCs w:val="24"/>
          <w:highlight w:val="none"/>
        </w:rPr>
        <w:t>（2）法定代表人授权书格式</w:t>
      </w:r>
      <w:bookmarkEnd w:id="671"/>
      <w:bookmarkEnd w:id="672"/>
      <w:bookmarkEnd w:id="673"/>
      <w:bookmarkEnd w:id="674"/>
    </w:p>
    <w:p w14:paraId="082BD462">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2BE6A258">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675" w:name="_Toc29146_WPSOffice_Level3"/>
      <w:r>
        <w:rPr>
          <w:rFonts w:hint="eastAsia" w:ascii="宋体" w:hAnsi="宋体" w:eastAsia="宋体" w:cs="宋体"/>
          <w:b/>
          <w:bCs/>
          <w:color w:val="auto"/>
          <w:sz w:val="30"/>
          <w:szCs w:val="30"/>
          <w:highlight w:val="none"/>
          <w:lang w:val="zh-CN"/>
        </w:rPr>
        <w:t>法定代表人授权书</w:t>
      </w:r>
      <w:bookmarkEnd w:id="675"/>
    </w:p>
    <w:p w14:paraId="02B0D52D">
      <w:pPr>
        <w:autoSpaceDE w:val="0"/>
        <w:autoSpaceDN w:val="0"/>
        <w:adjustRightInd w:val="0"/>
        <w:spacing w:line="360" w:lineRule="auto"/>
        <w:jc w:val="center"/>
        <w:rPr>
          <w:rFonts w:ascii="宋体" w:hAnsi="宋体" w:eastAsia="宋体" w:cs="宋体"/>
          <w:color w:val="auto"/>
          <w:szCs w:val="28"/>
          <w:highlight w:val="none"/>
          <w:lang w:val="zh-CN"/>
        </w:rPr>
      </w:pPr>
    </w:p>
    <w:p w14:paraId="351F59B2">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致：东莞市水务环境投资控股集团供水有限公司</w:t>
      </w:r>
    </w:p>
    <w:p w14:paraId="054D7375">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kern w:val="0"/>
          <w:szCs w:val="21"/>
          <w:highlight w:val="none"/>
          <w:u w:val="single"/>
          <w:lang w:eastAsia="zh-CN"/>
        </w:rPr>
        <w:t>东莞市供水计量设施更新项目（2026-2027年计量仪表）</w:t>
      </w:r>
      <w:r>
        <w:rPr>
          <w:rFonts w:hint="eastAsia" w:ascii="宋体" w:hAnsi="宋体" w:eastAsia="宋体" w:cs="宋体"/>
          <w:color w:val="auto"/>
          <w:szCs w:val="21"/>
          <w:highlight w:val="none"/>
          <w:u w:val="single"/>
          <w:lang w:eastAsia="zh-CN"/>
        </w:rPr>
        <w:t>－电磁水表</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GXTZ-ZB-2026第（39）号</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5C167C9C">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06D3012A">
      <w:pPr>
        <w:spacing w:before="120" w:after="120" w:line="360" w:lineRule="auto"/>
        <w:ind w:left="348" w:leftChars="136" w:hanging="62"/>
        <w:rPr>
          <w:rFonts w:ascii="宋体" w:hAnsi="宋体" w:eastAsia="宋体" w:cs="宋体"/>
          <w:color w:val="auto"/>
          <w:szCs w:val="24"/>
          <w:highlight w:val="none"/>
        </w:rPr>
      </w:pPr>
    </w:p>
    <w:p w14:paraId="58CF3F59">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517B8671">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7988956C">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6DB09D5D">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10D61B66">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380962D4">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5CD9C0DB">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0E18B849">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64BFDE0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0F09245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C9DE94B"/>
                          <w:p w14:paraId="049E01AC"/>
                          <w:p w14:paraId="51B25431"/>
                          <w:p w14:paraId="06DD2C6C"/>
                          <w:p w14:paraId="49B40F00">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2C9DE94B"/>
                    <w:p w14:paraId="049E01AC"/>
                    <w:p w14:paraId="51B25431"/>
                    <w:p w14:paraId="06DD2C6C"/>
                    <w:p w14:paraId="49B40F00">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57C7F31"/>
                          <w:p w14:paraId="57E5CF41"/>
                          <w:p w14:paraId="070453B9"/>
                          <w:p w14:paraId="5E8FD40F"/>
                          <w:p w14:paraId="1E1D5989">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657C7F31"/>
                    <w:p w14:paraId="57E5CF41"/>
                    <w:p w14:paraId="070453B9"/>
                    <w:p w14:paraId="5E8FD40F"/>
                    <w:p w14:paraId="1E1D5989">
                      <w:pPr>
                        <w:jc w:val="center"/>
                        <w:rPr>
                          <w:rFonts w:hAnsi="宋体"/>
                        </w:rPr>
                      </w:pPr>
                      <w:r>
                        <w:rPr>
                          <w:rFonts w:hint="eastAsia" w:hAnsi="宋体"/>
                        </w:rPr>
                        <w:t>法定代表人身份证正面</w:t>
                      </w:r>
                    </w:p>
                  </w:txbxContent>
                </v:textbox>
              </v:shape>
            </w:pict>
          </mc:Fallback>
        </mc:AlternateContent>
      </w:r>
    </w:p>
    <w:p w14:paraId="38BA77F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BBAB33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9596B3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059C82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DEDCD5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FF26AF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DF29D1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CC61B2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01BEB9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C633726"/>
                          <w:p w14:paraId="60A5EE6C">
                            <w:pPr>
                              <w:jc w:val="center"/>
                              <w:rPr>
                                <w:rFonts w:hAnsi="宋体"/>
                                <w:color w:val="FF0000"/>
                              </w:rPr>
                            </w:pPr>
                          </w:p>
                          <w:p w14:paraId="4D584FCB">
                            <w:pPr>
                              <w:jc w:val="center"/>
                              <w:rPr>
                                <w:rFonts w:hAnsi="宋体"/>
                                <w:color w:val="FF0000"/>
                              </w:rPr>
                            </w:pPr>
                          </w:p>
                          <w:p w14:paraId="77ECC613">
                            <w:pPr>
                              <w:jc w:val="center"/>
                              <w:rPr>
                                <w:rFonts w:hAnsi="宋体"/>
                                <w:color w:val="FF0000"/>
                              </w:rPr>
                            </w:pPr>
                          </w:p>
                          <w:p w14:paraId="76FF44DB">
                            <w:pPr>
                              <w:jc w:val="center"/>
                            </w:pPr>
                            <w:r>
                              <w:rPr>
                                <w:rFonts w:hint="eastAsia" w:hAnsi="宋体"/>
                              </w:rPr>
                              <w:t>被授权人身份证反面</w:t>
                            </w:r>
                          </w:p>
                          <w:p w14:paraId="0AB3754C"/>
                          <w:p w14:paraId="0C376ADF"/>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4C633726"/>
                    <w:p w14:paraId="60A5EE6C">
                      <w:pPr>
                        <w:jc w:val="center"/>
                        <w:rPr>
                          <w:rFonts w:hAnsi="宋体"/>
                          <w:color w:val="FF0000"/>
                        </w:rPr>
                      </w:pPr>
                    </w:p>
                    <w:p w14:paraId="4D584FCB">
                      <w:pPr>
                        <w:jc w:val="center"/>
                        <w:rPr>
                          <w:rFonts w:hAnsi="宋体"/>
                          <w:color w:val="FF0000"/>
                        </w:rPr>
                      </w:pPr>
                    </w:p>
                    <w:p w14:paraId="77ECC613">
                      <w:pPr>
                        <w:jc w:val="center"/>
                        <w:rPr>
                          <w:rFonts w:hAnsi="宋体"/>
                          <w:color w:val="FF0000"/>
                        </w:rPr>
                      </w:pPr>
                    </w:p>
                    <w:p w14:paraId="76FF44DB">
                      <w:pPr>
                        <w:jc w:val="center"/>
                      </w:pPr>
                      <w:r>
                        <w:rPr>
                          <w:rFonts w:hint="eastAsia" w:hAnsi="宋体"/>
                        </w:rPr>
                        <w:t>被授权人身份证反面</w:t>
                      </w:r>
                    </w:p>
                    <w:p w14:paraId="0AB3754C"/>
                    <w:p w14:paraId="0C376ADF"/>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74A42EB4"/>
                          <w:p w14:paraId="6F9ABD1F">
                            <w:pPr>
                              <w:jc w:val="center"/>
                              <w:rPr>
                                <w:rFonts w:hAnsi="宋体"/>
                                <w:color w:val="FF0000"/>
                              </w:rPr>
                            </w:pPr>
                          </w:p>
                          <w:p w14:paraId="6BE01E9E">
                            <w:pPr>
                              <w:jc w:val="center"/>
                              <w:rPr>
                                <w:rFonts w:hAnsi="宋体"/>
                                <w:color w:val="FF0000"/>
                              </w:rPr>
                            </w:pPr>
                          </w:p>
                          <w:p w14:paraId="3ADD4EE4">
                            <w:pPr>
                              <w:jc w:val="center"/>
                              <w:rPr>
                                <w:rFonts w:hAnsi="宋体"/>
                                <w:color w:val="FF0000"/>
                              </w:rPr>
                            </w:pPr>
                          </w:p>
                          <w:p w14:paraId="58DA6A68">
                            <w:pPr>
                              <w:jc w:val="center"/>
                            </w:pPr>
                            <w:r>
                              <w:rPr>
                                <w:rFonts w:hint="eastAsia" w:hAnsi="宋体"/>
                              </w:rPr>
                              <w:t>被授权人身份证正面</w:t>
                            </w:r>
                          </w:p>
                          <w:p w14:paraId="045CFE18"/>
                          <w:p w14:paraId="4D7DAEAC"/>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74A42EB4"/>
                    <w:p w14:paraId="6F9ABD1F">
                      <w:pPr>
                        <w:jc w:val="center"/>
                        <w:rPr>
                          <w:rFonts w:hAnsi="宋体"/>
                          <w:color w:val="FF0000"/>
                        </w:rPr>
                      </w:pPr>
                    </w:p>
                    <w:p w14:paraId="6BE01E9E">
                      <w:pPr>
                        <w:jc w:val="center"/>
                        <w:rPr>
                          <w:rFonts w:hAnsi="宋体"/>
                          <w:color w:val="FF0000"/>
                        </w:rPr>
                      </w:pPr>
                    </w:p>
                    <w:p w14:paraId="3ADD4EE4">
                      <w:pPr>
                        <w:jc w:val="center"/>
                        <w:rPr>
                          <w:rFonts w:hAnsi="宋体"/>
                          <w:color w:val="FF0000"/>
                        </w:rPr>
                      </w:pPr>
                    </w:p>
                    <w:p w14:paraId="58DA6A68">
                      <w:pPr>
                        <w:jc w:val="center"/>
                      </w:pPr>
                      <w:r>
                        <w:rPr>
                          <w:rFonts w:hint="eastAsia" w:hAnsi="宋体"/>
                        </w:rPr>
                        <w:t>被授权人身份证正面</w:t>
                      </w:r>
                    </w:p>
                    <w:p w14:paraId="045CFE18"/>
                    <w:p w14:paraId="4D7DAEAC"/>
                  </w:txbxContent>
                </v:textbox>
              </v:shape>
            </w:pict>
          </mc:Fallback>
        </mc:AlternateContent>
      </w:r>
    </w:p>
    <w:p w14:paraId="5447443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517E4B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A69D1F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5E8C42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A14AAD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F2E18FD">
      <w:pPr>
        <w:widowControl/>
        <w:autoSpaceDE w:val="0"/>
        <w:autoSpaceDN w:val="0"/>
        <w:spacing w:before="120" w:after="120" w:line="360" w:lineRule="auto"/>
        <w:ind w:right="781" w:rightChars="372" w:firstLine="422" w:firstLineChars="200"/>
        <w:textAlignment w:val="bottom"/>
        <w:rPr>
          <w:rFonts w:hint="eastAsia" w:ascii="宋体" w:hAnsi="宋体" w:eastAsia="宋体" w:cs="宋体"/>
          <w:b/>
          <w:color w:val="auto"/>
          <w:szCs w:val="24"/>
          <w:highlight w:val="none"/>
          <w:lang w:eastAsia="zh-CN"/>
        </w:rPr>
        <w:sectPr>
          <w:footerReference r:id="rId8" w:type="first"/>
          <w:footerReference r:id="rId7" w:type="default"/>
          <w:pgSz w:w="12240" w:h="15840"/>
          <w:pgMar w:top="1191" w:right="1043"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pPr>
      <w:r>
        <w:rPr>
          <w:rFonts w:hint="eastAsia" w:ascii="宋体" w:hAnsi="宋体" w:eastAsia="宋体" w:cs="宋体"/>
          <w:b/>
          <w:color w:val="auto"/>
          <w:szCs w:val="24"/>
          <w:highlight w:val="none"/>
        </w:rPr>
        <w:t>注：上述所附身份证应在有效期限内</w:t>
      </w:r>
      <w:r>
        <w:rPr>
          <w:rFonts w:hint="eastAsia" w:ascii="宋体" w:hAnsi="宋体" w:eastAsia="宋体" w:cs="宋体"/>
          <w:b/>
          <w:color w:val="auto"/>
          <w:szCs w:val="24"/>
          <w:highlight w:val="none"/>
          <w:lang w:eastAsia="zh-CN"/>
        </w:rPr>
        <w:t>。</w:t>
      </w:r>
    </w:p>
    <w:p w14:paraId="65074A4A">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676" w:name="_Toc619"/>
      <w:bookmarkStart w:id="677" w:name="_Toc9814"/>
      <w:bookmarkStart w:id="678" w:name="_Toc24024"/>
      <w:bookmarkStart w:id="679" w:name="_Toc30070"/>
      <w:bookmarkStart w:id="680" w:name="_Toc31100"/>
      <w:bookmarkStart w:id="681" w:name="_Toc8338"/>
      <w:bookmarkStart w:id="682" w:name="_Toc104991880"/>
      <w:bookmarkStart w:id="683" w:name="_Toc142508373"/>
      <w:bookmarkStart w:id="684" w:name="_Toc1977730"/>
      <w:bookmarkStart w:id="685" w:name="_Toc140596933"/>
      <w:bookmarkStart w:id="686" w:name="_Toc94107214"/>
      <w:r>
        <w:rPr>
          <w:rFonts w:hint="eastAsia" w:ascii="宋体" w:hAnsi="宋体" w:eastAsia="宋体" w:cs="宋体"/>
          <w:b/>
          <w:color w:val="auto"/>
          <w:kern w:val="0"/>
          <w:sz w:val="30"/>
          <w:szCs w:val="30"/>
          <w:highlight w:val="none"/>
          <w:lang w:val="en-US" w:eastAsia="zh-CN"/>
        </w:rPr>
        <w:t xml:space="preserve">5.4 </w:t>
      </w:r>
      <w:bookmarkEnd w:id="676"/>
      <w:bookmarkEnd w:id="677"/>
      <w:r>
        <w:rPr>
          <w:rFonts w:hint="eastAsia" w:ascii="宋体" w:hAnsi="宋体" w:eastAsia="宋体" w:cs="宋体"/>
          <w:b/>
          <w:color w:val="auto"/>
          <w:kern w:val="0"/>
          <w:sz w:val="30"/>
          <w:szCs w:val="30"/>
          <w:highlight w:val="none"/>
          <w:lang w:val="en-US" w:eastAsia="zh-CN"/>
        </w:rPr>
        <w:t>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当前述制造商资格声明和制造商独家授权书是由境外品牌境外生产的所投电磁水表制造商通过境内的办事机构出具时，同时还须提供证明该机构作为境外品牌境外生产的所投电磁水表制造商在境内的办事机构的证明文件复印件[该证明文件可为显示其作为境外所投电磁水表制造商分公司的营业执照、或反映其作为境外所投电磁水表制造商子公司的章程（或出资证明、或反映出资人为境外所投电磁水表制造商的营业执照）或境外所投所投电磁水表制造商的书面证明或官网显示其关系的打印件]）</w:t>
      </w:r>
      <w:bookmarkEnd w:id="678"/>
    </w:p>
    <w:p w14:paraId="608D11F7">
      <w:pPr>
        <w:autoSpaceDE w:val="0"/>
        <w:autoSpaceDN w:val="0"/>
        <w:adjustRightInd w:val="0"/>
        <w:spacing w:line="360" w:lineRule="auto"/>
        <w:jc w:val="center"/>
        <w:rPr>
          <w:rFonts w:ascii="Times New Roman" w:hAnsi="宋体" w:cs="Times New Roman"/>
          <w:b/>
          <w:bCs/>
          <w:color w:val="auto"/>
          <w:sz w:val="30"/>
          <w:szCs w:val="30"/>
          <w:highlight w:val="none"/>
        </w:rPr>
      </w:pPr>
      <w:r>
        <w:rPr>
          <w:rFonts w:hint="eastAsia" w:ascii="宋体" w:hAnsi="宋体" w:eastAsia="宋体" w:cs="宋体"/>
          <w:b/>
          <w:bCs/>
          <w:color w:val="auto"/>
          <w:sz w:val="30"/>
          <w:szCs w:val="30"/>
          <w:highlight w:val="none"/>
          <w:lang w:bidi="ar"/>
        </w:rPr>
        <w:t>（</w:t>
      </w:r>
      <w:r>
        <w:rPr>
          <w:rFonts w:ascii="Times New Roman" w:hAnsi="Times New Roman" w:eastAsia="宋体" w:cs="Times New Roman"/>
          <w:b/>
          <w:bCs/>
          <w:color w:val="auto"/>
          <w:sz w:val="30"/>
          <w:szCs w:val="30"/>
          <w:highlight w:val="none"/>
          <w:lang w:bidi="ar"/>
        </w:rPr>
        <w:t>1</w:t>
      </w:r>
      <w:r>
        <w:rPr>
          <w:rFonts w:hint="eastAsia" w:ascii="宋体" w:hAnsi="宋体" w:eastAsia="宋体" w:cs="宋体"/>
          <w:b/>
          <w:bCs/>
          <w:color w:val="auto"/>
          <w:sz w:val="30"/>
          <w:szCs w:val="30"/>
          <w:highlight w:val="none"/>
          <w:lang w:bidi="ar"/>
        </w:rPr>
        <w:t>）制造商资格声明</w:t>
      </w:r>
    </w:p>
    <w:p w14:paraId="3D4EBF3B">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1、名称及概况：</w:t>
      </w:r>
    </w:p>
    <w:p w14:paraId="2482006D">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（1）制造商名称：</w:t>
      </w:r>
      <w:r>
        <w:rPr>
          <w:rFonts w:hint="eastAsia" w:ascii="宋体" w:hAnsi="宋体" w:eastAsia="宋体" w:cs="宋体"/>
          <w:color w:val="auto"/>
          <w:kern w:val="0"/>
          <w:szCs w:val="21"/>
          <w:highlight w:val="none"/>
          <w:u w:val="single"/>
          <w:lang w:bidi="ar"/>
        </w:rPr>
        <w:t xml:space="preserve">                                            </w:t>
      </w:r>
    </w:p>
    <w:p w14:paraId="1DCB2F08">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（2）总部地址：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邮政编码：</w:t>
      </w:r>
      <w:r>
        <w:rPr>
          <w:rFonts w:hint="eastAsia" w:ascii="宋体" w:hAnsi="宋体" w:eastAsia="宋体" w:cs="宋体"/>
          <w:color w:val="auto"/>
          <w:kern w:val="0"/>
          <w:szCs w:val="21"/>
          <w:highlight w:val="none"/>
          <w:u w:val="single"/>
          <w:lang w:bidi="ar"/>
        </w:rPr>
        <w:t xml:space="preserve">                    </w:t>
      </w:r>
    </w:p>
    <w:p w14:paraId="7A1E88A7">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（3）电话号码：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p>
    <w:p w14:paraId="4086A8A7">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（4）成立和/或注册日期：</w:t>
      </w:r>
      <w:r>
        <w:rPr>
          <w:rFonts w:hint="eastAsia" w:ascii="宋体" w:hAnsi="宋体" w:eastAsia="宋体" w:cs="宋体"/>
          <w:color w:val="auto"/>
          <w:kern w:val="0"/>
          <w:szCs w:val="21"/>
          <w:highlight w:val="none"/>
          <w:u w:val="single"/>
          <w:lang w:bidi="ar"/>
        </w:rPr>
        <w:t xml:space="preserve">                                     </w:t>
      </w:r>
    </w:p>
    <w:p w14:paraId="4D0BE537">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（5）实收资本：</w:t>
      </w:r>
      <w:r>
        <w:rPr>
          <w:rFonts w:hint="eastAsia" w:ascii="宋体" w:hAnsi="宋体" w:eastAsia="宋体" w:cs="宋体"/>
          <w:color w:val="auto"/>
          <w:kern w:val="0"/>
          <w:szCs w:val="21"/>
          <w:highlight w:val="none"/>
          <w:u w:val="single"/>
          <w:lang w:bidi="ar"/>
        </w:rPr>
        <w:t xml:space="preserve">                                              </w:t>
      </w:r>
    </w:p>
    <w:p w14:paraId="278414A4">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（6）法定代表人姓名：</w:t>
      </w:r>
      <w:r>
        <w:rPr>
          <w:rFonts w:hint="eastAsia" w:ascii="宋体" w:hAnsi="宋体" w:eastAsia="宋体" w:cs="宋体"/>
          <w:color w:val="auto"/>
          <w:kern w:val="0"/>
          <w:szCs w:val="21"/>
          <w:highlight w:val="none"/>
          <w:u w:val="single"/>
          <w:lang w:bidi="ar"/>
        </w:rPr>
        <w:t xml:space="preserve">                                        </w:t>
      </w:r>
    </w:p>
    <w:p w14:paraId="1B99612E">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（7）制造商代表姓名、联系电话和地址：</w:t>
      </w:r>
      <w:r>
        <w:rPr>
          <w:rFonts w:hint="eastAsia" w:ascii="宋体" w:hAnsi="宋体" w:eastAsia="宋体" w:cs="宋体"/>
          <w:color w:val="auto"/>
          <w:kern w:val="0"/>
          <w:szCs w:val="21"/>
          <w:highlight w:val="none"/>
          <w:u w:val="single"/>
          <w:lang w:bidi="ar"/>
        </w:rPr>
        <w:t xml:space="preserve">                        </w:t>
      </w:r>
    </w:p>
    <w:p w14:paraId="346605C5">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（8）投标产品名称及品牌：</w:t>
      </w:r>
      <w:r>
        <w:rPr>
          <w:rFonts w:hint="eastAsia" w:ascii="宋体" w:hAnsi="宋体" w:eastAsia="宋体" w:cs="宋体"/>
          <w:color w:val="auto"/>
          <w:kern w:val="0"/>
          <w:szCs w:val="21"/>
          <w:highlight w:val="none"/>
          <w:u w:val="single"/>
          <w:lang w:bidi="ar"/>
        </w:rPr>
        <w:t xml:space="preserve">                                    </w:t>
      </w:r>
    </w:p>
    <w:p w14:paraId="2FDFCFAC">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2、制造投标货物的主要设备、设施及有关情况：</w:t>
      </w:r>
    </w:p>
    <w:tbl>
      <w:tblPr>
        <w:tblStyle w:val="39"/>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0298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0C26481C">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制造投标货物的工厂名称</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0F6333C8">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制造投标货物的工厂地址</w:t>
            </w: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4A469B2F">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主要生产（存储、运输）设备设施名称及数量</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66739DE9">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购买年份</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119096C6">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年生产能力</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38D5C272">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职工人数</w:t>
            </w:r>
          </w:p>
        </w:tc>
      </w:tr>
      <w:tr w14:paraId="5069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1C58C59C">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287A684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5FBC9A34">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212BCC47">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62424A8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44AA8588">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7C36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6E868887">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7F4EFEBE">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0763881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4DE125F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4619E8FE">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0844CAD0">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1A5784DA">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3、投标货物中本制造商不生产，而需从其它制造商购买的主要材料：</w:t>
      </w:r>
    </w:p>
    <w:tbl>
      <w:tblPr>
        <w:tblStyle w:val="39"/>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2E8B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7975A591">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主要材料名称</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4D789ED6">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制造厂名称</w:t>
            </w: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3132F82B">
            <w:pPr>
              <w:autoSpaceDE w:val="0"/>
              <w:autoSpaceDN w:val="0"/>
              <w:adjustRightInd w:val="0"/>
              <w:snapToGrid w:val="0"/>
              <w:spacing w:line="360" w:lineRule="auto"/>
              <w:ind w:firstLine="1050" w:firstLineChars="500"/>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产地</w:t>
            </w:r>
          </w:p>
        </w:tc>
      </w:tr>
      <w:tr w14:paraId="44BC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3DB32AE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302F1504">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04B818D5">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5A21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317B15A1">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79D788D9">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25836405">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1AEB5502">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4、近三年该货物主要销售给国内、外主要客户的名称地址：</w:t>
      </w:r>
    </w:p>
    <w:tbl>
      <w:tblPr>
        <w:tblStyle w:val="39"/>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4ED8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0620600B">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客户名称</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13CA8D81">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销售货物</w:t>
            </w: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29176507">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数量</w:t>
            </w:r>
          </w:p>
        </w:tc>
      </w:tr>
      <w:tr w14:paraId="45C7D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7EB55C7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18D73FC5">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5C4D2B61">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r>
      <w:tr w14:paraId="6B0C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5E04218E">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070633E6">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00D0D714">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r>
    </w:tbl>
    <w:p w14:paraId="0D0E1C91">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5、生产及管理人员</w:t>
      </w:r>
    </w:p>
    <w:tbl>
      <w:tblPr>
        <w:tblStyle w:val="39"/>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5253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46B1B116">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序号</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6C357544">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姓名</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05E0083">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性别</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29AE5FF">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年龄</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9EFB214">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学历</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04C63B2A">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所学专业</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6B397A61">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资格/职称证书</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4406A6D6">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职务</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5AA12B05">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从事本行业年限</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2BB8FEA6">
            <w:pPr>
              <w:autoSpaceDE w:val="0"/>
              <w:autoSpaceDN w:val="0"/>
              <w:adjustRightInd w:val="0"/>
              <w:snapToGrid w:val="0"/>
              <w:spacing w:line="360" w:lineRule="auto"/>
              <w:jc w:val="left"/>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 xml:space="preserve">  备注</w:t>
            </w:r>
          </w:p>
        </w:tc>
      </w:tr>
      <w:tr w14:paraId="2B9DE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3D51107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77A130B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BE6E1E3">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BD5326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0EE36A7">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07EE9BF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792EC6B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3AD8AD8C">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0D66F8B8">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32ECC1A3">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6ECD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58F54367">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2FA5D86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AD3D13C">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8AA9049">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670B6C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05E267B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6AF6734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29B2370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5D0F7CAC">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625815F4">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69C5646A">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6、其他情况：(公司简介、技术力量、本制造商生产投标货物的经验等)</w:t>
      </w:r>
    </w:p>
    <w:p w14:paraId="506814A3">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21D3AA82">
      <w:pPr>
        <w:autoSpaceDE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兹证明上述声明是真实的、正确的，并提供了全部能提供的资料和数据，我们同意遵照贵方要求出示有关证明文件。</w:t>
      </w:r>
    </w:p>
    <w:p w14:paraId="6A303197">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17305ED3">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制造商名称：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（同时加盖制造商法人公章）</w:t>
      </w:r>
    </w:p>
    <w:p w14:paraId="75B22811">
      <w:pPr>
        <w:autoSpaceDE w:val="0"/>
        <w:autoSpaceDN w:val="0"/>
        <w:adjustRightInd w:val="0"/>
        <w:snapToGrid w:val="0"/>
        <w:spacing w:line="360" w:lineRule="auto"/>
        <w:ind w:firstLine="525" w:firstLineChars="25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制造商</w:t>
      </w:r>
      <w:r>
        <w:rPr>
          <w:rFonts w:hint="eastAsia" w:ascii="宋体" w:hAnsi="宋体" w:eastAsia="宋体" w:cs="宋体"/>
          <w:color w:val="auto"/>
          <w:kern w:val="0"/>
          <w:szCs w:val="21"/>
          <w:highlight w:val="none"/>
          <w:lang w:bidi="ar"/>
        </w:rPr>
        <w:t>法定代表人或被授权人：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（打印名字，并签名或盖私章）</w:t>
      </w:r>
    </w:p>
    <w:p w14:paraId="650D875D">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77E79141">
      <w:pPr>
        <w:autoSpaceDE w:val="0"/>
        <w:adjustRightInd w:val="0"/>
        <w:snapToGrid w:val="0"/>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p>
    <w:p w14:paraId="10DF25F0">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p>
    <w:p w14:paraId="00C404E9">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674567C9">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0B55EB7E">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联系地址：</w:t>
      </w:r>
      <w:r>
        <w:rPr>
          <w:rFonts w:hint="eastAsia" w:ascii="宋体" w:hAnsi="宋体" w:eastAsia="宋体" w:cs="宋体"/>
          <w:color w:val="auto"/>
          <w:kern w:val="0"/>
          <w:szCs w:val="21"/>
          <w:highlight w:val="none"/>
          <w:u w:val="single"/>
          <w:lang w:bidi="ar"/>
        </w:rPr>
        <w:t xml:space="preserve">                                       </w:t>
      </w:r>
    </w:p>
    <w:p w14:paraId="1CD40B80">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日期：</w:t>
      </w:r>
      <w:r>
        <w:rPr>
          <w:rFonts w:hint="eastAsia" w:ascii="宋体" w:hAnsi="宋体" w:eastAsia="宋体" w:cs="宋体"/>
          <w:color w:val="auto"/>
          <w:kern w:val="0"/>
          <w:szCs w:val="21"/>
          <w:highlight w:val="none"/>
          <w:u w:val="single"/>
          <w:lang w:bidi="ar"/>
        </w:rPr>
        <w:t xml:space="preserve">                                           </w:t>
      </w:r>
    </w:p>
    <w:p w14:paraId="6F79515D">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3EF4FAA2">
      <w:pPr>
        <w:autoSpaceDE/>
        <w:autoSpaceDN/>
        <w:adjustRightInd/>
        <w:spacing w:line="240" w:lineRule="auto"/>
        <w:jc w:val="left"/>
        <w:rPr>
          <w:rFonts w:hint="eastAsia" w:ascii="宋体" w:hAnsi="宋体" w:eastAsia="宋体" w:cs="宋体"/>
          <w:b/>
          <w:bCs/>
          <w:color w:val="auto"/>
          <w:sz w:val="30"/>
          <w:szCs w:val="30"/>
          <w:highlight w:val="none"/>
          <w:lang w:val="zh-CN" w:bidi="ar"/>
        </w:rPr>
      </w:pPr>
      <w:r>
        <w:rPr>
          <w:rFonts w:hint="eastAsia" w:ascii="宋体" w:hAnsi="宋体" w:eastAsia="宋体" w:cs="宋体"/>
          <w:b/>
          <w:bCs/>
          <w:color w:val="auto"/>
          <w:sz w:val="30"/>
          <w:szCs w:val="30"/>
          <w:highlight w:val="none"/>
          <w:lang w:val="zh-CN" w:bidi="ar"/>
        </w:rPr>
        <w:br w:type="page"/>
      </w:r>
    </w:p>
    <w:p w14:paraId="0AC1C357">
      <w:pPr>
        <w:autoSpaceDE w:val="0"/>
        <w:autoSpaceDN w:val="0"/>
        <w:adjustRightInd w:val="0"/>
        <w:spacing w:line="360" w:lineRule="auto"/>
        <w:jc w:val="center"/>
        <w:rPr>
          <w:rFonts w:hint="eastAsia" w:ascii="宋体" w:hAnsi="宋体" w:eastAsia="宋体" w:cs="宋体"/>
          <w:b/>
          <w:bCs/>
          <w:color w:val="auto"/>
          <w:sz w:val="30"/>
          <w:szCs w:val="30"/>
          <w:highlight w:val="none"/>
          <w:lang w:bidi="ar"/>
        </w:rPr>
      </w:pPr>
      <w:r>
        <w:rPr>
          <w:rFonts w:hint="eastAsia" w:ascii="宋体" w:hAnsi="宋体" w:eastAsia="宋体" w:cs="宋体"/>
          <w:b/>
          <w:bCs/>
          <w:color w:val="auto"/>
          <w:sz w:val="30"/>
          <w:szCs w:val="30"/>
          <w:highlight w:val="none"/>
          <w:lang w:val="zh-CN" w:bidi="ar"/>
        </w:rPr>
        <w:t>（2）</w:t>
      </w:r>
      <w:r>
        <w:rPr>
          <w:rFonts w:hint="eastAsia" w:ascii="宋体" w:hAnsi="宋体" w:eastAsia="宋体" w:cs="宋体"/>
          <w:b/>
          <w:bCs/>
          <w:color w:val="auto"/>
          <w:sz w:val="30"/>
          <w:szCs w:val="30"/>
          <w:highlight w:val="none"/>
          <w:lang w:bidi="ar"/>
        </w:rPr>
        <w:t>制造商资格声明</w:t>
      </w:r>
    </w:p>
    <w:p w14:paraId="484F77CA">
      <w:pPr>
        <w:spacing w:line="360" w:lineRule="auto"/>
        <w:ind w:firstLine="422" w:firstLineChars="200"/>
        <w:rPr>
          <w:rFonts w:hint="eastAsia" w:ascii="宋体" w:hAnsi="宋体" w:eastAsia="宋体" w:cs="宋体"/>
          <w:b/>
          <w:color w:val="auto"/>
          <w:kern w:val="2"/>
          <w:sz w:val="21"/>
          <w:szCs w:val="21"/>
          <w:highlight w:val="none"/>
          <w:u w:val="single"/>
        </w:rPr>
      </w:pPr>
      <w:r>
        <w:rPr>
          <w:rFonts w:hint="eastAsia" w:ascii="宋体" w:hAnsi="宋体" w:eastAsia="宋体" w:cs="宋体"/>
          <w:b/>
          <w:color w:val="auto"/>
          <w:sz w:val="21"/>
          <w:szCs w:val="21"/>
          <w:highlight w:val="none"/>
        </w:rPr>
        <w:t>（投标人根据实际情况选用，本格式适用于：</w:t>
      </w:r>
      <w:r>
        <w:rPr>
          <w:rFonts w:hint="eastAsia" w:ascii="宋体" w:hAnsi="宋体" w:eastAsia="宋体" w:cs="宋体"/>
          <w:b/>
          <w:color w:val="auto"/>
          <w:sz w:val="21"/>
          <w:szCs w:val="21"/>
          <w:highlight w:val="none"/>
          <w:u w:val="single"/>
        </w:rPr>
        <w:t>境外品牌境外生产</w:t>
      </w:r>
      <w:r>
        <w:rPr>
          <w:rFonts w:hint="eastAsia" w:ascii="宋体" w:hAnsi="宋体" w:eastAsia="宋体" w:cs="宋体"/>
          <w:b/>
          <w:color w:val="auto"/>
          <w:sz w:val="21"/>
          <w:szCs w:val="21"/>
          <w:highlight w:val="none"/>
          <w:u w:val="single"/>
          <w:lang w:val="en-US" w:eastAsia="zh-CN"/>
        </w:rPr>
        <w:t>所投</w:t>
      </w:r>
      <w:r>
        <w:rPr>
          <w:rFonts w:hint="eastAsia" w:ascii="宋体" w:hAnsi="宋体" w:eastAsia="宋体" w:cs="宋体"/>
          <w:b/>
          <w:color w:val="auto"/>
          <w:sz w:val="21"/>
          <w:szCs w:val="21"/>
          <w:highlight w:val="none"/>
          <w:u w:val="single"/>
          <w:lang w:eastAsia="zh-CN"/>
        </w:rPr>
        <w:t>电磁水表</w:t>
      </w:r>
      <w:r>
        <w:rPr>
          <w:rFonts w:hint="eastAsia" w:ascii="宋体" w:hAnsi="宋体" w:eastAsia="宋体" w:cs="宋体"/>
          <w:b/>
          <w:color w:val="auto"/>
          <w:sz w:val="21"/>
          <w:szCs w:val="21"/>
          <w:highlight w:val="none"/>
          <w:u w:val="single"/>
        </w:rPr>
        <w:t>的生产制造商通过境内的办事机构</w:t>
      </w:r>
      <w:r>
        <w:rPr>
          <w:rFonts w:hint="eastAsia" w:ascii="宋体" w:hAnsi="宋体" w:eastAsia="宋体" w:cs="宋体"/>
          <w:b/>
          <w:color w:val="auto"/>
          <w:kern w:val="2"/>
          <w:sz w:val="21"/>
          <w:szCs w:val="21"/>
          <w:highlight w:val="none"/>
          <w:u w:val="single"/>
        </w:rPr>
        <w:t>授权在境内依法登记注册成立、能独立承担民事责任能力的经销商参与投标时提供</w:t>
      </w:r>
      <w:r>
        <w:rPr>
          <w:rFonts w:hint="eastAsia" w:ascii="宋体" w:hAnsi="宋体" w:eastAsia="宋体" w:cs="宋体"/>
          <w:b/>
          <w:color w:val="auto"/>
          <w:kern w:val="2"/>
          <w:sz w:val="21"/>
          <w:szCs w:val="21"/>
          <w:highlight w:val="none"/>
        </w:rPr>
        <w:t>。</w:t>
      </w:r>
      <w:r>
        <w:rPr>
          <w:rFonts w:hint="eastAsia" w:ascii="宋体" w:hAnsi="宋体" w:eastAsia="宋体" w:cs="宋体"/>
          <w:b/>
          <w:color w:val="auto"/>
          <w:sz w:val="21"/>
          <w:szCs w:val="21"/>
          <w:highlight w:val="none"/>
        </w:rPr>
        <w:t>）</w:t>
      </w:r>
    </w:p>
    <w:p w14:paraId="76C639B3">
      <w:pPr>
        <w:numPr>
          <w:ilvl w:val="0"/>
          <w:numId w:val="2"/>
        </w:numPr>
        <w:tabs>
          <w:tab w:val="left" w:pos="567"/>
          <w:tab w:val="left" w:pos="2700"/>
        </w:tabs>
        <w:autoSpaceDE/>
        <w:autoSpaceDN/>
        <w:snapToGrid w:val="0"/>
        <w:spacing w:line="360" w:lineRule="auto"/>
        <w:ind w:left="567" w:hanging="56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名称及概况：</w:t>
      </w:r>
    </w:p>
    <w:p w14:paraId="6221DDBB">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产品制造商名称：</w:t>
      </w:r>
      <w:r>
        <w:rPr>
          <w:rFonts w:hint="eastAsia" w:ascii="宋体" w:hAnsi="宋体" w:eastAsia="宋体" w:cs="宋体"/>
          <w:color w:val="auto"/>
          <w:sz w:val="21"/>
          <w:szCs w:val="21"/>
          <w:highlight w:val="none"/>
          <w:u w:val="single"/>
        </w:rPr>
        <w:t xml:space="preserve">                          </w:t>
      </w:r>
    </w:p>
    <w:p w14:paraId="7B543421">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30380D83">
      <w:pPr>
        <w:tabs>
          <w:tab w:val="left" w:pos="567"/>
          <w:tab w:val="left" w:pos="900"/>
        </w:tabs>
        <w:snapToGrid w:val="0"/>
        <w:spacing w:line="360" w:lineRule="auto"/>
        <w:ind w:left="504" w:leftChars="220" w:hanging="42" w:hanging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712057F8">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14:paraId="1D10686A">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14:paraId="2A97CDE4">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制造商代表姓名、联系电话和地址：</w:t>
      </w:r>
    </w:p>
    <w:p w14:paraId="6720D658">
      <w:pPr>
        <w:tabs>
          <w:tab w:val="left" w:pos="567"/>
        </w:tabs>
        <w:snapToGrid w:val="0"/>
        <w:spacing w:line="360" w:lineRule="auto"/>
        <w:ind w:left="567" w:hanging="56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78D5DD45">
      <w:pPr>
        <w:numPr>
          <w:ilvl w:val="0"/>
          <w:numId w:val="0"/>
        </w:numPr>
        <w:tabs>
          <w:tab w:val="left" w:pos="567"/>
        </w:tabs>
        <w:autoSpaceDE/>
        <w:autoSpaceDN/>
        <w:snapToGrid w:val="0"/>
        <w:spacing w:line="360" w:lineRule="auto"/>
        <w:ind w:left="565" w:leftChars="-1"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境内办事机构名称：</w:t>
      </w:r>
      <w:r>
        <w:rPr>
          <w:rFonts w:hint="eastAsia" w:ascii="宋体" w:hAnsi="宋体" w:eastAsia="宋体" w:cs="宋体"/>
          <w:color w:val="auto"/>
          <w:sz w:val="21"/>
          <w:szCs w:val="21"/>
          <w:highlight w:val="none"/>
          <w:u w:val="single"/>
        </w:rPr>
        <w:t xml:space="preserve">                          </w:t>
      </w:r>
    </w:p>
    <w:p w14:paraId="6F905897">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54A38990">
      <w:pPr>
        <w:tabs>
          <w:tab w:val="left" w:pos="567"/>
          <w:tab w:val="left" w:pos="900"/>
        </w:tabs>
        <w:snapToGrid w:val="0"/>
        <w:spacing w:line="360" w:lineRule="auto"/>
        <w:ind w:left="500" w:leftChars="23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6D023B78">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(8).</w:t>
      </w: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14:paraId="0E9F3EA5">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(9).</w:t>
      </w: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14:paraId="593E4F1F">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auto"/>
          <w:sz w:val="21"/>
          <w:szCs w:val="21"/>
          <w:highlight w:val="none"/>
        </w:rPr>
        <w:t>境内办事机构代表姓名、联系电话和地址：</w:t>
      </w:r>
    </w:p>
    <w:p w14:paraId="1BA461B6">
      <w:pPr>
        <w:tabs>
          <w:tab w:val="left" w:pos="567"/>
        </w:tabs>
        <w:snapToGrid w:val="0"/>
        <w:spacing w:line="360" w:lineRule="auto"/>
        <w:ind w:left="567" w:hanging="56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38F7EC15">
      <w:pPr>
        <w:numPr>
          <w:ilvl w:val="0"/>
          <w:numId w:val="2"/>
        </w:numPr>
        <w:tabs>
          <w:tab w:val="left" w:pos="426"/>
          <w:tab w:val="left" w:pos="2700"/>
        </w:tabs>
        <w:autoSpaceDE/>
        <w:autoSpaceDN/>
        <w:snapToGrid w:val="0"/>
        <w:spacing w:line="360" w:lineRule="auto"/>
        <w:jc w:val="both"/>
        <w:rPr>
          <w:rFonts w:hint="eastAsia" w:ascii="宋体" w:hAnsi="宋体" w:eastAsia="宋体" w:cs="宋体"/>
          <w:b/>
          <w:bCs/>
          <w:color w:val="auto"/>
          <w:kern w:val="2"/>
          <w:sz w:val="21"/>
          <w:szCs w:val="21"/>
          <w:highlight w:val="none"/>
        </w:rPr>
      </w:pPr>
      <w:r>
        <w:rPr>
          <w:rFonts w:hint="eastAsia" w:ascii="宋体" w:hAnsi="宋体" w:eastAsia="宋体" w:cs="宋体"/>
          <w:color w:val="auto"/>
          <w:sz w:val="21"/>
          <w:szCs w:val="21"/>
          <w:highlight w:val="none"/>
        </w:rPr>
        <w:t xml:space="preserve"> (1) 产品制造商制造投标货物的主要设备、设施及有关情况：</w:t>
      </w:r>
    </w:p>
    <w:tbl>
      <w:tblPr>
        <w:tblStyle w:val="39"/>
        <w:tblW w:w="80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701"/>
        <w:gridCol w:w="1417"/>
        <w:gridCol w:w="1276"/>
        <w:gridCol w:w="1276"/>
        <w:gridCol w:w="1100"/>
      </w:tblGrid>
      <w:tr w14:paraId="69E590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276" w:type="dxa"/>
            <w:noWrap w:val="0"/>
            <w:vAlign w:val="center"/>
          </w:tcPr>
          <w:p w14:paraId="4E393FE8">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制造投标货物的工厂名称</w:t>
            </w:r>
          </w:p>
        </w:tc>
        <w:tc>
          <w:tcPr>
            <w:tcW w:w="1701" w:type="dxa"/>
            <w:noWrap w:val="0"/>
            <w:vAlign w:val="center"/>
          </w:tcPr>
          <w:p w14:paraId="53B33C4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制造投标货物的工厂地址</w:t>
            </w:r>
          </w:p>
        </w:tc>
        <w:tc>
          <w:tcPr>
            <w:tcW w:w="1417" w:type="dxa"/>
            <w:noWrap w:val="0"/>
            <w:vAlign w:val="center"/>
          </w:tcPr>
          <w:p w14:paraId="2CFEF65B">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制造投标货物的主要生产设备设施名称及数量</w:t>
            </w:r>
          </w:p>
        </w:tc>
        <w:tc>
          <w:tcPr>
            <w:tcW w:w="1276" w:type="dxa"/>
            <w:noWrap w:val="0"/>
            <w:vAlign w:val="center"/>
          </w:tcPr>
          <w:p w14:paraId="17B2365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购买年份</w:t>
            </w:r>
          </w:p>
        </w:tc>
        <w:tc>
          <w:tcPr>
            <w:tcW w:w="1276" w:type="dxa"/>
            <w:noWrap w:val="0"/>
            <w:vAlign w:val="center"/>
          </w:tcPr>
          <w:p w14:paraId="3FF8AC77">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年生产能力</w:t>
            </w:r>
          </w:p>
        </w:tc>
        <w:tc>
          <w:tcPr>
            <w:tcW w:w="1100" w:type="dxa"/>
            <w:noWrap w:val="0"/>
            <w:vAlign w:val="center"/>
          </w:tcPr>
          <w:p w14:paraId="2C73DDE3">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职工人数</w:t>
            </w:r>
          </w:p>
        </w:tc>
      </w:tr>
      <w:tr w14:paraId="728B69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276" w:type="dxa"/>
            <w:noWrap w:val="0"/>
            <w:vAlign w:val="center"/>
          </w:tcPr>
          <w:p w14:paraId="550D58D6">
            <w:pPr>
              <w:snapToGrid w:val="0"/>
              <w:spacing w:line="360" w:lineRule="auto"/>
              <w:jc w:val="center"/>
              <w:rPr>
                <w:rFonts w:hint="eastAsia" w:ascii="宋体" w:hAnsi="宋体" w:eastAsia="宋体" w:cs="宋体"/>
                <w:color w:val="auto"/>
                <w:sz w:val="21"/>
                <w:szCs w:val="21"/>
                <w:highlight w:val="none"/>
              </w:rPr>
            </w:pPr>
          </w:p>
        </w:tc>
        <w:tc>
          <w:tcPr>
            <w:tcW w:w="1701" w:type="dxa"/>
            <w:noWrap w:val="0"/>
            <w:vAlign w:val="center"/>
          </w:tcPr>
          <w:p w14:paraId="61889EB5">
            <w:pPr>
              <w:snapToGrid w:val="0"/>
              <w:spacing w:line="360" w:lineRule="auto"/>
              <w:jc w:val="center"/>
              <w:rPr>
                <w:rFonts w:hint="eastAsia" w:ascii="宋体" w:hAnsi="宋体" w:eastAsia="宋体" w:cs="宋体"/>
                <w:color w:val="auto"/>
                <w:sz w:val="21"/>
                <w:szCs w:val="21"/>
                <w:highlight w:val="none"/>
              </w:rPr>
            </w:pPr>
          </w:p>
        </w:tc>
        <w:tc>
          <w:tcPr>
            <w:tcW w:w="1417" w:type="dxa"/>
            <w:noWrap w:val="0"/>
            <w:vAlign w:val="center"/>
          </w:tcPr>
          <w:p w14:paraId="365296BD">
            <w:pPr>
              <w:snapToGrid w:val="0"/>
              <w:spacing w:line="360" w:lineRule="auto"/>
              <w:jc w:val="center"/>
              <w:rPr>
                <w:rFonts w:hint="eastAsia" w:ascii="宋体" w:hAnsi="宋体" w:eastAsia="宋体" w:cs="宋体"/>
                <w:color w:val="auto"/>
                <w:sz w:val="21"/>
                <w:szCs w:val="21"/>
                <w:highlight w:val="none"/>
              </w:rPr>
            </w:pPr>
          </w:p>
        </w:tc>
        <w:tc>
          <w:tcPr>
            <w:tcW w:w="1276" w:type="dxa"/>
            <w:noWrap w:val="0"/>
            <w:vAlign w:val="center"/>
          </w:tcPr>
          <w:p w14:paraId="37938818">
            <w:pPr>
              <w:snapToGrid w:val="0"/>
              <w:spacing w:line="360" w:lineRule="auto"/>
              <w:jc w:val="center"/>
              <w:rPr>
                <w:rFonts w:hint="eastAsia" w:ascii="宋体" w:hAnsi="宋体" w:eastAsia="宋体" w:cs="宋体"/>
                <w:color w:val="auto"/>
                <w:sz w:val="21"/>
                <w:szCs w:val="21"/>
                <w:highlight w:val="none"/>
              </w:rPr>
            </w:pPr>
          </w:p>
        </w:tc>
        <w:tc>
          <w:tcPr>
            <w:tcW w:w="1276" w:type="dxa"/>
            <w:noWrap w:val="0"/>
            <w:vAlign w:val="center"/>
          </w:tcPr>
          <w:p w14:paraId="35AE9157">
            <w:pPr>
              <w:snapToGrid w:val="0"/>
              <w:spacing w:line="360" w:lineRule="auto"/>
              <w:jc w:val="center"/>
              <w:rPr>
                <w:rFonts w:hint="eastAsia" w:ascii="宋体" w:hAnsi="宋体" w:eastAsia="宋体" w:cs="宋体"/>
                <w:color w:val="auto"/>
                <w:sz w:val="21"/>
                <w:szCs w:val="21"/>
                <w:highlight w:val="none"/>
              </w:rPr>
            </w:pPr>
          </w:p>
        </w:tc>
        <w:tc>
          <w:tcPr>
            <w:tcW w:w="1100" w:type="dxa"/>
            <w:noWrap w:val="0"/>
            <w:vAlign w:val="center"/>
          </w:tcPr>
          <w:p w14:paraId="5C158F49">
            <w:pPr>
              <w:snapToGrid w:val="0"/>
              <w:spacing w:line="360" w:lineRule="auto"/>
              <w:jc w:val="center"/>
              <w:rPr>
                <w:rFonts w:hint="eastAsia" w:ascii="宋体" w:hAnsi="宋体" w:eastAsia="宋体" w:cs="宋体"/>
                <w:color w:val="auto"/>
                <w:sz w:val="21"/>
                <w:szCs w:val="21"/>
                <w:highlight w:val="none"/>
              </w:rPr>
            </w:pPr>
          </w:p>
        </w:tc>
      </w:tr>
      <w:tr w14:paraId="2F44A9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76" w:type="dxa"/>
            <w:noWrap w:val="0"/>
            <w:vAlign w:val="center"/>
          </w:tcPr>
          <w:p w14:paraId="04355B1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701" w:type="dxa"/>
            <w:noWrap w:val="0"/>
            <w:vAlign w:val="center"/>
          </w:tcPr>
          <w:p w14:paraId="6F04D6C5">
            <w:pPr>
              <w:snapToGrid w:val="0"/>
              <w:spacing w:line="360" w:lineRule="auto"/>
              <w:jc w:val="center"/>
              <w:rPr>
                <w:rFonts w:hint="eastAsia" w:ascii="宋体" w:hAnsi="宋体" w:eastAsia="宋体" w:cs="宋体"/>
                <w:color w:val="auto"/>
                <w:sz w:val="21"/>
                <w:szCs w:val="21"/>
                <w:highlight w:val="none"/>
              </w:rPr>
            </w:pPr>
          </w:p>
        </w:tc>
        <w:tc>
          <w:tcPr>
            <w:tcW w:w="1417" w:type="dxa"/>
            <w:noWrap w:val="0"/>
            <w:vAlign w:val="center"/>
          </w:tcPr>
          <w:p w14:paraId="6560A7E1">
            <w:pPr>
              <w:snapToGrid w:val="0"/>
              <w:spacing w:line="360" w:lineRule="auto"/>
              <w:jc w:val="center"/>
              <w:rPr>
                <w:rFonts w:hint="eastAsia" w:ascii="宋体" w:hAnsi="宋体" w:eastAsia="宋体" w:cs="宋体"/>
                <w:color w:val="auto"/>
                <w:sz w:val="21"/>
                <w:szCs w:val="21"/>
                <w:highlight w:val="none"/>
              </w:rPr>
            </w:pPr>
          </w:p>
        </w:tc>
        <w:tc>
          <w:tcPr>
            <w:tcW w:w="1276" w:type="dxa"/>
            <w:noWrap w:val="0"/>
            <w:vAlign w:val="center"/>
          </w:tcPr>
          <w:p w14:paraId="523797C6">
            <w:pPr>
              <w:snapToGrid w:val="0"/>
              <w:spacing w:line="360" w:lineRule="auto"/>
              <w:jc w:val="center"/>
              <w:rPr>
                <w:rFonts w:hint="eastAsia" w:ascii="宋体" w:hAnsi="宋体" w:eastAsia="宋体" w:cs="宋体"/>
                <w:color w:val="auto"/>
                <w:sz w:val="21"/>
                <w:szCs w:val="21"/>
                <w:highlight w:val="none"/>
              </w:rPr>
            </w:pPr>
          </w:p>
        </w:tc>
        <w:tc>
          <w:tcPr>
            <w:tcW w:w="1276" w:type="dxa"/>
            <w:noWrap w:val="0"/>
            <w:vAlign w:val="center"/>
          </w:tcPr>
          <w:p w14:paraId="7128DE59">
            <w:pPr>
              <w:snapToGrid w:val="0"/>
              <w:spacing w:line="360" w:lineRule="auto"/>
              <w:jc w:val="center"/>
              <w:rPr>
                <w:rFonts w:hint="eastAsia" w:ascii="宋体" w:hAnsi="宋体" w:eastAsia="宋体" w:cs="宋体"/>
                <w:color w:val="auto"/>
                <w:sz w:val="21"/>
                <w:szCs w:val="21"/>
                <w:highlight w:val="none"/>
              </w:rPr>
            </w:pPr>
          </w:p>
        </w:tc>
        <w:tc>
          <w:tcPr>
            <w:tcW w:w="1100" w:type="dxa"/>
            <w:noWrap w:val="0"/>
            <w:vAlign w:val="center"/>
          </w:tcPr>
          <w:p w14:paraId="7712222D">
            <w:pPr>
              <w:snapToGrid w:val="0"/>
              <w:spacing w:line="360" w:lineRule="auto"/>
              <w:jc w:val="center"/>
              <w:rPr>
                <w:rFonts w:hint="eastAsia" w:ascii="宋体" w:hAnsi="宋体" w:eastAsia="宋体" w:cs="宋体"/>
                <w:color w:val="auto"/>
                <w:sz w:val="21"/>
                <w:szCs w:val="21"/>
                <w:highlight w:val="none"/>
              </w:rPr>
            </w:pPr>
          </w:p>
        </w:tc>
      </w:tr>
    </w:tbl>
    <w:p w14:paraId="0AECE8CC">
      <w:pPr>
        <w:spacing w:line="360" w:lineRule="auto"/>
        <w:ind w:right="-26"/>
        <w:rPr>
          <w:rFonts w:hint="eastAsia" w:ascii="宋体" w:hAnsi="宋体" w:eastAsia="宋体" w:cs="宋体"/>
          <w:b/>
          <w:bCs/>
          <w:color w:val="auto"/>
          <w:kern w:val="2"/>
          <w:sz w:val="21"/>
          <w:szCs w:val="21"/>
          <w:highlight w:val="none"/>
        </w:rPr>
      </w:pPr>
    </w:p>
    <w:p w14:paraId="74446A4C">
      <w:pPr>
        <w:snapToGrid w:val="0"/>
        <w:spacing w:line="360" w:lineRule="auto"/>
        <w:ind w:firstLine="3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 投标货物中本产品制造商不生产，而需从其它制造商购买的主要零部件：</w:t>
      </w:r>
    </w:p>
    <w:tbl>
      <w:tblPr>
        <w:tblStyle w:val="39"/>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3102"/>
        <w:gridCol w:w="3100"/>
      </w:tblGrid>
      <w:tr w14:paraId="7F29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085" w:type="dxa"/>
            <w:noWrap w:val="0"/>
            <w:vAlign w:val="center"/>
          </w:tcPr>
          <w:p w14:paraId="0109941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主要零部件名称</w:t>
            </w:r>
          </w:p>
        </w:tc>
        <w:tc>
          <w:tcPr>
            <w:tcW w:w="3102" w:type="dxa"/>
            <w:noWrap w:val="0"/>
            <w:vAlign w:val="center"/>
          </w:tcPr>
          <w:p w14:paraId="2FCFB7E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制造厂名称</w:t>
            </w:r>
          </w:p>
        </w:tc>
        <w:tc>
          <w:tcPr>
            <w:tcW w:w="3100" w:type="dxa"/>
            <w:noWrap w:val="0"/>
            <w:vAlign w:val="center"/>
          </w:tcPr>
          <w:p w14:paraId="6F9AAF29">
            <w:pPr>
              <w:spacing w:line="360" w:lineRule="auto"/>
              <w:ind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2426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085" w:type="dxa"/>
            <w:noWrap w:val="0"/>
            <w:vAlign w:val="center"/>
          </w:tcPr>
          <w:p w14:paraId="268CD867">
            <w:pPr>
              <w:spacing w:line="360" w:lineRule="auto"/>
              <w:jc w:val="center"/>
              <w:rPr>
                <w:rFonts w:hint="eastAsia" w:ascii="宋体" w:hAnsi="宋体" w:eastAsia="宋体" w:cs="宋体"/>
                <w:color w:val="auto"/>
                <w:sz w:val="21"/>
                <w:szCs w:val="21"/>
                <w:highlight w:val="none"/>
              </w:rPr>
            </w:pPr>
          </w:p>
        </w:tc>
        <w:tc>
          <w:tcPr>
            <w:tcW w:w="3102" w:type="dxa"/>
            <w:noWrap w:val="0"/>
            <w:vAlign w:val="center"/>
          </w:tcPr>
          <w:p w14:paraId="041D7B71">
            <w:pPr>
              <w:spacing w:line="360" w:lineRule="auto"/>
              <w:rPr>
                <w:rFonts w:hint="eastAsia" w:ascii="宋体" w:hAnsi="宋体" w:eastAsia="宋体" w:cs="宋体"/>
                <w:color w:val="auto"/>
                <w:sz w:val="21"/>
                <w:szCs w:val="21"/>
                <w:highlight w:val="none"/>
              </w:rPr>
            </w:pPr>
          </w:p>
        </w:tc>
        <w:tc>
          <w:tcPr>
            <w:tcW w:w="3100" w:type="dxa"/>
            <w:noWrap w:val="0"/>
            <w:vAlign w:val="center"/>
          </w:tcPr>
          <w:p w14:paraId="2E816DCD">
            <w:pPr>
              <w:spacing w:line="360" w:lineRule="auto"/>
              <w:jc w:val="center"/>
              <w:rPr>
                <w:rFonts w:hint="eastAsia" w:ascii="宋体" w:hAnsi="宋体" w:eastAsia="宋体" w:cs="宋体"/>
                <w:color w:val="auto"/>
                <w:sz w:val="21"/>
                <w:szCs w:val="21"/>
                <w:highlight w:val="none"/>
              </w:rPr>
            </w:pPr>
          </w:p>
        </w:tc>
      </w:tr>
      <w:tr w14:paraId="0291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085" w:type="dxa"/>
            <w:noWrap w:val="0"/>
            <w:vAlign w:val="center"/>
          </w:tcPr>
          <w:p w14:paraId="516870A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102" w:type="dxa"/>
            <w:noWrap w:val="0"/>
            <w:vAlign w:val="center"/>
          </w:tcPr>
          <w:p w14:paraId="1876EB56">
            <w:pPr>
              <w:spacing w:line="360" w:lineRule="auto"/>
              <w:jc w:val="center"/>
              <w:rPr>
                <w:rFonts w:hint="eastAsia" w:ascii="宋体" w:hAnsi="宋体" w:eastAsia="宋体" w:cs="宋体"/>
                <w:color w:val="auto"/>
                <w:sz w:val="21"/>
                <w:szCs w:val="21"/>
                <w:highlight w:val="none"/>
              </w:rPr>
            </w:pPr>
          </w:p>
        </w:tc>
        <w:tc>
          <w:tcPr>
            <w:tcW w:w="3100" w:type="dxa"/>
            <w:noWrap w:val="0"/>
            <w:vAlign w:val="center"/>
          </w:tcPr>
          <w:p w14:paraId="04E78022">
            <w:pPr>
              <w:spacing w:line="360" w:lineRule="auto"/>
              <w:jc w:val="center"/>
              <w:rPr>
                <w:rFonts w:hint="eastAsia" w:ascii="宋体" w:hAnsi="宋体" w:eastAsia="宋体" w:cs="宋体"/>
                <w:color w:val="auto"/>
                <w:sz w:val="21"/>
                <w:szCs w:val="21"/>
                <w:highlight w:val="none"/>
              </w:rPr>
            </w:pPr>
          </w:p>
        </w:tc>
      </w:tr>
    </w:tbl>
    <w:p w14:paraId="40C279F6">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3、易损件供应商的名称和地址： </w:t>
      </w:r>
    </w:p>
    <w:tbl>
      <w:tblPr>
        <w:tblStyle w:val="39"/>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2D0A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797ABF1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易损件名称</w:t>
            </w:r>
          </w:p>
        </w:tc>
        <w:tc>
          <w:tcPr>
            <w:tcW w:w="3097" w:type="dxa"/>
            <w:noWrap w:val="0"/>
            <w:vAlign w:val="center"/>
          </w:tcPr>
          <w:p w14:paraId="7627D001">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3095" w:type="dxa"/>
            <w:noWrap w:val="0"/>
            <w:vAlign w:val="center"/>
          </w:tcPr>
          <w:p w14:paraId="4C6539E7">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1E39D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61CDB7A3">
            <w:pPr>
              <w:snapToGrid w:val="0"/>
              <w:spacing w:line="360" w:lineRule="auto"/>
              <w:jc w:val="center"/>
              <w:rPr>
                <w:rFonts w:hint="eastAsia" w:ascii="宋体" w:hAnsi="宋体" w:eastAsia="宋体" w:cs="宋体"/>
                <w:color w:val="auto"/>
                <w:sz w:val="21"/>
                <w:szCs w:val="21"/>
                <w:highlight w:val="none"/>
              </w:rPr>
            </w:pPr>
          </w:p>
        </w:tc>
        <w:tc>
          <w:tcPr>
            <w:tcW w:w="3097" w:type="dxa"/>
            <w:noWrap w:val="0"/>
            <w:vAlign w:val="center"/>
          </w:tcPr>
          <w:p w14:paraId="6C0CCE00">
            <w:pPr>
              <w:snapToGrid w:val="0"/>
              <w:spacing w:line="360" w:lineRule="auto"/>
              <w:ind w:left="342"/>
              <w:jc w:val="center"/>
              <w:rPr>
                <w:rFonts w:hint="eastAsia" w:ascii="宋体" w:hAnsi="宋体" w:eastAsia="宋体" w:cs="宋体"/>
                <w:snapToGrid w:val="0"/>
                <w:color w:val="auto"/>
                <w:sz w:val="21"/>
                <w:szCs w:val="21"/>
                <w:highlight w:val="none"/>
              </w:rPr>
            </w:pPr>
          </w:p>
        </w:tc>
        <w:tc>
          <w:tcPr>
            <w:tcW w:w="3095" w:type="dxa"/>
            <w:noWrap w:val="0"/>
            <w:vAlign w:val="center"/>
          </w:tcPr>
          <w:p w14:paraId="60687624">
            <w:pPr>
              <w:snapToGrid w:val="0"/>
              <w:spacing w:line="360" w:lineRule="auto"/>
              <w:ind w:left="342"/>
              <w:jc w:val="center"/>
              <w:rPr>
                <w:rFonts w:hint="eastAsia" w:ascii="宋体" w:hAnsi="宋体" w:eastAsia="宋体" w:cs="宋体"/>
                <w:snapToGrid w:val="0"/>
                <w:color w:val="auto"/>
                <w:sz w:val="21"/>
                <w:szCs w:val="21"/>
                <w:highlight w:val="none"/>
              </w:rPr>
            </w:pPr>
          </w:p>
        </w:tc>
      </w:tr>
      <w:tr w14:paraId="4D90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33F32204">
            <w:pPr>
              <w:snapToGrid w:val="0"/>
              <w:spacing w:line="360" w:lineRule="auto"/>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424C881C">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14:paraId="77914808">
            <w:pPr>
              <w:snapToGrid w:val="0"/>
              <w:spacing w:line="360" w:lineRule="auto"/>
              <w:ind w:left="357"/>
              <w:jc w:val="center"/>
              <w:rPr>
                <w:rFonts w:hint="eastAsia" w:ascii="宋体" w:hAnsi="宋体" w:eastAsia="宋体" w:cs="宋体"/>
                <w:snapToGrid w:val="0"/>
                <w:color w:val="auto"/>
                <w:sz w:val="21"/>
                <w:szCs w:val="21"/>
                <w:highlight w:val="none"/>
              </w:rPr>
            </w:pPr>
          </w:p>
        </w:tc>
      </w:tr>
    </w:tbl>
    <w:p w14:paraId="028441EB">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4、近三年该货物主要销售给国内、外主要客户的名称地址：</w:t>
      </w:r>
    </w:p>
    <w:tbl>
      <w:tblPr>
        <w:tblStyle w:val="39"/>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1781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1B74633D">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客户名称</w:t>
            </w:r>
          </w:p>
        </w:tc>
        <w:tc>
          <w:tcPr>
            <w:tcW w:w="3097" w:type="dxa"/>
            <w:noWrap w:val="0"/>
            <w:vAlign w:val="center"/>
          </w:tcPr>
          <w:p w14:paraId="56DFFD93">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销售货物</w:t>
            </w:r>
          </w:p>
        </w:tc>
        <w:tc>
          <w:tcPr>
            <w:tcW w:w="3095" w:type="dxa"/>
            <w:noWrap w:val="0"/>
            <w:vAlign w:val="center"/>
          </w:tcPr>
          <w:p w14:paraId="6F1A09AB">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21B7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3095" w:type="dxa"/>
            <w:noWrap w:val="0"/>
            <w:vAlign w:val="center"/>
          </w:tcPr>
          <w:p w14:paraId="4E133678">
            <w:pPr>
              <w:snapToGrid w:val="0"/>
              <w:spacing w:line="360" w:lineRule="auto"/>
              <w:jc w:val="center"/>
              <w:rPr>
                <w:rFonts w:hint="eastAsia" w:ascii="宋体" w:hAnsi="宋体" w:eastAsia="宋体" w:cs="宋体"/>
                <w:snapToGrid w:val="0"/>
                <w:color w:val="auto"/>
                <w:sz w:val="21"/>
                <w:szCs w:val="21"/>
                <w:highlight w:val="none"/>
              </w:rPr>
            </w:pPr>
          </w:p>
        </w:tc>
        <w:tc>
          <w:tcPr>
            <w:tcW w:w="3097" w:type="dxa"/>
            <w:noWrap w:val="0"/>
            <w:vAlign w:val="center"/>
          </w:tcPr>
          <w:p w14:paraId="24508B99">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14:paraId="7275B3C9">
            <w:pPr>
              <w:snapToGrid w:val="0"/>
              <w:spacing w:line="360" w:lineRule="auto"/>
              <w:ind w:left="357"/>
              <w:jc w:val="center"/>
              <w:rPr>
                <w:rFonts w:hint="eastAsia" w:ascii="宋体" w:hAnsi="宋体" w:eastAsia="宋体" w:cs="宋体"/>
                <w:snapToGrid w:val="0"/>
                <w:color w:val="auto"/>
                <w:sz w:val="21"/>
                <w:szCs w:val="21"/>
                <w:highlight w:val="none"/>
              </w:rPr>
            </w:pPr>
          </w:p>
        </w:tc>
      </w:tr>
      <w:tr w14:paraId="472C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3F4A5A13">
            <w:pPr>
              <w:snapToGrid w:val="0"/>
              <w:spacing w:line="360" w:lineRule="auto"/>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43398736">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14:paraId="2076249C">
            <w:pPr>
              <w:snapToGrid w:val="0"/>
              <w:spacing w:line="360" w:lineRule="auto"/>
              <w:ind w:left="357"/>
              <w:jc w:val="center"/>
              <w:rPr>
                <w:rFonts w:hint="eastAsia" w:ascii="宋体" w:hAnsi="宋体" w:eastAsia="宋体" w:cs="宋体"/>
                <w:snapToGrid w:val="0"/>
                <w:color w:val="auto"/>
                <w:sz w:val="21"/>
                <w:szCs w:val="21"/>
                <w:highlight w:val="none"/>
              </w:rPr>
            </w:pPr>
          </w:p>
        </w:tc>
      </w:tr>
    </w:tbl>
    <w:p w14:paraId="14143F47">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5、其他情况：(公司简介、技术力量、产品制造商生产</w:t>
      </w:r>
      <w:r>
        <w:rPr>
          <w:rFonts w:hint="eastAsia" w:ascii="宋体" w:hAnsi="宋体" w:eastAsia="宋体" w:cs="宋体"/>
          <w:color w:val="auto"/>
          <w:sz w:val="21"/>
          <w:szCs w:val="21"/>
          <w:highlight w:val="none"/>
        </w:rPr>
        <w:t>投标</w:t>
      </w:r>
      <w:r>
        <w:rPr>
          <w:rFonts w:hint="eastAsia" w:ascii="宋体" w:hAnsi="宋体" w:eastAsia="宋体" w:cs="宋体"/>
          <w:color w:val="auto"/>
          <w:kern w:val="2"/>
          <w:sz w:val="21"/>
          <w:szCs w:val="21"/>
          <w:highlight w:val="none"/>
        </w:rPr>
        <w:t>货物的经验等)</w:t>
      </w:r>
    </w:p>
    <w:p w14:paraId="76B3FB85">
      <w:pPr>
        <w:autoSpaceDE/>
        <w:autoSpaceDN/>
        <w:adjustRightInd/>
        <w:spacing w:line="360" w:lineRule="auto"/>
        <w:ind w:firstLine="424" w:firstLineChars="202"/>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 xml:space="preserve">                                                                      </w:t>
      </w:r>
    </w:p>
    <w:p w14:paraId="43DD00C6">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附我方作为境外品牌境外生产的产品生产制造商在境内的办事机构的证明文件复印件{证明文件可为显示其作为境外产品制造商分公司的营业执照、或反映其作为境外产品制造商子公司的章程(或出资证明、或反映出资人为境外产品制造商的营业执照)或境外产品制造商的书面证明或官网显示其关系的打印件}，否则本资格声明无效。</w:t>
      </w:r>
    </w:p>
    <w:p w14:paraId="7882F20C">
      <w:pPr>
        <w:autoSpaceDE/>
        <w:autoSpaceDN/>
        <w:adjustRightInd/>
        <w:spacing w:line="360" w:lineRule="auto"/>
        <w:jc w:val="both"/>
        <w:rPr>
          <w:rFonts w:hint="eastAsia" w:ascii="宋体" w:hAnsi="宋体" w:eastAsia="宋体" w:cs="宋体"/>
          <w:color w:val="auto"/>
          <w:kern w:val="2"/>
          <w:sz w:val="21"/>
          <w:szCs w:val="21"/>
          <w:highlight w:val="none"/>
        </w:rPr>
      </w:pPr>
    </w:p>
    <w:p w14:paraId="3E6E5EED">
      <w:pPr>
        <w:autoSpaceDE/>
        <w:autoSpaceDN/>
        <w:adjustRightInd/>
        <w:spacing w:line="360" w:lineRule="auto"/>
        <w:ind w:firstLine="525" w:firstLineChars="2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兹证明上述声明是真实的、正确的，并提供了全部能提供的资料和数据，我们同意遵照贵方要求出示有关证明文件。</w:t>
      </w:r>
    </w:p>
    <w:p w14:paraId="43ACC3D7">
      <w:pPr>
        <w:autoSpaceDE/>
        <w:autoSpaceDN/>
        <w:adjustRightInd/>
        <w:spacing w:line="360" w:lineRule="auto"/>
        <w:ind w:firstLine="525" w:firstLineChars="2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境外品牌境外生产的产品生产制造商</w:t>
      </w:r>
      <w:r>
        <w:rPr>
          <w:rFonts w:hint="eastAsia" w:ascii="宋体" w:hAnsi="宋体" w:eastAsia="宋体" w:cs="宋体"/>
          <w:bCs/>
          <w:color w:val="auto"/>
          <w:kern w:val="2"/>
          <w:sz w:val="21"/>
          <w:szCs w:val="21"/>
          <w:highlight w:val="none"/>
        </w:rPr>
        <w:t>在境内的办事机构</w:t>
      </w:r>
      <w:r>
        <w:rPr>
          <w:rFonts w:hint="eastAsia" w:ascii="宋体" w:hAnsi="宋体" w:eastAsia="宋体" w:cs="宋体"/>
          <w:color w:val="auto"/>
          <w:kern w:val="2"/>
          <w:sz w:val="21"/>
          <w:szCs w:val="21"/>
          <w:highlight w:val="none"/>
        </w:rPr>
        <w:t>名称：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（在境内工商注册的办事机构必须同时加盖公章）</w:t>
      </w:r>
    </w:p>
    <w:p w14:paraId="7997517D">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01000E65">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0930E7C6">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2328B22F">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7E526152">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60E0AFA7">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2D4B4DA6">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u w:val="single"/>
        </w:rPr>
        <w:t xml:space="preserve">                                      </w:t>
      </w:r>
    </w:p>
    <w:p w14:paraId="1877465F">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000270EC">
      <w:pPr>
        <w:autoSpaceDE/>
        <w:autoSpaceDN/>
        <w:adjustRightInd/>
        <w:spacing w:line="360" w:lineRule="auto"/>
        <w:rPr>
          <w:rFonts w:hint="eastAsia" w:ascii="宋体" w:hAnsi="宋体" w:eastAsia="宋体" w:cs="宋体"/>
          <w:b/>
          <w:color w:val="auto"/>
          <w:kern w:val="2"/>
          <w:sz w:val="21"/>
          <w:szCs w:val="21"/>
          <w:highlight w:val="none"/>
        </w:rPr>
      </w:pPr>
    </w:p>
    <w:p w14:paraId="289FBA2D">
      <w:pPr>
        <w:autoSpaceDE/>
        <w:autoSpaceDN/>
        <w:adjustRightInd/>
        <w:spacing w:line="360" w:lineRule="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w:t>
      </w:r>
      <w:r>
        <w:rPr>
          <w:rFonts w:hint="eastAsia" w:ascii="宋体" w:hAnsi="宋体" w:eastAsia="宋体" w:cs="宋体"/>
          <w:color w:val="auto"/>
          <w:kern w:val="2"/>
          <w:sz w:val="21"/>
          <w:szCs w:val="21"/>
          <w:highlight w:val="none"/>
        </w:rPr>
        <w:t xml:space="preserve"> </w:t>
      </w:r>
      <w:r>
        <w:rPr>
          <w:rFonts w:hint="eastAsia" w:ascii="宋体" w:hAnsi="宋体" w:eastAsia="宋体" w:cs="宋体"/>
          <w:b/>
          <w:color w:val="auto"/>
          <w:kern w:val="2"/>
          <w:sz w:val="21"/>
          <w:szCs w:val="21"/>
          <w:highlight w:val="none"/>
        </w:rPr>
        <w:t>投标文件正本内必须提供原件，出具本声明的办事机构为在境内工商注册的办事机构时，本资格声明每页需加盖其公章；出具本声明的办事机构为未在境内工商注册的办事机构时，本资格声明每页由其法定代表人签名(或盖私章)代替加盖公章。</w:t>
      </w:r>
    </w:p>
    <w:p w14:paraId="41EBE777">
      <w:pPr>
        <w:autoSpaceDE w:val="0"/>
        <w:autoSpaceDN w:val="0"/>
        <w:adjustRightInd w:val="0"/>
        <w:spacing w:line="360" w:lineRule="auto"/>
        <w:jc w:val="center"/>
        <w:rPr>
          <w:rFonts w:ascii="Times New Roman" w:hAnsi="宋体" w:eastAsia="宋体" w:cs="Times New Roman"/>
          <w:b/>
          <w:bCs/>
          <w:color w:val="auto"/>
          <w:sz w:val="30"/>
          <w:szCs w:val="30"/>
          <w:highlight w:val="none"/>
          <w:lang w:bidi="ar"/>
        </w:rPr>
      </w:pPr>
      <w:r>
        <w:rPr>
          <w:rFonts w:ascii="Times New Roman" w:hAnsi="宋体" w:eastAsia="宋体" w:cs="Times New Roman"/>
          <w:b/>
          <w:bCs/>
          <w:color w:val="auto"/>
          <w:sz w:val="30"/>
          <w:szCs w:val="30"/>
          <w:highlight w:val="none"/>
          <w:lang w:bidi="ar"/>
        </w:rPr>
        <w:br w:type="page"/>
      </w:r>
    </w:p>
    <w:p w14:paraId="0D7991FE">
      <w:pPr>
        <w:autoSpaceDE w:val="0"/>
        <w:autoSpaceDN w:val="0"/>
        <w:adjustRightInd w:val="0"/>
        <w:spacing w:line="360" w:lineRule="auto"/>
        <w:jc w:val="center"/>
        <w:rPr>
          <w:rFonts w:ascii="Times New Roman"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w:t>
      </w:r>
      <w:r>
        <w:rPr>
          <w:rFonts w:hint="eastAsia" w:ascii="Times New Roman" w:hAnsi="Times New Roman" w:eastAsia="宋体" w:cs="Times New Roman"/>
          <w:b/>
          <w:bCs/>
          <w:color w:val="auto"/>
          <w:sz w:val="30"/>
          <w:szCs w:val="30"/>
          <w:highlight w:val="none"/>
          <w:lang w:val="en-US" w:eastAsia="zh-CN" w:bidi="ar"/>
        </w:rPr>
        <w:t>3</w:t>
      </w:r>
      <w:r>
        <w:rPr>
          <w:rFonts w:hint="eastAsia" w:ascii="宋体" w:hAnsi="宋体" w:eastAsia="宋体" w:cs="宋体"/>
          <w:b/>
          <w:bCs/>
          <w:color w:val="auto"/>
          <w:sz w:val="30"/>
          <w:szCs w:val="30"/>
          <w:highlight w:val="none"/>
          <w:lang w:bidi="ar"/>
        </w:rPr>
        <w:t>）制造商售后服务承诺函及独家授权书</w:t>
      </w:r>
    </w:p>
    <w:p w14:paraId="76680BBA">
      <w:pPr>
        <w:autoSpaceDE w:val="0"/>
        <w:adjustRightInd w:val="0"/>
        <w:spacing w:line="360" w:lineRule="auto"/>
        <w:ind w:firstLine="0" w:firstLineChars="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①制造商售后服务承诺函</w:t>
      </w:r>
    </w:p>
    <w:p w14:paraId="5BF8D670">
      <w:pPr>
        <w:autoSpaceDE w:val="0"/>
        <w:adjustRightInd w:val="0"/>
        <w:spacing w:line="360" w:lineRule="auto"/>
        <w:ind w:firstLine="1054" w:firstLineChars="500"/>
        <w:jc w:val="left"/>
        <w:rPr>
          <w:rFonts w:ascii="宋体" w:hAnsi="宋体" w:eastAsia="宋体" w:cs="宋体"/>
          <w:b/>
          <w:color w:val="auto"/>
          <w:szCs w:val="21"/>
          <w:highlight w:val="none"/>
          <w:u w:val="single"/>
        </w:rPr>
      </w:pPr>
      <w:r>
        <w:rPr>
          <w:rFonts w:hint="eastAsia" w:ascii="宋体" w:hAnsi="宋体" w:eastAsia="宋体" w:cs="宋体"/>
          <w:b/>
          <w:color w:val="auto"/>
          <w:szCs w:val="21"/>
          <w:highlight w:val="none"/>
          <w:lang w:bidi="ar"/>
        </w:rPr>
        <w:t>（投标人根据实际情况选用，本格式适用于：投标人为制造商时提供。）</w:t>
      </w:r>
    </w:p>
    <w:p w14:paraId="73348F6A">
      <w:pPr>
        <w:autoSpaceDE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致：</w:t>
      </w:r>
      <w:r>
        <w:rPr>
          <w:rFonts w:hint="eastAsia" w:ascii="宋体" w:hAnsi="宋体" w:eastAsia="宋体" w:cs="宋体"/>
          <w:color w:val="auto"/>
          <w:kern w:val="0"/>
          <w:szCs w:val="21"/>
          <w:highlight w:val="none"/>
          <w:lang w:val="zh-CN" w:bidi="ar"/>
        </w:rPr>
        <w:t>东莞市水务环境投资控股集团供水有限公司</w:t>
      </w:r>
    </w:p>
    <w:p w14:paraId="3D2C41AC">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我方就</w:t>
      </w:r>
      <w:r>
        <w:rPr>
          <w:rFonts w:hint="eastAsia" w:ascii="宋体" w:hAnsi="宋体" w:eastAsia="宋体" w:cs="宋体"/>
          <w:b/>
          <w:bCs/>
          <w:color w:val="auto"/>
          <w:kern w:val="0"/>
          <w:szCs w:val="21"/>
          <w:highlight w:val="none"/>
          <w:u w:val="single"/>
          <w:lang w:eastAsia="zh-CN" w:bidi="ar"/>
        </w:rPr>
        <w:t>东莞市供水计量设施更新项目（2026-2027年计量仪表）</w:t>
      </w:r>
      <w:r>
        <w:rPr>
          <w:rFonts w:hint="eastAsia" w:ascii="宋体" w:hAnsi="宋体" w:eastAsia="宋体" w:cs="Times New Roman"/>
          <w:b/>
          <w:bCs/>
          <w:color w:val="auto"/>
          <w:kern w:val="0"/>
          <w:szCs w:val="21"/>
          <w:highlight w:val="none"/>
          <w:u w:val="single"/>
          <w:lang w:eastAsia="zh-CN"/>
        </w:rPr>
        <w:t>－电磁水表</w:t>
      </w:r>
      <w:r>
        <w:rPr>
          <w:rFonts w:hint="eastAsia" w:ascii="宋体" w:hAnsi="宋体" w:eastAsia="宋体" w:cs="宋体"/>
          <w:b/>
          <w:color w:val="auto"/>
          <w:kern w:val="0"/>
          <w:szCs w:val="21"/>
          <w:highlight w:val="none"/>
          <w:u w:val="single"/>
          <w:lang w:bidi="ar"/>
        </w:rPr>
        <w:t>（招标编号：</w:t>
      </w:r>
      <w:r>
        <w:rPr>
          <w:rFonts w:hint="eastAsia" w:ascii="宋体" w:hAnsi="宋体" w:eastAsia="宋体" w:cs="宋体"/>
          <w:color w:val="auto"/>
          <w:szCs w:val="21"/>
          <w:highlight w:val="none"/>
          <w:u w:val="single"/>
          <w:lang w:val="zh-CN"/>
        </w:rPr>
        <w:t>GXTZ-ZB-2026第（39）号</w:t>
      </w:r>
      <w:r>
        <w:rPr>
          <w:rFonts w:hint="eastAsia" w:ascii="宋体" w:hAnsi="宋体" w:eastAsia="宋体" w:cs="宋体"/>
          <w:b/>
          <w:color w:val="auto"/>
          <w:kern w:val="0"/>
          <w:szCs w:val="21"/>
          <w:highlight w:val="none"/>
          <w:u w:val="single"/>
          <w:lang w:bidi="ar"/>
        </w:rPr>
        <w:t>）</w:t>
      </w:r>
      <w:r>
        <w:rPr>
          <w:rFonts w:hint="eastAsia" w:ascii="宋体" w:hAnsi="宋体" w:eastAsia="宋体" w:cs="宋体"/>
          <w:color w:val="auto"/>
          <w:kern w:val="0"/>
          <w:szCs w:val="21"/>
          <w:highlight w:val="none"/>
          <w:lang w:bidi="ar"/>
        </w:rPr>
        <w:t>售后服务事宜承诺如下：</w:t>
      </w:r>
    </w:p>
    <w:p w14:paraId="44967C8C">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我方对我方提供货物的质量和售后服务承担全部责任。本次提供的货物按以下方式提供售后服务：</w:t>
      </w:r>
    </w:p>
    <w:p w14:paraId="53C210EE">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Cs/>
          <w:color w:val="auto"/>
          <w:kern w:val="0"/>
          <w:szCs w:val="21"/>
          <w:highlight w:val="none"/>
          <w:lang w:bidi="ar"/>
        </w:rPr>
        <w:t>并按照投标承诺</w:t>
      </w:r>
      <w:r>
        <w:rPr>
          <w:rFonts w:hint="eastAsia" w:ascii="宋体" w:hAnsi="宋体" w:eastAsia="宋体" w:cs="宋体"/>
          <w:color w:val="auto"/>
          <w:kern w:val="0"/>
          <w:szCs w:val="21"/>
          <w:highlight w:val="none"/>
          <w:lang w:bidi="ar"/>
        </w:rPr>
        <w:t>内提供免费的质保期保修服务，质保期按每批次货物送达贵方指定地点交货验收合格并开具发票之日算（以设备整体验收报告日期为准）。</w:t>
      </w:r>
    </w:p>
    <w:p w14:paraId="4F503980">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64A6C31E">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3、我方此次参与贵方投标的产品如下：</w:t>
      </w:r>
    </w:p>
    <w:tbl>
      <w:tblPr>
        <w:tblStyle w:val="39"/>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925"/>
        <w:gridCol w:w="1191"/>
        <w:gridCol w:w="1442"/>
        <w:gridCol w:w="1271"/>
        <w:gridCol w:w="1449"/>
        <w:gridCol w:w="1135"/>
      </w:tblGrid>
      <w:tr w14:paraId="0B15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2EBA6073">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925" w:type="dxa"/>
            <w:tcBorders>
              <w:top w:val="single" w:color="auto" w:sz="4" w:space="0"/>
              <w:left w:val="nil"/>
              <w:bottom w:val="single" w:color="auto" w:sz="4" w:space="0"/>
              <w:right w:val="single" w:color="auto" w:sz="4" w:space="0"/>
            </w:tcBorders>
            <w:shd w:val="clear" w:color="auto" w:fill="auto"/>
            <w:vAlign w:val="center"/>
          </w:tcPr>
          <w:p w14:paraId="273A681B">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1191" w:type="dxa"/>
            <w:tcBorders>
              <w:top w:val="single" w:color="auto" w:sz="4" w:space="0"/>
              <w:left w:val="nil"/>
              <w:bottom w:val="single" w:color="auto" w:sz="4" w:space="0"/>
              <w:right w:val="single" w:color="auto" w:sz="4" w:space="0"/>
            </w:tcBorders>
            <w:shd w:val="clear" w:color="auto" w:fill="auto"/>
            <w:vAlign w:val="center"/>
          </w:tcPr>
          <w:p w14:paraId="350111B9">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1442" w:type="dxa"/>
            <w:tcBorders>
              <w:top w:val="single" w:color="auto" w:sz="4" w:space="0"/>
              <w:left w:val="nil"/>
              <w:bottom w:val="single" w:color="auto" w:sz="4" w:space="0"/>
              <w:right w:val="single" w:color="auto" w:sz="4" w:space="0"/>
            </w:tcBorders>
            <w:shd w:val="clear" w:color="auto" w:fill="auto"/>
            <w:vAlign w:val="center"/>
          </w:tcPr>
          <w:p w14:paraId="455A2A64">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1271" w:type="dxa"/>
            <w:tcBorders>
              <w:top w:val="single" w:color="auto" w:sz="4" w:space="0"/>
              <w:left w:val="nil"/>
              <w:bottom w:val="single" w:color="auto" w:sz="4" w:space="0"/>
              <w:right w:val="single" w:color="auto" w:sz="4" w:space="0"/>
            </w:tcBorders>
            <w:shd w:val="clear" w:color="auto" w:fill="auto"/>
            <w:vAlign w:val="center"/>
          </w:tcPr>
          <w:p w14:paraId="7C0F2BD1">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1449" w:type="dxa"/>
            <w:tcBorders>
              <w:top w:val="single" w:color="auto" w:sz="4" w:space="0"/>
              <w:left w:val="nil"/>
              <w:bottom w:val="single" w:color="auto" w:sz="4" w:space="0"/>
              <w:right w:val="single" w:color="auto" w:sz="4" w:space="0"/>
            </w:tcBorders>
            <w:shd w:val="clear" w:color="auto" w:fill="auto"/>
            <w:vAlign w:val="center"/>
          </w:tcPr>
          <w:p w14:paraId="01AFD438">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1135" w:type="dxa"/>
            <w:tcBorders>
              <w:top w:val="single" w:color="auto" w:sz="4" w:space="0"/>
              <w:left w:val="nil"/>
              <w:bottom w:val="single" w:color="auto" w:sz="4" w:space="0"/>
              <w:right w:val="single" w:color="auto" w:sz="4" w:space="0"/>
            </w:tcBorders>
            <w:shd w:val="clear" w:color="auto" w:fill="auto"/>
            <w:vAlign w:val="center"/>
          </w:tcPr>
          <w:p w14:paraId="52C289C2">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4B25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1516A9F9">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925" w:type="dxa"/>
            <w:tcBorders>
              <w:top w:val="single" w:color="auto" w:sz="4" w:space="0"/>
              <w:left w:val="nil"/>
              <w:bottom w:val="single" w:color="auto" w:sz="4" w:space="0"/>
              <w:right w:val="single" w:color="auto" w:sz="4" w:space="0"/>
            </w:tcBorders>
            <w:shd w:val="clear" w:color="auto" w:fill="auto"/>
            <w:vAlign w:val="center"/>
          </w:tcPr>
          <w:p w14:paraId="61F71155">
            <w:pPr>
              <w:autoSpaceDE w:val="0"/>
              <w:adjustRightInd w:val="0"/>
              <w:spacing w:line="360" w:lineRule="auto"/>
              <w:jc w:val="left"/>
              <w:rPr>
                <w:rFonts w:ascii="宋体" w:hAnsi="宋体" w:eastAsia="宋体" w:cs="宋体"/>
                <w:color w:val="auto"/>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14:paraId="41F33865">
            <w:pPr>
              <w:autoSpaceDE w:val="0"/>
              <w:adjustRightInd w:val="0"/>
              <w:spacing w:line="360" w:lineRule="auto"/>
              <w:jc w:val="left"/>
              <w:rPr>
                <w:rFonts w:ascii="宋体" w:hAnsi="宋体" w:eastAsia="宋体" w:cs="宋体"/>
                <w:color w:val="auto"/>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47415013">
            <w:pPr>
              <w:autoSpaceDE w:val="0"/>
              <w:adjustRightInd w:val="0"/>
              <w:spacing w:line="360" w:lineRule="auto"/>
              <w:jc w:val="left"/>
              <w:rPr>
                <w:rFonts w:ascii="宋体" w:hAnsi="宋体" w:eastAsia="宋体" w:cs="宋体"/>
                <w:color w:val="auto"/>
                <w:szCs w:val="21"/>
                <w:highlight w:val="none"/>
              </w:rPr>
            </w:pPr>
          </w:p>
        </w:tc>
        <w:tc>
          <w:tcPr>
            <w:tcW w:w="1271" w:type="dxa"/>
            <w:tcBorders>
              <w:top w:val="single" w:color="auto" w:sz="4" w:space="0"/>
              <w:left w:val="nil"/>
              <w:bottom w:val="single" w:color="auto" w:sz="4" w:space="0"/>
              <w:right w:val="single" w:color="auto" w:sz="4" w:space="0"/>
            </w:tcBorders>
            <w:shd w:val="clear" w:color="auto" w:fill="auto"/>
            <w:vAlign w:val="center"/>
          </w:tcPr>
          <w:p w14:paraId="4607E251">
            <w:pPr>
              <w:autoSpaceDE w:val="0"/>
              <w:adjustRightInd w:val="0"/>
              <w:spacing w:line="360" w:lineRule="auto"/>
              <w:jc w:val="left"/>
              <w:rPr>
                <w:rFonts w:ascii="宋体" w:hAnsi="宋体" w:eastAsia="宋体" w:cs="宋体"/>
                <w:color w:val="auto"/>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14:paraId="151285C0">
            <w:pPr>
              <w:autoSpaceDE w:val="0"/>
              <w:adjustRightInd w:val="0"/>
              <w:spacing w:line="360" w:lineRule="auto"/>
              <w:jc w:val="left"/>
              <w:rPr>
                <w:rFonts w:ascii="宋体" w:hAnsi="宋体" w:eastAsia="宋体" w:cs="宋体"/>
                <w:color w:val="auto"/>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14:paraId="1A7DB07B">
            <w:pPr>
              <w:autoSpaceDE w:val="0"/>
              <w:adjustRightInd w:val="0"/>
              <w:spacing w:line="360" w:lineRule="auto"/>
              <w:jc w:val="left"/>
              <w:rPr>
                <w:rFonts w:ascii="宋体" w:hAnsi="宋体" w:eastAsia="宋体" w:cs="宋体"/>
                <w:color w:val="auto"/>
                <w:szCs w:val="21"/>
                <w:highlight w:val="none"/>
              </w:rPr>
            </w:pPr>
          </w:p>
        </w:tc>
      </w:tr>
      <w:tr w14:paraId="16F0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5FF446D8">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925" w:type="dxa"/>
            <w:tcBorders>
              <w:top w:val="single" w:color="auto" w:sz="4" w:space="0"/>
              <w:left w:val="nil"/>
              <w:bottom w:val="single" w:color="auto" w:sz="4" w:space="0"/>
              <w:right w:val="single" w:color="auto" w:sz="4" w:space="0"/>
            </w:tcBorders>
            <w:shd w:val="clear" w:color="auto" w:fill="auto"/>
            <w:vAlign w:val="center"/>
          </w:tcPr>
          <w:p w14:paraId="4C66F2B2">
            <w:pPr>
              <w:autoSpaceDE w:val="0"/>
              <w:adjustRightInd w:val="0"/>
              <w:spacing w:line="360" w:lineRule="auto"/>
              <w:jc w:val="left"/>
              <w:rPr>
                <w:rFonts w:ascii="宋体" w:hAnsi="宋体" w:eastAsia="宋体" w:cs="宋体"/>
                <w:color w:val="auto"/>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14:paraId="55D2E7CE">
            <w:pPr>
              <w:autoSpaceDE w:val="0"/>
              <w:adjustRightInd w:val="0"/>
              <w:spacing w:line="360" w:lineRule="auto"/>
              <w:jc w:val="left"/>
              <w:rPr>
                <w:rFonts w:ascii="宋体" w:hAnsi="宋体" w:eastAsia="宋体" w:cs="宋体"/>
                <w:color w:val="auto"/>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6C88B6A8">
            <w:pPr>
              <w:autoSpaceDE w:val="0"/>
              <w:adjustRightInd w:val="0"/>
              <w:spacing w:line="360" w:lineRule="auto"/>
              <w:jc w:val="left"/>
              <w:rPr>
                <w:rFonts w:ascii="宋体" w:hAnsi="宋体" w:eastAsia="宋体" w:cs="宋体"/>
                <w:color w:val="auto"/>
                <w:szCs w:val="21"/>
                <w:highlight w:val="none"/>
              </w:rPr>
            </w:pPr>
          </w:p>
        </w:tc>
        <w:tc>
          <w:tcPr>
            <w:tcW w:w="1271" w:type="dxa"/>
            <w:tcBorders>
              <w:top w:val="single" w:color="auto" w:sz="4" w:space="0"/>
              <w:left w:val="nil"/>
              <w:bottom w:val="single" w:color="auto" w:sz="4" w:space="0"/>
              <w:right w:val="single" w:color="auto" w:sz="4" w:space="0"/>
            </w:tcBorders>
            <w:shd w:val="clear" w:color="auto" w:fill="auto"/>
            <w:vAlign w:val="center"/>
          </w:tcPr>
          <w:p w14:paraId="2076F2AB">
            <w:pPr>
              <w:autoSpaceDE w:val="0"/>
              <w:adjustRightInd w:val="0"/>
              <w:spacing w:line="360" w:lineRule="auto"/>
              <w:jc w:val="left"/>
              <w:rPr>
                <w:rFonts w:ascii="宋体" w:hAnsi="宋体" w:eastAsia="宋体" w:cs="宋体"/>
                <w:color w:val="auto"/>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14:paraId="06ECAB4D">
            <w:pPr>
              <w:autoSpaceDE w:val="0"/>
              <w:adjustRightInd w:val="0"/>
              <w:spacing w:line="360" w:lineRule="auto"/>
              <w:jc w:val="left"/>
              <w:rPr>
                <w:rFonts w:ascii="宋体" w:hAnsi="宋体" w:eastAsia="宋体" w:cs="宋体"/>
                <w:color w:val="auto"/>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14:paraId="1B2BBA60">
            <w:pPr>
              <w:autoSpaceDE w:val="0"/>
              <w:adjustRightInd w:val="0"/>
              <w:spacing w:line="360" w:lineRule="auto"/>
              <w:jc w:val="left"/>
              <w:rPr>
                <w:rFonts w:ascii="宋体" w:hAnsi="宋体" w:eastAsia="宋体" w:cs="宋体"/>
                <w:color w:val="auto"/>
                <w:szCs w:val="21"/>
                <w:highlight w:val="none"/>
              </w:rPr>
            </w:pPr>
          </w:p>
        </w:tc>
      </w:tr>
      <w:tr w14:paraId="393D8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20BA4225">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925" w:type="dxa"/>
            <w:tcBorders>
              <w:top w:val="single" w:color="auto" w:sz="4" w:space="0"/>
              <w:left w:val="nil"/>
              <w:bottom w:val="single" w:color="auto" w:sz="4" w:space="0"/>
              <w:right w:val="single" w:color="auto" w:sz="4" w:space="0"/>
            </w:tcBorders>
            <w:shd w:val="clear" w:color="auto" w:fill="auto"/>
            <w:vAlign w:val="center"/>
          </w:tcPr>
          <w:p w14:paraId="5AAA6971">
            <w:pPr>
              <w:autoSpaceDE w:val="0"/>
              <w:adjustRightInd w:val="0"/>
              <w:spacing w:line="360" w:lineRule="auto"/>
              <w:jc w:val="left"/>
              <w:rPr>
                <w:rFonts w:ascii="宋体" w:hAnsi="宋体" w:eastAsia="宋体" w:cs="宋体"/>
                <w:color w:val="auto"/>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14:paraId="7524A00D">
            <w:pPr>
              <w:autoSpaceDE w:val="0"/>
              <w:adjustRightInd w:val="0"/>
              <w:spacing w:line="360" w:lineRule="auto"/>
              <w:jc w:val="left"/>
              <w:rPr>
                <w:rFonts w:ascii="宋体" w:hAnsi="宋体" w:eastAsia="宋体" w:cs="宋体"/>
                <w:color w:val="auto"/>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64B2F7FA">
            <w:pPr>
              <w:autoSpaceDE w:val="0"/>
              <w:adjustRightInd w:val="0"/>
              <w:spacing w:line="360" w:lineRule="auto"/>
              <w:jc w:val="left"/>
              <w:rPr>
                <w:rFonts w:ascii="宋体" w:hAnsi="宋体" w:eastAsia="宋体" w:cs="宋体"/>
                <w:color w:val="auto"/>
                <w:szCs w:val="21"/>
                <w:highlight w:val="none"/>
              </w:rPr>
            </w:pPr>
          </w:p>
        </w:tc>
        <w:tc>
          <w:tcPr>
            <w:tcW w:w="1271" w:type="dxa"/>
            <w:tcBorders>
              <w:top w:val="single" w:color="auto" w:sz="4" w:space="0"/>
              <w:left w:val="nil"/>
              <w:bottom w:val="single" w:color="auto" w:sz="4" w:space="0"/>
              <w:right w:val="single" w:color="auto" w:sz="4" w:space="0"/>
            </w:tcBorders>
            <w:shd w:val="clear" w:color="auto" w:fill="auto"/>
            <w:vAlign w:val="center"/>
          </w:tcPr>
          <w:p w14:paraId="1A4B8E4F">
            <w:pPr>
              <w:autoSpaceDE w:val="0"/>
              <w:adjustRightInd w:val="0"/>
              <w:spacing w:line="360" w:lineRule="auto"/>
              <w:jc w:val="left"/>
              <w:rPr>
                <w:rFonts w:ascii="宋体" w:hAnsi="宋体" w:eastAsia="宋体" w:cs="宋体"/>
                <w:color w:val="auto"/>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14:paraId="7792D057">
            <w:pPr>
              <w:autoSpaceDE w:val="0"/>
              <w:adjustRightInd w:val="0"/>
              <w:spacing w:line="360" w:lineRule="auto"/>
              <w:jc w:val="left"/>
              <w:rPr>
                <w:rFonts w:ascii="宋体" w:hAnsi="宋体" w:eastAsia="宋体" w:cs="宋体"/>
                <w:color w:val="auto"/>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14:paraId="1E02F2AE">
            <w:pPr>
              <w:autoSpaceDE w:val="0"/>
              <w:adjustRightInd w:val="0"/>
              <w:spacing w:line="360" w:lineRule="auto"/>
              <w:jc w:val="left"/>
              <w:rPr>
                <w:rFonts w:ascii="宋体" w:hAnsi="宋体" w:eastAsia="宋体" w:cs="宋体"/>
                <w:color w:val="auto"/>
                <w:szCs w:val="21"/>
                <w:highlight w:val="none"/>
              </w:rPr>
            </w:pPr>
          </w:p>
        </w:tc>
      </w:tr>
    </w:tbl>
    <w:p w14:paraId="13992A05">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252494EB">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4、我方同意按照贵方要求提供与投标产品有关的一切数据或资料。</w:t>
      </w:r>
    </w:p>
    <w:p w14:paraId="6865A424">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144A4908">
      <w:pPr>
        <w:autoSpaceDE w:val="0"/>
        <w:adjustRightInd w:val="0"/>
        <w:spacing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4AE64247">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6BDE55B6">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03CE5B98">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网址：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5C6A7B58">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250EC532">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77D17396">
      <w:pPr>
        <w:autoSpaceDE w:val="0"/>
        <w:adjustRightInd w:val="0"/>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 xml:space="preserve"> </w:t>
      </w:r>
    </w:p>
    <w:p w14:paraId="4B94DB6E">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57CAD013">
      <w:pPr>
        <w:pageBreakBefore/>
        <w:autoSpaceDE w:val="0"/>
        <w:autoSpaceDN w:val="0"/>
        <w:adjustRightInd w:val="0"/>
        <w:snapToGrid w:val="0"/>
        <w:spacing w:line="360" w:lineRule="auto"/>
        <w:jc w:val="center"/>
        <w:rPr>
          <w:rFonts w:ascii="宋体" w:hAnsi="宋体" w:eastAsia="宋体" w:cs="宋体"/>
          <w:b/>
          <w:bCs/>
          <w:color w:val="auto"/>
          <w:szCs w:val="21"/>
          <w:highlight w:val="none"/>
        </w:rPr>
      </w:pPr>
      <w:r>
        <w:rPr>
          <w:rFonts w:hint="eastAsia" w:ascii="宋体" w:hAnsi="宋体" w:eastAsia="宋体" w:cs="宋体"/>
          <w:b/>
          <w:color w:val="auto"/>
          <w:szCs w:val="21"/>
          <w:highlight w:val="none"/>
          <w:lang w:bidi="ar"/>
        </w:rPr>
        <w:t>②</w:t>
      </w:r>
      <w:r>
        <w:rPr>
          <w:rFonts w:hint="eastAsia" w:ascii="宋体" w:hAnsi="宋体" w:eastAsia="宋体" w:cs="宋体"/>
          <w:b/>
          <w:bCs/>
          <w:color w:val="auto"/>
          <w:kern w:val="0"/>
          <w:szCs w:val="21"/>
          <w:highlight w:val="none"/>
          <w:lang w:bidi="ar"/>
        </w:rPr>
        <w:t>制造商独家授权书</w:t>
      </w:r>
    </w:p>
    <w:p w14:paraId="310D88C2">
      <w:pPr>
        <w:autoSpaceDE w:val="0"/>
        <w:autoSpaceDN w:val="0"/>
        <w:adjustRightInd w:val="0"/>
        <w:spacing w:line="360" w:lineRule="auto"/>
        <w:ind w:firstLine="0" w:firstLineChars="0"/>
        <w:jc w:val="center"/>
        <w:rPr>
          <w:rFonts w:ascii="宋体" w:hAnsi="宋体" w:eastAsia="宋体" w:cs="宋体"/>
          <w:color w:val="auto"/>
          <w:szCs w:val="21"/>
          <w:highlight w:val="none"/>
        </w:rPr>
      </w:pPr>
      <w:r>
        <w:rPr>
          <w:rFonts w:hint="eastAsia" w:ascii="宋体" w:hAnsi="宋体" w:eastAsia="宋体" w:cs="宋体"/>
          <w:b/>
          <w:color w:val="auto"/>
          <w:kern w:val="0"/>
          <w:szCs w:val="21"/>
          <w:highlight w:val="none"/>
          <w:lang w:bidi="ar"/>
        </w:rPr>
        <w:t>（投标人根据实际情况选用，本格式适用于：</w:t>
      </w:r>
      <w:r>
        <w:rPr>
          <w:rFonts w:hint="eastAsia" w:ascii="宋体" w:hAnsi="宋体" w:eastAsia="宋体" w:cs="宋体"/>
          <w:b/>
          <w:color w:val="auto"/>
          <w:kern w:val="0"/>
          <w:szCs w:val="21"/>
          <w:highlight w:val="none"/>
          <w:u w:val="single"/>
          <w:lang w:bidi="ar"/>
        </w:rPr>
        <w:t>投标人是经销商时提供</w:t>
      </w:r>
      <w:r>
        <w:rPr>
          <w:rFonts w:hint="eastAsia" w:ascii="宋体" w:hAnsi="宋体" w:eastAsia="宋体" w:cs="宋体"/>
          <w:b/>
          <w:color w:val="auto"/>
          <w:kern w:val="0"/>
          <w:szCs w:val="21"/>
          <w:highlight w:val="none"/>
          <w:lang w:bidi="ar"/>
        </w:rPr>
        <w:t>。）</w:t>
      </w:r>
    </w:p>
    <w:p w14:paraId="2C3A709A">
      <w:pPr>
        <w:autoSpaceDE w:val="0"/>
        <w:autoSpaceDN w:val="0"/>
        <w:adjustRightInd w:val="0"/>
        <w:spacing w:before="120" w:beforeLines="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致：</w:t>
      </w:r>
      <w:r>
        <w:rPr>
          <w:rFonts w:hint="eastAsia" w:ascii="宋体" w:hAnsi="宋体" w:eastAsia="宋体" w:cs="宋体"/>
          <w:color w:val="auto"/>
          <w:kern w:val="0"/>
          <w:szCs w:val="21"/>
          <w:highlight w:val="none"/>
          <w:lang w:val="zh-CN" w:bidi="ar"/>
        </w:rPr>
        <w:t>东莞市水务环境投资控股集团供水有限公司</w:t>
      </w:r>
    </w:p>
    <w:p w14:paraId="51D84D20">
      <w:pPr>
        <w:autoSpaceDE w:val="0"/>
        <w:autoSpaceDN w:val="0"/>
        <w:adjustRightInd w:val="0"/>
        <w:snapToGrid w:val="0"/>
        <w:spacing w:before="120" w:beforeLines="50" w:after="120" w:afterLines="50" w:line="360" w:lineRule="auto"/>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（产品制造商名称）是按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（国家名称）法律成立的一家公司，主要营业地址设在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。兹证明参加贵方</w:t>
      </w:r>
      <w:r>
        <w:rPr>
          <w:rFonts w:hint="eastAsia" w:ascii="宋体" w:hAnsi="宋体" w:eastAsia="宋体" w:cs="宋体"/>
          <w:color w:val="auto"/>
          <w:kern w:val="0"/>
          <w:szCs w:val="21"/>
          <w:highlight w:val="none"/>
          <w:u w:val="single"/>
          <w:lang w:eastAsia="zh-CN" w:bidi="ar"/>
        </w:rPr>
        <w:t>东莞市供水计量设施更新项目（2026-2027年计量仪表）</w:t>
      </w:r>
      <w:r>
        <w:rPr>
          <w:rFonts w:hint="eastAsia" w:ascii="宋体" w:hAnsi="宋体" w:eastAsia="宋体" w:cs="Times New Roman"/>
          <w:color w:val="auto"/>
          <w:kern w:val="0"/>
          <w:szCs w:val="21"/>
          <w:highlight w:val="none"/>
          <w:u w:val="single"/>
          <w:lang w:eastAsia="zh-CN"/>
        </w:rPr>
        <w:t>－电磁水表</w:t>
      </w:r>
      <w:r>
        <w:rPr>
          <w:rFonts w:hint="eastAsia" w:ascii="宋体" w:hAnsi="宋体" w:eastAsia="宋体" w:cs="宋体"/>
          <w:color w:val="auto"/>
          <w:kern w:val="0"/>
          <w:szCs w:val="21"/>
          <w:highlight w:val="none"/>
          <w:u w:val="single"/>
          <w:lang w:bidi="ar"/>
        </w:rPr>
        <w:t>（招标编号：</w:t>
      </w:r>
      <w:r>
        <w:rPr>
          <w:rFonts w:hint="eastAsia" w:ascii="宋体" w:hAnsi="宋体" w:eastAsia="宋体" w:cs="宋体"/>
          <w:color w:val="auto"/>
          <w:szCs w:val="21"/>
          <w:highlight w:val="none"/>
          <w:u w:val="single"/>
          <w:lang w:val="zh-CN"/>
        </w:rPr>
        <w:t>GXTZ-ZB-2026第（39）号</w:t>
      </w:r>
      <w:r>
        <w:rPr>
          <w:rFonts w:hint="eastAsia" w:ascii="宋体" w:hAnsi="宋体" w:eastAsia="宋体" w:cs="宋体"/>
          <w:color w:val="auto"/>
          <w:kern w:val="0"/>
          <w:szCs w:val="21"/>
          <w:highlight w:val="none"/>
          <w:u w:val="single"/>
          <w:lang w:bidi="ar"/>
        </w:rPr>
        <w:t>）</w:t>
      </w:r>
      <w:r>
        <w:rPr>
          <w:rFonts w:hint="eastAsia" w:ascii="宋体" w:hAnsi="宋体" w:eastAsia="宋体" w:cs="宋体"/>
          <w:color w:val="auto"/>
          <w:kern w:val="0"/>
          <w:szCs w:val="21"/>
          <w:highlight w:val="none"/>
          <w:lang w:bidi="ar"/>
        </w:rPr>
        <w:t>的按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（国家名称）法律成立的、主要营业地址在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（下称“投标人”）作为我方真正的、</w:t>
      </w:r>
      <w:r>
        <w:rPr>
          <w:rFonts w:hint="eastAsia" w:ascii="宋体" w:hAnsi="宋体" w:eastAsia="宋体" w:cs="宋体"/>
          <w:b/>
          <w:color w:val="auto"/>
          <w:kern w:val="0"/>
          <w:szCs w:val="21"/>
          <w:highlight w:val="none"/>
          <w:lang w:bidi="ar"/>
        </w:rPr>
        <w:t>唯一合法</w:t>
      </w:r>
      <w:r>
        <w:rPr>
          <w:rFonts w:hint="eastAsia" w:ascii="宋体" w:hAnsi="宋体" w:eastAsia="宋体" w:cs="宋体"/>
          <w:color w:val="auto"/>
          <w:kern w:val="0"/>
          <w:szCs w:val="21"/>
          <w:highlight w:val="none"/>
          <w:lang w:bidi="ar"/>
        </w:rPr>
        <w:t>的授权参与本项目投标、合同签订、售后服务等相关事项的经销商：</w:t>
      </w:r>
    </w:p>
    <w:p w14:paraId="2BC918AB">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1、我方确认，投标人就</w:t>
      </w:r>
      <w:r>
        <w:rPr>
          <w:rFonts w:hint="eastAsia" w:ascii="宋体" w:hAnsi="宋体" w:eastAsia="宋体" w:cs="宋体"/>
          <w:b/>
          <w:bCs/>
          <w:color w:val="auto"/>
          <w:kern w:val="0"/>
          <w:szCs w:val="21"/>
          <w:highlight w:val="none"/>
          <w:u w:val="single"/>
          <w:lang w:eastAsia="zh-CN" w:bidi="ar"/>
        </w:rPr>
        <w:t>东莞市供水计量设施更新项目（2026-2027年计量仪表）－电磁水表</w:t>
      </w:r>
      <w:r>
        <w:rPr>
          <w:rFonts w:hint="eastAsia" w:ascii="宋体" w:hAnsi="宋体" w:eastAsia="宋体" w:cs="宋体"/>
          <w:b/>
          <w:bCs/>
          <w:color w:val="auto"/>
          <w:kern w:val="0"/>
          <w:szCs w:val="21"/>
          <w:highlight w:val="none"/>
          <w:u w:val="single"/>
          <w:lang w:bidi="ar"/>
        </w:rPr>
        <w:t>（招标编号：</w:t>
      </w:r>
      <w:r>
        <w:rPr>
          <w:rFonts w:hint="eastAsia" w:ascii="宋体" w:hAnsi="宋体" w:eastAsia="宋体" w:cs="宋体"/>
          <w:color w:val="auto"/>
          <w:szCs w:val="21"/>
          <w:highlight w:val="none"/>
          <w:u w:val="single"/>
          <w:lang w:val="zh-CN"/>
        </w:rPr>
        <w:t>GXTZ-ZB-2026第（39）号</w:t>
      </w:r>
      <w:r>
        <w:rPr>
          <w:rFonts w:hint="eastAsia" w:ascii="宋体" w:hAnsi="宋体" w:eastAsia="宋体" w:cs="宋体"/>
          <w:b/>
          <w:bCs/>
          <w:color w:val="auto"/>
          <w:kern w:val="0"/>
          <w:szCs w:val="21"/>
          <w:highlight w:val="none"/>
          <w:u w:val="single"/>
          <w:lang w:bidi="ar"/>
        </w:rPr>
        <w:t>）</w:t>
      </w:r>
      <w:r>
        <w:rPr>
          <w:rFonts w:hint="eastAsia" w:ascii="宋体" w:hAnsi="宋体" w:eastAsia="宋体" w:cs="宋体"/>
          <w:color w:val="auto"/>
          <w:kern w:val="0"/>
          <w:szCs w:val="21"/>
          <w:highlight w:val="none"/>
          <w:lang w:bidi="ar"/>
        </w:rPr>
        <w:t>提供货物时附带的出厂质量标准、售后服务承诺等合法有效，并对我方具有约束力。</w:t>
      </w:r>
    </w:p>
    <w:p w14:paraId="29314122">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2、作为产品制造商，我方对我方提供货物的质量和售后服务承担全部责任。本次提供的货物按以下方式提供售后服务：</w:t>
      </w:r>
    </w:p>
    <w:p w14:paraId="4C14DD57">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并按照投标承诺提供免费的质保期保修服务，质保期按每批次货物送达贵方指定地点交货验收合格并开具发票之日算（以设备整体验收报告日期为准）。</w:t>
      </w:r>
    </w:p>
    <w:p w14:paraId="01BDEB07">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3EA79A65">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4、我方此次参与贵方投标的产品如下：</w:t>
      </w:r>
    </w:p>
    <w:tbl>
      <w:tblPr>
        <w:tblStyle w:val="39"/>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925"/>
        <w:gridCol w:w="1191"/>
        <w:gridCol w:w="1442"/>
        <w:gridCol w:w="1271"/>
        <w:gridCol w:w="1449"/>
        <w:gridCol w:w="1135"/>
      </w:tblGrid>
      <w:tr w14:paraId="0FAD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29EE0C20">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925" w:type="dxa"/>
            <w:tcBorders>
              <w:top w:val="single" w:color="auto" w:sz="4" w:space="0"/>
              <w:left w:val="nil"/>
              <w:bottom w:val="single" w:color="auto" w:sz="4" w:space="0"/>
              <w:right w:val="single" w:color="auto" w:sz="4" w:space="0"/>
            </w:tcBorders>
            <w:shd w:val="clear" w:color="auto" w:fill="auto"/>
            <w:vAlign w:val="center"/>
          </w:tcPr>
          <w:p w14:paraId="1783EBF5">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1191" w:type="dxa"/>
            <w:tcBorders>
              <w:top w:val="single" w:color="auto" w:sz="4" w:space="0"/>
              <w:left w:val="nil"/>
              <w:bottom w:val="single" w:color="auto" w:sz="4" w:space="0"/>
              <w:right w:val="single" w:color="auto" w:sz="4" w:space="0"/>
            </w:tcBorders>
            <w:shd w:val="clear" w:color="auto" w:fill="auto"/>
            <w:vAlign w:val="center"/>
          </w:tcPr>
          <w:p w14:paraId="393BC7BD">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1442" w:type="dxa"/>
            <w:tcBorders>
              <w:top w:val="single" w:color="auto" w:sz="4" w:space="0"/>
              <w:left w:val="nil"/>
              <w:bottom w:val="single" w:color="auto" w:sz="4" w:space="0"/>
              <w:right w:val="single" w:color="auto" w:sz="4" w:space="0"/>
            </w:tcBorders>
            <w:shd w:val="clear" w:color="auto" w:fill="auto"/>
            <w:vAlign w:val="center"/>
          </w:tcPr>
          <w:p w14:paraId="3844D4D4">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1271" w:type="dxa"/>
            <w:tcBorders>
              <w:top w:val="single" w:color="auto" w:sz="4" w:space="0"/>
              <w:left w:val="nil"/>
              <w:bottom w:val="single" w:color="auto" w:sz="4" w:space="0"/>
              <w:right w:val="single" w:color="auto" w:sz="4" w:space="0"/>
            </w:tcBorders>
            <w:shd w:val="clear" w:color="auto" w:fill="auto"/>
            <w:vAlign w:val="center"/>
          </w:tcPr>
          <w:p w14:paraId="4940C893">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1449" w:type="dxa"/>
            <w:tcBorders>
              <w:top w:val="single" w:color="auto" w:sz="4" w:space="0"/>
              <w:left w:val="nil"/>
              <w:bottom w:val="single" w:color="auto" w:sz="4" w:space="0"/>
              <w:right w:val="single" w:color="auto" w:sz="4" w:space="0"/>
            </w:tcBorders>
            <w:shd w:val="clear" w:color="auto" w:fill="auto"/>
            <w:vAlign w:val="center"/>
          </w:tcPr>
          <w:p w14:paraId="4DBF1B07">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1135" w:type="dxa"/>
            <w:tcBorders>
              <w:top w:val="single" w:color="auto" w:sz="4" w:space="0"/>
              <w:left w:val="nil"/>
              <w:bottom w:val="single" w:color="auto" w:sz="4" w:space="0"/>
              <w:right w:val="single" w:color="auto" w:sz="4" w:space="0"/>
            </w:tcBorders>
            <w:shd w:val="clear" w:color="auto" w:fill="auto"/>
            <w:vAlign w:val="center"/>
          </w:tcPr>
          <w:p w14:paraId="45C5C1A3">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2B0A9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0D7FA3C4">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925" w:type="dxa"/>
            <w:tcBorders>
              <w:top w:val="single" w:color="auto" w:sz="4" w:space="0"/>
              <w:left w:val="nil"/>
              <w:bottom w:val="single" w:color="auto" w:sz="4" w:space="0"/>
              <w:right w:val="single" w:color="auto" w:sz="4" w:space="0"/>
            </w:tcBorders>
            <w:shd w:val="clear" w:color="auto" w:fill="auto"/>
            <w:vAlign w:val="center"/>
          </w:tcPr>
          <w:p w14:paraId="5ACC7C89">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14:paraId="3935ED6C">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23C5FE40">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271" w:type="dxa"/>
            <w:tcBorders>
              <w:top w:val="single" w:color="auto" w:sz="4" w:space="0"/>
              <w:left w:val="nil"/>
              <w:bottom w:val="single" w:color="auto" w:sz="4" w:space="0"/>
              <w:right w:val="single" w:color="auto" w:sz="4" w:space="0"/>
            </w:tcBorders>
            <w:shd w:val="clear" w:color="auto" w:fill="auto"/>
            <w:vAlign w:val="center"/>
          </w:tcPr>
          <w:p w14:paraId="0EB4E2F9">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14:paraId="38606D51">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14:paraId="5EC13AED">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14:paraId="1D9BF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2E235F23">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925" w:type="dxa"/>
            <w:tcBorders>
              <w:top w:val="single" w:color="auto" w:sz="4" w:space="0"/>
              <w:left w:val="nil"/>
              <w:bottom w:val="single" w:color="auto" w:sz="4" w:space="0"/>
              <w:right w:val="single" w:color="auto" w:sz="4" w:space="0"/>
            </w:tcBorders>
            <w:shd w:val="clear" w:color="auto" w:fill="auto"/>
            <w:vAlign w:val="center"/>
          </w:tcPr>
          <w:p w14:paraId="14BD22B9">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14:paraId="2F6ED023">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33469484">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271" w:type="dxa"/>
            <w:tcBorders>
              <w:top w:val="single" w:color="auto" w:sz="4" w:space="0"/>
              <w:left w:val="nil"/>
              <w:bottom w:val="single" w:color="auto" w:sz="4" w:space="0"/>
              <w:right w:val="single" w:color="auto" w:sz="4" w:space="0"/>
            </w:tcBorders>
            <w:shd w:val="clear" w:color="auto" w:fill="auto"/>
            <w:vAlign w:val="center"/>
          </w:tcPr>
          <w:p w14:paraId="5E620A88">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14:paraId="69CF8AA6">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14:paraId="3AC0D0E3">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14:paraId="31B51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4A9F6802">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925" w:type="dxa"/>
            <w:tcBorders>
              <w:top w:val="single" w:color="auto" w:sz="4" w:space="0"/>
              <w:left w:val="nil"/>
              <w:bottom w:val="single" w:color="auto" w:sz="4" w:space="0"/>
              <w:right w:val="single" w:color="auto" w:sz="4" w:space="0"/>
            </w:tcBorders>
            <w:shd w:val="clear" w:color="auto" w:fill="auto"/>
            <w:vAlign w:val="center"/>
          </w:tcPr>
          <w:p w14:paraId="1E7FBC69">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14:paraId="6412F87F">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5AA4D7CF">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271" w:type="dxa"/>
            <w:tcBorders>
              <w:top w:val="single" w:color="auto" w:sz="4" w:space="0"/>
              <w:left w:val="nil"/>
              <w:bottom w:val="single" w:color="auto" w:sz="4" w:space="0"/>
              <w:right w:val="single" w:color="auto" w:sz="4" w:space="0"/>
            </w:tcBorders>
            <w:shd w:val="clear" w:color="auto" w:fill="auto"/>
            <w:vAlign w:val="center"/>
          </w:tcPr>
          <w:p w14:paraId="12E3403A">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14:paraId="3C643C3E">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14:paraId="77267E6C">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bl>
    <w:p w14:paraId="29E3E06F">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3C3332A7">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5、我方同意按照贵方要求提供与投标产品有关的一切数据或资料。</w:t>
      </w:r>
    </w:p>
    <w:p w14:paraId="4BECD292">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6、本授权函不得进行二次授权或转授权，否则无效。</w:t>
      </w:r>
    </w:p>
    <w:p w14:paraId="782EB1BA">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出具授权书的产品制造商（或境外品牌境外生产的产品生产制造商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名称：</w:t>
      </w:r>
      <w:r>
        <w:rPr>
          <w:rFonts w:hint="eastAsia" w:ascii="宋体" w:hAnsi="宋体" w:eastAsia="宋体" w:cs="宋体"/>
          <w:color w:val="auto"/>
          <w:kern w:val="0"/>
          <w:szCs w:val="21"/>
          <w:highlight w:val="none"/>
          <w:u w:val="single"/>
          <w:lang w:bidi="ar"/>
        </w:rPr>
        <w:t xml:space="preserve">  </w:t>
      </w:r>
    </w:p>
    <w:p w14:paraId="6FE54FB1">
      <w:pPr>
        <w:autoSpaceDE w:val="0"/>
        <w:autoSpaceDN w:val="0"/>
        <w:adjustRightInd w:val="0"/>
        <w:snapToGrid w:val="0"/>
        <w:spacing w:before="120" w:beforeLines="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(其中，境内工商注册的产品制造商必须同时加盖法人公章，若境外品牌境外生产的产品生产制造商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在境内工商注册的，必须同时加盖公章)</w:t>
      </w:r>
    </w:p>
    <w:p w14:paraId="689B2E9C">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41BC03C1">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17861237">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36D40C7A">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p>
    <w:p w14:paraId="079EAEA3">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6A5EE9F7">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5644E1BD">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6089FEBB">
      <w:pPr>
        <w:snapToGrid w:val="0"/>
        <w:spacing w:before="120" w:beforeLines="50" w:after="120" w:afterLines="50"/>
        <w:ind w:firstLine="0" w:firstLineChars="0"/>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 xml:space="preserve"> 备注：投标文件正本内必须提供原件。</w:t>
      </w:r>
    </w:p>
    <w:p w14:paraId="4FC74770">
      <w:pPr>
        <w:rPr>
          <w:rFonts w:hint="eastAsia"/>
          <w:color w:val="auto"/>
          <w:highlight w:val="none"/>
          <w:lang w:val="en-US" w:eastAsia="zh-CN"/>
        </w:rPr>
      </w:pPr>
    </w:p>
    <w:p w14:paraId="325E9F5A">
      <w:pPr>
        <w:pStyle w:val="4"/>
        <w:pageBreakBefore/>
        <w:spacing w:line="360" w:lineRule="auto"/>
        <w:rPr>
          <w:rFonts w:hint="eastAsia" w:hAnsi="宋体" w:eastAsia="宋体"/>
          <w:b/>
          <w:color w:val="auto"/>
          <w:sz w:val="30"/>
          <w:szCs w:val="30"/>
          <w:highlight w:val="none"/>
          <w:lang w:val="zh-CN" w:eastAsia="zh-CN"/>
        </w:rPr>
      </w:pPr>
      <w:bookmarkStart w:id="687" w:name="_Toc17842"/>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w:t>
      </w:r>
      <w:r>
        <w:rPr>
          <w:rFonts w:hint="eastAsia" w:hAnsi="宋体" w:cs="宋体"/>
          <w:b/>
          <w:color w:val="auto"/>
          <w:kern w:val="0"/>
          <w:sz w:val="30"/>
          <w:szCs w:val="30"/>
          <w:highlight w:val="none"/>
          <w:lang w:val="en-US" w:eastAsia="zh-CN"/>
        </w:rPr>
        <w:t>5</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w:t>
      </w:r>
      <w:bookmarkEnd w:id="679"/>
      <w:bookmarkEnd w:id="680"/>
      <w:bookmarkEnd w:id="681"/>
      <w:r>
        <w:rPr>
          <w:rFonts w:hint="eastAsia" w:ascii="宋体" w:hAnsi="宋体" w:eastAsia="宋体"/>
          <w:b/>
          <w:bCs/>
          <w:color w:val="auto"/>
          <w:sz w:val="32"/>
          <w:szCs w:val="32"/>
          <w:highlight w:val="none"/>
        </w:rPr>
        <w:t>投标人提供一份</w:t>
      </w:r>
      <w:r>
        <w:rPr>
          <w:rFonts w:hint="eastAsia" w:hAnsi="宋体"/>
          <w:b/>
          <w:bCs/>
          <w:color w:val="auto"/>
          <w:sz w:val="32"/>
          <w:szCs w:val="32"/>
          <w:highlight w:val="none"/>
          <w:lang w:val="en-US" w:eastAsia="zh-CN"/>
        </w:rPr>
        <w:t>2023</w:t>
      </w:r>
      <w:r>
        <w:rPr>
          <w:rFonts w:hint="eastAsia" w:ascii="宋体" w:hAnsi="宋体" w:eastAsia="宋体"/>
          <w:b/>
          <w:bCs/>
          <w:color w:val="auto"/>
          <w:sz w:val="32"/>
          <w:szCs w:val="32"/>
          <w:highlight w:val="none"/>
        </w:rPr>
        <w:t>年</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月</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日以来</w:t>
      </w:r>
      <w:r>
        <w:rPr>
          <w:rFonts w:hint="eastAsia" w:hAnsi="宋体"/>
          <w:b/>
          <w:bCs/>
          <w:color w:val="auto"/>
          <w:sz w:val="32"/>
          <w:szCs w:val="32"/>
          <w:highlight w:val="none"/>
          <w:lang w:val="en-US" w:eastAsia="zh-CN"/>
        </w:rPr>
        <w:t>电磁水表</w:t>
      </w:r>
      <w:r>
        <w:rPr>
          <w:rFonts w:hint="eastAsia" w:ascii="宋体" w:hAnsi="宋体" w:eastAsia="宋体"/>
          <w:b/>
          <w:bCs/>
          <w:color w:val="auto"/>
          <w:sz w:val="32"/>
          <w:szCs w:val="32"/>
          <w:highlight w:val="none"/>
        </w:rPr>
        <w:t>在国内的销售</w:t>
      </w:r>
      <w:r>
        <w:rPr>
          <w:rFonts w:hint="eastAsia" w:ascii="宋体" w:hAnsi="宋体" w:eastAsia="宋体" w:cs="宋体"/>
          <w:b/>
          <w:bCs/>
          <w:color w:val="auto"/>
          <w:sz w:val="32"/>
          <w:szCs w:val="32"/>
          <w:highlight w:val="none"/>
        </w:rPr>
        <w:t>业绩</w:t>
      </w:r>
      <w:r>
        <w:rPr>
          <w:rFonts w:hint="eastAsia" w:ascii="宋体" w:hAnsi="宋体" w:eastAsia="宋体"/>
          <w:b/>
          <w:bCs/>
          <w:color w:val="auto"/>
          <w:sz w:val="32"/>
          <w:szCs w:val="32"/>
          <w:highlight w:val="none"/>
        </w:rPr>
        <w:t>（合同签订日期为</w:t>
      </w:r>
      <w:r>
        <w:rPr>
          <w:rFonts w:hint="eastAsia" w:hAnsi="宋体"/>
          <w:b/>
          <w:bCs/>
          <w:color w:val="auto"/>
          <w:sz w:val="32"/>
          <w:szCs w:val="32"/>
          <w:highlight w:val="none"/>
          <w:lang w:val="en-US" w:eastAsia="zh-CN"/>
        </w:rPr>
        <w:t>2023</w:t>
      </w:r>
      <w:r>
        <w:rPr>
          <w:rFonts w:hint="eastAsia" w:ascii="宋体" w:hAnsi="宋体" w:eastAsia="宋体"/>
          <w:b/>
          <w:bCs/>
          <w:color w:val="auto"/>
          <w:sz w:val="32"/>
          <w:szCs w:val="32"/>
          <w:highlight w:val="none"/>
        </w:rPr>
        <w:t>年</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月</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日或以后</w:t>
      </w:r>
      <w:r>
        <w:rPr>
          <w:rFonts w:hint="eastAsia" w:hAnsi="宋体"/>
          <w:b/>
          <w:bCs/>
          <w:color w:val="auto"/>
          <w:sz w:val="32"/>
          <w:szCs w:val="32"/>
          <w:highlight w:val="none"/>
          <w:lang w:eastAsia="zh-CN"/>
        </w:rPr>
        <w:t>）】</w:t>
      </w:r>
      <w:bookmarkEnd w:id="687"/>
    </w:p>
    <w:p w14:paraId="311E00EC">
      <w:pPr>
        <w:spacing w:line="360" w:lineRule="auto"/>
        <w:rPr>
          <w:rFonts w:hAnsi="宋体"/>
          <w:color w:val="auto"/>
          <w:szCs w:val="21"/>
          <w:highlight w:val="none"/>
          <w:lang w:val="zh-CN"/>
        </w:rPr>
      </w:pPr>
    </w:p>
    <w:tbl>
      <w:tblPr>
        <w:tblStyle w:val="39"/>
        <w:tblW w:w="897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6"/>
        <w:gridCol w:w="1903"/>
        <w:gridCol w:w="1256"/>
        <w:gridCol w:w="1499"/>
        <w:gridCol w:w="1386"/>
        <w:gridCol w:w="1544"/>
        <w:gridCol w:w="735"/>
      </w:tblGrid>
      <w:tr w14:paraId="7D883C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656" w:type="dxa"/>
            <w:tcBorders>
              <w:top w:val="single" w:color="auto" w:sz="4" w:space="0"/>
              <w:left w:val="single" w:color="auto" w:sz="4" w:space="0"/>
              <w:bottom w:val="single" w:color="auto" w:sz="4" w:space="0"/>
              <w:right w:val="single" w:color="auto" w:sz="4" w:space="0"/>
            </w:tcBorders>
            <w:vAlign w:val="center"/>
          </w:tcPr>
          <w:p w14:paraId="342D117D">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1903" w:type="dxa"/>
            <w:tcBorders>
              <w:top w:val="single" w:color="auto" w:sz="4" w:space="0"/>
              <w:left w:val="single" w:color="auto" w:sz="4" w:space="0"/>
              <w:bottom w:val="single" w:color="auto" w:sz="4" w:space="0"/>
              <w:right w:val="single" w:color="auto" w:sz="4" w:space="0"/>
            </w:tcBorders>
            <w:vAlign w:val="center"/>
          </w:tcPr>
          <w:p w14:paraId="31CAA2A4">
            <w:pPr>
              <w:keepNext w:val="0"/>
              <w:keepLines w:val="0"/>
              <w:suppressLineNumbers w:val="0"/>
              <w:spacing w:before="0" w:beforeAutospacing="0" w:after="0" w:afterAutospacing="0"/>
              <w:ind w:left="0" w:leftChars="0" w:right="0" w:rightChars="0"/>
              <w:jc w:val="center"/>
              <w:rPr>
                <w:rFonts w:ascii="宋体" w:hAnsi="宋体" w:eastAsia="宋体" w:cs="Times New Roman"/>
                <w:color w:val="auto"/>
                <w:kern w:val="0"/>
                <w:szCs w:val="21"/>
                <w:highlight w:val="none"/>
              </w:rPr>
            </w:pPr>
            <w:r>
              <w:rPr>
                <w:rFonts w:hint="eastAsia" w:ascii="宋体" w:hAnsi="宋体" w:eastAsia="宋体" w:cs="宋体"/>
                <w:color w:val="auto"/>
                <w:szCs w:val="21"/>
                <w:highlight w:val="none"/>
              </w:rPr>
              <w:t>项目名称</w:t>
            </w:r>
          </w:p>
        </w:tc>
        <w:tc>
          <w:tcPr>
            <w:tcW w:w="1256" w:type="dxa"/>
            <w:tcBorders>
              <w:top w:val="single" w:color="auto" w:sz="4" w:space="0"/>
              <w:left w:val="single" w:color="auto" w:sz="4" w:space="0"/>
              <w:bottom w:val="single" w:color="auto" w:sz="4" w:space="0"/>
              <w:right w:val="single" w:color="auto" w:sz="4" w:space="0"/>
            </w:tcBorders>
            <w:vAlign w:val="center"/>
          </w:tcPr>
          <w:p w14:paraId="183FC873">
            <w:pPr>
              <w:keepNext w:val="0"/>
              <w:keepLines w:val="0"/>
              <w:suppressLineNumbers w:val="0"/>
              <w:spacing w:before="0" w:beforeAutospacing="0" w:after="0" w:afterAutospacing="0"/>
              <w:ind w:left="0" w:leftChars="0" w:right="0" w:rightChars="0"/>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合同标的货物名称</w:t>
            </w:r>
          </w:p>
        </w:tc>
        <w:tc>
          <w:tcPr>
            <w:tcW w:w="1499" w:type="dxa"/>
            <w:tcBorders>
              <w:top w:val="single" w:color="auto" w:sz="4" w:space="0"/>
              <w:left w:val="single" w:color="auto" w:sz="4" w:space="0"/>
              <w:bottom w:val="single" w:color="auto" w:sz="4" w:space="0"/>
              <w:right w:val="single" w:color="auto" w:sz="4" w:space="0"/>
            </w:tcBorders>
            <w:vAlign w:val="center"/>
          </w:tcPr>
          <w:p w14:paraId="3A821BC3">
            <w:pPr>
              <w:keepNext w:val="0"/>
              <w:keepLines w:val="0"/>
              <w:suppressLineNumbers w:val="0"/>
              <w:spacing w:before="0" w:beforeAutospacing="0" w:after="0" w:afterAutospacing="0"/>
              <w:ind w:left="0" w:leftChars="0" w:right="0" w:rightChars="0"/>
              <w:jc w:val="center"/>
              <w:rPr>
                <w:rFonts w:ascii="宋体" w:hAnsi="宋体" w:eastAsia="宋体" w:cs="Times New Roman"/>
                <w:color w:val="auto"/>
                <w:kern w:val="0"/>
                <w:szCs w:val="21"/>
                <w:highlight w:val="none"/>
                <w:lang w:val="zh-CN"/>
              </w:rPr>
            </w:pPr>
            <w:r>
              <w:rPr>
                <w:rFonts w:hint="eastAsia" w:ascii="宋体" w:hAnsi="宋体" w:eastAsia="宋体" w:cs="宋体"/>
                <w:color w:val="auto"/>
                <w:szCs w:val="21"/>
                <w:highlight w:val="none"/>
              </w:rPr>
              <w:t>合同标的货物品牌</w:t>
            </w:r>
          </w:p>
        </w:tc>
        <w:tc>
          <w:tcPr>
            <w:tcW w:w="1386" w:type="dxa"/>
            <w:tcBorders>
              <w:top w:val="single" w:color="auto" w:sz="4" w:space="0"/>
              <w:left w:val="single" w:color="auto" w:sz="4" w:space="0"/>
              <w:bottom w:val="single" w:color="auto" w:sz="4" w:space="0"/>
              <w:right w:val="single" w:color="auto" w:sz="4" w:space="0"/>
            </w:tcBorders>
            <w:vAlign w:val="center"/>
          </w:tcPr>
          <w:p w14:paraId="3920823C">
            <w:pPr>
              <w:keepNext w:val="0"/>
              <w:keepLines w:val="0"/>
              <w:suppressLineNumbers w:val="0"/>
              <w:spacing w:before="0" w:beforeAutospacing="0" w:after="0" w:afterAutospacing="0"/>
              <w:ind w:left="0" w:leftChars="0" w:right="0" w:rightChars="0"/>
              <w:jc w:val="center"/>
              <w:rPr>
                <w:rFonts w:ascii="宋体" w:hAnsi="宋体" w:eastAsia="宋体" w:cs="Times New Roman"/>
                <w:color w:val="auto"/>
                <w:kern w:val="0"/>
                <w:szCs w:val="21"/>
                <w:highlight w:val="none"/>
              </w:rPr>
            </w:pPr>
            <w:r>
              <w:rPr>
                <w:rFonts w:hint="eastAsia" w:ascii="宋体" w:hAnsi="宋体" w:eastAsia="宋体" w:cs="宋体"/>
                <w:color w:val="auto"/>
                <w:szCs w:val="21"/>
                <w:highlight w:val="none"/>
                <w:lang w:val="en-US" w:eastAsia="zh-CN"/>
              </w:rPr>
              <w:t>合同</w:t>
            </w:r>
            <w:r>
              <w:rPr>
                <w:rFonts w:hint="eastAsia" w:ascii="宋体" w:hAnsi="宋体" w:eastAsia="宋体" w:cs="宋体"/>
                <w:color w:val="auto"/>
                <w:szCs w:val="21"/>
                <w:highlight w:val="none"/>
              </w:rPr>
              <w:t>签</w:t>
            </w:r>
            <w:r>
              <w:rPr>
                <w:rFonts w:hint="eastAsia" w:ascii="宋体" w:hAnsi="宋体" w:eastAsia="宋体" w:cs="宋体"/>
                <w:color w:val="auto"/>
                <w:szCs w:val="21"/>
                <w:highlight w:val="none"/>
                <w:lang w:val="en-US" w:eastAsia="zh-CN"/>
              </w:rPr>
              <w:t>订</w:t>
            </w:r>
            <w:r>
              <w:rPr>
                <w:rFonts w:hint="eastAsia" w:ascii="宋体" w:hAnsi="宋体" w:eastAsia="宋体" w:cs="宋体"/>
                <w:color w:val="auto"/>
                <w:szCs w:val="21"/>
                <w:highlight w:val="none"/>
              </w:rPr>
              <w:t>日期</w:t>
            </w:r>
          </w:p>
        </w:tc>
        <w:tc>
          <w:tcPr>
            <w:tcW w:w="1544" w:type="dxa"/>
            <w:tcBorders>
              <w:top w:val="single" w:color="auto" w:sz="4" w:space="0"/>
              <w:left w:val="single" w:color="auto" w:sz="4" w:space="0"/>
              <w:bottom w:val="single" w:color="auto" w:sz="4" w:space="0"/>
              <w:right w:val="single" w:color="auto" w:sz="4" w:space="0"/>
            </w:tcBorders>
            <w:vAlign w:val="center"/>
          </w:tcPr>
          <w:p w14:paraId="3C6F8A61">
            <w:pPr>
              <w:keepNext w:val="0"/>
              <w:keepLines w:val="0"/>
              <w:suppressLineNumbers w:val="0"/>
              <w:spacing w:before="0" w:beforeAutospacing="0" w:after="0" w:afterAutospacing="0"/>
              <w:ind w:left="0" w:leftChars="0" w:right="0" w:rightChars="0"/>
              <w:jc w:val="center"/>
              <w:rPr>
                <w:rFonts w:ascii="宋体" w:hAnsi="宋体" w:eastAsia="宋体" w:cs="Times New Roman"/>
                <w:color w:val="auto"/>
                <w:kern w:val="0"/>
                <w:szCs w:val="21"/>
                <w:highlight w:val="none"/>
              </w:rPr>
            </w:pPr>
            <w:r>
              <w:rPr>
                <w:rFonts w:hint="eastAsia" w:ascii="宋体" w:hAnsi="宋体" w:eastAsia="宋体" w:cs="宋体"/>
                <w:color w:val="auto"/>
                <w:szCs w:val="21"/>
                <w:highlight w:val="none"/>
                <w:lang w:val="en-US" w:eastAsia="zh-CN"/>
              </w:rPr>
              <w:t>合同购</w:t>
            </w:r>
            <w:r>
              <w:rPr>
                <w:rFonts w:hint="eastAsia" w:ascii="宋体" w:hAnsi="宋体" w:eastAsia="宋体" w:cs="宋体"/>
                <w:color w:val="auto"/>
                <w:szCs w:val="21"/>
                <w:highlight w:val="none"/>
              </w:rPr>
              <w:t>买方联系人及电话</w:t>
            </w:r>
          </w:p>
        </w:tc>
        <w:tc>
          <w:tcPr>
            <w:tcW w:w="735" w:type="dxa"/>
            <w:tcBorders>
              <w:top w:val="single" w:color="auto" w:sz="4" w:space="0"/>
              <w:left w:val="single" w:color="auto" w:sz="4" w:space="0"/>
              <w:bottom w:val="single" w:color="auto" w:sz="4" w:space="0"/>
              <w:right w:val="single" w:color="auto" w:sz="4" w:space="0"/>
            </w:tcBorders>
            <w:vAlign w:val="center"/>
          </w:tcPr>
          <w:p w14:paraId="556E0870">
            <w:pPr>
              <w:keepNext w:val="0"/>
              <w:keepLines w:val="0"/>
              <w:suppressLineNumbers w:val="0"/>
              <w:spacing w:before="0" w:beforeAutospacing="0" w:after="0" w:afterAutospacing="0"/>
              <w:ind w:left="0" w:leftChars="0" w:right="0" w:rightChars="0"/>
              <w:jc w:val="center"/>
              <w:rPr>
                <w:rFonts w:ascii="宋体" w:hAnsi="宋体" w:eastAsia="宋体" w:cs="Times New Roman"/>
                <w:color w:val="auto"/>
                <w:kern w:val="0"/>
                <w:szCs w:val="21"/>
                <w:highlight w:val="none"/>
              </w:rPr>
            </w:pPr>
            <w:r>
              <w:rPr>
                <w:rFonts w:hint="eastAsia" w:ascii="宋体" w:hAnsi="宋体" w:eastAsia="宋体" w:cs="宋体"/>
                <w:color w:val="auto"/>
                <w:szCs w:val="21"/>
                <w:highlight w:val="none"/>
              </w:rPr>
              <w:t>备注</w:t>
            </w:r>
          </w:p>
        </w:tc>
      </w:tr>
      <w:tr w14:paraId="6EE70F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656" w:type="dxa"/>
            <w:tcBorders>
              <w:top w:val="single" w:color="auto" w:sz="4" w:space="0"/>
              <w:left w:val="single" w:color="auto" w:sz="4" w:space="0"/>
              <w:bottom w:val="single" w:color="auto" w:sz="4" w:space="0"/>
              <w:right w:val="single" w:color="auto" w:sz="4" w:space="0"/>
            </w:tcBorders>
            <w:vAlign w:val="center"/>
          </w:tcPr>
          <w:p w14:paraId="2BD1C46D">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1903" w:type="dxa"/>
            <w:tcBorders>
              <w:top w:val="single" w:color="auto" w:sz="4" w:space="0"/>
              <w:left w:val="single" w:color="auto" w:sz="4" w:space="0"/>
              <w:bottom w:val="single" w:color="auto" w:sz="4" w:space="0"/>
              <w:right w:val="single" w:color="auto" w:sz="4" w:space="0"/>
            </w:tcBorders>
            <w:vAlign w:val="center"/>
          </w:tcPr>
          <w:p w14:paraId="1124F80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256" w:type="dxa"/>
            <w:tcBorders>
              <w:top w:val="single" w:color="auto" w:sz="4" w:space="0"/>
              <w:left w:val="single" w:color="auto" w:sz="4" w:space="0"/>
              <w:bottom w:val="single" w:color="auto" w:sz="4" w:space="0"/>
              <w:right w:val="single" w:color="auto" w:sz="4" w:space="0"/>
            </w:tcBorders>
            <w:vAlign w:val="center"/>
          </w:tcPr>
          <w:p w14:paraId="5FFBA2F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99" w:type="dxa"/>
            <w:tcBorders>
              <w:top w:val="single" w:color="auto" w:sz="4" w:space="0"/>
              <w:left w:val="single" w:color="auto" w:sz="4" w:space="0"/>
              <w:bottom w:val="single" w:color="auto" w:sz="4" w:space="0"/>
              <w:right w:val="single" w:color="auto" w:sz="4" w:space="0"/>
            </w:tcBorders>
            <w:vAlign w:val="center"/>
          </w:tcPr>
          <w:p w14:paraId="6C4264A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86" w:type="dxa"/>
            <w:tcBorders>
              <w:top w:val="single" w:color="auto" w:sz="4" w:space="0"/>
              <w:left w:val="single" w:color="auto" w:sz="4" w:space="0"/>
              <w:bottom w:val="single" w:color="auto" w:sz="4" w:space="0"/>
              <w:right w:val="single" w:color="auto" w:sz="4" w:space="0"/>
            </w:tcBorders>
            <w:vAlign w:val="center"/>
          </w:tcPr>
          <w:p w14:paraId="09F30C2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544" w:type="dxa"/>
            <w:tcBorders>
              <w:top w:val="single" w:color="auto" w:sz="4" w:space="0"/>
              <w:left w:val="single" w:color="auto" w:sz="4" w:space="0"/>
              <w:bottom w:val="single" w:color="auto" w:sz="4" w:space="0"/>
              <w:right w:val="single" w:color="auto" w:sz="4" w:space="0"/>
            </w:tcBorders>
            <w:vAlign w:val="center"/>
          </w:tcPr>
          <w:p w14:paraId="2D9D997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14:paraId="097727BC">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434E38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656" w:type="dxa"/>
            <w:tcBorders>
              <w:top w:val="single" w:color="auto" w:sz="4" w:space="0"/>
              <w:left w:val="single" w:color="auto" w:sz="4" w:space="0"/>
              <w:bottom w:val="single" w:color="auto" w:sz="4" w:space="0"/>
              <w:right w:val="single" w:color="auto" w:sz="4" w:space="0"/>
            </w:tcBorders>
            <w:vAlign w:val="center"/>
          </w:tcPr>
          <w:p w14:paraId="4B201417">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1903" w:type="dxa"/>
            <w:tcBorders>
              <w:top w:val="single" w:color="auto" w:sz="4" w:space="0"/>
              <w:left w:val="single" w:color="auto" w:sz="4" w:space="0"/>
              <w:bottom w:val="single" w:color="auto" w:sz="4" w:space="0"/>
              <w:right w:val="single" w:color="auto" w:sz="4" w:space="0"/>
            </w:tcBorders>
            <w:vAlign w:val="center"/>
          </w:tcPr>
          <w:p w14:paraId="52076BF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256" w:type="dxa"/>
            <w:tcBorders>
              <w:top w:val="single" w:color="auto" w:sz="4" w:space="0"/>
              <w:left w:val="single" w:color="auto" w:sz="4" w:space="0"/>
              <w:bottom w:val="single" w:color="auto" w:sz="4" w:space="0"/>
              <w:right w:val="single" w:color="auto" w:sz="4" w:space="0"/>
            </w:tcBorders>
            <w:vAlign w:val="center"/>
          </w:tcPr>
          <w:p w14:paraId="4C628DD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99" w:type="dxa"/>
            <w:tcBorders>
              <w:top w:val="single" w:color="auto" w:sz="4" w:space="0"/>
              <w:left w:val="single" w:color="auto" w:sz="4" w:space="0"/>
              <w:bottom w:val="single" w:color="auto" w:sz="4" w:space="0"/>
              <w:right w:val="single" w:color="auto" w:sz="4" w:space="0"/>
            </w:tcBorders>
            <w:vAlign w:val="center"/>
          </w:tcPr>
          <w:p w14:paraId="79C651D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86" w:type="dxa"/>
            <w:tcBorders>
              <w:top w:val="single" w:color="auto" w:sz="4" w:space="0"/>
              <w:left w:val="single" w:color="auto" w:sz="4" w:space="0"/>
              <w:bottom w:val="single" w:color="auto" w:sz="4" w:space="0"/>
              <w:right w:val="single" w:color="auto" w:sz="4" w:space="0"/>
            </w:tcBorders>
            <w:vAlign w:val="center"/>
          </w:tcPr>
          <w:p w14:paraId="3920AC2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544" w:type="dxa"/>
            <w:tcBorders>
              <w:top w:val="single" w:color="auto" w:sz="4" w:space="0"/>
              <w:left w:val="single" w:color="auto" w:sz="4" w:space="0"/>
              <w:bottom w:val="single" w:color="auto" w:sz="4" w:space="0"/>
              <w:right w:val="single" w:color="auto" w:sz="4" w:space="0"/>
            </w:tcBorders>
            <w:vAlign w:val="center"/>
          </w:tcPr>
          <w:p w14:paraId="34519D4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14:paraId="17A06A8D">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74A319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656" w:type="dxa"/>
            <w:tcBorders>
              <w:top w:val="single" w:color="auto" w:sz="4" w:space="0"/>
              <w:left w:val="single" w:color="auto" w:sz="4" w:space="0"/>
              <w:bottom w:val="single" w:color="auto" w:sz="4" w:space="0"/>
              <w:right w:val="single" w:color="auto" w:sz="4" w:space="0"/>
            </w:tcBorders>
            <w:vAlign w:val="center"/>
          </w:tcPr>
          <w:p w14:paraId="2CF9B0B4">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1903" w:type="dxa"/>
            <w:tcBorders>
              <w:top w:val="single" w:color="auto" w:sz="4" w:space="0"/>
              <w:left w:val="single" w:color="auto" w:sz="4" w:space="0"/>
              <w:bottom w:val="single" w:color="auto" w:sz="4" w:space="0"/>
              <w:right w:val="single" w:color="auto" w:sz="4" w:space="0"/>
            </w:tcBorders>
            <w:vAlign w:val="center"/>
          </w:tcPr>
          <w:p w14:paraId="332A3C4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256" w:type="dxa"/>
            <w:tcBorders>
              <w:top w:val="single" w:color="auto" w:sz="4" w:space="0"/>
              <w:left w:val="single" w:color="auto" w:sz="4" w:space="0"/>
              <w:bottom w:val="single" w:color="auto" w:sz="4" w:space="0"/>
              <w:right w:val="single" w:color="auto" w:sz="4" w:space="0"/>
            </w:tcBorders>
            <w:vAlign w:val="center"/>
          </w:tcPr>
          <w:p w14:paraId="3904245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99" w:type="dxa"/>
            <w:tcBorders>
              <w:top w:val="single" w:color="auto" w:sz="4" w:space="0"/>
              <w:left w:val="single" w:color="auto" w:sz="4" w:space="0"/>
              <w:bottom w:val="single" w:color="auto" w:sz="4" w:space="0"/>
              <w:right w:val="single" w:color="auto" w:sz="4" w:space="0"/>
            </w:tcBorders>
            <w:vAlign w:val="center"/>
          </w:tcPr>
          <w:p w14:paraId="116DCCF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86" w:type="dxa"/>
            <w:tcBorders>
              <w:top w:val="single" w:color="auto" w:sz="4" w:space="0"/>
              <w:left w:val="single" w:color="auto" w:sz="4" w:space="0"/>
              <w:bottom w:val="single" w:color="auto" w:sz="4" w:space="0"/>
              <w:right w:val="single" w:color="auto" w:sz="4" w:space="0"/>
            </w:tcBorders>
            <w:vAlign w:val="center"/>
          </w:tcPr>
          <w:p w14:paraId="7FC95C0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544" w:type="dxa"/>
            <w:tcBorders>
              <w:top w:val="single" w:color="auto" w:sz="4" w:space="0"/>
              <w:left w:val="single" w:color="auto" w:sz="4" w:space="0"/>
              <w:bottom w:val="single" w:color="auto" w:sz="4" w:space="0"/>
              <w:right w:val="single" w:color="auto" w:sz="4" w:space="0"/>
            </w:tcBorders>
            <w:vAlign w:val="center"/>
          </w:tcPr>
          <w:p w14:paraId="7CB22B3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14:paraId="73935D64">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1C7886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656" w:type="dxa"/>
            <w:tcBorders>
              <w:top w:val="single" w:color="auto" w:sz="4" w:space="0"/>
              <w:left w:val="single" w:color="auto" w:sz="4" w:space="0"/>
              <w:bottom w:val="single" w:color="auto" w:sz="4" w:space="0"/>
              <w:right w:val="single" w:color="auto" w:sz="4" w:space="0"/>
            </w:tcBorders>
            <w:vAlign w:val="center"/>
          </w:tcPr>
          <w:p w14:paraId="47A51AC4">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1903" w:type="dxa"/>
            <w:tcBorders>
              <w:top w:val="single" w:color="auto" w:sz="4" w:space="0"/>
              <w:left w:val="single" w:color="auto" w:sz="4" w:space="0"/>
              <w:bottom w:val="single" w:color="auto" w:sz="4" w:space="0"/>
              <w:right w:val="single" w:color="auto" w:sz="4" w:space="0"/>
            </w:tcBorders>
            <w:vAlign w:val="center"/>
          </w:tcPr>
          <w:p w14:paraId="6E46BE3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256" w:type="dxa"/>
            <w:tcBorders>
              <w:top w:val="single" w:color="auto" w:sz="4" w:space="0"/>
              <w:left w:val="single" w:color="auto" w:sz="4" w:space="0"/>
              <w:bottom w:val="single" w:color="auto" w:sz="4" w:space="0"/>
              <w:right w:val="single" w:color="auto" w:sz="4" w:space="0"/>
            </w:tcBorders>
            <w:vAlign w:val="center"/>
          </w:tcPr>
          <w:p w14:paraId="1972296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99" w:type="dxa"/>
            <w:tcBorders>
              <w:top w:val="single" w:color="auto" w:sz="4" w:space="0"/>
              <w:left w:val="single" w:color="auto" w:sz="4" w:space="0"/>
              <w:bottom w:val="single" w:color="auto" w:sz="4" w:space="0"/>
              <w:right w:val="single" w:color="auto" w:sz="4" w:space="0"/>
            </w:tcBorders>
            <w:vAlign w:val="center"/>
          </w:tcPr>
          <w:p w14:paraId="1556001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86" w:type="dxa"/>
            <w:tcBorders>
              <w:top w:val="single" w:color="auto" w:sz="4" w:space="0"/>
              <w:left w:val="single" w:color="auto" w:sz="4" w:space="0"/>
              <w:bottom w:val="single" w:color="auto" w:sz="4" w:space="0"/>
              <w:right w:val="single" w:color="auto" w:sz="4" w:space="0"/>
            </w:tcBorders>
            <w:vAlign w:val="center"/>
          </w:tcPr>
          <w:p w14:paraId="43AA2CC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544" w:type="dxa"/>
            <w:tcBorders>
              <w:top w:val="single" w:color="auto" w:sz="4" w:space="0"/>
              <w:left w:val="single" w:color="auto" w:sz="4" w:space="0"/>
              <w:bottom w:val="single" w:color="auto" w:sz="4" w:space="0"/>
              <w:right w:val="single" w:color="auto" w:sz="4" w:space="0"/>
            </w:tcBorders>
            <w:vAlign w:val="center"/>
          </w:tcPr>
          <w:p w14:paraId="0972211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14:paraId="3E6715BB">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16A49601">
      <w:pPr>
        <w:spacing w:line="360" w:lineRule="auto"/>
        <w:ind w:left="424" w:hanging="424" w:hangingChars="201"/>
        <w:rPr>
          <w:rFonts w:hint="eastAsia" w:ascii="宋体" w:hAnsi="宋体" w:eastAsia="宋体" w:cs="宋体"/>
          <w:b/>
          <w:color w:val="auto"/>
          <w:szCs w:val="21"/>
          <w:highlight w:val="none"/>
          <w:lang w:val="zh-CN"/>
        </w:rPr>
      </w:pPr>
    </w:p>
    <w:p w14:paraId="1DCD2D58">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19805209">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（1）作为投标人资格条件证明的业绩放置在此处；</w:t>
      </w:r>
    </w:p>
    <w:p w14:paraId="1AEDE52D">
      <w:pPr>
        <w:spacing w:line="360" w:lineRule="auto"/>
        <w:ind w:left="-2" w:firstLine="0" w:firstLineChars="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（2）业绩须同时提供①</w:t>
      </w:r>
      <w:r>
        <w:rPr>
          <w:rFonts w:hint="eastAsia" w:ascii="宋体" w:hAnsi="宋体" w:eastAsia="宋体" w:cs="宋体"/>
          <w:color w:val="auto"/>
          <w:szCs w:val="21"/>
          <w:highlight w:val="none"/>
          <w:lang w:val="en-US" w:eastAsia="zh-CN"/>
        </w:rPr>
        <w:t>电磁水表有效</w:t>
      </w:r>
      <w:r>
        <w:rPr>
          <w:rFonts w:hint="eastAsia" w:ascii="宋体" w:hAnsi="宋体" w:eastAsia="宋体" w:cs="宋体"/>
          <w:color w:val="auto"/>
          <w:szCs w:val="21"/>
          <w:highlight w:val="none"/>
          <w:lang w:val="zh-CN"/>
        </w:rPr>
        <w:t>销售合同复印件（合同卖方为投标人），②已供货产品任意一张发票复印件（发票开具日期须在本项目招标公告发布之日前）；</w:t>
      </w:r>
    </w:p>
    <w:p w14:paraId="334ED0B3">
      <w:pPr>
        <w:tabs>
          <w:tab w:val="left" w:pos="567"/>
        </w:tabs>
        <w:autoSpaceDE w:val="0"/>
        <w:autoSpaceDN w:val="0"/>
        <w:adjustRightInd w:val="0"/>
        <w:spacing w:line="360" w:lineRule="auto"/>
        <w:jc w:val="left"/>
        <w:outlineLvl w:val="9"/>
        <w:rPr>
          <w:rFonts w:hint="eastAsia" w:ascii="宋体" w:hAnsi="宋体" w:eastAsia="宋体" w:cs="宋体"/>
          <w:b w:val="0"/>
          <w:bCs/>
          <w:color w:val="auto"/>
          <w:szCs w:val="21"/>
          <w:highlight w:val="none"/>
          <w:lang w:val="zh-CN"/>
        </w:rPr>
      </w:pPr>
      <w:r>
        <w:rPr>
          <w:rFonts w:hint="eastAsia" w:ascii="宋体" w:hAnsi="宋体" w:eastAsia="宋体" w:cs="宋体"/>
          <w:b w:val="0"/>
          <w:bCs/>
          <w:color w:val="auto"/>
          <w:szCs w:val="21"/>
          <w:highlight w:val="none"/>
          <w:lang w:val="zh-CN"/>
        </w:rPr>
        <w:t>（</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lang w:val="zh-CN"/>
        </w:rPr>
        <w:t>）若合同无法反映评审条件（合同签订日期为202</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lang w:val="zh-CN"/>
        </w:rPr>
        <w:t>年1月1日或以后，合同标的必须包含</w:t>
      </w:r>
      <w:r>
        <w:rPr>
          <w:rFonts w:hint="eastAsia" w:ascii="宋体" w:hAnsi="宋体" w:eastAsia="宋体" w:cs="宋体"/>
          <w:color w:val="auto"/>
          <w:szCs w:val="21"/>
          <w:highlight w:val="none"/>
          <w:lang w:val="en-US" w:eastAsia="zh-CN"/>
        </w:rPr>
        <w:t>电磁水表</w:t>
      </w:r>
      <w:r>
        <w:rPr>
          <w:rFonts w:hint="eastAsia" w:ascii="宋体" w:hAnsi="宋体" w:eastAsia="宋体" w:cs="宋体"/>
          <w:b w:val="0"/>
          <w:bCs/>
          <w:color w:val="auto"/>
          <w:szCs w:val="21"/>
          <w:highlight w:val="none"/>
          <w:lang w:val="zh-CN"/>
        </w:rPr>
        <w:t>）的，还需提供产品购买方出具的书面补充说明文件复印件作为辅助证明（需显示购买方公章）；</w:t>
      </w:r>
    </w:p>
    <w:p w14:paraId="3CFD227D">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01D89AFE">
      <w:pPr>
        <w:rPr>
          <w:rFonts w:ascii="宋体" w:hAnsi="宋体" w:eastAsia="宋体" w:cs="宋体"/>
          <w:b/>
          <w:color w:val="auto"/>
          <w:kern w:val="0"/>
          <w:sz w:val="30"/>
          <w:szCs w:val="30"/>
          <w:highlight w:val="none"/>
        </w:rPr>
      </w:pPr>
    </w:p>
    <w:p w14:paraId="69175607">
      <w:pPr>
        <w:rPr>
          <w:rFonts w:hint="eastAsia" w:ascii="宋体" w:hAnsi="宋体" w:eastAsia="宋体" w:cs="宋体"/>
          <w:b/>
          <w:color w:val="auto"/>
          <w:kern w:val="0"/>
          <w:sz w:val="30"/>
          <w:szCs w:val="30"/>
          <w:highlight w:val="none"/>
          <w:lang w:val="en-US" w:eastAsia="zh-CN"/>
        </w:rPr>
      </w:pPr>
      <w:r>
        <w:rPr>
          <w:rFonts w:ascii="宋体" w:hAnsi="宋体" w:eastAsia="宋体" w:cs="宋体"/>
          <w:b/>
          <w:color w:val="auto"/>
          <w:kern w:val="0"/>
          <w:sz w:val="30"/>
          <w:szCs w:val="30"/>
          <w:highlight w:val="none"/>
        </w:rPr>
        <w:br w:type="page"/>
      </w:r>
      <w:bookmarkStart w:id="688" w:name="_Toc73"/>
      <w:bookmarkStart w:id="689" w:name="_Toc31879"/>
      <w:bookmarkStart w:id="690" w:name="_Toc8979"/>
    </w:p>
    <w:p w14:paraId="6980B1E5">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691" w:name="_Toc8789"/>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color w:val="auto"/>
          <w:kern w:val="0"/>
          <w:sz w:val="30"/>
          <w:szCs w:val="30"/>
          <w:highlight w:val="none"/>
        </w:rPr>
        <w:t>最近3年投标人牵涉的其他（失信和违法）处罚说明格式</w:t>
      </w:r>
      <w:bookmarkEnd w:id="682"/>
      <w:bookmarkEnd w:id="683"/>
      <w:bookmarkEnd w:id="684"/>
      <w:bookmarkEnd w:id="685"/>
      <w:bookmarkEnd w:id="686"/>
      <w:bookmarkEnd w:id="688"/>
      <w:bookmarkEnd w:id="689"/>
      <w:bookmarkEnd w:id="690"/>
      <w:bookmarkEnd w:id="691"/>
    </w:p>
    <w:p w14:paraId="09185CAC">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9"/>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767ED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6E4CE76C">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4E70AE8A">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4C0B3151">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1D5CFB11">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620A0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40A2D05D">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77C156B3">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4891CED4">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1AA2DEC5">
            <w:pPr>
              <w:autoSpaceDE w:val="0"/>
              <w:autoSpaceDN w:val="0"/>
              <w:adjustRightInd w:val="0"/>
              <w:spacing w:line="360" w:lineRule="auto"/>
              <w:jc w:val="center"/>
              <w:rPr>
                <w:rFonts w:ascii="宋体" w:hAnsi="宋体" w:eastAsia="宋体" w:cs="宋体"/>
                <w:color w:val="auto"/>
                <w:kern w:val="0"/>
                <w:szCs w:val="21"/>
                <w:highlight w:val="none"/>
              </w:rPr>
            </w:pPr>
          </w:p>
        </w:tc>
      </w:tr>
      <w:tr w14:paraId="74BB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0618FC80">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7F7D83C4">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28B1A139">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65C1CAA7">
            <w:pPr>
              <w:autoSpaceDE w:val="0"/>
              <w:autoSpaceDN w:val="0"/>
              <w:adjustRightInd w:val="0"/>
              <w:spacing w:line="360" w:lineRule="auto"/>
              <w:jc w:val="center"/>
              <w:rPr>
                <w:rFonts w:ascii="宋体" w:hAnsi="宋体" w:eastAsia="宋体" w:cs="宋体"/>
                <w:color w:val="auto"/>
                <w:kern w:val="0"/>
                <w:szCs w:val="21"/>
                <w:highlight w:val="none"/>
              </w:rPr>
            </w:pPr>
          </w:p>
        </w:tc>
      </w:tr>
      <w:tr w14:paraId="4C48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01582F84">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68014203">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495BF2DA">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16E0B503">
            <w:pPr>
              <w:autoSpaceDE w:val="0"/>
              <w:autoSpaceDN w:val="0"/>
              <w:adjustRightInd w:val="0"/>
              <w:spacing w:line="360" w:lineRule="auto"/>
              <w:jc w:val="center"/>
              <w:rPr>
                <w:rFonts w:ascii="宋体" w:hAnsi="宋体" w:eastAsia="宋体" w:cs="宋体"/>
                <w:color w:val="auto"/>
                <w:kern w:val="0"/>
                <w:szCs w:val="21"/>
                <w:highlight w:val="none"/>
              </w:rPr>
            </w:pPr>
          </w:p>
        </w:tc>
      </w:tr>
    </w:tbl>
    <w:p w14:paraId="5C24474A">
      <w:pPr>
        <w:autoSpaceDE w:val="0"/>
        <w:autoSpaceDN w:val="0"/>
        <w:adjustRightInd w:val="0"/>
        <w:spacing w:line="360" w:lineRule="auto"/>
        <w:jc w:val="left"/>
        <w:rPr>
          <w:rFonts w:ascii="宋体" w:hAnsi="宋体" w:eastAsia="宋体" w:cs="宋体"/>
          <w:color w:val="auto"/>
          <w:kern w:val="0"/>
          <w:szCs w:val="21"/>
          <w:highlight w:val="none"/>
        </w:rPr>
      </w:pPr>
    </w:p>
    <w:p w14:paraId="437D9F96">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31D886E8">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2757E1FD">
      <w:pPr>
        <w:autoSpaceDE w:val="0"/>
        <w:autoSpaceDN w:val="0"/>
        <w:adjustRightInd w:val="0"/>
        <w:spacing w:line="360" w:lineRule="auto"/>
        <w:jc w:val="center"/>
        <w:rPr>
          <w:rFonts w:ascii="宋体" w:hAnsi="宋体" w:eastAsia="宋体" w:cs="宋体"/>
          <w:color w:val="auto"/>
          <w:kern w:val="0"/>
          <w:sz w:val="24"/>
          <w:szCs w:val="24"/>
          <w:highlight w:val="none"/>
        </w:rPr>
      </w:pPr>
    </w:p>
    <w:p w14:paraId="090EFA16">
      <w:pPr>
        <w:spacing w:line="360" w:lineRule="auto"/>
        <w:ind w:firstLine="494" w:firstLineChars="206"/>
        <w:rPr>
          <w:rFonts w:ascii="宋体" w:hAnsi="宋体" w:eastAsia="宋体" w:cs="宋体"/>
          <w:color w:val="auto"/>
          <w:kern w:val="0"/>
          <w:sz w:val="24"/>
          <w:szCs w:val="24"/>
          <w:highlight w:val="none"/>
        </w:rPr>
      </w:pPr>
    </w:p>
    <w:p w14:paraId="7C089A33">
      <w:pPr>
        <w:spacing w:line="360" w:lineRule="auto"/>
        <w:ind w:firstLine="494" w:firstLineChars="206"/>
        <w:rPr>
          <w:rFonts w:ascii="宋体" w:hAnsi="宋体" w:eastAsia="宋体" w:cs="宋体"/>
          <w:color w:val="auto"/>
          <w:kern w:val="0"/>
          <w:sz w:val="24"/>
          <w:szCs w:val="24"/>
          <w:highlight w:val="none"/>
        </w:rPr>
      </w:pPr>
    </w:p>
    <w:p w14:paraId="415F933C">
      <w:pPr>
        <w:spacing w:line="360" w:lineRule="auto"/>
        <w:ind w:firstLine="494" w:firstLineChars="206"/>
        <w:rPr>
          <w:rFonts w:ascii="宋体" w:hAnsi="宋体" w:eastAsia="宋体" w:cs="宋体"/>
          <w:color w:val="auto"/>
          <w:kern w:val="0"/>
          <w:sz w:val="24"/>
          <w:szCs w:val="24"/>
          <w:highlight w:val="none"/>
        </w:rPr>
      </w:pPr>
    </w:p>
    <w:p w14:paraId="31C43B79">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77BC4D9B">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7585ED0A">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692" w:name="_Toc104991881"/>
      <w:bookmarkStart w:id="693" w:name="_Toc140596934"/>
      <w:bookmarkStart w:id="694" w:name="_Toc13237"/>
      <w:bookmarkStart w:id="695" w:name="_Toc533708126"/>
      <w:bookmarkStart w:id="696" w:name="_Toc102860079"/>
      <w:bookmarkStart w:id="697" w:name="_Toc94107215"/>
      <w:bookmarkStart w:id="698" w:name="_Toc142508374"/>
      <w:bookmarkStart w:id="699" w:name="_Toc102860423"/>
      <w:bookmarkStart w:id="700" w:name="_Toc486167714"/>
      <w:bookmarkStart w:id="701" w:name="_Toc2031_WPSOffice_Level2"/>
      <w:bookmarkStart w:id="702" w:name="_Toc1977731"/>
    </w:p>
    <w:p w14:paraId="40F10FDD">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703" w:name="_Toc12748"/>
      <w:bookmarkStart w:id="704" w:name="_Toc16342"/>
      <w:bookmarkStart w:id="705" w:name="_Toc11148"/>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p w14:paraId="3928B552">
      <w:pPr>
        <w:autoSpaceDE w:val="0"/>
        <w:autoSpaceDN w:val="0"/>
        <w:adjustRightInd w:val="0"/>
        <w:spacing w:line="360" w:lineRule="auto"/>
        <w:jc w:val="center"/>
        <w:rPr>
          <w:rFonts w:ascii="宋体" w:hAnsi="宋体" w:eastAsia="宋体" w:cs="宋体"/>
          <w:b/>
          <w:bCs/>
          <w:color w:val="auto"/>
          <w:sz w:val="30"/>
          <w:szCs w:val="30"/>
          <w:highlight w:val="none"/>
        </w:rPr>
      </w:pPr>
      <w:bookmarkStart w:id="706" w:name="_Toc2773_WPSOffice_Level3"/>
      <w:r>
        <w:rPr>
          <w:rFonts w:hint="eastAsia" w:ascii="宋体" w:hAnsi="宋体" w:eastAsia="宋体" w:cs="宋体"/>
          <w:b/>
          <w:bCs/>
          <w:color w:val="auto"/>
          <w:sz w:val="30"/>
          <w:szCs w:val="30"/>
          <w:highlight w:val="none"/>
          <w:lang w:val="zh-CN"/>
        </w:rPr>
        <w:t>投标人基本情况一览表</w:t>
      </w:r>
      <w:bookmarkEnd w:id="706"/>
    </w:p>
    <w:p w14:paraId="45D94909">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7558C557">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65291EA1">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5590B1C2">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060137B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566DA290">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43372F8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1472B1C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069E906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41258D5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67EB8950">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2AF962BD">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461AD687">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08C27F20">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40696652">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1EA40D84">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412A7297">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5190DAB0">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5DA92126">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0010C3F4">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2B519BB7">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3C682638">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53C3149B">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7EDE79AB">
      <w:pPr>
        <w:autoSpaceDE w:val="0"/>
        <w:autoSpaceDN w:val="0"/>
        <w:adjustRightInd w:val="0"/>
        <w:spacing w:line="360" w:lineRule="auto"/>
        <w:ind w:firstLine="420" w:firstLineChars="200"/>
        <w:rPr>
          <w:rFonts w:ascii="宋体" w:hAnsi="宋体" w:eastAsia="宋体" w:cs="宋体"/>
          <w:color w:val="auto"/>
          <w:szCs w:val="24"/>
          <w:highlight w:val="none"/>
        </w:rPr>
      </w:pPr>
    </w:p>
    <w:p w14:paraId="4C36C152">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5B548F0D">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00AF60C4">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707" w:name="_Toc102860080"/>
      <w:bookmarkStart w:id="708" w:name="_Toc94107216"/>
      <w:bookmarkStart w:id="709" w:name="_Toc102860424"/>
      <w:bookmarkStart w:id="710" w:name="_Toc104991882"/>
      <w:bookmarkStart w:id="711" w:name="_Toc142508375"/>
      <w:bookmarkStart w:id="712" w:name="_Toc4495"/>
      <w:bookmarkStart w:id="713" w:name="_Toc3711"/>
      <w:bookmarkStart w:id="714" w:name="_Toc11637"/>
      <w:bookmarkStart w:id="715" w:name="_Toc20486"/>
      <w:bookmarkStart w:id="716" w:name="_Toc140596935"/>
      <w:bookmarkStart w:id="717" w:name="_Toc9051_WPSOffice_Level2"/>
      <w:bookmarkStart w:id="718" w:name="_Toc486167715"/>
      <w:bookmarkStart w:id="719" w:name="_Toc533708128"/>
      <w:bookmarkStart w:id="720" w:name="_Toc1977733"/>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707"/>
      <w:bookmarkEnd w:id="708"/>
      <w:bookmarkEnd w:id="709"/>
      <w:bookmarkEnd w:id="710"/>
      <w:bookmarkEnd w:id="711"/>
      <w:bookmarkEnd w:id="712"/>
      <w:bookmarkEnd w:id="713"/>
      <w:bookmarkEnd w:id="714"/>
      <w:bookmarkEnd w:id="715"/>
      <w:bookmarkEnd w:id="716"/>
    </w:p>
    <w:p w14:paraId="466B4341">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25F0B035">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9"/>
        <w:tblW w:w="98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40B53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60DDADA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308D0865">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515886F3">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6455B59C">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5ACAE0BF">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14F1AE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3A5CA12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2EC04E68">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2F4483D8">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3040205A">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6E4D9948">
            <w:pPr>
              <w:autoSpaceDE w:val="0"/>
              <w:autoSpaceDN w:val="0"/>
              <w:adjustRightInd w:val="0"/>
              <w:spacing w:line="360" w:lineRule="auto"/>
              <w:jc w:val="center"/>
              <w:rPr>
                <w:rFonts w:ascii="宋体" w:hAnsi="宋体" w:eastAsia="宋体" w:cs="宋体"/>
                <w:color w:val="auto"/>
                <w:kern w:val="0"/>
                <w:szCs w:val="21"/>
                <w:highlight w:val="none"/>
              </w:rPr>
            </w:pPr>
          </w:p>
        </w:tc>
      </w:tr>
      <w:tr w14:paraId="126462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4AA3C897">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34E19E9E">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5440BC7E">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55767FE6">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5C55E9B2">
            <w:pPr>
              <w:autoSpaceDE w:val="0"/>
              <w:autoSpaceDN w:val="0"/>
              <w:adjustRightInd w:val="0"/>
              <w:spacing w:line="360" w:lineRule="auto"/>
              <w:jc w:val="center"/>
              <w:rPr>
                <w:rFonts w:ascii="宋体" w:hAnsi="宋体" w:eastAsia="宋体" w:cs="宋体"/>
                <w:color w:val="auto"/>
                <w:kern w:val="0"/>
                <w:szCs w:val="21"/>
                <w:highlight w:val="none"/>
              </w:rPr>
            </w:pPr>
          </w:p>
        </w:tc>
      </w:tr>
      <w:tr w14:paraId="0016DC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39A5C3C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2024</w:t>
            </w:r>
          </w:p>
        </w:tc>
        <w:tc>
          <w:tcPr>
            <w:tcW w:w="1944" w:type="dxa"/>
            <w:vAlign w:val="center"/>
          </w:tcPr>
          <w:p w14:paraId="70D71B26">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72726788">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1078E4D8">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70C47AA1">
            <w:pPr>
              <w:autoSpaceDE w:val="0"/>
              <w:autoSpaceDN w:val="0"/>
              <w:adjustRightInd w:val="0"/>
              <w:spacing w:line="360" w:lineRule="auto"/>
              <w:jc w:val="center"/>
              <w:rPr>
                <w:rFonts w:ascii="宋体" w:hAnsi="宋体" w:eastAsia="宋体" w:cs="宋体"/>
                <w:color w:val="auto"/>
                <w:kern w:val="0"/>
                <w:szCs w:val="21"/>
                <w:highlight w:val="none"/>
              </w:rPr>
            </w:pPr>
          </w:p>
        </w:tc>
      </w:tr>
      <w:tr w14:paraId="14E46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481D7FD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0243C5B1">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2DD6C540">
            <w:pPr>
              <w:autoSpaceDE w:val="0"/>
              <w:autoSpaceDN w:val="0"/>
              <w:adjustRightInd w:val="0"/>
              <w:spacing w:line="360" w:lineRule="auto"/>
              <w:jc w:val="center"/>
              <w:rPr>
                <w:rFonts w:ascii="宋体" w:hAnsi="宋体" w:eastAsia="宋体" w:cs="宋体"/>
                <w:color w:val="auto"/>
                <w:kern w:val="0"/>
                <w:szCs w:val="21"/>
                <w:highlight w:val="none"/>
              </w:rPr>
            </w:pPr>
          </w:p>
        </w:tc>
      </w:tr>
    </w:tbl>
    <w:p w14:paraId="0D4C0A52">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7D2A69D6">
      <w:pPr>
        <w:pStyle w:val="37"/>
        <w:ind w:left="0" w:leftChars="0" w:firstLine="0" w:firstLineChars="0"/>
        <w:rPr>
          <w:color w:val="auto"/>
          <w:highlight w:val="none"/>
        </w:rPr>
      </w:pPr>
    </w:p>
    <w:p w14:paraId="1EC00351">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17EDB53D">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591CB1FC">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7694B501">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9" w:type="default"/>
          <w:pgSz w:w="11907" w:h="16840"/>
          <w:pgMar w:top="1701" w:right="1418" w:bottom="851" w:left="1418" w:header="720" w:footer="720" w:gutter="0"/>
          <w:pgBorders>
            <w:top w:val="none" w:sz="0" w:space="0"/>
            <w:left w:val="none" w:sz="0" w:space="0"/>
            <w:bottom w:val="none" w:sz="0" w:space="0"/>
            <w:right w:val="none" w:sz="0" w:space="0"/>
          </w:pgBorders>
          <w:pgNumType w:fmt="decimal"/>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717"/>
    <w:bookmarkEnd w:id="718"/>
    <w:bookmarkEnd w:id="719"/>
    <w:bookmarkEnd w:id="720"/>
    <w:p w14:paraId="20959A8A">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721" w:name="_Toc102860081"/>
      <w:bookmarkStart w:id="722" w:name="_Toc94107217"/>
      <w:bookmarkStart w:id="723" w:name="_Toc15551"/>
      <w:bookmarkStart w:id="724" w:name="_Toc4831"/>
      <w:bookmarkStart w:id="725" w:name="_Toc533708130"/>
      <w:bookmarkStart w:id="726" w:name="_Toc1977736"/>
      <w:bookmarkStart w:id="727" w:name="_Toc102860425"/>
      <w:bookmarkStart w:id="728" w:name="_Toc11711"/>
      <w:bookmarkStart w:id="729" w:name="_Toc140596936"/>
      <w:bookmarkStart w:id="730" w:name="_Toc486167716"/>
      <w:bookmarkStart w:id="731" w:name="_Toc104991883"/>
      <w:bookmarkStart w:id="732" w:name="_Toc142508376"/>
      <w:bookmarkStart w:id="733" w:name="_Toc739_WPSOffice_Level2"/>
      <w:bookmarkStart w:id="734" w:name="_Toc20034"/>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5C9F28C0">
      <w:pPr>
        <w:autoSpaceDE w:val="0"/>
        <w:autoSpaceDN w:val="0"/>
        <w:adjustRightInd w:val="0"/>
        <w:spacing w:line="360" w:lineRule="auto"/>
        <w:jc w:val="center"/>
        <w:rPr>
          <w:rFonts w:hint="eastAsia" w:ascii="宋体" w:hAnsi="宋体" w:eastAsia="宋体" w:cs="宋体"/>
          <w:b/>
          <w:bCs/>
          <w:color w:val="auto"/>
          <w:kern w:val="0"/>
          <w:sz w:val="28"/>
          <w:szCs w:val="30"/>
          <w:highlight w:val="none"/>
          <w:lang w:val="zh-CN"/>
        </w:rPr>
      </w:pPr>
      <w:bookmarkStart w:id="735" w:name="_Toc26412_WPSOffice_Level3"/>
      <w:r>
        <w:rPr>
          <w:rFonts w:hint="eastAsia" w:ascii="宋体" w:hAnsi="宋体" w:eastAsia="宋体" w:cs="宋体"/>
          <w:b/>
          <w:bCs/>
          <w:color w:val="auto"/>
          <w:kern w:val="0"/>
          <w:sz w:val="28"/>
          <w:szCs w:val="30"/>
          <w:highlight w:val="none"/>
          <w:lang w:val="zh-CN" w:eastAsia="zh-CN"/>
        </w:rPr>
        <w:t>东莞市供水计量设施更新项目（2026-2027年计量仪表）</w:t>
      </w:r>
      <w:r>
        <w:rPr>
          <w:rFonts w:hint="eastAsia" w:ascii="宋体" w:hAnsi="宋体" w:eastAsia="宋体" w:cs="宋体"/>
          <w:b/>
          <w:bCs/>
          <w:color w:val="auto"/>
          <w:kern w:val="0"/>
          <w:sz w:val="28"/>
          <w:szCs w:val="30"/>
          <w:highlight w:val="none"/>
          <w:lang w:val="zh-CN"/>
        </w:rPr>
        <w:t>－电磁水表</w:t>
      </w:r>
    </w:p>
    <w:p w14:paraId="1C897C73">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r>
        <w:rPr>
          <w:rFonts w:hint="eastAsia" w:ascii="宋体" w:hAnsi="宋体" w:eastAsia="宋体" w:cs="宋体"/>
          <w:b/>
          <w:bCs/>
          <w:color w:val="auto"/>
          <w:kern w:val="0"/>
          <w:sz w:val="28"/>
          <w:szCs w:val="30"/>
          <w:highlight w:val="none"/>
          <w:lang w:val="zh-CN"/>
        </w:rPr>
        <w:t>合同条款偏离表</w:t>
      </w:r>
      <w:bookmarkEnd w:id="735"/>
    </w:p>
    <w:tbl>
      <w:tblPr>
        <w:tblStyle w:val="39"/>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4254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51CACB5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657D868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54BF0CD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3BF34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23F90027">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4FCBEFA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2C3BDA4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1085175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193066C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21F7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D7297A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4E61460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第一条</w:t>
            </w:r>
          </w:p>
        </w:tc>
        <w:tc>
          <w:tcPr>
            <w:tcW w:w="3055" w:type="dxa"/>
            <w:vAlign w:val="center"/>
          </w:tcPr>
          <w:p w14:paraId="22C631C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合同项目</w:t>
            </w:r>
          </w:p>
        </w:tc>
        <w:tc>
          <w:tcPr>
            <w:tcW w:w="1346" w:type="dxa"/>
            <w:vAlign w:val="center"/>
          </w:tcPr>
          <w:p w14:paraId="6DC5F51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B0F4F0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1F31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20" w:type="dxa"/>
            <w:vAlign w:val="center"/>
          </w:tcPr>
          <w:p w14:paraId="3405381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74A61DF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二</w:t>
            </w:r>
            <w:r>
              <w:rPr>
                <w:rFonts w:hint="eastAsia" w:ascii="宋体" w:hAnsi="宋体" w:eastAsia="宋体" w:cs="宋体"/>
                <w:color w:val="auto"/>
                <w:kern w:val="0"/>
                <w:szCs w:val="21"/>
                <w:highlight w:val="none"/>
              </w:rPr>
              <w:t>条</w:t>
            </w:r>
          </w:p>
        </w:tc>
        <w:tc>
          <w:tcPr>
            <w:tcW w:w="3055" w:type="dxa"/>
            <w:vAlign w:val="center"/>
          </w:tcPr>
          <w:p w14:paraId="1F04A0B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合同价</w:t>
            </w:r>
          </w:p>
        </w:tc>
        <w:tc>
          <w:tcPr>
            <w:tcW w:w="1346" w:type="dxa"/>
            <w:vAlign w:val="center"/>
          </w:tcPr>
          <w:p w14:paraId="2AD0DDA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0A64D50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18FD7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333B12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6AF3AA4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三</w:t>
            </w:r>
            <w:r>
              <w:rPr>
                <w:rFonts w:hint="eastAsia" w:ascii="宋体" w:hAnsi="宋体" w:eastAsia="宋体" w:cs="宋体"/>
                <w:color w:val="auto"/>
                <w:kern w:val="0"/>
                <w:szCs w:val="21"/>
                <w:highlight w:val="none"/>
              </w:rPr>
              <w:t>条</w:t>
            </w:r>
          </w:p>
        </w:tc>
        <w:tc>
          <w:tcPr>
            <w:tcW w:w="3055" w:type="dxa"/>
            <w:vAlign w:val="center"/>
          </w:tcPr>
          <w:p w14:paraId="4498F75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合同组成</w:t>
            </w:r>
          </w:p>
        </w:tc>
        <w:tc>
          <w:tcPr>
            <w:tcW w:w="1346" w:type="dxa"/>
            <w:vAlign w:val="center"/>
          </w:tcPr>
          <w:p w14:paraId="6A3EA92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62540D5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1CFB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6C6FED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756B485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四</w:t>
            </w:r>
            <w:r>
              <w:rPr>
                <w:rFonts w:hint="eastAsia" w:ascii="宋体" w:hAnsi="宋体" w:eastAsia="宋体" w:cs="宋体"/>
                <w:color w:val="auto"/>
                <w:kern w:val="0"/>
                <w:szCs w:val="21"/>
                <w:highlight w:val="none"/>
              </w:rPr>
              <w:t>条</w:t>
            </w:r>
          </w:p>
        </w:tc>
        <w:tc>
          <w:tcPr>
            <w:tcW w:w="3055" w:type="dxa"/>
            <w:vAlign w:val="center"/>
          </w:tcPr>
          <w:p w14:paraId="0381A75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default" w:ascii="宋体" w:hAnsi="宋体" w:eastAsia="宋体" w:cs="Times New Roman"/>
                <w:color w:val="auto"/>
                <w:kern w:val="0"/>
                <w:szCs w:val="21"/>
                <w:highlight w:val="none"/>
                <w:lang w:val="en-US" w:eastAsia="zh-CN"/>
              </w:rPr>
              <w:t>包装、运输与装卸</w:t>
            </w:r>
          </w:p>
        </w:tc>
        <w:tc>
          <w:tcPr>
            <w:tcW w:w="1346" w:type="dxa"/>
            <w:vAlign w:val="center"/>
          </w:tcPr>
          <w:p w14:paraId="1C04B35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1F34225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54BF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84CA46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5B470FE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五</w:t>
            </w:r>
            <w:r>
              <w:rPr>
                <w:rFonts w:hint="eastAsia" w:ascii="宋体" w:hAnsi="宋体" w:eastAsia="宋体" w:cs="宋体"/>
                <w:color w:val="auto"/>
                <w:kern w:val="0"/>
                <w:szCs w:val="21"/>
                <w:highlight w:val="none"/>
              </w:rPr>
              <w:t>条</w:t>
            </w:r>
          </w:p>
        </w:tc>
        <w:tc>
          <w:tcPr>
            <w:tcW w:w="3055" w:type="dxa"/>
            <w:vAlign w:val="center"/>
          </w:tcPr>
          <w:p w14:paraId="39FBA92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保险</w:t>
            </w:r>
          </w:p>
        </w:tc>
        <w:tc>
          <w:tcPr>
            <w:tcW w:w="1346" w:type="dxa"/>
            <w:vAlign w:val="center"/>
          </w:tcPr>
          <w:p w14:paraId="0E39E1A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54CB4AE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684E4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E419C2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68B8544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rPr>
              <w:t>条</w:t>
            </w:r>
          </w:p>
        </w:tc>
        <w:tc>
          <w:tcPr>
            <w:tcW w:w="3055" w:type="dxa"/>
            <w:vAlign w:val="center"/>
          </w:tcPr>
          <w:p w14:paraId="29791C4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default" w:ascii="宋体" w:hAnsi="宋体" w:eastAsia="宋体" w:cs="Times New Roman"/>
                <w:color w:val="auto"/>
                <w:kern w:val="0"/>
                <w:szCs w:val="21"/>
                <w:highlight w:val="none"/>
                <w:lang w:val="en-US" w:eastAsia="zh-CN"/>
              </w:rPr>
              <w:t>供货约定</w:t>
            </w:r>
          </w:p>
        </w:tc>
        <w:tc>
          <w:tcPr>
            <w:tcW w:w="1346" w:type="dxa"/>
            <w:vAlign w:val="center"/>
          </w:tcPr>
          <w:p w14:paraId="03926EA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54B44CE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714DD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7A1018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5885BDC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七</w:t>
            </w:r>
            <w:r>
              <w:rPr>
                <w:rFonts w:hint="eastAsia" w:ascii="宋体" w:hAnsi="宋体" w:eastAsia="宋体" w:cs="宋体"/>
                <w:color w:val="auto"/>
                <w:kern w:val="0"/>
                <w:szCs w:val="21"/>
                <w:highlight w:val="none"/>
              </w:rPr>
              <w:t>条</w:t>
            </w:r>
          </w:p>
        </w:tc>
        <w:tc>
          <w:tcPr>
            <w:tcW w:w="3055" w:type="dxa"/>
            <w:vAlign w:val="center"/>
          </w:tcPr>
          <w:p w14:paraId="1E585B8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到货验收</w:t>
            </w:r>
          </w:p>
        </w:tc>
        <w:tc>
          <w:tcPr>
            <w:tcW w:w="1346" w:type="dxa"/>
            <w:vAlign w:val="center"/>
          </w:tcPr>
          <w:p w14:paraId="1611337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518E95F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7FF3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01C0A4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272892F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八</w:t>
            </w:r>
            <w:r>
              <w:rPr>
                <w:rFonts w:hint="eastAsia" w:ascii="宋体" w:hAnsi="宋体" w:eastAsia="宋体" w:cs="宋体"/>
                <w:color w:val="auto"/>
                <w:kern w:val="0"/>
                <w:szCs w:val="21"/>
                <w:highlight w:val="none"/>
              </w:rPr>
              <w:t>条</w:t>
            </w:r>
          </w:p>
        </w:tc>
        <w:tc>
          <w:tcPr>
            <w:tcW w:w="3055" w:type="dxa"/>
            <w:vAlign w:val="center"/>
          </w:tcPr>
          <w:p w14:paraId="45D416B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default" w:ascii="宋体" w:hAnsi="宋体" w:eastAsia="宋体" w:cs="Times New Roman"/>
                <w:color w:val="auto"/>
                <w:kern w:val="0"/>
                <w:szCs w:val="21"/>
                <w:highlight w:val="none"/>
                <w:lang w:val="en-US" w:eastAsia="zh-CN"/>
              </w:rPr>
              <w:t>货款的支付</w:t>
            </w:r>
          </w:p>
        </w:tc>
        <w:tc>
          <w:tcPr>
            <w:tcW w:w="1346" w:type="dxa"/>
            <w:vAlign w:val="center"/>
          </w:tcPr>
          <w:p w14:paraId="32E7E9D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4359689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52BDE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8DA8E4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474E701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九</w:t>
            </w:r>
            <w:r>
              <w:rPr>
                <w:rFonts w:hint="eastAsia" w:ascii="宋体" w:hAnsi="宋体" w:eastAsia="宋体" w:cs="宋体"/>
                <w:color w:val="auto"/>
                <w:kern w:val="0"/>
                <w:szCs w:val="21"/>
                <w:highlight w:val="none"/>
              </w:rPr>
              <w:t>条</w:t>
            </w:r>
          </w:p>
        </w:tc>
        <w:tc>
          <w:tcPr>
            <w:tcW w:w="3055" w:type="dxa"/>
            <w:vAlign w:val="center"/>
          </w:tcPr>
          <w:p w14:paraId="243C80C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default" w:ascii="宋体" w:hAnsi="宋体" w:eastAsia="宋体" w:cs="Times New Roman"/>
                <w:color w:val="auto"/>
                <w:kern w:val="0"/>
                <w:szCs w:val="21"/>
                <w:highlight w:val="none"/>
                <w:lang w:val="en-US" w:eastAsia="zh-CN"/>
              </w:rPr>
              <w:t>技术服务和培训</w:t>
            </w:r>
          </w:p>
        </w:tc>
        <w:tc>
          <w:tcPr>
            <w:tcW w:w="1346" w:type="dxa"/>
            <w:vAlign w:val="center"/>
          </w:tcPr>
          <w:p w14:paraId="66F6EC3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65972D9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09F58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3BF774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38BF20E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w:t>
            </w:r>
            <w:r>
              <w:rPr>
                <w:rFonts w:hint="eastAsia" w:ascii="宋体" w:hAnsi="宋体" w:eastAsia="宋体" w:cs="宋体"/>
                <w:color w:val="auto"/>
                <w:kern w:val="0"/>
                <w:szCs w:val="21"/>
                <w:highlight w:val="none"/>
              </w:rPr>
              <w:t>条</w:t>
            </w:r>
          </w:p>
        </w:tc>
        <w:tc>
          <w:tcPr>
            <w:tcW w:w="3055" w:type="dxa"/>
            <w:vAlign w:val="center"/>
          </w:tcPr>
          <w:p w14:paraId="302DBC9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default" w:ascii="宋体" w:hAnsi="宋体" w:eastAsia="宋体" w:cs="Times New Roman"/>
                <w:color w:val="auto"/>
                <w:kern w:val="0"/>
                <w:szCs w:val="21"/>
                <w:highlight w:val="none"/>
                <w:lang w:val="en-US" w:eastAsia="zh-CN"/>
              </w:rPr>
              <w:t>履约担保</w:t>
            </w:r>
          </w:p>
        </w:tc>
        <w:tc>
          <w:tcPr>
            <w:tcW w:w="1346" w:type="dxa"/>
            <w:vAlign w:val="center"/>
          </w:tcPr>
          <w:p w14:paraId="2A51B25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2628177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0279C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551C9B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6E945E8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十一</w:t>
            </w:r>
            <w:r>
              <w:rPr>
                <w:rFonts w:hint="eastAsia" w:ascii="宋体" w:hAnsi="宋体" w:eastAsia="宋体" w:cs="宋体"/>
                <w:color w:val="auto"/>
                <w:kern w:val="0"/>
                <w:szCs w:val="21"/>
                <w:highlight w:val="none"/>
              </w:rPr>
              <w:t>条</w:t>
            </w:r>
          </w:p>
        </w:tc>
        <w:tc>
          <w:tcPr>
            <w:tcW w:w="3055" w:type="dxa"/>
            <w:shd w:val="clear" w:color="auto" w:fill="auto"/>
            <w:vAlign w:val="center"/>
          </w:tcPr>
          <w:p w14:paraId="066D1E2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 w:val="21"/>
                <w:szCs w:val="21"/>
                <w:highlight w:val="none"/>
                <w:lang w:val="en-US" w:eastAsia="zh-CN" w:bidi="ar-SA"/>
              </w:rPr>
            </w:pPr>
            <w:r>
              <w:rPr>
                <w:rFonts w:hint="default" w:ascii="宋体" w:hAnsi="宋体" w:eastAsia="宋体" w:cs="Times New Roman"/>
                <w:color w:val="auto"/>
                <w:kern w:val="0"/>
                <w:sz w:val="21"/>
                <w:szCs w:val="21"/>
                <w:highlight w:val="none"/>
                <w:lang w:val="en-US" w:eastAsia="zh-CN" w:bidi="ar-SA"/>
              </w:rPr>
              <w:t>供货担保</w:t>
            </w:r>
          </w:p>
        </w:tc>
        <w:tc>
          <w:tcPr>
            <w:tcW w:w="1346" w:type="dxa"/>
            <w:vAlign w:val="center"/>
          </w:tcPr>
          <w:p w14:paraId="5024417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2B70A65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27129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297C66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61C1D39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十二</w:t>
            </w:r>
            <w:r>
              <w:rPr>
                <w:rFonts w:hint="eastAsia" w:ascii="宋体" w:hAnsi="宋体" w:eastAsia="宋体" w:cs="宋体"/>
                <w:color w:val="auto"/>
                <w:kern w:val="0"/>
                <w:szCs w:val="21"/>
                <w:highlight w:val="none"/>
              </w:rPr>
              <w:t>条</w:t>
            </w:r>
          </w:p>
        </w:tc>
        <w:tc>
          <w:tcPr>
            <w:tcW w:w="3055" w:type="dxa"/>
            <w:shd w:val="clear" w:color="auto" w:fill="auto"/>
            <w:vAlign w:val="center"/>
          </w:tcPr>
          <w:p w14:paraId="450CE57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 w:val="21"/>
                <w:szCs w:val="21"/>
                <w:highlight w:val="none"/>
                <w:lang w:val="en-US" w:eastAsia="zh-CN" w:bidi="ar-SA"/>
              </w:rPr>
            </w:pPr>
            <w:r>
              <w:rPr>
                <w:rFonts w:hint="default" w:ascii="宋体" w:hAnsi="宋体" w:eastAsia="宋体" w:cs="Times New Roman"/>
                <w:color w:val="auto"/>
                <w:kern w:val="0"/>
                <w:sz w:val="21"/>
                <w:szCs w:val="21"/>
                <w:highlight w:val="none"/>
                <w:lang w:val="en-US" w:eastAsia="zh-CN" w:bidi="ar-SA"/>
              </w:rPr>
              <w:t xml:space="preserve"> 权利保证</w:t>
            </w:r>
          </w:p>
        </w:tc>
        <w:tc>
          <w:tcPr>
            <w:tcW w:w="1346" w:type="dxa"/>
            <w:vAlign w:val="center"/>
          </w:tcPr>
          <w:p w14:paraId="2C91B65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53CE0DF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520E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B50DB6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4DF4F2A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十三</w:t>
            </w:r>
            <w:r>
              <w:rPr>
                <w:rFonts w:hint="eastAsia" w:ascii="宋体" w:hAnsi="宋体" w:eastAsia="宋体" w:cs="宋体"/>
                <w:color w:val="auto"/>
                <w:kern w:val="0"/>
                <w:szCs w:val="21"/>
                <w:highlight w:val="none"/>
              </w:rPr>
              <w:t>条</w:t>
            </w:r>
          </w:p>
        </w:tc>
        <w:tc>
          <w:tcPr>
            <w:tcW w:w="3055" w:type="dxa"/>
            <w:shd w:val="clear" w:color="auto" w:fill="auto"/>
            <w:vAlign w:val="center"/>
          </w:tcPr>
          <w:p w14:paraId="7A520C4D">
            <w:pPr>
              <w:adjustRightInd w:val="0"/>
              <w:snapToGrid w:val="0"/>
              <w:spacing w:line="360" w:lineRule="auto"/>
              <w:ind w:firstLine="371" w:firstLineChars="177"/>
              <w:outlineLvl w:val="1"/>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b w:val="0"/>
                <w:bCs/>
                <w:color w:val="auto"/>
                <w:szCs w:val="21"/>
                <w:highlight w:val="none"/>
                <w:lang w:val="en-US" w:eastAsia="zh-CN"/>
              </w:rPr>
              <w:t>质量保证与质量争议处理</w:t>
            </w:r>
          </w:p>
        </w:tc>
        <w:tc>
          <w:tcPr>
            <w:tcW w:w="1346" w:type="dxa"/>
            <w:vAlign w:val="center"/>
          </w:tcPr>
          <w:p w14:paraId="7717A96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14A72F1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12283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6FE8D2B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14</w:t>
            </w:r>
          </w:p>
        </w:tc>
        <w:tc>
          <w:tcPr>
            <w:tcW w:w="1425" w:type="dxa"/>
            <w:vAlign w:val="center"/>
          </w:tcPr>
          <w:p w14:paraId="3B486D6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十四</w:t>
            </w:r>
            <w:r>
              <w:rPr>
                <w:rFonts w:hint="eastAsia" w:ascii="宋体" w:hAnsi="宋体" w:eastAsia="宋体" w:cs="宋体"/>
                <w:color w:val="auto"/>
                <w:kern w:val="0"/>
                <w:szCs w:val="21"/>
                <w:highlight w:val="none"/>
              </w:rPr>
              <w:t>条</w:t>
            </w:r>
          </w:p>
        </w:tc>
        <w:tc>
          <w:tcPr>
            <w:tcW w:w="3055" w:type="dxa"/>
            <w:shd w:val="clear" w:color="auto" w:fill="auto"/>
            <w:vAlign w:val="center"/>
          </w:tcPr>
          <w:p w14:paraId="4215B2A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default" w:ascii="宋体" w:hAnsi="宋体" w:eastAsia="宋体" w:cs="Times New Roman"/>
                <w:color w:val="auto"/>
                <w:kern w:val="0"/>
                <w:szCs w:val="21"/>
                <w:highlight w:val="none"/>
                <w:lang w:val="en-US" w:eastAsia="zh-CN"/>
              </w:rPr>
              <w:t>违约责任</w:t>
            </w:r>
          </w:p>
        </w:tc>
        <w:tc>
          <w:tcPr>
            <w:tcW w:w="1346" w:type="dxa"/>
            <w:vAlign w:val="center"/>
          </w:tcPr>
          <w:p w14:paraId="2F67488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05956A7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473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1E1CDB3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5</w:t>
            </w:r>
          </w:p>
        </w:tc>
        <w:tc>
          <w:tcPr>
            <w:tcW w:w="1425" w:type="dxa"/>
            <w:vAlign w:val="center"/>
          </w:tcPr>
          <w:p w14:paraId="634477F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十五</w:t>
            </w:r>
            <w:r>
              <w:rPr>
                <w:rFonts w:hint="eastAsia" w:ascii="宋体" w:hAnsi="宋体" w:eastAsia="宋体" w:cs="宋体"/>
                <w:color w:val="auto"/>
                <w:kern w:val="0"/>
                <w:szCs w:val="21"/>
                <w:highlight w:val="none"/>
              </w:rPr>
              <w:t>条</w:t>
            </w:r>
          </w:p>
        </w:tc>
        <w:tc>
          <w:tcPr>
            <w:tcW w:w="3055" w:type="dxa"/>
            <w:shd w:val="clear" w:color="auto" w:fill="auto"/>
            <w:vAlign w:val="center"/>
          </w:tcPr>
          <w:p w14:paraId="5B39FB4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 w:val="21"/>
                <w:szCs w:val="21"/>
                <w:highlight w:val="none"/>
                <w:lang w:val="en-US" w:eastAsia="zh-CN" w:bidi="ar-SA"/>
              </w:rPr>
            </w:pPr>
            <w:r>
              <w:rPr>
                <w:rFonts w:hint="default" w:ascii="宋体" w:hAnsi="宋体" w:eastAsia="宋体" w:cs="Times New Roman"/>
                <w:color w:val="auto"/>
                <w:kern w:val="0"/>
                <w:sz w:val="21"/>
                <w:szCs w:val="21"/>
                <w:highlight w:val="none"/>
                <w:lang w:val="en-US" w:eastAsia="zh-CN" w:bidi="ar-SA"/>
              </w:rPr>
              <w:t>争议解决</w:t>
            </w:r>
          </w:p>
        </w:tc>
        <w:tc>
          <w:tcPr>
            <w:tcW w:w="1346" w:type="dxa"/>
            <w:vAlign w:val="center"/>
          </w:tcPr>
          <w:p w14:paraId="567617C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4F72B30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7B030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78DE3DC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16</w:t>
            </w:r>
          </w:p>
        </w:tc>
        <w:tc>
          <w:tcPr>
            <w:tcW w:w="1425" w:type="dxa"/>
            <w:vAlign w:val="center"/>
          </w:tcPr>
          <w:p w14:paraId="0A7BB57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十六</w:t>
            </w:r>
            <w:r>
              <w:rPr>
                <w:rFonts w:hint="eastAsia" w:ascii="宋体" w:hAnsi="宋体" w:eastAsia="宋体" w:cs="宋体"/>
                <w:color w:val="auto"/>
                <w:kern w:val="0"/>
                <w:szCs w:val="21"/>
                <w:highlight w:val="none"/>
              </w:rPr>
              <w:t>条</w:t>
            </w:r>
          </w:p>
        </w:tc>
        <w:tc>
          <w:tcPr>
            <w:tcW w:w="3055" w:type="dxa"/>
            <w:shd w:val="clear" w:color="auto" w:fill="auto"/>
            <w:vAlign w:val="center"/>
          </w:tcPr>
          <w:p w14:paraId="62831D6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lang w:val="en-US" w:eastAsia="zh-CN"/>
              </w:rPr>
              <w:t>不可抗力</w:t>
            </w:r>
          </w:p>
        </w:tc>
        <w:tc>
          <w:tcPr>
            <w:tcW w:w="1346" w:type="dxa"/>
            <w:vAlign w:val="center"/>
          </w:tcPr>
          <w:p w14:paraId="2C2E40A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1B9763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556C8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01A7C3C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7</w:t>
            </w:r>
          </w:p>
        </w:tc>
        <w:tc>
          <w:tcPr>
            <w:tcW w:w="1425" w:type="dxa"/>
            <w:vAlign w:val="center"/>
          </w:tcPr>
          <w:p w14:paraId="3C15883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十七</w:t>
            </w:r>
            <w:r>
              <w:rPr>
                <w:rFonts w:hint="eastAsia" w:ascii="宋体" w:hAnsi="宋体" w:eastAsia="宋体" w:cs="宋体"/>
                <w:color w:val="auto"/>
                <w:kern w:val="0"/>
                <w:szCs w:val="21"/>
                <w:highlight w:val="none"/>
              </w:rPr>
              <w:t>条</w:t>
            </w:r>
          </w:p>
        </w:tc>
        <w:tc>
          <w:tcPr>
            <w:tcW w:w="3055" w:type="dxa"/>
            <w:shd w:val="clear" w:color="auto" w:fill="auto"/>
            <w:vAlign w:val="center"/>
          </w:tcPr>
          <w:p w14:paraId="616B5B1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 w:val="21"/>
                <w:szCs w:val="21"/>
                <w:highlight w:val="none"/>
                <w:lang w:val="en-US" w:eastAsia="zh-CN" w:bidi="ar-SA"/>
              </w:rPr>
            </w:pPr>
            <w:r>
              <w:rPr>
                <w:rFonts w:hint="default" w:ascii="宋体" w:hAnsi="宋体" w:eastAsia="宋体" w:cs="Times New Roman"/>
                <w:color w:val="auto"/>
                <w:kern w:val="0"/>
                <w:sz w:val="21"/>
                <w:szCs w:val="21"/>
                <w:highlight w:val="none"/>
                <w:lang w:val="en-US" w:eastAsia="zh-CN" w:bidi="ar-SA"/>
              </w:rPr>
              <w:t>其他</w:t>
            </w:r>
          </w:p>
        </w:tc>
        <w:tc>
          <w:tcPr>
            <w:tcW w:w="1346" w:type="dxa"/>
            <w:vAlign w:val="center"/>
          </w:tcPr>
          <w:p w14:paraId="15D4EF8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0241281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5DD7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591496B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14:paraId="4BD478FE">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附件2</w:t>
            </w:r>
          </w:p>
        </w:tc>
        <w:tc>
          <w:tcPr>
            <w:tcW w:w="3055" w:type="dxa"/>
            <w:shd w:val="clear" w:color="auto" w:fill="auto"/>
            <w:vAlign w:val="center"/>
          </w:tcPr>
          <w:p w14:paraId="7A666B74">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清单》（模版）</w:t>
            </w:r>
          </w:p>
        </w:tc>
        <w:tc>
          <w:tcPr>
            <w:tcW w:w="1346" w:type="dxa"/>
            <w:vAlign w:val="center"/>
          </w:tcPr>
          <w:p w14:paraId="6535294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6D4203A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0B9BB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61118CA2">
            <w:pPr>
              <w:autoSpaceDE w:val="0"/>
              <w:autoSpaceDN w:val="0"/>
              <w:adjustRightInd w:val="0"/>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19</w:t>
            </w:r>
          </w:p>
        </w:tc>
        <w:tc>
          <w:tcPr>
            <w:tcW w:w="1425" w:type="dxa"/>
            <w:vAlign w:val="center"/>
          </w:tcPr>
          <w:p w14:paraId="51E7ABC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附件3</w:t>
            </w:r>
          </w:p>
        </w:tc>
        <w:tc>
          <w:tcPr>
            <w:tcW w:w="3055" w:type="dxa"/>
            <w:shd w:val="clear" w:color="auto" w:fill="auto"/>
            <w:vAlign w:val="center"/>
          </w:tcPr>
          <w:p w14:paraId="18A53A9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东莞市水务环境投资控股集团供水有限公司货物到货验收表</w:t>
            </w:r>
          </w:p>
        </w:tc>
        <w:tc>
          <w:tcPr>
            <w:tcW w:w="1346" w:type="dxa"/>
            <w:vAlign w:val="center"/>
          </w:tcPr>
          <w:p w14:paraId="60001DF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3B1F34A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1069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500A35C7">
            <w:pPr>
              <w:autoSpaceDE w:val="0"/>
              <w:autoSpaceDN w:val="0"/>
              <w:adjustRightInd w:val="0"/>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20</w:t>
            </w:r>
          </w:p>
        </w:tc>
        <w:tc>
          <w:tcPr>
            <w:tcW w:w="1425" w:type="dxa"/>
            <w:vAlign w:val="center"/>
          </w:tcPr>
          <w:p w14:paraId="42C4DAD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附件5</w:t>
            </w:r>
          </w:p>
        </w:tc>
        <w:tc>
          <w:tcPr>
            <w:tcW w:w="3055" w:type="dxa"/>
            <w:vAlign w:val="center"/>
          </w:tcPr>
          <w:p w14:paraId="452C7D5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廉洁协议书</w:t>
            </w:r>
          </w:p>
        </w:tc>
        <w:tc>
          <w:tcPr>
            <w:tcW w:w="1346" w:type="dxa"/>
            <w:vAlign w:val="center"/>
          </w:tcPr>
          <w:p w14:paraId="048E5A3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0CFD62B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7D1E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38CF8F9B">
            <w:pPr>
              <w:autoSpaceDE w:val="0"/>
              <w:autoSpaceDN w:val="0"/>
              <w:adjustRightInd w:val="0"/>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21</w:t>
            </w:r>
          </w:p>
        </w:tc>
        <w:tc>
          <w:tcPr>
            <w:tcW w:w="1425" w:type="dxa"/>
            <w:vAlign w:val="center"/>
          </w:tcPr>
          <w:p w14:paraId="7428DEBF">
            <w:pPr>
              <w:snapToGrid w:val="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 w:val="21"/>
                <w:szCs w:val="21"/>
                <w:highlight w:val="none"/>
              </w:rPr>
              <w:t>一</w:t>
            </w:r>
          </w:p>
        </w:tc>
        <w:tc>
          <w:tcPr>
            <w:tcW w:w="3055" w:type="dxa"/>
            <w:vAlign w:val="center"/>
          </w:tcPr>
          <w:p w14:paraId="521A991E">
            <w:pPr>
              <w:snapToGrid w:val="0"/>
              <w:jc w:val="center"/>
              <w:rPr>
                <w:rFonts w:hint="eastAsia" w:ascii="宋体" w:hAnsi="宋体" w:eastAsia="宋体" w:cs="Times New Roman"/>
                <w:color w:val="auto"/>
                <w:kern w:val="0"/>
                <w:szCs w:val="21"/>
                <w:highlight w:val="none"/>
                <w:lang w:val="en-US" w:eastAsia="zh-CN"/>
              </w:rPr>
            </w:pPr>
            <w:r>
              <w:rPr>
                <w:rFonts w:hint="eastAsia" w:ascii="宋体" w:hAnsi="宋体" w:eastAsia="宋体" w:cs="宋体"/>
                <w:color w:val="auto"/>
                <w:sz w:val="21"/>
                <w:szCs w:val="21"/>
                <w:highlight w:val="none"/>
              </w:rPr>
              <w:t>不可撤销银行履约保函</w:t>
            </w:r>
          </w:p>
        </w:tc>
        <w:tc>
          <w:tcPr>
            <w:tcW w:w="1346" w:type="dxa"/>
            <w:vAlign w:val="center"/>
          </w:tcPr>
          <w:p w14:paraId="504C06F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FAC002C">
            <w:pPr>
              <w:snapToGrid w:val="0"/>
              <w:jc w:val="center"/>
              <w:rPr>
                <w:rFonts w:ascii="宋体" w:hAnsi="宋体" w:eastAsia="宋体" w:cs="宋体"/>
                <w:color w:val="auto"/>
                <w:kern w:val="0"/>
                <w:szCs w:val="21"/>
                <w:highlight w:val="none"/>
              </w:rPr>
            </w:pPr>
          </w:p>
        </w:tc>
      </w:tr>
      <w:tr w14:paraId="3335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058A0B1E">
            <w:pPr>
              <w:autoSpaceDE w:val="0"/>
              <w:autoSpaceDN w:val="0"/>
              <w:adjustRightInd w:val="0"/>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22</w:t>
            </w:r>
          </w:p>
        </w:tc>
        <w:tc>
          <w:tcPr>
            <w:tcW w:w="1425" w:type="dxa"/>
            <w:vAlign w:val="center"/>
          </w:tcPr>
          <w:p w14:paraId="62585EFB">
            <w:pPr>
              <w:snapToGrid w:val="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 w:val="21"/>
                <w:szCs w:val="21"/>
                <w:highlight w:val="none"/>
              </w:rPr>
              <w:t>二</w:t>
            </w:r>
          </w:p>
        </w:tc>
        <w:tc>
          <w:tcPr>
            <w:tcW w:w="3055" w:type="dxa"/>
            <w:vAlign w:val="center"/>
          </w:tcPr>
          <w:p w14:paraId="5F8948D5">
            <w:pPr>
              <w:snapToGrid w:val="0"/>
              <w:jc w:val="center"/>
              <w:rPr>
                <w:rFonts w:hint="eastAsia" w:ascii="宋体" w:hAnsi="宋体" w:eastAsia="宋体" w:cs="Times New Roman"/>
                <w:color w:val="auto"/>
                <w:kern w:val="0"/>
                <w:szCs w:val="21"/>
                <w:highlight w:val="none"/>
                <w:lang w:val="en-US" w:eastAsia="zh-CN"/>
              </w:rPr>
            </w:pPr>
            <w:r>
              <w:rPr>
                <w:rFonts w:hint="eastAsia" w:ascii="宋体" w:hAnsi="宋体" w:eastAsia="宋体" w:cs="宋体"/>
                <w:color w:val="auto"/>
                <w:sz w:val="21"/>
                <w:szCs w:val="21"/>
                <w:highlight w:val="none"/>
              </w:rPr>
              <w:t>履约保证保险凭证</w:t>
            </w:r>
          </w:p>
        </w:tc>
        <w:tc>
          <w:tcPr>
            <w:tcW w:w="1346" w:type="dxa"/>
            <w:vAlign w:val="center"/>
          </w:tcPr>
          <w:p w14:paraId="6F224DD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18C39ED">
            <w:pPr>
              <w:snapToGrid w:val="0"/>
              <w:jc w:val="center"/>
              <w:rPr>
                <w:rFonts w:ascii="宋体" w:hAnsi="宋体" w:eastAsia="宋体" w:cs="宋体"/>
                <w:color w:val="auto"/>
                <w:kern w:val="0"/>
                <w:szCs w:val="21"/>
                <w:highlight w:val="none"/>
              </w:rPr>
            </w:pPr>
          </w:p>
        </w:tc>
      </w:tr>
      <w:tr w14:paraId="62249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5D60F5B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23</w:t>
            </w:r>
          </w:p>
        </w:tc>
        <w:tc>
          <w:tcPr>
            <w:tcW w:w="1425" w:type="dxa"/>
            <w:vAlign w:val="center"/>
          </w:tcPr>
          <w:p w14:paraId="03D125BA">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三</w:t>
            </w:r>
          </w:p>
        </w:tc>
        <w:tc>
          <w:tcPr>
            <w:tcW w:w="3055" w:type="dxa"/>
            <w:vAlign w:val="center"/>
          </w:tcPr>
          <w:p w14:paraId="20A68E99">
            <w:pPr>
              <w:autoSpaceDE w:val="0"/>
              <w:autoSpaceDN w:val="0"/>
              <w:adjustRightInd w:val="0"/>
              <w:spacing w:line="400" w:lineRule="exact"/>
              <w:jc w:val="center"/>
              <w:rPr>
                <w:rFonts w:hint="eastAsia" w:ascii="宋体" w:hAnsi="宋体" w:eastAsia="宋体" w:cs="Times New Roman"/>
                <w:color w:val="auto"/>
                <w:kern w:val="0"/>
                <w:szCs w:val="21"/>
                <w:highlight w:val="none"/>
                <w:lang w:val="en-US" w:eastAsia="zh-CN"/>
              </w:rPr>
            </w:pPr>
            <w:r>
              <w:rPr>
                <w:rFonts w:hint="eastAsia" w:ascii="宋体" w:hAnsi="宋体" w:eastAsia="宋体" w:cs="宋体"/>
                <w:color w:val="auto"/>
                <w:sz w:val="21"/>
                <w:szCs w:val="21"/>
                <w:highlight w:val="none"/>
              </w:rPr>
              <w:t>担保公司履约担保书</w:t>
            </w:r>
          </w:p>
        </w:tc>
        <w:tc>
          <w:tcPr>
            <w:tcW w:w="1346" w:type="dxa"/>
            <w:vAlign w:val="center"/>
          </w:tcPr>
          <w:p w14:paraId="08434AD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D66A23E">
            <w:pPr>
              <w:autoSpaceDE w:val="0"/>
              <w:autoSpaceDN w:val="0"/>
              <w:adjustRightInd w:val="0"/>
              <w:spacing w:line="400" w:lineRule="exact"/>
              <w:jc w:val="center"/>
              <w:rPr>
                <w:rFonts w:ascii="宋体" w:hAnsi="宋体" w:eastAsia="宋体" w:cs="宋体"/>
                <w:color w:val="auto"/>
                <w:kern w:val="0"/>
                <w:szCs w:val="21"/>
                <w:highlight w:val="none"/>
              </w:rPr>
            </w:pPr>
          </w:p>
        </w:tc>
      </w:tr>
      <w:tr w14:paraId="028FE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487CCA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w:t>
            </w:r>
          </w:p>
        </w:tc>
        <w:tc>
          <w:tcPr>
            <w:tcW w:w="1425" w:type="dxa"/>
            <w:vAlign w:val="center"/>
          </w:tcPr>
          <w:p w14:paraId="02344FE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w:t>
            </w:r>
          </w:p>
        </w:tc>
        <w:tc>
          <w:tcPr>
            <w:tcW w:w="3055" w:type="dxa"/>
            <w:vAlign w:val="center"/>
          </w:tcPr>
          <w:p w14:paraId="4616212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Times New Roman"/>
                <w:color w:val="auto"/>
                <w:kern w:val="0"/>
                <w:szCs w:val="21"/>
                <w:highlight w:val="none"/>
                <w:lang w:val="en-US" w:eastAsia="zh-CN"/>
              </w:rPr>
              <w:t>供货保函</w:t>
            </w:r>
          </w:p>
        </w:tc>
        <w:tc>
          <w:tcPr>
            <w:tcW w:w="1346" w:type="dxa"/>
            <w:vAlign w:val="center"/>
          </w:tcPr>
          <w:p w14:paraId="464A51B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9583EE3">
            <w:pPr>
              <w:autoSpaceDE w:val="0"/>
              <w:autoSpaceDN w:val="0"/>
              <w:adjustRightInd w:val="0"/>
              <w:spacing w:line="400" w:lineRule="exact"/>
              <w:jc w:val="center"/>
              <w:rPr>
                <w:rFonts w:ascii="宋体" w:hAnsi="宋体" w:eastAsia="宋体" w:cs="宋体"/>
                <w:color w:val="auto"/>
                <w:kern w:val="0"/>
                <w:szCs w:val="21"/>
                <w:highlight w:val="none"/>
              </w:rPr>
            </w:pPr>
          </w:p>
        </w:tc>
      </w:tr>
    </w:tbl>
    <w:p w14:paraId="1798C803">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09C93AE7">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0EBCE0CD">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3E735772">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14:paraId="05F10CCC">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4618925D">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2CA725FD">
      <w:pPr>
        <w:spacing w:line="360" w:lineRule="auto"/>
        <w:ind w:left="357" w:leftChars="-100" w:hanging="567" w:hangingChars="270"/>
        <w:rPr>
          <w:rFonts w:ascii="宋体" w:hAnsi="宋体" w:eastAsia="宋体" w:cs="宋体"/>
          <w:color w:val="auto"/>
          <w:szCs w:val="21"/>
          <w:highlight w:val="none"/>
        </w:rPr>
      </w:pPr>
    </w:p>
    <w:p w14:paraId="66E3A0B7">
      <w:pPr>
        <w:spacing w:line="360" w:lineRule="auto"/>
        <w:ind w:left="357" w:leftChars="-100" w:hanging="567" w:hangingChars="270"/>
        <w:rPr>
          <w:rFonts w:ascii="宋体" w:hAnsi="宋体" w:eastAsia="宋体" w:cs="宋体"/>
          <w:color w:val="auto"/>
          <w:szCs w:val="21"/>
          <w:highlight w:val="none"/>
        </w:rPr>
      </w:pPr>
    </w:p>
    <w:p w14:paraId="6317B842">
      <w:pPr>
        <w:spacing w:line="360" w:lineRule="auto"/>
        <w:ind w:left="357" w:leftChars="-100" w:hanging="567" w:hangingChars="270"/>
        <w:rPr>
          <w:rFonts w:ascii="宋体" w:hAnsi="宋体" w:eastAsia="宋体" w:cs="宋体"/>
          <w:color w:val="auto"/>
          <w:szCs w:val="21"/>
          <w:highlight w:val="none"/>
        </w:rPr>
      </w:pPr>
    </w:p>
    <w:p w14:paraId="72F044F0">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5D6D2A0D">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2188C27A">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736" w:name="_Toc102860426"/>
      <w:bookmarkStart w:id="737" w:name="_Toc16061"/>
      <w:bookmarkStart w:id="738" w:name="_Toc140596937"/>
      <w:bookmarkStart w:id="739" w:name="_Toc2075"/>
      <w:bookmarkStart w:id="740" w:name="_Toc142508377"/>
      <w:bookmarkStart w:id="741" w:name="_Toc102860082"/>
      <w:bookmarkStart w:id="742" w:name="_Toc104991884"/>
      <w:bookmarkStart w:id="743" w:name="_Toc4165"/>
      <w:bookmarkStart w:id="744" w:name="_Toc13348"/>
      <w:bookmarkStart w:id="745" w:name="_Toc94107218"/>
      <w:bookmarkStart w:id="746" w:name="_Toc486167717"/>
      <w:bookmarkStart w:id="747" w:name="_Toc27980_WPSOffice_Level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736"/>
      <w:bookmarkEnd w:id="737"/>
      <w:bookmarkEnd w:id="738"/>
      <w:bookmarkEnd w:id="739"/>
      <w:bookmarkEnd w:id="740"/>
      <w:bookmarkEnd w:id="741"/>
      <w:bookmarkEnd w:id="742"/>
      <w:bookmarkEnd w:id="743"/>
      <w:bookmarkEnd w:id="744"/>
      <w:bookmarkEnd w:id="745"/>
    </w:p>
    <w:p w14:paraId="5683019B">
      <w:pPr>
        <w:autoSpaceDE w:val="0"/>
        <w:autoSpaceDN w:val="0"/>
        <w:adjustRightInd w:val="0"/>
        <w:spacing w:line="360" w:lineRule="auto"/>
        <w:ind w:left="0" w:leftChars="0" w:right="-145" w:rightChars="-69" w:firstLine="0" w:firstLineChars="0"/>
        <w:jc w:val="center"/>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en-US" w:eastAsia="zh-CN"/>
        </w:rPr>
        <w:t>2023</w:t>
      </w:r>
      <w:r>
        <w:rPr>
          <w:rFonts w:hint="eastAsia" w:ascii="宋体" w:hAnsi="宋体" w:eastAsia="宋体" w:cs="Times New Roman"/>
          <w:b/>
          <w:bCs/>
          <w:color w:val="auto"/>
          <w:sz w:val="30"/>
          <w:szCs w:val="30"/>
          <w:highlight w:val="none"/>
          <w:lang w:val="zh-CN"/>
        </w:rPr>
        <w:t>年</w:t>
      </w:r>
      <w:r>
        <w:rPr>
          <w:rFonts w:hint="eastAsia" w:ascii="宋体" w:hAnsi="宋体" w:eastAsia="宋体" w:cs="Times New Roman"/>
          <w:b/>
          <w:bCs/>
          <w:color w:val="auto"/>
          <w:sz w:val="30"/>
          <w:szCs w:val="30"/>
          <w:highlight w:val="none"/>
          <w:lang w:val="en-US" w:eastAsia="zh-CN"/>
        </w:rPr>
        <w:t>1</w:t>
      </w:r>
      <w:r>
        <w:rPr>
          <w:rFonts w:hint="eastAsia" w:ascii="宋体" w:hAnsi="宋体" w:eastAsia="宋体" w:cs="Times New Roman"/>
          <w:b/>
          <w:bCs/>
          <w:color w:val="auto"/>
          <w:sz w:val="30"/>
          <w:szCs w:val="30"/>
          <w:highlight w:val="none"/>
          <w:lang w:val="zh-CN"/>
        </w:rPr>
        <w:t>月</w:t>
      </w:r>
      <w:r>
        <w:rPr>
          <w:rFonts w:hint="eastAsia" w:ascii="宋体" w:hAnsi="宋体" w:eastAsia="宋体" w:cs="Times New Roman"/>
          <w:b/>
          <w:bCs/>
          <w:color w:val="auto"/>
          <w:sz w:val="30"/>
          <w:szCs w:val="30"/>
          <w:highlight w:val="none"/>
          <w:lang w:val="en-US" w:eastAsia="zh-CN"/>
        </w:rPr>
        <w:t>1</w:t>
      </w:r>
      <w:r>
        <w:rPr>
          <w:rFonts w:hint="eastAsia" w:ascii="宋体" w:hAnsi="宋体" w:eastAsia="宋体" w:cs="Times New Roman"/>
          <w:b/>
          <w:bCs/>
          <w:color w:val="auto"/>
          <w:sz w:val="30"/>
          <w:szCs w:val="30"/>
          <w:highlight w:val="none"/>
          <w:lang w:val="zh-CN"/>
        </w:rPr>
        <w:t>日</w:t>
      </w:r>
      <w:r>
        <w:rPr>
          <w:rFonts w:hint="eastAsia" w:ascii="宋体" w:hAnsi="宋体" w:eastAsia="宋体" w:cs="Times New Roman"/>
          <w:b/>
          <w:bCs/>
          <w:color w:val="auto"/>
          <w:sz w:val="30"/>
          <w:szCs w:val="30"/>
          <w:highlight w:val="none"/>
          <w:lang w:val="en-US" w:eastAsia="zh-CN"/>
        </w:rPr>
        <w:t>以来投标品牌电磁水表在国内的销售</w:t>
      </w:r>
      <w:r>
        <w:rPr>
          <w:rFonts w:hint="eastAsia" w:ascii="宋体" w:hAnsi="宋体" w:eastAsia="宋体" w:cs="Times New Roman"/>
          <w:b/>
          <w:bCs/>
          <w:color w:val="auto"/>
          <w:sz w:val="30"/>
          <w:szCs w:val="30"/>
          <w:highlight w:val="none"/>
          <w:lang w:val="zh-CN"/>
        </w:rPr>
        <w:t>业绩表</w:t>
      </w:r>
    </w:p>
    <w:p w14:paraId="59BABD7C">
      <w:pPr>
        <w:autoSpaceDE w:val="0"/>
        <w:autoSpaceDN w:val="0"/>
        <w:adjustRightInd w:val="0"/>
        <w:spacing w:line="360" w:lineRule="auto"/>
        <w:ind w:right="-145" w:rightChars="-69" w:firstLine="0"/>
        <w:jc w:val="center"/>
        <w:rPr>
          <w:rFonts w:hint="eastAsia" w:ascii="宋体" w:hAnsi="宋体" w:eastAsia="宋体" w:cs="Times New Roman"/>
          <w:b/>
          <w:bCs/>
          <w:color w:val="auto"/>
          <w:sz w:val="30"/>
          <w:szCs w:val="30"/>
          <w:highlight w:val="none"/>
          <w:lang w:val="en-US" w:eastAsia="zh-CN"/>
        </w:rPr>
      </w:pPr>
      <w:r>
        <w:rPr>
          <w:rFonts w:hint="eastAsia" w:ascii="宋体" w:hAnsi="宋体" w:eastAsia="宋体" w:cs="Times New Roman"/>
          <w:b/>
          <w:bCs/>
          <w:color w:val="auto"/>
          <w:sz w:val="30"/>
          <w:szCs w:val="30"/>
          <w:highlight w:val="none"/>
          <w:lang w:val="en-US" w:eastAsia="zh-CN"/>
        </w:rPr>
        <w:t>（签订合同的时间要求为2023年1月1日或以后）</w:t>
      </w:r>
    </w:p>
    <w:tbl>
      <w:tblPr>
        <w:tblStyle w:val="39"/>
        <w:tblW w:w="98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171"/>
        <w:gridCol w:w="1788"/>
        <w:gridCol w:w="1125"/>
        <w:gridCol w:w="1111"/>
        <w:gridCol w:w="1125"/>
        <w:gridCol w:w="1110"/>
        <w:gridCol w:w="1067"/>
        <w:gridCol w:w="708"/>
      </w:tblGrid>
      <w:tr w14:paraId="56A66E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47B7E82">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1171" w:type="dxa"/>
            <w:tcBorders>
              <w:top w:val="single" w:color="auto" w:sz="4" w:space="0"/>
              <w:left w:val="single" w:color="auto" w:sz="4" w:space="0"/>
              <w:bottom w:val="single" w:color="auto" w:sz="4" w:space="0"/>
              <w:right w:val="single" w:color="auto" w:sz="4" w:space="0"/>
            </w:tcBorders>
            <w:vAlign w:val="center"/>
          </w:tcPr>
          <w:p w14:paraId="3132F0E6">
            <w:pPr>
              <w:jc w:val="center"/>
              <w:rPr>
                <w:rFonts w:ascii="宋体" w:hAnsi="宋体" w:eastAsia="宋体" w:cs="Times New Roman"/>
                <w:color w:val="auto"/>
                <w:kern w:val="0"/>
                <w:szCs w:val="21"/>
                <w:highlight w:val="none"/>
                <w:lang w:val="zh-CN"/>
              </w:rPr>
            </w:pPr>
            <w:r>
              <w:rPr>
                <w:rFonts w:hint="eastAsia" w:ascii="宋体" w:hAnsi="宋体" w:eastAsia="宋体" w:cs="宋体"/>
                <w:szCs w:val="21"/>
                <w:highlight w:val="none"/>
              </w:rPr>
              <w:t>项目名称</w:t>
            </w:r>
          </w:p>
        </w:tc>
        <w:tc>
          <w:tcPr>
            <w:tcW w:w="1788" w:type="dxa"/>
            <w:tcBorders>
              <w:top w:val="single" w:color="auto" w:sz="4" w:space="0"/>
              <w:left w:val="single" w:color="auto" w:sz="4" w:space="0"/>
              <w:bottom w:val="single" w:color="auto" w:sz="4" w:space="0"/>
              <w:right w:val="single" w:color="auto" w:sz="4" w:space="0"/>
            </w:tcBorders>
            <w:vAlign w:val="center"/>
          </w:tcPr>
          <w:p w14:paraId="06830FB0">
            <w:pPr>
              <w:jc w:val="center"/>
              <w:rPr>
                <w:rFonts w:ascii="宋体" w:hAnsi="宋体" w:eastAsia="宋体" w:cs="Times New Roman"/>
                <w:color w:val="auto"/>
                <w:kern w:val="0"/>
                <w:szCs w:val="21"/>
                <w:highlight w:val="none"/>
              </w:rPr>
            </w:pPr>
            <w:r>
              <w:rPr>
                <w:rFonts w:hint="eastAsia" w:ascii="宋体" w:hAnsi="宋体" w:eastAsia="宋体" w:cs="宋体"/>
                <w:szCs w:val="21"/>
                <w:highlight w:val="none"/>
              </w:rPr>
              <w:t>合同金额（万元）</w:t>
            </w:r>
          </w:p>
        </w:tc>
        <w:tc>
          <w:tcPr>
            <w:tcW w:w="1125" w:type="dxa"/>
            <w:tcBorders>
              <w:top w:val="single" w:color="auto" w:sz="4" w:space="0"/>
              <w:left w:val="single" w:color="auto" w:sz="4" w:space="0"/>
              <w:bottom w:val="single" w:color="auto" w:sz="4" w:space="0"/>
              <w:right w:val="single" w:color="auto" w:sz="4" w:space="0"/>
            </w:tcBorders>
            <w:vAlign w:val="center"/>
          </w:tcPr>
          <w:p w14:paraId="7751E8E7">
            <w:pPr>
              <w:jc w:val="center"/>
              <w:rPr>
                <w:rFonts w:hint="eastAsia" w:ascii="宋体" w:hAnsi="宋体" w:eastAsia="宋体" w:cs="Times New Roman"/>
                <w:color w:val="auto"/>
                <w:kern w:val="0"/>
                <w:szCs w:val="21"/>
                <w:highlight w:val="none"/>
                <w:lang w:val="zh-CN"/>
              </w:rPr>
            </w:pPr>
            <w:r>
              <w:rPr>
                <w:rFonts w:hint="eastAsia" w:ascii="宋体" w:hAnsi="宋体" w:eastAsia="宋体" w:cs="宋体"/>
                <w:color w:val="auto"/>
                <w:szCs w:val="21"/>
                <w:highlight w:val="none"/>
              </w:rPr>
              <w:t>合同标的货物名称</w:t>
            </w:r>
          </w:p>
        </w:tc>
        <w:tc>
          <w:tcPr>
            <w:tcW w:w="1111" w:type="dxa"/>
            <w:tcBorders>
              <w:top w:val="single" w:color="auto" w:sz="4" w:space="0"/>
              <w:left w:val="single" w:color="auto" w:sz="4" w:space="0"/>
              <w:bottom w:val="single" w:color="auto" w:sz="4" w:space="0"/>
              <w:right w:val="single" w:color="auto" w:sz="4" w:space="0"/>
            </w:tcBorders>
            <w:vAlign w:val="center"/>
          </w:tcPr>
          <w:p w14:paraId="6AC591A1">
            <w:pPr>
              <w:jc w:val="center"/>
              <w:rPr>
                <w:rFonts w:hint="eastAsia" w:ascii="宋体" w:hAnsi="宋体" w:eastAsia="宋体" w:cs="Times New Roman"/>
                <w:color w:val="auto"/>
                <w:kern w:val="0"/>
                <w:szCs w:val="21"/>
                <w:highlight w:val="none"/>
                <w:lang w:val="zh-CN"/>
              </w:rPr>
            </w:pPr>
            <w:r>
              <w:rPr>
                <w:rFonts w:hint="eastAsia" w:ascii="宋体" w:hAnsi="宋体" w:eastAsia="宋体" w:cs="宋体"/>
                <w:color w:val="auto"/>
                <w:szCs w:val="21"/>
                <w:highlight w:val="none"/>
              </w:rPr>
              <w:t>合同标的货物品牌</w:t>
            </w:r>
          </w:p>
        </w:tc>
        <w:tc>
          <w:tcPr>
            <w:tcW w:w="1125" w:type="dxa"/>
            <w:tcBorders>
              <w:top w:val="single" w:color="auto" w:sz="4" w:space="0"/>
              <w:left w:val="single" w:color="auto" w:sz="4" w:space="0"/>
              <w:bottom w:val="single" w:color="auto" w:sz="4" w:space="0"/>
              <w:right w:val="single" w:color="auto" w:sz="4" w:space="0"/>
            </w:tcBorders>
            <w:vAlign w:val="center"/>
          </w:tcPr>
          <w:p w14:paraId="291B2409">
            <w:pPr>
              <w:jc w:val="center"/>
              <w:rPr>
                <w:rFonts w:ascii="宋体" w:hAnsi="宋体" w:eastAsia="宋体" w:cs="Times New Roman"/>
                <w:color w:val="auto"/>
                <w:kern w:val="0"/>
                <w:szCs w:val="21"/>
                <w:highlight w:val="none"/>
                <w:lang w:val="zh-CN"/>
              </w:rPr>
            </w:pPr>
            <w:r>
              <w:rPr>
                <w:rFonts w:hint="eastAsia" w:ascii="宋体" w:hAnsi="宋体" w:eastAsia="宋体" w:cs="宋体"/>
                <w:szCs w:val="21"/>
                <w:highlight w:val="none"/>
              </w:rPr>
              <w:t>合同期限</w:t>
            </w:r>
          </w:p>
        </w:tc>
        <w:tc>
          <w:tcPr>
            <w:tcW w:w="1110" w:type="dxa"/>
            <w:tcBorders>
              <w:top w:val="single" w:color="auto" w:sz="4" w:space="0"/>
              <w:left w:val="single" w:color="auto" w:sz="4" w:space="0"/>
              <w:bottom w:val="single" w:color="auto" w:sz="4" w:space="0"/>
              <w:right w:val="single" w:color="auto" w:sz="4" w:space="0"/>
            </w:tcBorders>
            <w:vAlign w:val="center"/>
          </w:tcPr>
          <w:p w14:paraId="7FEAA7FC">
            <w:pPr>
              <w:jc w:val="center"/>
              <w:rPr>
                <w:rFonts w:ascii="宋体" w:hAnsi="宋体" w:eastAsia="宋体" w:cs="Times New Roman"/>
                <w:color w:val="auto"/>
                <w:kern w:val="0"/>
                <w:szCs w:val="21"/>
                <w:highlight w:val="none"/>
              </w:rPr>
            </w:pPr>
            <w:r>
              <w:rPr>
                <w:rFonts w:hint="eastAsia" w:ascii="宋体" w:hAnsi="宋体" w:eastAsia="宋体" w:cs="宋体"/>
                <w:szCs w:val="21"/>
                <w:highlight w:val="none"/>
              </w:rPr>
              <w:t>签约日期</w:t>
            </w:r>
          </w:p>
        </w:tc>
        <w:tc>
          <w:tcPr>
            <w:tcW w:w="1067" w:type="dxa"/>
            <w:tcBorders>
              <w:top w:val="single" w:color="auto" w:sz="4" w:space="0"/>
              <w:left w:val="single" w:color="auto" w:sz="4" w:space="0"/>
              <w:bottom w:val="single" w:color="auto" w:sz="4" w:space="0"/>
              <w:right w:val="single" w:color="auto" w:sz="4" w:space="0"/>
            </w:tcBorders>
            <w:vAlign w:val="center"/>
          </w:tcPr>
          <w:p w14:paraId="3089440C">
            <w:pPr>
              <w:jc w:val="center"/>
              <w:rPr>
                <w:rFonts w:ascii="宋体" w:hAnsi="宋体" w:eastAsia="宋体" w:cs="Times New Roman"/>
                <w:color w:val="auto"/>
                <w:kern w:val="0"/>
                <w:szCs w:val="21"/>
                <w:highlight w:val="none"/>
              </w:rPr>
            </w:pPr>
            <w:r>
              <w:rPr>
                <w:rFonts w:hint="eastAsia" w:ascii="宋体" w:hAnsi="宋体" w:eastAsia="宋体" w:cs="宋体"/>
                <w:szCs w:val="21"/>
                <w:highlight w:val="none"/>
              </w:rPr>
              <w:t>业主联系人及电话</w:t>
            </w:r>
          </w:p>
        </w:tc>
        <w:tc>
          <w:tcPr>
            <w:tcW w:w="708" w:type="dxa"/>
            <w:tcBorders>
              <w:top w:val="single" w:color="auto" w:sz="4" w:space="0"/>
              <w:left w:val="single" w:color="auto" w:sz="4" w:space="0"/>
              <w:bottom w:val="single" w:color="auto" w:sz="4" w:space="0"/>
              <w:right w:val="single" w:color="auto" w:sz="4" w:space="0"/>
            </w:tcBorders>
            <w:vAlign w:val="center"/>
          </w:tcPr>
          <w:p w14:paraId="4A214456">
            <w:pPr>
              <w:jc w:val="center"/>
              <w:rPr>
                <w:rFonts w:ascii="宋体" w:hAnsi="宋体" w:eastAsia="宋体" w:cs="Times New Roman"/>
                <w:color w:val="auto"/>
                <w:kern w:val="0"/>
                <w:szCs w:val="21"/>
                <w:highlight w:val="none"/>
              </w:rPr>
            </w:pPr>
            <w:r>
              <w:rPr>
                <w:rFonts w:hint="eastAsia" w:ascii="宋体" w:hAnsi="宋体" w:eastAsia="宋体" w:cs="宋体"/>
                <w:szCs w:val="21"/>
                <w:highlight w:val="none"/>
              </w:rPr>
              <w:t>备注</w:t>
            </w:r>
          </w:p>
        </w:tc>
      </w:tr>
      <w:tr w14:paraId="5DD25C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C66F36E">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1171" w:type="dxa"/>
            <w:tcBorders>
              <w:top w:val="single" w:color="auto" w:sz="4" w:space="0"/>
              <w:left w:val="single" w:color="auto" w:sz="4" w:space="0"/>
              <w:bottom w:val="single" w:color="auto" w:sz="4" w:space="0"/>
              <w:right w:val="single" w:color="auto" w:sz="4" w:space="0"/>
            </w:tcBorders>
            <w:vAlign w:val="center"/>
          </w:tcPr>
          <w:p w14:paraId="03F5B80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788" w:type="dxa"/>
            <w:tcBorders>
              <w:top w:val="single" w:color="auto" w:sz="4" w:space="0"/>
              <w:left w:val="single" w:color="auto" w:sz="4" w:space="0"/>
              <w:bottom w:val="single" w:color="auto" w:sz="4" w:space="0"/>
              <w:right w:val="single" w:color="auto" w:sz="4" w:space="0"/>
            </w:tcBorders>
            <w:vAlign w:val="center"/>
          </w:tcPr>
          <w:p w14:paraId="039FF50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125" w:type="dxa"/>
            <w:tcBorders>
              <w:top w:val="single" w:color="auto" w:sz="4" w:space="0"/>
              <w:left w:val="single" w:color="auto" w:sz="4" w:space="0"/>
              <w:bottom w:val="single" w:color="auto" w:sz="4" w:space="0"/>
              <w:right w:val="single" w:color="auto" w:sz="4" w:space="0"/>
            </w:tcBorders>
          </w:tcPr>
          <w:p w14:paraId="136E355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111" w:type="dxa"/>
            <w:tcBorders>
              <w:top w:val="single" w:color="auto" w:sz="4" w:space="0"/>
              <w:left w:val="single" w:color="auto" w:sz="4" w:space="0"/>
              <w:bottom w:val="single" w:color="auto" w:sz="4" w:space="0"/>
              <w:right w:val="single" w:color="auto" w:sz="4" w:space="0"/>
            </w:tcBorders>
          </w:tcPr>
          <w:p w14:paraId="42E6D26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125" w:type="dxa"/>
            <w:tcBorders>
              <w:top w:val="single" w:color="auto" w:sz="4" w:space="0"/>
              <w:left w:val="single" w:color="auto" w:sz="4" w:space="0"/>
              <w:bottom w:val="single" w:color="auto" w:sz="4" w:space="0"/>
              <w:right w:val="single" w:color="auto" w:sz="4" w:space="0"/>
            </w:tcBorders>
          </w:tcPr>
          <w:p w14:paraId="21A88A6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43E1BE9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14:paraId="4C9AE42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5A59FC02">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1E35EE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6035A63">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1171" w:type="dxa"/>
            <w:tcBorders>
              <w:top w:val="single" w:color="auto" w:sz="4" w:space="0"/>
              <w:left w:val="single" w:color="auto" w:sz="4" w:space="0"/>
              <w:bottom w:val="single" w:color="auto" w:sz="4" w:space="0"/>
              <w:right w:val="single" w:color="auto" w:sz="4" w:space="0"/>
            </w:tcBorders>
            <w:vAlign w:val="center"/>
          </w:tcPr>
          <w:p w14:paraId="518B715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788" w:type="dxa"/>
            <w:tcBorders>
              <w:top w:val="single" w:color="auto" w:sz="4" w:space="0"/>
              <w:left w:val="single" w:color="auto" w:sz="4" w:space="0"/>
              <w:bottom w:val="single" w:color="auto" w:sz="4" w:space="0"/>
              <w:right w:val="single" w:color="auto" w:sz="4" w:space="0"/>
            </w:tcBorders>
            <w:vAlign w:val="center"/>
          </w:tcPr>
          <w:p w14:paraId="40AB516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125" w:type="dxa"/>
            <w:tcBorders>
              <w:top w:val="single" w:color="auto" w:sz="4" w:space="0"/>
              <w:left w:val="single" w:color="auto" w:sz="4" w:space="0"/>
              <w:bottom w:val="single" w:color="auto" w:sz="4" w:space="0"/>
              <w:right w:val="single" w:color="auto" w:sz="4" w:space="0"/>
            </w:tcBorders>
          </w:tcPr>
          <w:p w14:paraId="3E499AD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111" w:type="dxa"/>
            <w:tcBorders>
              <w:top w:val="single" w:color="auto" w:sz="4" w:space="0"/>
              <w:left w:val="single" w:color="auto" w:sz="4" w:space="0"/>
              <w:bottom w:val="single" w:color="auto" w:sz="4" w:space="0"/>
              <w:right w:val="single" w:color="auto" w:sz="4" w:space="0"/>
            </w:tcBorders>
          </w:tcPr>
          <w:p w14:paraId="38F9717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125" w:type="dxa"/>
            <w:tcBorders>
              <w:top w:val="single" w:color="auto" w:sz="4" w:space="0"/>
              <w:left w:val="single" w:color="auto" w:sz="4" w:space="0"/>
              <w:bottom w:val="single" w:color="auto" w:sz="4" w:space="0"/>
              <w:right w:val="single" w:color="auto" w:sz="4" w:space="0"/>
            </w:tcBorders>
          </w:tcPr>
          <w:p w14:paraId="24241B0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6D6ADA7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14:paraId="12874E5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561F02AD">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6D649A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368889A">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1171" w:type="dxa"/>
            <w:tcBorders>
              <w:top w:val="single" w:color="auto" w:sz="4" w:space="0"/>
              <w:left w:val="single" w:color="auto" w:sz="4" w:space="0"/>
              <w:bottom w:val="single" w:color="auto" w:sz="4" w:space="0"/>
              <w:right w:val="single" w:color="auto" w:sz="4" w:space="0"/>
            </w:tcBorders>
            <w:vAlign w:val="center"/>
          </w:tcPr>
          <w:p w14:paraId="705320B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788" w:type="dxa"/>
            <w:tcBorders>
              <w:top w:val="single" w:color="auto" w:sz="4" w:space="0"/>
              <w:left w:val="single" w:color="auto" w:sz="4" w:space="0"/>
              <w:bottom w:val="single" w:color="auto" w:sz="4" w:space="0"/>
              <w:right w:val="single" w:color="auto" w:sz="4" w:space="0"/>
            </w:tcBorders>
            <w:vAlign w:val="center"/>
          </w:tcPr>
          <w:p w14:paraId="4459E2D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125" w:type="dxa"/>
            <w:tcBorders>
              <w:top w:val="single" w:color="auto" w:sz="4" w:space="0"/>
              <w:left w:val="single" w:color="auto" w:sz="4" w:space="0"/>
              <w:bottom w:val="single" w:color="auto" w:sz="4" w:space="0"/>
              <w:right w:val="single" w:color="auto" w:sz="4" w:space="0"/>
            </w:tcBorders>
          </w:tcPr>
          <w:p w14:paraId="0129D81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111" w:type="dxa"/>
            <w:tcBorders>
              <w:top w:val="single" w:color="auto" w:sz="4" w:space="0"/>
              <w:left w:val="single" w:color="auto" w:sz="4" w:space="0"/>
              <w:bottom w:val="single" w:color="auto" w:sz="4" w:space="0"/>
              <w:right w:val="single" w:color="auto" w:sz="4" w:space="0"/>
            </w:tcBorders>
          </w:tcPr>
          <w:p w14:paraId="1A328DE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125" w:type="dxa"/>
            <w:tcBorders>
              <w:top w:val="single" w:color="auto" w:sz="4" w:space="0"/>
              <w:left w:val="single" w:color="auto" w:sz="4" w:space="0"/>
              <w:bottom w:val="single" w:color="auto" w:sz="4" w:space="0"/>
              <w:right w:val="single" w:color="auto" w:sz="4" w:space="0"/>
            </w:tcBorders>
          </w:tcPr>
          <w:p w14:paraId="620A0E9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60AC154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14:paraId="6A8C58B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4658105B">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7A6698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9F4F6D8">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1171" w:type="dxa"/>
            <w:tcBorders>
              <w:top w:val="single" w:color="auto" w:sz="4" w:space="0"/>
              <w:left w:val="single" w:color="auto" w:sz="4" w:space="0"/>
              <w:bottom w:val="single" w:color="auto" w:sz="4" w:space="0"/>
              <w:right w:val="single" w:color="auto" w:sz="4" w:space="0"/>
            </w:tcBorders>
            <w:vAlign w:val="center"/>
          </w:tcPr>
          <w:p w14:paraId="6F7D558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788" w:type="dxa"/>
            <w:tcBorders>
              <w:top w:val="single" w:color="auto" w:sz="4" w:space="0"/>
              <w:left w:val="single" w:color="auto" w:sz="4" w:space="0"/>
              <w:bottom w:val="single" w:color="auto" w:sz="4" w:space="0"/>
              <w:right w:val="single" w:color="auto" w:sz="4" w:space="0"/>
            </w:tcBorders>
            <w:vAlign w:val="center"/>
          </w:tcPr>
          <w:p w14:paraId="54510ED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125" w:type="dxa"/>
            <w:tcBorders>
              <w:top w:val="single" w:color="auto" w:sz="4" w:space="0"/>
              <w:left w:val="single" w:color="auto" w:sz="4" w:space="0"/>
              <w:bottom w:val="single" w:color="auto" w:sz="4" w:space="0"/>
              <w:right w:val="single" w:color="auto" w:sz="4" w:space="0"/>
            </w:tcBorders>
          </w:tcPr>
          <w:p w14:paraId="256A9A5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111" w:type="dxa"/>
            <w:tcBorders>
              <w:top w:val="single" w:color="auto" w:sz="4" w:space="0"/>
              <w:left w:val="single" w:color="auto" w:sz="4" w:space="0"/>
              <w:bottom w:val="single" w:color="auto" w:sz="4" w:space="0"/>
              <w:right w:val="single" w:color="auto" w:sz="4" w:space="0"/>
            </w:tcBorders>
          </w:tcPr>
          <w:p w14:paraId="575456E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125" w:type="dxa"/>
            <w:tcBorders>
              <w:top w:val="single" w:color="auto" w:sz="4" w:space="0"/>
              <w:left w:val="single" w:color="auto" w:sz="4" w:space="0"/>
              <w:bottom w:val="single" w:color="auto" w:sz="4" w:space="0"/>
              <w:right w:val="single" w:color="auto" w:sz="4" w:space="0"/>
            </w:tcBorders>
          </w:tcPr>
          <w:p w14:paraId="0C3C2BD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01AAB45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14:paraId="704F752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0E48FA80">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2EAD00E1">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4D5E2B20">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506B1B99">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hint="eastAsia" w:ascii="宋体" w:hAnsi="宋体" w:eastAsia="宋体" w:cs="宋体"/>
          <w:color w:val="auto"/>
          <w:szCs w:val="24"/>
          <w:highlight w:val="none"/>
          <w:lang w:val="zh-CN"/>
        </w:rPr>
        <w:t>作为投标人评分要求的业绩放置在此处，业绩按单项合同金额从高到低的方式排列；</w:t>
      </w:r>
      <w:r>
        <w:rPr>
          <w:rFonts w:hint="eastAsia" w:ascii="宋体" w:hAnsi="宋体" w:eastAsia="宋体" w:cs="宋体"/>
          <w:b/>
          <w:bCs/>
          <w:color w:val="auto"/>
          <w:szCs w:val="24"/>
          <w:highlight w:val="none"/>
          <w:lang w:val="zh-CN"/>
        </w:rPr>
        <w:t>同一个单项合同的业绩可以同时在资格业绩和评分业绩重复放置</w:t>
      </w:r>
      <w:r>
        <w:rPr>
          <w:rFonts w:hint="eastAsia" w:ascii="宋体" w:hAnsi="宋体" w:eastAsia="宋体" w:cs="Times New Roman"/>
          <w:b/>
          <w:bCs/>
          <w:color w:val="auto"/>
          <w:szCs w:val="24"/>
          <w:highlight w:val="none"/>
          <w:lang w:eastAsia="zh-CN"/>
        </w:rPr>
        <w:t>；</w:t>
      </w:r>
    </w:p>
    <w:p w14:paraId="554CB088">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）业绩须同时提供</w:t>
      </w:r>
      <w:r>
        <w:rPr>
          <w:rFonts w:hint="eastAsia" w:ascii="宋体" w:hAnsi="宋体" w:eastAsia="宋体" w:cs="Times New Roman"/>
          <w:color w:val="auto"/>
          <w:szCs w:val="24"/>
          <w:highlight w:val="none"/>
          <w:lang w:val="en-US" w:eastAsia="zh-CN"/>
        </w:rPr>
        <w:t>①</w:t>
      </w:r>
      <w:r>
        <w:rPr>
          <w:rFonts w:hint="eastAsia" w:ascii="宋体" w:hAnsi="宋体" w:eastAsia="宋体" w:cs="Times New Roman"/>
          <w:color w:val="auto"/>
          <w:szCs w:val="24"/>
          <w:highlight w:val="none"/>
          <w:lang w:val="zh-CN"/>
        </w:rPr>
        <w:t>投标品牌电磁水表</w:t>
      </w:r>
      <w:r>
        <w:rPr>
          <w:rFonts w:hint="eastAsia" w:ascii="宋体" w:hAnsi="宋体" w:eastAsia="宋体" w:cs="Times New Roman"/>
          <w:color w:val="auto"/>
          <w:szCs w:val="24"/>
          <w:highlight w:val="none"/>
          <w:lang w:val="en-US" w:eastAsia="zh-CN"/>
        </w:rPr>
        <w:t>有效</w:t>
      </w:r>
      <w:r>
        <w:rPr>
          <w:rFonts w:hint="eastAsia" w:ascii="宋体" w:hAnsi="宋体" w:eastAsia="宋体" w:cs="Times New Roman"/>
          <w:color w:val="auto"/>
          <w:szCs w:val="24"/>
          <w:highlight w:val="none"/>
          <w:lang w:val="zh-CN"/>
        </w:rPr>
        <w:t>销售合同复印件（合同卖方可为投标品牌电磁水表的制造商，也可为投标品牌电磁水表的代理商/经销商），</w:t>
      </w:r>
      <w:r>
        <w:rPr>
          <w:rFonts w:hint="eastAsia" w:ascii="宋体" w:hAnsi="宋体" w:eastAsia="宋体" w:cs="Times New Roman"/>
          <w:color w:val="auto"/>
          <w:szCs w:val="24"/>
          <w:highlight w:val="none"/>
          <w:lang w:val="en-US" w:eastAsia="zh-CN"/>
        </w:rPr>
        <w:t>②</w:t>
      </w:r>
      <w:r>
        <w:rPr>
          <w:rFonts w:hint="eastAsia" w:ascii="宋体" w:hAnsi="宋体" w:eastAsia="宋体" w:cs="Times New Roman"/>
          <w:color w:val="auto"/>
          <w:szCs w:val="24"/>
          <w:highlight w:val="none"/>
          <w:lang w:val="zh-CN"/>
        </w:rPr>
        <w:t>已供货产品任意一张发票复印件（发票开具日期须在本项目招标公告发布之日前），否则不得分；</w:t>
      </w:r>
    </w:p>
    <w:p w14:paraId="1D885A89">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）若合同无法反映评分条件（合同签订日期为202</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lang w:val="zh-CN"/>
        </w:rPr>
        <w:t>年1月1日或以后，合同标的必须包含投标品牌电磁水表、合同金额）的，还需提供产品购买方出具的书面补充说明文件复印件作为辅助证明（需显示购买方公章），否则不得分；</w:t>
      </w:r>
    </w:p>
    <w:p w14:paraId="4B8E21EE">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lang w:val="zh-CN"/>
        </w:rPr>
        <w:t>）若业绩为框架式协议或资格入围无明确金额的合同，必须同时提供合同期限内已供货发票金额统计表和发票复印件。</w:t>
      </w:r>
    </w:p>
    <w:p w14:paraId="6BBA559E">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5</w:t>
      </w:r>
      <w:r>
        <w:rPr>
          <w:rFonts w:hint="eastAsia" w:ascii="宋体" w:hAnsi="宋体" w:eastAsia="宋体" w:cs="Times New Roman"/>
          <w:color w:val="auto"/>
          <w:szCs w:val="24"/>
          <w:highlight w:val="none"/>
          <w:lang w:val="zh-CN"/>
        </w:rPr>
        <w:t>）未按上述要求提供证明材料的业绩，或所附材料无法证明填报项目符合本项评分要求的业绩，在评标时将不予考虑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383F63F7">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p>
    <w:p w14:paraId="2BE95C65">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2A78551D">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7BE31E4B">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4F59812C">
      <w:pPr>
        <w:pageBreakBefore/>
        <w:widowControl/>
        <w:spacing w:line="360" w:lineRule="auto"/>
        <w:jc w:val="center"/>
        <w:rPr>
          <w:rFonts w:ascii="宋体" w:hAnsi="宋体" w:eastAsia="宋体"/>
          <w:b/>
          <w:color w:val="auto"/>
          <w:sz w:val="32"/>
          <w:szCs w:val="32"/>
          <w:highlight w:val="none"/>
        </w:rPr>
      </w:pPr>
      <w:r>
        <w:rPr>
          <w:rFonts w:hint="eastAsia" w:ascii="宋体" w:hAnsi="宋体" w:eastAsia="宋体"/>
          <w:b/>
          <w:bCs/>
          <w:color w:val="auto"/>
          <w:sz w:val="32"/>
          <w:szCs w:val="32"/>
          <w:highlight w:val="none"/>
        </w:rPr>
        <w:t>附表：已供货产品发票金额统计表</w:t>
      </w:r>
    </w:p>
    <w:tbl>
      <w:tblPr>
        <w:tblStyle w:val="39"/>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586"/>
        <w:gridCol w:w="1274"/>
        <w:gridCol w:w="1558"/>
        <w:gridCol w:w="1241"/>
        <w:gridCol w:w="9"/>
      </w:tblGrid>
      <w:tr w14:paraId="7A89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tcBorders>
              <w:top w:val="single" w:color="auto" w:sz="4" w:space="0"/>
              <w:left w:val="single" w:color="auto" w:sz="4" w:space="0"/>
              <w:bottom w:val="single" w:color="auto" w:sz="4" w:space="0"/>
              <w:right w:val="single" w:color="auto" w:sz="4" w:space="0"/>
            </w:tcBorders>
            <w:vAlign w:val="center"/>
          </w:tcPr>
          <w:p w14:paraId="0826D8AC">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668" w:type="dxa"/>
            <w:gridSpan w:val="5"/>
            <w:tcBorders>
              <w:top w:val="single" w:color="auto" w:sz="4" w:space="0"/>
              <w:left w:val="single" w:color="auto" w:sz="4" w:space="0"/>
              <w:bottom w:val="single" w:color="auto" w:sz="4" w:space="0"/>
              <w:right w:val="single" w:color="auto" w:sz="4" w:space="0"/>
            </w:tcBorders>
            <w:vAlign w:val="center"/>
          </w:tcPr>
          <w:p w14:paraId="62DB3888">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7010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tcBorders>
              <w:top w:val="single" w:color="auto" w:sz="4" w:space="0"/>
              <w:left w:val="single" w:color="auto" w:sz="4" w:space="0"/>
              <w:bottom w:val="single" w:color="auto" w:sz="4" w:space="0"/>
              <w:right w:val="single" w:color="auto" w:sz="4" w:space="0"/>
            </w:tcBorders>
            <w:vAlign w:val="center"/>
          </w:tcPr>
          <w:p w14:paraId="04C256A3">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合同约定的供货期</w:t>
            </w:r>
          </w:p>
        </w:tc>
        <w:tc>
          <w:tcPr>
            <w:tcW w:w="5668" w:type="dxa"/>
            <w:gridSpan w:val="5"/>
            <w:tcBorders>
              <w:top w:val="single" w:color="auto" w:sz="4" w:space="0"/>
              <w:left w:val="single" w:color="auto" w:sz="4" w:space="0"/>
              <w:bottom w:val="single" w:color="auto" w:sz="4" w:space="0"/>
              <w:right w:val="single" w:color="auto" w:sz="4" w:space="0"/>
            </w:tcBorders>
            <w:vAlign w:val="center"/>
          </w:tcPr>
          <w:p w14:paraId="144BC3A4">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132E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tcBorders>
              <w:top w:val="single" w:color="auto" w:sz="4" w:space="0"/>
              <w:left w:val="single" w:color="auto" w:sz="4" w:space="0"/>
              <w:bottom w:val="single" w:color="auto" w:sz="4" w:space="0"/>
              <w:right w:val="single" w:color="auto" w:sz="4" w:space="0"/>
            </w:tcBorders>
            <w:vAlign w:val="center"/>
          </w:tcPr>
          <w:p w14:paraId="208A8882">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发票抬头（合同买方）</w:t>
            </w:r>
          </w:p>
        </w:tc>
        <w:tc>
          <w:tcPr>
            <w:tcW w:w="5668" w:type="dxa"/>
            <w:gridSpan w:val="5"/>
            <w:tcBorders>
              <w:top w:val="single" w:color="auto" w:sz="4" w:space="0"/>
              <w:left w:val="single" w:color="auto" w:sz="4" w:space="0"/>
              <w:bottom w:val="single" w:color="auto" w:sz="4" w:space="0"/>
              <w:right w:val="single" w:color="auto" w:sz="4" w:space="0"/>
            </w:tcBorders>
            <w:vAlign w:val="center"/>
          </w:tcPr>
          <w:p w14:paraId="6415F10E">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138E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14:paraId="3D647D18">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202" w:type="dxa"/>
            <w:tcBorders>
              <w:top w:val="single" w:color="auto" w:sz="4" w:space="0"/>
              <w:left w:val="single" w:color="auto" w:sz="4" w:space="0"/>
              <w:bottom w:val="single" w:color="auto" w:sz="4" w:space="0"/>
              <w:right w:val="single" w:color="auto" w:sz="4" w:space="0"/>
            </w:tcBorders>
            <w:vAlign w:val="center"/>
          </w:tcPr>
          <w:p w14:paraId="0C11B2FA">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发票名目</w:t>
            </w:r>
          </w:p>
        </w:tc>
        <w:tc>
          <w:tcPr>
            <w:tcW w:w="1586" w:type="dxa"/>
            <w:tcBorders>
              <w:top w:val="single" w:color="auto" w:sz="4" w:space="0"/>
              <w:left w:val="single" w:color="auto" w:sz="4" w:space="0"/>
              <w:bottom w:val="single" w:color="auto" w:sz="4" w:space="0"/>
              <w:right w:val="single" w:color="auto" w:sz="4" w:space="0"/>
            </w:tcBorders>
            <w:vAlign w:val="center"/>
          </w:tcPr>
          <w:p w14:paraId="18ABF675">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发票金额（单位：万元）</w:t>
            </w:r>
          </w:p>
        </w:tc>
        <w:tc>
          <w:tcPr>
            <w:tcW w:w="1274" w:type="dxa"/>
            <w:tcBorders>
              <w:top w:val="single" w:color="auto" w:sz="4" w:space="0"/>
              <w:left w:val="single" w:color="auto" w:sz="4" w:space="0"/>
              <w:bottom w:val="single" w:color="auto" w:sz="4" w:space="0"/>
              <w:right w:val="single" w:color="auto" w:sz="4" w:space="0"/>
            </w:tcBorders>
            <w:vAlign w:val="center"/>
          </w:tcPr>
          <w:p w14:paraId="4635D423">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发票号码</w:t>
            </w:r>
          </w:p>
        </w:tc>
        <w:tc>
          <w:tcPr>
            <w:tcW w:w="1558" w:type="dxa"/>
            <w:tcBorders>
              <w:top w:val="single" w:color="auto" w:sz="4" w:space="0"/>
              <w:left w:val="single" w:color="auto" w:sz="4" w:space="0"/>
              <w:bottom w:val="single" w:color="auto" w:sz="4" w:space="0"/>
              <w:right w:val="single" w:color="auto" w:sz="4" w:space="0"/>
            </w:tcBorders>
            <w:vAlign w:val="center"/>
          </w:tcPr>
          <w:p w14:paraId="6D03540B">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发票所属时期</w:t>
            </w:r>
          </w:p>
        </w:tc>
        <w:tc>
          <w:tcPr>
            <w:tcW w:w="1241" w:type="dxa"/>
            <w:tcBorders>
              <w:top w:val="single" w:color="auto" w:sz="4" w:space="0"/>
              <w:left w:val="single" w:color="auto" w:sz="4" w:space="0"/>
              <w:bottom w:val="single" w:color="auto" w:sz="4" w:space="0"/>
              <w:right w:val="single" w:color="auto" w:sz="4" w:space="0"/>
            </w:tcBorders>
            <w:vAlign w:val="center"/>
          </w:tcPr>
          <w:p w14:paraId="7BF5D89D">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5198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14:paraId="244CA264">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202" w:type="dxa"/>
            <w:tcBorders>
              <w:top w:val="single" w:color="auto" w:sz="4" w:space="0"/>
              <w:left w:val="single" w:color="auto" w:sz="4" w:space="0"/>
              <w:bottom w:val="single" w:color="auto" w:sz="4" w:space="0"/>
              <w:right w:val="single" w:color="auto" w:sz="4" w:space="0"/>
            </w:tcBorders>
            <w:vAlign w:val="center"/>
          </w:tcPr>
          <w:p w14:paraId="7B0B2814">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14:paraId="135EE822">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364F8568">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293405C4">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321B7AB4">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7FE4C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14:paraId="69BCAFA9">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202" w:type="dxa"/>
            <w:tcBorders>
              <w:top w:val="single" w:color="auto" w:sz="4" w:space="0"/>
              <w:left w:val="single" w:color="auto" w:sz="4" w:space="0"/>
              <w:bottom w:val="single" w:color="auto" w:sz="4" w:space="0"/>
              <w:right w:val="single" w:color="auto" w:sz="4" w:space="0"/>
            </w:tcBorders>
            <w:vAlign w:val="center"/>
          </w:tcPr>
          <w:p w14:paraId="5961FF0D">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14:paraId="7AE36BE7">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2DC08371">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21096E24">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6EC1FADB">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5D7B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14:paraId="3FA4C05D">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202" w:type="dxa"/>
            <w:tcBorders>
              <w:top w:val="single" w:color="auto" w:sz="4" w:space="0"/>
              <w:left w:val="single" w:color="auto" w:sz="4" w:space="0"/>
              <w:bottom w:val="single" w:color="auto" w:sz="4" w:space="0"/>
              <w:right w:val="single" w:color="auto" w:sz="4" w:space="0"/>
            </w:tcBorders>
            <w:vAlign w:val="center"/>
          </w:tcPr>
          <w:p w14:paraId="443ED8EF">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14:paraId="1AF71DC8">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5D7EB274">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5BFFCE89">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6C3678CD">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75CA4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14:paraId="36D16D06">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202" w:type="dxa"/>
            <w:tcBorders>
              <w:top w:val="single" w:color="auto" w:sz="4" w:space="0"/>
              <w:left w:val="single" w:color="auto" w:sz="4" w:space="0"/>
              <w:bottom w:val="single" w:color="auto" w:sz="4" w:space="0"/>
              <w:right w:val="single" w:color="auto" w:sz="4" w:space="0"/>
            </w:tcBorders>
            <w:vAlign w:val="center"/>
          </w:tcPr>
          <w:p w14:paraId="78E36D25">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14:paraId="7F5C2398">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7F94ADD6">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5ACB9F42">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0D4ABB44">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50487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4079" w:type="dxa"/>
            <w:gridSpan w:val="2"/>
            <w:tcBorders>
              <w:top w:val="single" w:color="auto" w:sz="4" w:space="0"/>
              <w:left w:val="single" w:color="auto" w:sz="4" w:space="0"/>
              <w:bottom w:val="single" w:color="auto" w:sz="4" w:space="0"/>
              <w:right w:val="single" w:color="auto" w:sz="4" w:space="0"/>
            </w:tcBorders>
            <w:vAlign w:val="center"/>
          </w:tcPr>
          <w:p w14:paraId="2523CE37">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发票金额合计（单位：万元）</w:t>
            </w:r>
          </w:p>
        </w:tc>
        <w:tc>
          <w:tcPr>
            <w:tcW w:w="1586" w:type="dxa"/>
            <w:tcBorders>
              <w:top w:val="single" w:color="auto" w:sz="4" w:space="0"/>
              <w:left w:val="single" w:color="auto" w:sz="4" w:space="0"/>
              <w:bottom w:val="single" w:color="auto" w:sz="4" w:space="0"/>
              <w:right w:val="single" w:color="auto" w:sz="4" w:space="0"/>
            </w:tcBorders>
            <w:vAlign w:val="center"/>
          </w:tcPr>
          <w:p w14:paraId="72BA9348">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7B22D67F">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4D89B612">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783A7E9B">
            <w:pPr>
              <w:pStyle w:val="20"/>
              <w:snapToGrid w:val="0"/>
              <w:spacing w:line="360" w:lineRule="auto"/>
              <w:ind w:left="0" w:leftChars="0"/>
              <w:jc w:val="center"/>
              <w:rPr>
                <w:rFonts w:hint="eastAsia" w:ascii="宋体" w:hAnsi="宋体" w:eastAsia="宋体" w:cs="宋体"/>
                <w:color w:val="auto"/>
                <w:sz w:val="21"/>
                <w:szCs w:val="21"/>
                <w:highlight w:val="none"/>
              </w:rPr>
            </w:pPr>
          </w:p>
        </w:tc>
      </w:tr>
    </w:tbl>
    <w:p w14:paraId="0C3DD7C4">
      <w:pPr>
        <w:snapToGrid w:val="0"/>
        <w:spacing w:line="360" w:lineRule="auto"/>
        <w:ind w:left="491" w:leftChars="-57" w:hanging="611" w:hangingChars="291"/>
        <w:rPr>
          <w:rFonts w:hint="eastAsia" w:ascii="宋体" w:hAnsi="宋体" w:eastAsia="宋体" w:cs="宋体"/>
          <w:color w:val="auto"/>
          <w:sz w:val="21"/>
          <w:szCs w:val="21"/>
          <w:highlight w:val="none"/>
        </w:rPr>
      </w:pPr>
    </w:p>
    <w:p w14:paraId="0EF4E263">
      <w:pPr>
        <w:snapToGrid w:val="0"/>
        <w:spacing w:line="360" w:lineRule="auto"/>
        <w:ind w:left="491" w:leftChars="-57" w:hanging="611" w:hangingChars="29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3E72E362">
      <w:pPr>
        <w:snapToGrid w:val="0"/>
        <w:spacing w:line="360" w:lineRule="auto"/>
        <w:ind w:left="628" w:leftChars="59" w:hanging="504" w:hangingChars="2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（1）投标人提供框架式协议或资格入围无明确金额的合同时，须同时提供本统计表及供货发票复印件，本统计表及供货发票复印件应后附于合同复印件；</w:t>
      </w:r>
    </w:p>
    <w:p w14:paraId="22DD277D">
      <w:pPr>
        <w:snapToGrid w:val="0"/>
        <w:spacing w:line="360" w:lineRule="auto"/>
        <w:ind w:left="628" w:leftChars="59" w:hanging="504" w:hangingChars="2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（2）发票抬头应为合同买方，收款人应为投标人，且发票名目、所属时期应与合同约定内容一致，否则不计分。</w:t>
      </w:r>
    </w:p>
    <w:p w14:paraId="5901E4A3">
      <w:pPr>
        <w:autoSpaceDE/>
        <w:autoSpaceDN/>
        <w:adjustRightInd/>
        <w:snapToGrid w:val="0"/>
        <w:spacing w:line="360" w:lineRule="auto"/>
        <w:ind w:left="548" w:leftChars="59" w:hanging="424" w:hangingChars="202"/>
        <w:rPr>
          <w:rFonts w:hint="eastAsia" w:ascii="宋体" w:hAnsi="宋体" w:eastAsia="宋体" w:cs="宋体"/>
          <w:b w:val="0"/>
          <w:bCs w:val="0"/>
          <w:color w:val="auto"/>
          <w:sz w:val="21"/>
          <w:szCs w:val="21"/>
          <w:highlight w:val="none"/>
          <w:lang w:val="zh-CN"/>
        </w:rPr>
      </w:pPr>
      <w:r>
        <w:rPr>
          <w:rFonts w:hint="eastAsia" w:ascii="宋体" w:hAnsi="宋体" w:eastAsia="宋体" w:cs="宋体"/>
          <w:color w:val="auto"/>
          <w:sz w:val="21"/>
          <w:szCs w:val="21"/>
          <w:highlight w:val="none"/>
        </w:rPr>
        <w:t>（3）发票合计金额视为投标人所提供该项供货业绩的供货金额，并按此金额进行评审。</w:t>
      </w:r>
    </w:p>
    <w:p w14:paraId="35F01783">
      <w:pPr>
        <w:autoSpaceDE w:val="0"/>
        <w:autoSpaceDN w:val="0"/>
        <w:adjustRightInd w:val="0"/>
        <w:spacing w:line="360" w:lineRule="auto"/>
        <w:ind w:firstLine="602"/>
        <w:rPr>
          <w:rFonts w:ascii="宋体" w:hAnsi="宋体" w:eastAsia="宋体" w:cs="Times New Roman"/>
          <w:b/>
          <w:bCs/>
          <w:color w:val="auto"/>
          <w:sz w:val="30"/>
          <w:szCs w:val="30"/>
          <w:highlight w:val="none"/>
          <w:lang w:val="zh-CN"/>
        </w:rPr>
      </w:pPr>
    </w:p>
    <w:p w14:paraId="5CA6B980">
      <w:pPr>
        <w:pStyle w:val="2"/>
        <w:rPr>
          <w:rFonts w:ascii="宋体" w:hAnsi="宋体" w:eastAsia="宋体" w:cs="Times New Roman"/>
          <w:b/>
          <w:bCs/>
          <w:color w:val="auto"/>
          <w:sz w:val="30"/>
          <w:szCs w:val="30"/>
          <w:highlight w:val="none"/>
          <w:lang w:val="zh-CN"/>
        </w:rPr>
      </w:pPr>
    </w:p>
    <w:p w14:paraId="47E451C2">
      <w:pPr>
        <w:rPr>
          <w:rFonts w:ascii="宋体" w:hAnsi="宋体" w:eastAsia="宋体" w:cs="Times New Roman"/>
          <w:b/>
          <w:bCs/>
          <w:color w:val="auto"/>
          <w:sz w:val="30"/>
          <w:szCs w:val="30"/>
          <w:highlight w:val="none"/>
          <w:lang w:val="zh-CN"/>
        </w:rPr>
      </w:pPr>
    </w:p>
    <w:p w14:paraId="69CC6716">
      <w:pPr>
        <w:pStyle w:val="2"/>
        <w:rPr>
          <w:rFonts w:ascii="宋体" w:hAnsi="宋体" w:eastAsia="宋体" w:cs="Times New Roman"/>
          <w:b/>
          <w:bCs/>
          <w:color w:val="auto"/>
          <w:sz w:val="30"/>
          <w:szCs w:val="30"/>
          <w:highlight w:val="none"/>
          <w:lang w:val="zh-CN"/>
        </w:rPr>
      </w:pPr>
    </w:p>
    <w:p w14:paraId="605F9B5A">
      <w:pPr>
        <w:rPr>
          <w:rFonts w:ascii="宋体" w:hAnsi="宋体" w:eastAsia="宋体" w:cs="Times New Roman"/>
          <w:b/>
          <w:bCs/>
          <w:color w:val="auto"/>
          <w:sz w:val="30"/>
          <w:szCs w:val="30"/>
          <w:highlight w:val="none"/>
          <w:lang w:val="zh-CN"/>
        </w:rPr>
      </w:pPr>
    </w:p>
    <w:p w14:paraId="600F7646">
      <w:pPr>
        <w:pStyle w:val="2"/>
        <w:rPr>
          <w:rFonts w:ascii="宋体" w:hAnsi="宋体" w:eastAsia="宋体" w:cs="Times New Roman"/>
          <w:b/>
          <w:bCs/>
          <w:color w:val="auto"/>
          <w:sz w:val="30"/>
          <w:szCs w:val="30"/>
          <w:highlight w:val="none"/>
          <w:lang w:val="zh-CN"/>
        </w:rPr>
      </w:pPr>
    </w:p>
    <w:p w14:paraId="3AE2A49F">
      <w:pPr>
        <w:rPr>
          <w:rFonts w:ascii="宋体" w:hAnsi="宋体" w:eastAsia="宋体" w:cs="Times New Roman"/>
          <w:b/>
          <w:bCs/>
          <w:color w:val="auto"/>
          <w:sz w:val="30"/>
          <w:szCs w:val="30"/>
          <w:highlight w:val="none"/>
          <w:lang w:val="zh-CN"/>
        </w:rPr>
      </w:pPr>
    </w:p>
    <w:p w14:paraId="065CE22D">
      <w:pPr>
        <w:pStyle w:val="2"/>
        <w:rPr>
          <w:rFonts w:ascii="宋体" w:hAnsi="宋体" w:eastAsia="宋体" w:cs="Times New Roman"/>
          <w:b/>
          <w:bCs/>
          <w:color w:val="auto"/>
          <w:sz w:val="30"/>
          <w:szCs w:val="30"/>
          <w:highlight w:val="none"/>
          <w:lang w:val="zh-CN"/>
        </w:rPr>
      </w:pPr>
    </w:p>
    <w:p w14:paraId="0B0121BC">
      <w:pPr>
        <w:rPr>
          <w:rFonts w:ascii="宋体" w:hAnsi="宋体" w:eastAsia="宋体" w:cs="Times New Roman"/>
          <w:b/>
          <w:bCs/>
          <w:color w:val="auto"/>
          <w:sz w:val="30"/>
          <w:szCs w:val="30"/>
          <w:highlight w:val="none"/>
          <w:lang w:val="zh-CN"/>
        </w:rPr>
      </w:pPr>
    </w:p>
    <w:p w14:paraId="6E7047FB">
      <w:pPr>
        <w:pStyle w:val="2"/>
        <w:rPr>
          <w:rFonts w:ascii="宋体" w:hAnsi="宋体" w:eastAsia="宋体" w:cs="Times New Roman"/>
          <w:b/>
          <w:bCs/>
          <w:color w:val="auto"/>
          <w:sz w:val="30"/>
          <w:szCs w:val="30"/>
          <w:highlight w:val="none"/>
          <w:lang w:val="zh-CN"/>
        </w:rPr>
      </w:pPr>
    </w:p>
    <w:p w14:paraId="470A282B">
      <w:pPr>
        <w:rPr>
          <w:rFonts w:ascii="宋体" w:hAnsi="宋体" w:eastAsia="宋体" w:cs="Times New Roman"/>
          <w:b/>
          <w:bCs/>
          <w:color w:val="auto"/>
          <w:sz w:val="30"/>
          <w:szCs w:val="30"/>
          <w:highlight w:val="none"/>
          <w:lang w:val="zh-CN"/>
        </w:rPr>
      </w:pPr>
    </w:p>
    <w:p w14:paraId="08387453">
      <w:pPr>
        <w:pStyle w:val="2"/>
        <w:rPr>
          <w:rFonts w:ascii="宋体" w:hAnsi="宋体" w:eastAsia="宋体" w:cs="Times New Roman"/>
          <w:b/>
          <w:bCs/>
          <w:color w:val="auto"/>
          <w:sz w:val="30"/>
          <w:szCs w:val="30"/>
          <w:highlight w:val="none"/>
          <w:lang w:val="zh-CN"/>
        </w:rPr>
      </w:pPr>
    </w:p>
    <w:p w14:paraId="3F3D0434">
      <w:pPr>
        <w:rPr>
          <w:rFonts w:ascii="宋体" w:hAnsi="宋体" w:eastAsia="宋体" w:cs="Times New Roman"/>
          <w:b/>
          <w:bCs/>
          <w:color w:val="auto"/>
          <w:sz w:val="30"/>
          <w:szCs w:val="30"/>
          <w:highlight w:val="none"/>
          <w:lang w:val="zh-CN"/>
        </w:rPr>
      </w:pPr>
    </w:p>
    <w:p w14:paraId="3BEDAB29">
      <w:pPr>
        <w:pStyle w:val="2"/>
        <w:rPr>
          <w:rFonts w:ascii="宋体" w:hAnsi="宋体" w:eastAsia="宋体" w:cs="Times New Roman"/>
          <w:b/>
          <w:bCs/>
          <w:color w:val="auto"/>
          <w:sz w:val="30"/>
          <w:szCs w:val="30"/>
          <w:highlight w:val="none"/>
          <w:lang w:val="zh-CN"/>
        </w:rPr>
      </w:pPr>
    </w:p>
    <w:p w14:paraId="5FE5889D">
      <w:pPr>
        <w:pageBreakBefore/>
        <w:spacing w:before="120" w:after="120" w:line="360" w:lineRule="auto"/>
        <w:jc w:val="left"/>
        <w:outlineLvl w:val="2"/>
        <w:rPr>
          <w:rFonts w:hint="default" w:ascii="宋体" w:hAnsi="宋体" w:eastAsia="宋体" w:cs="宋体"/>
          <w:b/>
          <w:bCs/>
          <w:color w:val="auto"/>
          <w:kern w:val="0"/>
          <w:sz w:val="32"/>
          <w:szCs w:val="32"/>
          <w:highlight w:val="none"/>
          <w:lang w:val="en-US" w:eastAsia="zh-CN"/>
        </w:rPr>
      </w:pPr>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中标服务费承诺书格式</w:t>
      </w:r>
    </w:p>
    <w:p w14:paraId="7EDA778A">
      <w:pPr>
        <w:autoSpaceDE w:val="0"/>
        <w:autoSpaceDN w:val="0"/>
        <w:adjustRightInd w:val="0"/>
        <w:spacing w:line="360" w:lineRule="auto"/>
        <w:jc w:val="left"/>
        <w:rPr>
          <w:rFonts w:ascii="宋体" w:hAnsi="宋体" w:eastAsia="宋体" w:cs="宋体"/>
          <w:color w:val="auto"/>
          <w:szCs w:val="24"/>
          <w:highlight w:val="none"/>
        </w:rPr>
      </w:pPr>
    </w:p>
    <w:p w14:paraId="0D0122AE">
      <w:pPr>
        <w:autoSpaceDE w:val="0"/>
        <w:autoSpaceDN w:val="0"/>
        <w:adjustRightInd w:val="0"/>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中标服务费承诺书</w:t>
      </w:r>
    </w:p>
    <w:p w14:paraId="0800B183">
      <w:pPr>
        <w:spacing w:line="360" w:lineRule="auto"/>
        <w:ind w:firstLine="424" w:firstLineChars="202"/>
        <w:rPr>
          <w:rFonts w:hint="eastAsia" w:ascii="宋体" w:hAnsi="宋体" w:eastAsia="宋体" w:cs="宋体"/>
          <w:color w:val="auto"/>
          <w:szCs w:val="24"/>
          <w:highlight w:val="none"/>
        </w:rPr>
      </w:pPr>
    </w:p>
    <w:p w14:paraId="4A7DE484">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致：广西同泽工程项目管理股份有限公司 </w:t>
      </w:r>
    </w:p>
    <w:p w14:paraId="73EC613A">
      <w:pPr>
        <w:spacing w:line="360" w:lineRule="auto"/>
        <w:ind w:firstLine="424" w:firstLineChars="202"/>
        <w:rPr>
          <w:rFonts w:hint="eastAsia" w:ascii="宋体" w:hAnsi="宋体" w:eastAsia="宋体" w:cs="宋体"/>
          <w:color w:val="auto"/>
          <w:szCs w:val="24"/>
          <w:highlight w:val="none"/>
        </w:rPr>
      </w:pPr>
    </w:p>
    <w:p w14:paraId="1898A7B4">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在贵司代理的</w:t>
      </w:r>
      <w:r>
        <w:rPr>
          <w:rFonts w:hint="eastAsia" w:ascii="宋体" w:hAnsi="宋体" w:eastAsia="宋体" w:cs="宋体"/>
          <w:color w:val="auto"/>
          <w:szCs w:val="24"/>
          <w:highlight w:val="none"/>
          <w:lang w:val="zh-CN" w:eastAsia="zh-CN"/>
        </w:rPr>
        <w:t>东莞市供水计量设施更新项目（2026-2027年计量仪表)</w:t>
      </w:r>
      <w:r>
        <w:rPr>
          <w:rFonts w:hint="eastAsia" w:ascii="宋体" w:hAnsi="宋体" w:eastAsia="宋体" w:cs="宋体"/>
          <w:color w:val="auto"/>
          <w:szCs w:val="24"/>
          <w:highlight w:val="none"/>
          <w:lang w:val="zh-CN"/>
        </w:rPr>
        <w:t>－电磁水表</w:t>
      </w:r>
      <w:r>
        <w:rPr>
          <w:rFonts w:hint="eastAsia" w:ascii="宋体" w:hAnsi="宋体" w:eastAsia="宋体" w:cs="宋体"/>
          <w:color w:val="auto"/>
          <w:szCs w:val="24"/>
          <w:highlight w:val="none"/>
        </w:rPr>
        <w:t>（招标编号：</w:t>
      </w:r>
      <w:r>
        <w:rPr>
          <w:rFonts w:hint="eastAsia" w:ascii="宋体" w:hAnsi="宋体" w:eastAsia="宋体" w:cs="宋体"/>
          <w:color w:val="auto"/>
          <w:szCs w:val="24"/>
          <w:highlight w:val="none"/>
          <w:lang w:eastAsia="zh-CN"/>
        </w:rPr>
        <w:t>GXTZ-ZB-2026第（39）号</w:t>
      </w:r>
      <w:r>
        <w:rPr>
          <w:rFonts w:hint="eastAsia" w:ascii="宋体" w:hAnsi="宋体" w:eastAsia="宋体" w:cs="宋体"/>
          <w:color w:val="auto"/>
          <w:szCs w:val="24"/>
          <w:highlight w:val="none"/>
        </w:rPr>
        <w:t>）招标中，我司如获中标，保证在领取中标通知书原件之前按招标文件的规定向贵司即广西同泽工程项目管理股份有限公司指定的银行账号，一次性交纳中标服务费。</w:t>
      </w:r>
    </w:p>
    <w:p w14:paraId="2619299B">
      <w:pPr>
        <w:spacing w:line="360" w:lineRule="auto"/>
        <w:ind w:firstLine="424" w:firstLineChars="202"/>
        <w:rPr>
          <w:rFonts w:hint="eastAsia" w:ascii="宋体" w:hAnsi="宋体" w:eastAsia="宋体" w:cs="宋体"/>
          <w:color w:val="auto"/>
          <w:szCs w:val="24"/>
          <w:highlight w:val="none"/>
        </w:rPr>
      </w:pPr>
    </w:p>
    <w:p w14:paraId="72ECDF3B">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特此承诺。</w:t>
      </w:r>
    </w:p>
    <w:p w14:paraId="566071DE">
      <w:pPr>
        <w:spacing w:line="360" w:lineRule="auto"/>
        <w:ind w:firstLine="424" w:firstLineChars="202"/>
        <w:rPr>
          <w:rFonts w:hint="eastAsia" w:ascii="宋体" w:hAnsi="宋体" w:eastAsia="宋体" w:cs="宋体"/>
          <w:color w:val="auto"/>
          <w:szCs w:val="24"/>
          <w:highlight w:val="none"/>
        </w:rPr>
      </w:pPr>
    </w:p>
    <w:p w14:paraId="1A59237B">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地址：                       </w:t>
      </w:r>
    </w:p>
    <w:p w14:paraId="19C44F88">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电话：                              传真：                   </w:t>
      </w:r>
    </w:p>
    <w:p w14:paraId="507AEACF">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邮箱：                              邮编：                   </w:t>
      </w:r>
    </w:p>
    <w:p w14:paraId="010E9978">
      <w:pPr>
        <w:spacing w:line="360" w:lineRule="auto"/>
        <w:ind w:firstLine="424" w:firstLineChars="202"/>
        <w:rPr>
          <w:rFonts w:hint="eastAsia" w:ascii="宋体" w:hAnsi="宋体" w:eastAsia="宋体" w:cs="宋体"/>
          <w:color w:val="auto"/>
          <w:szCs w:val="24"/>
          <w:highlight w:val="none"/>
        </w:rPr>
      </w:pPr>
    </w:p>
    <w:p w14:paraId="054ACAD4">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投标人：（加盖投标人法人公章）</w:t>
      </w:r>
    </w:p>
    <w:p w14:paraId="6AA4CE66">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日期：   年   月   日</w:t>
      </w:r>
    </w:p>
    <w:p w14:paraId="6AE3FE23">
      <w:pPr>
        <w:rPr>
          <w:highlight w:val="none"/>
          <w:lang w:val="zh-CN"/>
        </w:rPr>
      </w:pPr>
    </w:p>
    <w:bookmarkEnd w:id="746"/>
    <w:bookmarkEnd w:id="747"/>
    <w:p w14:paraId="52C15386">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748" w:name="_Toc142508378"/>
      <w:bookmarkStart w:id="749" w:name="_Toc140596938"/>
      <w:bookmarkStart w:id="750" w:name="_Toc18175_WPSOffice_Level2"/>
      <w:bookmarkStart w:id="751" w:name="_Toc11745"/>
      <w:bookmarkStart w:id="752" w:name="_Toc9649"/>
      <w:bookmarkStart w:id="753" w:name="_Toc102860427"/>
      <w:bookmarkStart w:id="754" w:name="_Toc1977737"/>
      <w:bookmarkStart w:id="755" w:name="_Toc533708132"/>
      <w:bookmarkStart w:id="756" w:name="_Toc21283"/>
      <w:bookmarkStart w:id="757" w:name="_Toc94107220"/>
      <w:bookmarkStart w:id="758" w:name="_Toc102860083"/>
      <w:bookmarkStart w:id="759" w:name="_Toc104991885"/>
      <w:bookmarkStart w:id="760" w:name="_Toc13822"/>
      <w:bookmarkStart w:id="761" w:name="_Toc486167719"/>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、投标保证金汇入情况说明</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p w14:paraId="1BEEE9C3">
      <w:pPr>
        <w:autoSpaceDE w:val="0"/>
        <w:autoSpaceDN w:val="0"/>
        <w:adjustRightInd w:val="0"/>
        <w:spacing w:line="360" w:lineRule="auto"/>
        <w:jc w:val="left"/>
        <w:rPr>
          <w:rFonts w:ascii="宋体" w:hAnsi="宋体" w:eastAsia="宋体" w:cs="宋体"/>
          <w:color w:val="auto"/>
          <w:szCs w:val="24"/>
          <w:highlight w:val="none"/>
        </w:rPr>
      </w:pPr>
    </w:p>
    <w:p w14:paraId="6FF5440A">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762" w:name="_Toc31832_WPSOffice_Level3"/>
      <w:r>
        <w:rPr>
          <w:rFonts w:hint="eastAsia" w:ascii="宋体" w:hAnsi="宋体" w:eastAsia="宋体" w:cs="宋体"/>
          <w:b/>
          <w:bCs/>
          <w:color w:val="auto"/>
          <w:kern w:val="0"/>
          <w:sz w:val="24"/>
          <w:szCs w:val="24"/>
          <w:highlight w:val="none"/>
        </w:rPr>
        <w:t>投标保证金汇入情况说明</w:t>
      </w:r>
      <w:bookmarkEnd w:id="762"/>
    </w:p>
    <w:p w14:paraId="366AF566">
      <w:pPr>
        <w:autoSpaceDE w:val="0"/>
        <w:autoSpaceDN w:val="0"/>
        <w:adjustRightInd w:val="0"/>
        <w:spacing w:line="360" w:lineRule="auto"/>
        <w:jc w:val="center"/>
        <w:rPr>
          <w:rFonts w:ascii="宋体" w:hAnsi="宋体" w:eastAsia="宋体" w:cs="宋体"/>
          <w:b/>
          <w:bCs/>
          <w:color w:val="auto"/>
          <w:kern w:val="0"/>
          <w:szCs w:val="24"/>
          <w:highlight w:val="none"/>
        </w:rPr>
      </w:pPr>
    </w:p>
    <w:p w14:paraId="44FBA38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zh-CN"/>
        </w:rPr>
        <w:t>东莞市水务环境投资控股集团供水有限公司</w:t>
      </w:r>
      <w:r>
        <w:rPr>
          <w:rFonts w:hint="eastAsia" w:ascii="宋体" w:hAnsi="宋体" w:eastAsia="宋体" w:cs="宋体"/>
          <w:color w:val="auto"/>
          <w:szCs w:val="21"/>
          <w:highlight w:val="none"/>
        </w:rPr>
        <w:t>：</w:t>
      </w:r>
    </w:p>
    <w:p w14:paraId="052E92A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东莞市供水计量设施更新项目（2026-2027年计量仪表）－电磁水表</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val="zh-CN"/>
        </w:rPr>
        <w:t>GXTZ-ZB-2026第（39）号</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4D0718E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742AC4C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1EAFF73A">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1E21379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58840A3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6206CC7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2C3F3FA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7D1E2AA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25198D3D">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75A64A6B">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16A98C1A">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62EE8B05">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098B835D">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3C270AF2">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7AB896A5">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5A1B2805">
      <w:pPr>
        <w:spacing w:line="360" w:lineRule="auto"/>
        <w:ind w:left="340" w:leftChars="162" w:firstLine="425"/>
        <w:rPr>
          <w:rFonts w:ascii="宋体" w:hAnsi="宋体" w:eastAsia="宋体" w:cs="宋体"/>
          <w:b/>
          <w:bCs/>
          <w:color w:val="auto"/>
          <w:szCs w:val="21"/>
          <w:highlight w:val="none"/>
        </w:rPr>
      </w:pPr>
      <w:bookmarkStart w:id="763" w:name="_Toc26208_WPSOffice_Level3"/>
      <w:r>
        <w:rPr>
          <w:rFonts w:hint="eastAsia" w:ascii="宋体" w:hAnsi="宋体" w:eastAsia="宋体" w:cs="宋体"/>
          <w:b/>
          <w:bCs/>
          <w:color w:val="auto"/>
          <w:szCs w:val="21"/>
          <w:highlight w:val="none"/>
        </w:rPr>
        <w:t>附：1、我方投标保证金汇款凭证（复印件）</w:t>
      </w:r>
      <w:bookmarkEnd w:id="763"/>
    </w:p>
    <w:p w14:paraId="732D8B94">
      <w:pPr>
        <w:spacing w:line="360" w:lineRule="auto"/>
        <w:ind w:left="340" w:leftChars="162" w:firstLine="839" w:firstLineChars="398"/>
        <w:rPr>
          <w:rFonts w:ascii="宋体" w:hAnsi="宋体" w:eastAsia="宋体" w:cs="宋体"/>
          <w:b/>
          <w:bCs/>
          <w:color w:val="auto"/>
          <w:szCs w:val="21"/>
          <w:highlight w:val="none"/>
        </w:rPr>
      </w:pPr>
      <w:bookmarkStart w:id="764" w:name="_Toc12992_WPSOffice_Level3"/>
      <w:r>
        <w:rPr>
          <w:rFonts w:hint="eastAsia" w:ascii="宋体" w:hAnsi="宋体" w:eastAsia="宋体" w:cs="宋体"/>
          <w:b/>
          <w:bCs/>
          <w:color w:val="auto"/>
          <w:szCs w:val="21"/>
          <w:highlight w:val="none"/>
        </w:rPr>
        <w:t>2、我方基本账户开户许可证（复印件）</w:t>
      </w:r>
      <w:bookmarkEnd w:id="764"/>
    </w:p>
    <w:p w14:paraId="6D70DC7B">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368F11E1">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4F613CE8">
      <w:pPr>
        <w:spacing w:line="360" w:lineRule="auto"/>
        <w:ind w:firstLine="424" w:firstLineChars="202"/>
        <w:rPr>
          <w:rFonts w:hint="eastAsia" w:ascii="宋体" w:hAnsi="宋体" w:eastAsia="宋体" w:cs="宋体"/>
          <w:color w:val="auto"/>
          <w:szCs w:val="24"/>
          <w:highlight w:val="none"/>
        </w:rPr>
      </w:pPr>
      <w:bookmarkStart w:id="765" w:name="_Toc486167721"/>
    </w:p>
    <w:p w14:paraId="10791649">
      <w:pPr>
        <w:spacing w:line="360" w:lineRule="auto"/>
        <w:ind w:firstLine="424" w:firstLineChars="202"/>
        <w:rPr>
          <w:rFonts w:hint="eastAsia" w:ascii="宋体" w:hAnsi="宋体" w:eastAsia="宋体" w:cs="宋体"/>
          <w:color w:val="auto"/>
          <w:szCs w:val="24"/>
          <w:highlight w:val="none"/>
        </w:rPr>
      </w:pPr>
    </w:p>
    <w:p w14:paraId="4AEB5551">
      <w:pPr>
        <w:spacing w:line="360" w:lineRule="auto"/>
        <w:ind w:firstLine="424" w:firstLineChars="202"/>
        <w:rPr>
          <w:rFonts w:hint="eastAsia" w:ascii="宋体" w:hAnsi="宋体" w:eastAsia="宋体" w:cs="宋体"/>
          <w:color w:val="auto"/>
          <w:szCs w:val="24"/>
          <w:highlight w:val="none"/>
        </w:rPr>
      </w:pPr>
    </w:p>
    <w:p w14:paraId="4D52928F">
      <w:pPr>
        <w:spacing w:line="360" w:lineRule="auto"/>
        <w:ind w:firstLine="424" w:firstLineChars="202"/>
        <w:rPr>
          <w:rFonts w:hint="eastAsia" w:ascii="宋体" w:hAnsi="宋体" w:eastAsia="宋体" w:cs="宋体"/>
          <w:color w:val="auto"/>
          <w:szCs w:val="24"/>
          <w:highlight w:val="none"/>
        </w:rPr>
      </w:pPr>
    </w:p>
    <w:p w14:paraId="66674E0B">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pPr>
      <w:bookmarkStart w:id="766" w:name="_Toc18032"/>
      <w:bookmarkStart w:id="767" w:name="_Toc142508379"/>
      <w:bookmarkStart w:id="768" w:name="_Toc140596939"/>
      <w:bookmarkStart w:id="769" w:name="_Toc16292"/>
      <w:bookmarkStart w:id="770" w:name="_Toc102860428"/>
      <w:bookmarkStart w:id="771" w:name="_Toc2305"/>
      <w:bookmarkStart w:id="772" w:name="_Toc104991886"/>
      <w:bookmarkStart w:id="773" w:name="_Toc94107221"/>
      <w:bookmarkStart w:id="774" w:name="_Toc1977738"/>
      <w:bookmarkStart w:id="775" w:name="_Toc102860084"/>
      <w:bookmarkStart w:id="776" w:name="_Toc24135"/>
      <w:bookmarkStart w:id="777" w:name="_Toc533708134"/>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二</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lang w:val="en-US" w:eastAsia="zh-CN"/>
        </w:rPr>
        <w:t>及有关</w:t>
      </w:r>
      <w:r>
        <w:rPr>
          <w:rFonts w:hint="eastAsia" w:ascii="宋体" w:hAnsi="宋体" w:eastAsia="宋体" w:cs="宋体"/>
          <w:b/>
          <w:bCs/>
          <w:color w:val="auto"/>
          <w:kern w:val="0"/>
          <w:sz w:val="32"/>
          <w:szCs w:val="32"/>
          <w:highlight w:val="none"/>
          <w:lang w:val="zh-CN"/>
        </w:rPr>
        <w:t>服务能力的有关其它商务文件（不</w:t>
      </w:r>
      <w:r>
        <w:rPr>
          <w:rFonts w:hint="eastAsia" w:ascii="宋体" w:hAnsi="宋体" w:eastAsia="宋体" w:cs="宋体"/>
          <w:b/>
          <w:bCs/>
          <w:color w:val="auto"/>
          <w:kern w:val="0"/>
          <w:sz w:val="32"/>
          <w:szCs w:val="32"/>
          <w:highlight w:val="none"/>
          <w:lang w:val="en-US" w:eastAsia="zh-CN"/>
        </w:rPr>
        <w:t>做</w:t>
      </w:r>
      <w:r>
        <w:rPr>
          <w:rFonts w:hint="eastAsia" w:ascii="宋体" w:hAnsi="宋体" w:eastAsia="宋体" w:cs="宋体"/>
          <w:b/>
          <w:bCs/>
          <w:color w:val="auto"/>
          <w:kern w:val="0"/>
          <w:sz w:val="32"/>
          <w:szCs w:val="32"/>
          <w:highlight w:val="none"/>
          <w:lang w:val="zh-CN"/>
        </w:rPr>
        <w:t>强制要求）</w:t>
      </w:r>
      <w:bookmarkEnd w:id="766"/>
      <w:bookmarkEnd w:id="767"/>
      <w:bookmarkEnd w:id="768"/>
      <w:bookmarkEnd w:id="769"/>
      <w:bookmarkEnd w:id="770"/>
      <w:bookmarkEnd w:id="771"/>
      <w:bookmarkEnd w:id="772"/>
      <w:bookmarkEnd w:id="773"/>
      <w:bookmarkEnd w:id="774"/>
      <w:bookmarkEnd w:id="775"/>
      <w:bookmarkEnd w:id="776"/>
    </w:p>
    <w:p w14:paraId="3CA50C74">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778" w:name="_Toc1977739"/>
      <w:bookmarkStart w:id="779" w:name="_Toc142508380"/>
      <w:bookmarkStart w:id="780" w:name="_Toc102860429"/>
      <w:bookmarkStart w:id="781" w:name="_Toc29355"/>
      <w:bookmarkStart w:id="782" w:name="_Toc94107222"/>
      <w:bookmarkStart w:id="783" w:name="_Toc9447"/>
      <w:bookmarkStart w:id="784" w:name="_Toc15051"/>
      <w:bookmarkStart w:id="785" w:name="_Toc140596940"/>
      <w:bookmarkStart w:id="786" w:name="_Toc14341"/>
      <w:bookmarkStart w:id="787" w:name="_Toc104991887"/>
      <w:bookmarkStart w:id="788" w:name="_Toc102860085"/>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、技术响应文件格式</w:t>
      </w:r>
      <w:bookmarkEnd w:id="777"/>
      <w:bookmarkEnd w:id="778"/>
      <w:bookmarkEnd w:id="779"/>
      <w:bookmarkEnd w:id="780"/>
      <w:bookmarkEnd w:id="781"/>
      <w:bookmarkEnd w:id="782"/>
      <w:bookmarkEnd w:id="783"/>
      <w:bookmarkEnd w:id="784"/>
      <w:bookmarkEnd w:id="785"/>
      <w:bookmarkEnd w:id="786"/>
      <w:bookmarkEnd w:id="787"/>
      <w:bookmarkEnd w:id="788"/>
    </w:p>
    <w:p w14:paraId="4059581E">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4FC0DB9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2</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469C523A">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304"/>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1）关于“★</w:t>
      </w:r>
      <w:r>
        <w:rPr>
          <w:rFonts w:hint="eastAsia" w:ascii="宋体" w:hAnsi="宋体" w:eastAsia="宋体" w:cs="宋体"/>
          <w:color w:val="auto"/>
          <w:sz w:val="21"/>
          <w:szCs w:val="21"/>
          <w:highlight w:val="none"/>
          <w:lang w:val="en-US" w:eastAsia="zh-CN"/>
        </w:rPr>
        <w:t>2.2.23</w:t>
      </w:r>
      <w:r>
        <w:rPr>
          <w:rFonts w:hint="eastAsia" w:ascii="宋体" w:hAnsi="宋体" w:eastAsia="宋体" w:cs="宋体"/>
          <w:color w:val="auto"/>
          <w:kern w:val="0"/>
          <w:szCs w:val="21"/>
          <w:highlight w:val="none"/>
          <w:lang w:val="en-US" w:eastAsia="zh-CN"/>
        </w:rPr>
        <w:t>”条款的承诺函（投标人自行编写）；</w:t>
      </w:r>
    </w:p>
    <w:p w14:paraId="1B36BDE8">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304"/>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2）关于“★2.3.7”条款的产品说明书和承诺函（投标人自行编写）；</w:t>
      </w:r>
    </w:p>
    <w:p w14:paraId="67844CC5">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304"/>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3）关于“★2.3.10”条款的承诺函（投标人自行编写）；</w:t>
      </w:r>
    </w:p>
    <w:p w14:paraId="14D3BC86">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304"/>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4）关于“★2.3.11”条款的承诺函（投标人自行编写）；</w:t>
      </w:r>
    </w:p>
    <w:p w14:paraId="32488645">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304"/>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5）关于“</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Cs w:val="21"/>
          <w:highlight w:val="none"/>
          <w:lang w:val="en-US" w:eastAsia="zh-CN"/>
        </w:rPr>
        <w:t>”条款的证明材料（投标人提供相关水表用户使用情况及证明材料）；</w:t>
      </w:r>
    </w:p>
    <w:p w14:paraId="3389689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（2）供货货物清单表</w:t>
      </w:r>
      <w:r>
        <w:rPr>
          <w:rFonts w:hint="eastAsia" w:ascii="宋体" w:hAnsi="宋体" w:eastAsia="宋体" w:cs="宋体"/>
          <w:color w:val="auto"/>
          <w:kern w:val="0"/>
          <w:szCs w:val="21"/>
          <w:highlight w:val="none"/>
          <w:lang w:val="en-US" w:eastAsia="zh-CN"/>
        </w:rPr>
        <w:t>（货物明细中包含的货物名称、品牌、产地、规格、型号、数量的内容）</w:t>
      </w:r>
      <w:r>
        <w:rPr>
          <w:rFonts w:hint="eastAsia" w:ascii="宋体" w:hAnsi="宋体" w:eastAsia="宋体" w:cs="宋体"/>
          <w:color w:val="auto"/>
          <w:kern w:val="0"/>
          <w:szCs w:val="21"/>
          <w:highlight w:val="none"/>
        </w:rPr>
        <w:t>；</w:t>
      </w:r>
    </w:p>
    <w:p w14:paraId="2F7F71A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（3）研发能力及产品先进性</w:t>
      </w:r>
      <w:r>
        <w:rPr>
          <w:rFonts w:hint="eastAsia" w:ascii="宋体" w:hAnsi="宋体" w:eastAsia="宋体" w:cs="宋体"/>
          <w:color w:val="auto"/>
          <w:kern w:val="0"/>
          <w:szCs w:val="21"/>
          <w:highlight w:val="none"/>
          <w:lang w:val="en-US" w:eastAsia="zh-CN"/>
        </w:rPr>
        <w:t>的证明材料</w:t>
      </w:r>
      <w:r>
        <w:rPr>
          <w:rFonts w:hint="eastAsia" w:ascii="宋体" w:hAnsi="宋体" w:eastAsia="宋体" w:cs="宋体"/>
          <w:color w:val="auto"/>
          <w:kern w:val="0"/>
          <w:szCs w:val="21"/>
          <w:highlight w:val="none"/>
        </w:rPr>
        <w:t>；</w:t>
      </w:r>
    </w:p>
    <w:p w14:paraId="786C7A1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（4）投标产品的设计及性能</w:t>
      </w:r>
      <w:r>
        <w:rPr>
          <w:rFonts w:hint="eastAsia" w:ascii="宋体" w:hAnsi="宋体" w:eastAsia="宋体" w:cs="宋体"/>
          <w:color w:val="auto"/>
          <w:kern w:val="0"/>
          <w:szCs w:val="21"/>
          <w:highlight w:val="none"/>
          <w:lang w:val="en-US" w:eastAsia="zh-CN"/>
        </w:rPr>
        <w:t>的证明材料</w:t>
      </w:r>
      <w:r>
        <w:rPr>
          <w:rFonts w:hint="eastAsia" w:ascii="宋体" w:hAnsi="宋体" w:eastAsia="宋体" w:cs="宋体"/>
          <w:color w:val="auto"/>
          <w:kern w:val="0"/>
          <w:szCs w:val="21"/>
          <w:highlight w:val="none"/>
        </w:rPr>
        <w:t>；</w:t>
      </w:r>
    </w:p>
    <w:p w14:paraId="76C9E2E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（5）生产制造能力</w:t>
      </w:r>
      <w:r>
        <w:rPr>
          <w:rFonts w:hint="eastAsia" w:ascii="宋体" w:hAnsi="宋体" w:eastAsia="宋体" w:cs="宋体"/>
          <w:color w:val="auto"/>
          <w:kern w:val="0"/>
          <w:szCs w:val="21"/>
          <w:highlight w:val="none"/>
          <w:lang w:val="en-US" w:eastAsia="zh-CN"/>
        </w:rPr>
        <w:t>的证明材料</w:t>
      </w:r>
      <w:r>
        <w:rPr>
          <w:rFonts w:hint="eastAsia" w:ascii="宋体" w:hAnsi="宋体" w:eastAsia="宋体" w:cs="宋体"/>
          <w:color w:val="auto"/>
          <w:kern w:val="0"/>
          <w:szCs w:val="21"/>
          <w:highlight w:val="none"/>
        </w:rPr>
        <w:t>；</w:t>
      </w:r>
    </w:p>
    <w:p w14:paraId="47580CE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）售后服务方案；</w:t>
      </w:r>
    </w:p>
    <w:p w14:paraId="3F1A865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售后服务</w:t>
      </w:r>
      <w:r>
        <w:rPr>
          <w:rFonts w:hint="eastAsia" w:ascii="宋体" w:hAnsi="宋体" w:eastAsia="宋体" w:cs="宋体"/>
          <w:color w:val="auto"/>
          <w:kern w:val="0"/>
          <w:szCs w:val="21"/>
          <w:highlight w:val="none"/>
        </w:rPr>
        <w:t>响应时间承诺</w:t>
      </w:r>
      <w:r>
        <w:rPr>
          <w:rFonts w:hint="eastAsia" w:ascii="宋体" w:hAnsi="宋体" w:eastAsia="宋体" w:cs="宋体"/>
          <w:color w:val="auto"/>
          <w:kern w:val="0"/>
          <w:szCs w:val="21"/>
          <w:highlight w:val="none"/>
          <w:lang w:eastAsia="zh-CN"/>
        </w:rPr>
        <w:t>；</w:t>
      </w:r>
    </w:p>
    <w:p w14:paraId="069B39D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）投标人认为有必要提供的其它材料（不做强制要求）。</w:t>
      </w:r>
    </w:p>
    <w:p w14:paraId="6AD65D74">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01E68915">
      <w:pPr>
        <w:pStyle w:val="20"/>
        <w:spacing w:line="360" w:lineRule="auto"/>
        <w:jc w:val="center"/>
        <w:rPr>
          <w:rFonts w:hint="eastAsia" w:ascii="宋体" w:hAnsi="宋体" w:eastAsia="宋体" w:cs="宋体"/>
          <w:color w:val="auto"/>
          <w:sz w:val="84"/>
          <w:highlight w:val="none"/>
        </w:rPr>
      </w:pPr>
    </w:p>
    <w:p w14:paraId="79117230">
      <w:pPr>
        <w:pStyle w:val="20"/>
        <w:spacing w:line="360" w:lineRule="auto"/>
        <w:jc w:val="center"/>
        <w:rPr>
          <w:rFonts w:hint="eastAsia" w:ascii="宋体" w:hAnsi="宋体" w:eastAsia="宋体" w:cs="宋体"/>
          <w:color w:val="auto"/>
          <w:sz w:val="84"/>
          <w:highlight w:val="none"/>
        </w:rPr>
      </w:pPr>
    </w:p>
    <w:p w14:paraId="26D4C9D2">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63E3EC04">
      <w:pPr>
        <w:pStyle w:val="20"/>
        <w:spacing w:line="360" w:lineRule="auto"/>
        <w:rPr>
          <w:rFonts w:hint="eastAsia" w:ascii="宋体" w:hAnsi="宋体" w:eastAsia="宋体" w:cs="宋体"/>
          <w:color w:val="auto"/>
          <w:highlight w:val="none"/>
        </w:rPr>
      </w:pPr>
    </w:p>
    <w:p w14:paraId="44D169B6">
      <w:pPr>
        <w:pStyle w:val="20"/>
        <w:spacing w:line="360" w:lineRule="auto"/>
        <w:rPr>
          <w:rFonts w:hint="eastAsia" w:ascii="宋体" w:hAnsi="宋体" w:eastAsia="宋体" w:cs="宋体"/>
          <w:color w:val="auto"/>
          <w:highlight w:val="none"/>
        </w:rPr>
      </w:pPr>
    </w:p>
    <w:p w14:paraId="71BFA4EC">
      <w:pPr>
        <w:pStyle w:val="20"/>
        <w:spacing w:line="360" w:lineRule="auto"/>
        <w:rPr>
          <w:rFonts w:hint="eastAsia" w:ascii="宋体" w:hAnsi="宋体" w:eastAsia="宋体" w:cs="宋体"/>
          <w:color w:val="auto"/>
          <w:highlight w:val="none"/>
        </w:rPr>
      </w:pPr>
    </w:p>
    <w:p w14:paraId="5F0AFB17">
      <w:pPr>
        <w:pStyle w:val="20"/>
        <w:spacing w:line="360" w:lineRule="auto"/>
        <w:rPr>
          <w:rFonts w:hint="eastAsia" w:ascii="宋体" w:hAnsi="宋体" w:eastAsia="宋体" w:cs="宋体"/>
          <w:color w:val="auto"/>
          <w:highlight w:val="none"/>
        </w:rPr>
      </w:pPr>
    </w:p>
    <w:p w14:paraId="0138D20C">
      <w:pPr>
        <w:pStyle w:val="20"/>
        <w:spacing w:line="360" w:lineRule="auto"/>
        <w:rPr>
          <w:rFonts w:hint="eastAsia" w:ascii="宋体" w:hAnsi="宋体" w:eastAsia="宋体" w:cs="宋体"/>
          <w:color w:val="auto"/>
          <w:highlight w:val="none"/>
        </w:rPr>
      </w:pPr>
    </w:p>
    <w:p w14:paraId="4B163471">
      <w:pPr>
        <w:pStyle w:val="20"/>
        <w:spacing w:line="360" w:lineRule="auto"/>
        <w:rPr>
          <w:rFonts w:hint="eastAsia" w:ascii="宋体" w:hAnsi="宋体" w:eastAsia="宋体" w:cs="宋体"/>
          <w:color w:val="auto"/>
          <w:highlight w:val="none"/>
        </w:rPr>
      </w:pPr>
    </w:p>
    <w:p w14:paraId="26A0888D">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53F06126">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70BA4082">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0DCE12FE">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010F51A5">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27235441">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7398BDF7">
      <w:pPr>
        <w:pStyle w:val="20"/>
        <w:spacing w:line="360" w:lineRule="auto"/>
        <w:rPr>
          <w:rFonts w:hint="eastAsia" w:ascii="宋体" w:hAnsi="宋体" w:eastAsia="宋体" w:cs="宋体"/>
          <w:color w:val="auto"/>
          <w:highlight w:val="none"/>
        </w:rPr>
      </w:pPr>
    </w:p>
    <w:p w14:paraId="2D1CB6E1">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E221608">
      <w:pPr>
        <w:pStyle w:val="20"/>
        <w:spacing w:line="360" w:lineRule="auto"/>
        <w:rPr>
          <w:rFonts w:hint="eastAsia" w:ascii="宋体" w:hAnsi="宋体" w:eastAsia="宋体" w:cs="宋体"/>
          <w:color w:val="auto"/>
          <w:highlight w:val="none"/>
        </w:rPr>
      </w:pPr>
    </w:p>
    <w:p w14:paraId="6803559B">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9"/>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1786"/>
        <w:gridCol w:w="4430"/>
      </w:tblGrid>
      <w:tr w14:paraId="3CA6BD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14:paraId="0825B63A">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14:paraId="1FE7A414">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786" w:type="dxa"/>
            <w:vAlign w:val="center"/>
          </w:tcPr>
          <w:p w14:paraId="3B7F6DF7">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430" w:type="dxa"/>
            <w:tcBorders>
              <w:left w:val="single" w:color="auto" w:sz="4" w:space="0"/>
            </w:tcBorders>
            <w:vAlign w:val="center"/>
          </w:tcPr>
          <w:p w14:paraId="364E2AF6">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605E77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14:paraId="5CE88D39">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14:paraId="37BDA5C4">
            <w:pPr>
              <w:adjustRightInd w:val="0"/>
              <w:snapToGrid w:val="0"/>
              <w:spacing w:line="360" w:lineRule="auto"/>
              <w:jc w:val="center"/>
              <w:rPr>
                <w:rFonts w:hint="eastAsia" w:ascii="宋体" w:hAnsi="宋体" w:eastAsia="宋体" w:cs="宋体"/>
                <w:bCs/>
                <w:color w:val="auto"/>
                <w:szCs w:val="21"/>
                <w:highlight w:val="none"/>
              </w:rPr>
            </w:pPr>
          </w:p>
        </w:tc>
        <w:tc>
          <w:tcPr>
            <w:tcW w:w="1786" w:type="dxa"/>
            <w:vAlign w:val="center"/>
          </w:tcPr>
          <w:p w14:paraId="431F6E78">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14:paraId="4755BD65">
            <w:pPr>
              <w:adjustRightInd w:val="0"/>
              <w:snapToGrid w:val="0"/>
              <w:spacing w:line="360" w:lineRule="auto"/>
              <w:rPr>
                <w:rFonts w:hint="eastAsia" w:ascii="宋体" w:hAnsi="宋体" w:eastAsia="宋体" w:cs="宋体"/>
                <w:bCs/>
                <w:color w:val="auto"/>
                <w:szCs w:val="21"/>
                <w:highlight w:val="none"/>
              </w:rPr>
            </w:pPr>
          </w:p>
        </w:tc>
      </w:tr>
      <w:tr w14:paraId="163009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14:paraId="22EC536A">
            <w:pPr>
              <w:rPr>
                <w:rFonts w:hint="eastAsia" w:ascii="宋体" w:hAnsi="宋体" w:eastAsia="宋体" w:cs="宋体"/>
                <w:bCs/>
                <w:color w:val="auto"/>
                <w:szCs w:val="21"/>
                <w:highlight w:val="none"/>
              </w:rPr>
            </w:pPr>
          </w:p>
        </w:tc>
        <w:tc>
          <w:tcPr>
            <w:tcW w:w="2773" w:type="dxa"/>
            <w:vAlign w:val="center"/>
          </w:tcPr>
          <w:p w14:paraId="030314BA">
            <w:pPr>
              <w:rPr>
                <w:rFonts w:hint="eastAsia" w:ascii="宋体" w:hAnsi="宋体" w:eastAsia="宋体" w:cs="宋体"/>
                <w:bCs/>
                <w:color w:val="auto"/>
                <w:szCs w:val="21"/>
                <w:highlight w:val="none"/>
              </w:rPr>
            </w:pPr>
          </w:p>
        </w:tc>
        <w:tc>
          <w:tcPr>
            <w:tcW w:w="1786" w:type="dxa"/>
            <w:vAlign w:val="center"/>
          </w:tcPr>
          <w:p w14:paraId="494BA6F5">
            <w:pPr>
              <w:rPr>
                <w:rFonts w:hint="eastAsia" w:ascii="宋体" w:hAnsi="宋体" w:eastAsia="宋体" w:cs="宋体"/>
                <w:bCs/>
                <w:color w:val="auto"/>
                <w:szCs w:val="21"/>
                <w:highlight w:val="none"/>
              </w:rPr>
            </w:pPr>
          </w:p>
        </w:tc>
        <w:tc>
          <w:tcPr>
            <w:tcW w:w="4430" w:type="dxa"/>
            <w:tcBorders>
              <w:left w:val="single" w:color="auto" w:sz="4" w:space="0"/>
            </w:tcBorders>
            <w:vAlign w:val="center"/>
          </w:tcPr>
          <w:p w14:paraId="7DF94C22">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1046DE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14:paraId="44A7D97B">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14:paraId="20458F32">
            <w:pPr>
              <w:adjustRightInd w:val="0"/>
              <w:snapToGrid w:val="0"/>
              <w:spacing w:line="360" w:lineRule="auto"/>
              <w:rPr>
                <w:rFonts w:hint="eastAsia" w:ascii="宋体" w:hAnsi="宋体" w:eastAsia="宋体" w:cs="宋体"/>
                <w:bCs/>
                <w:color w:val="auto"/>
                <w:szCs w:val="21"/>
                <w:highlight w:val="none"/>
              </w:rPr>
            </w:pPr>
          </w:p>
        </w:tc>
        <w:tc>
          <w:tcPr>
            <w:tcW w:w="1786" w:type="dxa"/>
            <w:vAlign w:val="center"/>
          </w:tcPr>
          <w:p w14:paraId="454517F1">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14:paraId="3257B313">
            <w:pPr>
              <w:spacing w:line="360" w:lineRule="auto"/>
              <w:ind w:firstLine="8" w:firstLineChars="4"/>
              <w:rPr>
                <w:rFonts w:hint="eastAsia" w:ascii="宋体" w:hAnsi="宋体" w:eastAsia="宋体" w:cs="宋体"/>
                <w:bCs/>
                <w:color w:val="auto"/>
                <w:szCs w:val="21"/>
                <w:highlight w:val="none"/>
              </w:rPr>
            </w:pPr>
          </w:p>
        </w:tc>
      </w:tr>
      <w:tr w14:paraId="7445BD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14:paraId="3DAEFD79">
            <w:pPr>
              <w:adjustRightInd w:val="0"/>
              <w:snapToGrid w:val="0"/>
              <w:spacing w:line="360" w:lineRule="auto"/>
              <w:jc w:val="center"/>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14:paraId="31E617B1">
            <w:pPr>
              <w:adjustRightInd w:val="0"/>
              <w:snapToGrid w:val="0"/>
              <w:spacing w:line="360" w:lineRule="auto"/>
              <w:rPr>
                <w:rFonts w:hint="eastAsia" w:ascii="宋体" w:hAnsi="宋体" w:eastAsia="宋体" w:cs="宋体"/>
                <w:bCs/>
                <w:color w:val="auto"/>
                <w:szCs w:val="21"/>
                <w:highlight w:val="none"/>
              </w:rPr>
            </w:pPr>
          </w:p>
        </w:tc>
        <w:tc>
          <w:tcPr>
            <w:tcW w:w="1786" w:type="dxa"/>
            <w:tcBorders>
              <w:top w:val="single" w:color="auto" w:sz="6" w:space="0"/>
              <w:left w:val="single" w:color="auto" w:sz="6" w:space="0"/>
              <w:bottom w:val="outset" w:color="808080" w:sz="6" w:space="0"/>
              <w:right w:val="single" w:color="auto" w:sz="6" w:space="0"/>
            </w:tcBorders>
            <w:vAlign w:val="center"/>
          </w:tcPr>
          <w:p w14:paraId="2980724E">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top w:val="single" w:color="auto" w:sz="6" w:space="0"/>
              <w:left w:val="single" w:color="auto" w:sz="4" w:space="0"/>
              <w:bottom w:val="outset" w:color="808080" w:sz="6" w:space="0"/>
              <w:right w:val="single" w:color="auto" w:sz="6" w:space="0"/>
            </w:tcBorders>
            <w:vAlign w:val="center"/>
          </w:tcPr>
          <w:p w14:paraId="3BEAFCEF">
            <w:pPr>
              <w:adjustRightInd w:val="0"/>
              <w:snapToGrid w:val="0"/>
              <w:spacing w:line="360" w:lineRule="auto"/>
              <w:rPr>
                <w:rFonts w:hint="eastAsia" w:ascii="宋体" w:hAnsi="宋体" w:eastAsia="宋体" w:cs="宋体"/>
                <w:bCs/>
                <w:color w:val="auto"/>
                <w:szCs w:val="21"/>
                <w:highlight w:val="none"/>
              </w:rPr>
            </w:pPr>
          </w:p>
        </w:tc>
      </w:tr>
      <w:tr w14:paraId="443E7B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14:paraId="0519D583">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786" w:type="dxa"/>
            <w:tcBorders>
              <w:bottom w:val="single" w:color="auto" w:sz="4" w:space="0"/>
            </w:tcBorders>
            <w:vAlign w:val="center"/>
          </w:tcPr>
          <w:p w14:paraId="5680C62B">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bottom w:val="single" w:color="auto" w:sz="4" w:space="0"/>
            </w:tcBorders>
            <w:vAlign w:val="center"/>
          </w:tcPr>
          <w:p w14:paraId="52EB8448">
            <w:pPr>
              <w:spacing w:line="360" w:lineRule="auto"/>
              <w:jc w:val="center"/>
              <w:rPr>
                <w:rFonts w:hint="eastAsia" w:ascii="宋体" w:hAnsi="宋体" w:eastAsia="宋体" w:cs="宋体"/>
                <w:bCs/>
                <w:color w:val="auto"/>
                <w:szCs w:val="21"/>
                <w:highlight w:val="none"/>
              </w:rPr>
            </w:pPr>
          </w:p>
        </w:tc>
      </w:tr>
    </w:tbl>
    <w:p w14:paraId="172F38B6">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765"/>
      <w:bookmarkStart w:id="789" w:name="_Toc104991888"/>
      <w:bookmarkStart w:id="790" w:name="_Toc533708135"/>
      <w:bookmarkStart w:id="791" w:name="_Toc20630"/>
      <w:bookmarkStart w:id="792" w:name="_Toc12047"/>
      <w:bookmarkStart w:id="793" w:name="_Toc1977740"/>
      <w:bookmarkStart w:id="794" w:name="_Toc94107223"/>
      <w:bookmarkStart w:id="795" w:name="_Toc140596941"/>
      <w:bookmarkStart w:id="796" w:name="_Toc9870"/>
      <w:bookmarkStart w:id="797" w:name="_Toc102860086"/>
      <w:bookmarkStart w:id="798" w:name="_Toc1558"/>
      <w:bookmarkStart w:id="799" w:name="_Toc142508381"/>
      <w:bookmarkStart w:id="800" w:name="_Toc102860430"/>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.1 用户需求偏离表格式</w:t>
      </w:r>
      <w:bookmarkEnd w:id="789"/>
      <w:bookmarkEnd w:id="790"/>
      <w:bookmarkEnd w:id="791"/>
      <w:bookmarkEnd w:id="792"/>
      <w:bookmarkEnd w:id="793"/>
      <w:bookmarkEnd w:id="794"/>
      <w:bookmarkEnd w:id="795"/>
      <w:bookmarkEnd w:id="796"/>
      <w:bookmarkEnd w:id="797"/>
      <w:bookmarkEnd w:id="798"/>
      <w:bookmarkEnd w:id="799"/>
      <w:bookmarkEnd w:id="800"/>
    </w:p>
    <w:p w14:paraId="484BDE74">
      <w:pPr>
        <w:spacing w:before="120" w:after="120" w:line="360" w:lineRule="auto"/>
        <w:jc w:val="center"/>
        <w:rPr>
          <w:rFonts w:ascii="宋体" w:hAnsi="宋体" w:eastAsia="宋体" w:cs="Times New Roman"/>
          <w:color w:val="auto"/>
          <w:kern w:val="0"/>
          <w:szCs w:val="21"/>
          <w:highlight w:val="none"/>
        </w:rPr>
      </w:pPr>
      <w:bookmarkStart w:id="801" w:name="_Toc17449_WPSOffice_Level3"/>
      <w:r>
        <w:rPr>
          <w:rFonts w:hint="eastAsia" w:ascii="宋体" w:hAnsi="宋体" w:eastAsia="宋体" w:cs="宋体"/>
          <w:b/>
          <w:color w:val="auto"/>
          <w:kern w:val="0"/>
          <w:sz w:val="30"/>
          <w:szCs w:val="30"/>
          <w:highlight w:val="none"/>
          <w:lang w:val="zh-CN"/>
        </w:rPr>
        <w:t>用户需求偏离表</w:t>
      </w:r>
      <w:bookmarkEnd w:id="801"/>
    </w:p>
    <w:tbl>
      <w:tblPr>
        <w:tblStyle w:val="39"/>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
        <w:gridCol w:w="831"/>
        <w:gridCol w:w="677"/>
        <w:gridCol w:w="6102"/>
        <w:gridCol w:w="721"/>
        <w:gridCol w:w="1049"/>
        <w:gridCol w:w="631"/>
      </w:tblGrid>
      <w:tr w14:paraId="54884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59" w:type="dxa"/>
            <w:vMerge w:val="restart"/>
            <w:vAlign w:val="center"/>
          </w:tcPr>
          <w:p w14:paraId="183B188A">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7610" w:type="dxa"/>
            <w:gridSpan w:val="3"/>
            <w:vAlign w:val="center"/>
          </w:tcPr>
          <w:p w14:paraId="60730ED0">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2401" w:type="dxa"/>
            <w:gridSpan w:val="3"/>
            <w:vAlign w:val="center"/>
          </w:tcPr>
          <w:p w14:paraId="46160498">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401A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59" w:type="dxa"/>
            <w:vMerge w:val="continue"/>
            <w:vAlign w:val="center"/>
          </w:tcPr>
          <w:p w14:paraId="6395B0AF">
            <w:pPr>
              <w:keepNext/>
              <w:keepLines/>
              <w:spacing w:line="400" w:lineRule="exact"/>
              <w:jc w:val="center"/>
              <w:outlineLvl w:val="0"/>
              <w:rPr>
                <w:rFonts w:ascii="宋体" w:hAnsi="宋体" w:eastAsia="宋体" w:cs="宋体"/>
                <w:color w:val="auto"/>
                <w:kern w:val="0"/>
                <w:sz w:val="18"/>
                <w:szCs w:val="18"/>
                <w:highlight w:val="none"/>
              </w:rPr>
            </w:pPr>
          </w:p>
        </w:tc>
        <w:tc>
          <w:tcPr>
            <w:tcW w:w="831" w:type="dxa"/>
            <w:vAlign w:val="center"/>
          </w:tcPr>
          <w:p w14:paraId="0605528C">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6779" w:type="dxa"/>
            <w:gridSpan w:val="2"/>
            <w:vAlign w:val="center"/>
          </w:tcPr>
          <w:p w14:paraId="55170A32">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721" w:type="dxa"/>
            <w:vAlign w:val="center"/>
          </w:tcPr>
          <w:p w14:paraId="7658337F">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1049" w:type="dxa"/>
            <w:vAlign w:val="center"/>
          </w:tcPr>
          <w:p w14:paraId="346503AE">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631" w:type="dxa"/>
            <w:vAlign w:val="center"/>
          </w:tcPr>
          <w:p w14:paraId="1EA9F6DB">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11F2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dxa"/>
            <w:vAlign w:val="center"/>
          </w:tcPr>
          <w:p w14:paraId="4D71DFC1">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w:t>
            </w:r>
          </w:p>
        </w:tc>
        <w:tc>
          <w:tcPr>
            <w:tcW w:w="831" w:type="dxa"/>
            <w:vAlign w:val="center"/>
          </w:tcPr>
          <w:p w14:paraId="4BF081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bidi="ar-SA"/>
              </w:rPr>
            </w:pPr>
            <w:r>
              <w:rPr>
                <w:rFonts w:hint="eastAsia" w:ascii="宋体" w:hAnsi="宋体" w:eastAsia="宋体" w:cs="Times New Roman"/>
                <w:b w:val="0"/>
                <w:bCs/>
                <w:color w:val="auto"/>
                <w:kern w:val="0"/>
                <w:sz w:val="18"/>
                <w:szCs w:val="18"/>
                <w:highlight w:val="none"/>
                <w:lang w:val="en-US" w:eastAsia="zh-CN"/>
              </w:rPr>
              <w:t>一</w:t>
            </w:r>
          </w:p>
        </w:tc>
        <w:tc>
          <w:tcPr>
            <w:tcW w:w="6779" w:type="dxa"/>
            <w:gridSpan w:val="2"/>
            <w:vAlign w:val="center"/>
          </w:tcPr>
          <w:p w14:paraId="5050E325">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outlineLvl w:val="2"/>
              <w:rPr>
                <w:rFonts w:hint="eastAsia" w:ascii="宋体" w:hAnsi="宋体" w:eastAsia="宋体" w:cs="宋体"/>
                <w:b w:val="0"/>
                <w:bCs w:val="0"/>
                <w:color w:val="auto"/>
                <w:kern w:val="2"/>
                <w:sz w:val="21"/>
                <w:szCs w:val="21"/>
                <w:highlight w:val="none"/>
                <w:lang w:val="en-US" w:eastAsia="zh-CN"/>
              </w:rPr>
            </w:pPr>
            <w:bookmarkStart w:id="802" w:name="_Toc16432"/>
            <w:r>
              <w:rPr>
                <w:rFonts w:hint="eastAsia" w:ascii="宋体" w:hAnsi="宋体" w:eastAsia="宋体" w:cs="宋体"/>
                <w:b w:val="0"/>
                <w:bCs w:val="0"/>
                <w:color w:val="auto"/>
                <w:kern w:val="2"/>
                <w:sz w:val="21"/>
                <w:szCs w:val="21"/>
                <w:highlight w:val="none"/>
                <w:lang w:val="zh-CN"/>
              </w:rPr>
              <w:t>总体要求</w:t>
            </w:r>
            <w:bookmarkEnd w:id="802"/>
          </w:p>
        </w:tc>
        <w:tc>
          <w:tcPr>
            <w:tcW w:w="721" w:type="dxa"/>
            <w:vAlign w:val="center"/>
          </w:tcPr>
          <w:p w14:paraId="39EF055C">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049" w:type="dxa"/>
            <w:vAlign w:val="center"/>
          </w:tcPr>
          <w:p w14:paraId="1C886DCD">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631" w:type="dxa"/>
            <w:vAlign w:val="center"/>
          </w:tcPr>
          <w:p w14:paraId="766C3029">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2B0C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dxa"/>
            <w:vAlign w:val="center"/>
          </w:tcPr>
          <w:p w14:paraId="17A63261">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2</w:t>
            </w:r>
          </w:p>
        </w:tc>
        <w:tc>
          <w:tcPr>
            <w:tcW w:w="831" w:type="dxa"/>
            <w:vAlign w:val="center"/>
          </w:tcPr>
          <w:p w14:paraId="1D176F95">
            <w:pPr>
              <w:pageBreakBefore w:val="0"/>
              <w:widowControl w:val="0"/>
              <w:kinsoku/>
              <w:wordWrap/>
              <w:overflowPunct/>
              <w:topLinePunct w:val="0"/>
              <w:bidi w:val="0"/>
              <w:snapToGrid/>
              <w:spacing w:line="240" w:lineRule="auto"/>
              <w:jc w:val="center"/>
              <w:textAlignment w:val="auto"/>
              <w:rPr>
                <w:rFonts w:hint="default" w:ascii="宋体" w:hAnsi="宋体" w:eastAsia="宋体" w:cstheme="minorBidi"/>
                <w:b w:val="0"/>
                <w:bCs/>
                <w:color w:val="auto"/>
                <w:kern w:val="2"/>
                <w:sz w:val="18"/>
                <w:szCs w:val="18"/>
                <w:highlight w:val="none"/>
                <w:lang w:val="en-US" w:eastAsia="zh-CN" w:bidi="ar-SA"/>
              </w:rPr>
            </w:pPr>
            <w:r>
              <w:rPr>
                <w:rFonts w:hint="eastAsia" w:ascii="宋体" w:hAnsi="宋体" w:eastAsia="宋体"/>
                <w:b w:val="0"/>
                <w:bCs/>
                <w:color w:val="auto"/>
                <w:sz w:val="18"/>
                <w:szCs w:val="18"/>
                <w:highlight w:val="none"/>
                <w:lang w:val="en-US" w:eastAsia="zh-CN"/>
              </w:rPr>
              <w:t>二</w:t>
            </w:r>
          </w:p>
        </w:tc>
        <w:tc>
          <w:tcPr>
            <w:tcW w:w="6779" w:type="dxa"/>
            <w:gridSpan w:val="2"/>
            <w:vAlign w:val="center"/>
          </w:tcPr>
          <w:p w14:paraId="417F3104">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outlineLvl w:val="2"/>
              <w:rPr>
                <w:rFonts w:ascii="宋体" w:hAnsi="宋体" w:eastAsia="宋体"/>
                <w:b w:val="0"/>
                <w:bCs w:val="0"/>
                <w:color w:val="auto"/>
                <w:sz w:val="18"/>
                <w:szCs w:val="18"/>
                <w:highlight w:val="none"/>
              </w:rPr>
            </w:pPr>
            <w:bookmarkStart w:id="803" w:name="_Toc31637"/>
            <w:r>
              <w:rPr>
                <w:rFonts w:hint="eastAsia" w:ascii="宋体" w:hAnsi="宋体" w:eastAsia="宋体" w:cs="宋体"/>
                <w:b w:val="0"/>
                <w:bCs w:val="0"/>
                <w:color w:val="auto"/>
                <w:kern w:val="2"/>
                <w:sz w:val="21"/>
                <w:szCs w:val="21"/>
                <w:highlight w:val="none"/>
                <w:lang w:val="zh-CN"/>
              </w:rPr>
              <w:t>水表技术要求</w:t>
            </w:r>
            <w:bookmarkEnd w:id="803"/>
          </w:p>
        </w:tc>
        <w:tc>
          <w:tcPr>
            <w:tcW w:w="721" w:type="dxa"/>
            <w:vAlign w:val="center"/>
          </w:tcPr>
          <w:p w14:paraId="7548BFDC">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049" w:type="dxa"/>
            <w:vAlign w:val="center"/>
          </w:tcPr>
          <w:p w14:paraId="7A1C37EA">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631" w:type="dxa"/>
            <w:vAlign w:val="center"/>
          </w:tcPr>
          <w:p w14:paraId="34EEECCF">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598EF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dxa"/>
            <w:vAlign w:val="center"/>
          </w:tcPr>
          <w:p w14:paraId="0B2DB66E">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3</w:t>
            </w:r>
          </w:p>
        </w:tc>
        <w:tc>
          <w:tcPr>
            <w:tcW w:w="831" w:type="dxa"/>
            <w:vAlign w:val="center"/>
          </w:tcPr>
          <w:p w14:paraId="4D5CFC76">
            <w:pPr>
              <w:pageBreakBefore w:val="0"/>
              <w:widowControl w:val="0"/>
              <w:kinsoku/>
              <w:wordWrap/>
              <w:overflowPunct/>
              <w:topLinePunct w:val="0"/>
              <w:bidi w:val="0"/>
              <w:snapToGrid/>
              <w:spacing w:line="240" w:lineRule="auto"/>
              <w:jc w:val="center"/>
              <w:textAlignment w:val="auto"/>
              <w:rPr>
                <w:rFonts w:hint="default" w:ascii="宋体" w:hAnsi="宋体" w:eastAsia="宋体" w:cstheme="minorBidi"/>
                <w:b w:val="0"/>
                <w:bCs/>
                <w:color w:val="auto"/>
                <w:kern w:val="2"/>
                <w:sz w:val="18"/>
                <w:szCs w:val="18"/>
                <w:highlight w:val="none"/>
                <w:lang w:val="en-US" w:eastAsia="zh-CN" w:bidi="ar-SA"/>
              </w:rPr>
            </w:pPr>
            <w:r>
              <w:rPr>
                <w:rFonts w:hint="eastAsia" w:ascii="宋体" w:hAnsi="宋体" w:eastAsia="宋体"/>
                <w:b w:val="0"/>
                <w:bCs/>
                <w:color w:val="auto"/>
                <w:sz w:val="18"/>
                <w:szCs w:val="18"/>
                <w:highlight w:val="none"/>
                <w:lang w:val="en-US" w:eastAsia="zh-CN"/>
              </w:rPr>
              <w:t>三</w:t>
            </w:r>
          </w:p>
        </w:tc>
        <w:tc>
          <w:tcPr>
            <w:tcW w:w="6779" w:type="dxa"/>
            <w:gridSpan w:val="2"/>
            <w:vAlign w:val="center"/>
          </w:tcPr>
          <w:p w14:paraId="31C60C77">
            <w:pPr>
              <w:keepNext w:val="0"/>
              <w:keepLines w:val="0"/>
              <w:pageBreakBefore w:val="0"/>
              <w:kinsoku/>
              <w:wordWrap/>
              <w:overflowPunct/>
              <w:topLinePunct w:val="0"/>
              <w:bidi w:val="0"/>
              <w:adjustRightInd w:val="0"/>
              <w:snapToGrid w:val="0"/>
              <w:spacing w:beforeAutospacing="0" w:line="360" w:lineRule="auto"/>
              <w:ind w:right="0"/>
              <w:jc w:val="left"/>
              <w:textAlignment w:val="auto"/>
              <w:rPr>
                <w:rFonts w:ascii="宋体" w:hAnsi="宋体" w:eastAsia="宋体"/>
                <w:b w:val="0"/>
                <w:bCs w:val="0"/>
                <w:color w:val="auto"/>
                <w:sz w:val="18"/>
                <w:szCs w:val="18"/>
                <w:highlight w:val="none"/>
              </w:rPr>
            </w:pPr>
            <w:r>
              <w:rPr>
                <w:rFonts w:hint="eastAsia" w:ascii="宋体" w:hAnsi="宋体" w:eastAsia="宋体" w:cs="宋体"/>
                <w:b w:val="0"/>
                <w:bCs w:val="0"/>
                <w:color w:val="auto"/>
                <w:kern w:val="2"/>
                <w:sz w:val="21"/>
                <w:szCs w:val="21"/>
                <w:highlight w:val="none"/>
                <w:lang w:val="zh-CN"/>
              </w:rPr>
              <w:t>物联网终端传输规约要求</w:t>
            </w:r>
          </w:p>
        </w:tc>
        <w:tc>
          <w:tcPr>
            <w:tcW w:w="721" w:type="dxa"/>
            <w:vAlign w:val="center"/>
          </w:tcPr>
          <w:p w14:paraId="7B25C122">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049" w:type="dxa"/>
            <w:vAlign w:val="center"/>
          </w:tcPr>
          <w:p w14:paraId="0BB541B2">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631" w:type="dxa"/>
            <w:vAlign w:val="center"/>
          </w:tcPr>
          <w:p w14:paraId="6AD0A116">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061A0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dxa"/>
            <w:vAlign w:val="center"/>
          </w:tcPr>
          <w:p w14:paraId="0DD1BCD0">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4</w:t>
            </w:r>
          </w:p>
        </w:tc>
        <w:tc>
          <w:tcPr>
            <w:tcW w:w="831" w:type="dxa"/>
            <w:vAlign w:val="center"/>
          </w:tcPr>
          <w:p w14:paraId="6FC9B73D">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bidi="ar-SA"/>
              </w:rPr>
            </w:pPr>
            <w:r>
              <w:rPr>
                <w:rFonts w:hint="eastAsia" w:ascii="宋体" w:hAnsi="宋体" w:eastAsia="宋体" w:cs="Times New Roman"/>
                <w:b w:val="0"/>
                <w:bCs/>
                <w:color w:val="auto"/>
                <w:kern w:val="0"/>
                <w:sz w:val="18"/>
                <w:szCs w:val="18"/>
                <w:highlight w:val="none"/>
                <w:lang w:val="en-US" w:eastAsia="zh-CN"/>
              </w:rPr>
              <w:t>四</w:t>
            </w:r>
          </w:p>
        </w:tc>
        <w:tc>
          <w:tcPr>
            <w:tcW w:w="6779" w:type="dxa"/>
            <w:gridSpan w:val="2"/>
            <w:vAlign w:val="center"/>
          </w:tcPr>
          <w:p w14:paraId="68966DB2">
            <w:pPr>
              <w:keepNext w:val="0"/>
              <w:keepLines w:val="0"/>
              <w:pageBreakBefore w:val="0"/>
              <w:kinsoku/>
              <w:wordWrap/>
              <w:overflowPunct/>
              <w:topLinePunct w:val="0"/>
              <w:bidi w:val="0"/>
              <w:adjustRightInd w:val="0"/>
              <w:snapToGrid w:val="0"/>
              <w:spacing w:beforeAutospacing="0" w:line="360" w:lineRule="auto"/>
              <w:ind w:right="0"/>
              <w:jc w:val="left"/>
              <w:textAlignment w:val="auto"/>
              <w:rPr>
                <w:rFonts w:hint="default" w:ascii="宋体" w:hAnsi="宋体" w:eastAsia="宋体"/>
                <w:b w:val="0"/>
                <w:bCs w:val="0"/>
                <w:color w:val="auto"/>
                <w:sz w:val="18"/>
                <w:szCs w:val="18"/>
                <w:highlight w:val="none"/>
                <w:lang w:val="en-US" w:eastAsia="zh-CN"/>
              </w:rPr>
            </w:pPr>
            <w:r>
              <w:rPr>
                <w:rFonts w:hint="eastAsia" w:ascii="宋体" w:hAnsi="宋体" w:eastAsia="宋体" w:cs="宋体"/>
                <w:b w:val="0"/>
                <w:bCs w:val="0"/>
                <w:color w:val="auto"/>
                <w:sz w:val="21"/>
                <w:szCs w:val="21"/>
                <w:highlight w:val="none"/>
                <w:lang w:val="en-US" w:eastAsia="zh-CN"/>
              </w:rPr>
              <w:t>售后服务及质保期</w:t>
            </w:r>
          </w:p>
        </w:tc>
        <w:tc>
          <w:tcPr>
            <w:tcW w:w="721" w:type="dxa"/>
            <w:vAlign w:val="center"/>
          </w:tcPr>
          <w:p w14:paraId="19552697">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049" w:type="dxa"/>
            <w:vAlign w:val="center"/>
          </w:tcPr>
          <w:p w14:paraId="453DF9E6">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631" w:type="dxa"/>
            <w:vAlign w:val="center"/>
          </w:tcPr>
          <w:p w14:paraId="5ABFFBC2">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01F0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dxa"/>
            <w:vAlign w:val="center"/>
          </w:tcPr>
          <w:p w14:paraId="435F239F">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5</w:t>
            </w:r>
          </w:p>
        </w:tc>
        <w:tc>
          <w:tcPr>
            <w:tcW w:w="831" w:type="dxa"/>
            <w:vAlign w:val="center"/>
          </w:tcPr>
          <w:p w14:paraId="70FDD896">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bidi="ar-SA"/>
              </w:rPr>
            </w:pPr>
            <w:r>
              <w:rPr>
                <w:rFonts w:hint="eastAsia" w:ascii="宋体" w:hAnsi="宋体" w:eastAsia="宋体" w:cs="Times New Roman"/>
                <w:b w:val="0"/>
                <w:bCs/>
                <w:color w:val="auto"/>
                <w:kern w:val="0"/>
                <w:sz w:val="18"/>
                <w:szCs w:val="18"/>
                <w:highlight w:val="none"/>
                <w:lang w:val="en-US" w:eastAsia="zh-CN"/>
              </w:rPr>
              <w:t>五</w:t>
            </w:r>
          </w:p>
        </w:tc>
        <w:tc>
          <w:tcPr>
            <w:tcW w:w="6779" w:type="dxa"/>
            <w:gridSpan w:val="2"/>
            <w:vAlign w:val="center"/>
          </w:tcPr>
          <w:p w14:paraId="659B00B5">
            <w:pPr>
              <w:pStyle w:val="37"/>
              <w:keepNext w:val="0"/>
              <w:keepLines w:val="0"/>
              <w:pageBreakBefore w:val="0"/>
              <w:kinsoku/>
              <w:wordWrap/>
              <w:topLinePunct w:val="0"/>
              <w:bidi w:val="0"/>
              <w:adjustRightInd w:val="0"/>
              <w:snapToGrid w:val="0"/>
              <w:spacing w:beforeAutospacing="0" w:after="0" w:line="360" w:lineRule="auto"/>
              <w:ind w:left="0" w:leftChars="0" w:right="0" w:firstLine="0" w:firstLineChars="0"/>
              <w:jc w:val="left"/>
              <w:rPr>
                <w:rFonts w:hint="eastAsia" w:ascii="宋体" w:hAnsi="宋体" w:eastAsia="宋体"/>
                <w:b w:val="0"/>
                <w:bCs w:val="0"/>
                <w:color w:val="auto"/>
                <w:sz w:val="18"/>
                <w:szCs w:val="18"/>
                <w:highlight w:val="none"/>
                <w:lang w:val="en-US" w:eastAsia="zh-CN"/>
              </w:rPr>
            </w:pPr>
            <w:r>
              <w:rPr>
                <w:rFonts w:hint="eastAsia" w:ascii="宋体" w:hAnsi="宋体" w:eastAsia="宋体" w:cs="宋体"/>
                <w:b w:val="0"/>
                <w:bCs w:val="0"/>
                <w:color w:val="auto"/>
                <w:sz w:val="21"/>
                <w:szCs w:val="21"/>
                <w:highlight w:val="none"/>
                <w:lang w:val="en-US" w:eastAsia="zh-CN"/>
              </w:rPr>
              <w:t>货款结算方式</w:t>
            </w:r>
          </w:p>
        </w:tc>
        <w:tc>
          <w:tcPr>
            <w:tcW w:w="721" w:type="dxa"/>
            <w:vAlign w:val="center"/>
          </w:tcPr>
          <w:p w14:paraId="310EB29A">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049" w:type="dxa"/>
            <w:vAlign w:val="center"/>
          </w:tcPr>
          <w:p w14:paraId="4AA50A62">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631" w:type="dxa"/>
            <w:vAlign w:val="center"/>
          </w:tcPr>
          <w:p w14:paraId="20670846">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539B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dxa"/>
            <w:vAlign w:val="center"/>
          </w:tcPr>
          <w:p w14:paraId="426405A6">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6</w:t>
            </w:r>
          </w:p>
        </w:tc>
        <w:tc>
          <w:tcPr>
            <w:tcW w:w="831" w:type="dxa"/>
            <w:vAlign w:val="center"/>
          </w:tcPr>
          <w:p w14:paraId="25593D62">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bidi="ar-SA"/>
              </w:rPr>
            </w:pPr>
            <w:r>
              <w:rPr>
                <w:rFonts w:hint="eastAsia" w:ascii="宋体" w:hAnsi="宋体" w:eastAsia="宋体" w:cs="Times New Roman"/>
                <w:b w:val="0"/>
                <w:bCs/>
                <w:color w:val="auto"/>
                <w:kern w:val="0"/>
                <w:sz w:val="18"/>
                <w:szCs w:val="18"/>
                <w:highlight w:val="none"/>
                <w:lang w:val="en-US" w:eastAsia="zh-CN"/>
              </w:rPr>
              <w:t>六</w:t>
            </w:r>
          </w:p>
        </w:tc>
        <w:tc>
          <w:tcPr>
            <w:tcW w:w="6779" w:type="dxa"/>
            <w:gridSpan w:val="2"/>
            <w:vAlign w:val="center"/>
          </w:tcPr>
          <w:p w14:paraId="5D9B9DD0">
            <w:pPr>
              <w:jc w:val="left"/>
              <w:rPr>
                <w:rFonts w:hint="eastAsia" w:ascii="宋体" w:hAnsi="宋体" w:eastAsia="宋体"/>
                <w:b w:val="0"/>
                <w:bCs w:val="0"/>
                <w:color w:val="auto"/>
                <w:sz w:val="18"/>
                <w:szCs w:val="18"/>
                <w:highlight w:val="none"/>
                <w:lang w:val="en-US" w:eastAsia="zh-CN"/>
              </w:rPr>
            </w:pPr>
            <w:r>
              <w:rPr>
                <w:rFonts w:hint="eastAsia" w:ascii="宋体" w:hAnsi="宋体" w:eastAsia="宋体" w:cs="宋体"/>
                <w:b w:val="0"/>
                <w:bCs w:val="0"/>
                <w:color w:val="auto"/>
                <w:sz w:val="21"/>
                <w:szCs w:val="21"/>
                <w:highlight w:val="none"/>
                <w:lang w:val="en-US" w:eastAsia="zh-CN"/>
              </w:rPr>
              <w:t>货款支付方式</w:t>
            </w:r>
          </w:p>
        </w:tc>
        <w:tc>
          <w:tcPr>
            <w:tcW w:w="721" w:type="dxa"/>
            <w:vAlign w:val="center"/>
          </w:tcPr>
          <w:p w14:paraId="1F8F8705">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049" w:type="dxa"/>
            <w:vAlign w:val="center"/>
          </w:tcPr>
          <w:p w14:paraId="120A9AAB">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631" w:type="dxa"/>
            <w:vAlign w:val="center"/>
          </w:tcPr>
          <w:p w14:paraId="34DF0AB0">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3748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dxa"/>
            <w:vAlign w:val="center"/>
          </w:tcPr>
          <w:p w14:paraId="60BC392A">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7</w:t>
            </w:r>
          </w:p>
        </w:tc>
        <w:tc>
          <w:tcPr>
            <w:tcW w:w="831" w:type="dxa"/>
            <w:vAlign w:val="center"/>
          </w:tcPr>
          <w:p w14:paraId="31B01F42">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bidi="ar-SA"/>
              </w:rPr>
            </w:pPr>
            <w:r>
              <w:rPr>
                <w:rFonts w:hint="eastAsia" w:ascii="宋体" w:hAnsi="宋体" w:eastAsia="宋体" w:cs="Times New Roman"/>
                <w:b w:val="0"/>
                <w:bCs/>
                <w:color w:val="auto"/>
                <w:kern w:val="0"/>
                <w:sz w:val="18"/>
                <w:szCs w:val="18"/>
                <w:highlight w:val="none"/>
                <w:lang w:val="en-US" w:eastAsia="zh-CN"/>
              </w:rPr>
              <w:t>七</w:t>
            </w:r>
          </w:p>
        </w:tc>
        <w:tc>
          <w:tcPr>
            <w:tcW w:w="6779" w:type="dxa"/>
            <w:gridSpan w:val="2"/>
            <w:vAlign w:val="center"/>
          </w:tcPr>
          <w:p w14:paraId="475A2F04">
            <w:pPr>
              <w:pageBreakBefore w:val="0"/>
              <w:widowControl w:val="0"/>
              <w:kinsoku/>
              <w:wordWrap/>
              <w:overflowPunct/>
              <w:topLinePunct w:val="0"/>
              <w:bidi w:val="0"/>
              <w:snapToGrid/>
              <w:spacing w:line="240" w:lineRule="auto"/>
              <w:jc w:val="left"/>
              <w:textAlignment w:val="auto"/>
              <w:rPr>
                <w:rFonts w:hint="eastAsia" w:ascii="宋体" w:hAnsi="宋体" w:eastAsia="宋体"/>
                <w:b w:val="0"/>
                <w:bCs w:val="0"/>
                <w:color w:val="auto"/>
                <w:sz w:val="18"/>
                <w:szCs w:val="18"/>
                <w:highlight w:val="none"/>
                <w:lang w:val="en-US" w:eastAsia="zh-CN"/>
              </w:rPr>
            </w:pPr>
            <w:r>
              <w:rPr>
                <w:rFonts w:hint="eastAsia" w:ascii="宋体" w:hAnsi="宋体" w:eastAsia="宋体" w:cs="宋体"/>
                <w:b w:val="0"/>
                <w:bCs w:val="0"/>
                <w:color w:val="auto"/>
                <w:sz w:val="21"/>
                <w:szCs w:val="21"/>
                <w:highlight w:val="none"/>
                <w:lang w:val="en-US" w:eastAsia="zh-CN"/>
              </w:rPr>
              <w:t>预算表</w:t>
            </w:r>
          </w:p>
        </w:tc>
        <w:tc>
          <w:tcPr>
            <w:tcW w:w="721" w:type="dxa"/>
            <w:vAlign w:val="center"/>
          </w:tcPr>
          <w:p w14:paraId="2814074E">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049" w:type="dxa"/>
            <w:vAlign w:val="center"/>
          </w:tcPr>
          <w:p w14:paraId="09A9EC07">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631" w:type="dxa"/>
            <w:vAlign w:val="center"/>
          </w:tcPr>
          <w:p w14:paraId="0AD7525C">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6FACB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9" w:type="dxa"/>
            <w:gridSpan w:val="4"/>
            <w:vAlign w:val="center"/>
          </w:tcPr>
          <w:p w14:paraId="0A6F701F">
            <w:pPr>
              <w:keepNext/>
              <w:keepLines/>
              <w:pageBreakBefore w:val="0"/>
              <w:widowControl w:val="0"/>
              <w:kinsoku/>
              <w:wordWrap/>
              <w:overflowPunct/>
              <w:topLinePunct w:val="0"/>
              <w:bidi w:val="0"/>
              <w:snapToGrid/>
              <w:spacing w:line="240" w:lineRule="auto"/>
              <w:jc w:val="both"/>
              <w:textAlignment w:val="auto"/>
              <w:outlineLvl w:val="2"/>
              <w:rPr>
                <w:rFonts w:ascii="宋体" w:hAnsi="宋体" w:eastAsia="宋体" w:cs="宋体"/>
                <w:b w:val="0"/>
                <w:bCs/>
                <w:color w:val="auto"/>
                <w:kern w:val="0"/>
                <w:sz w:val="18"/>
                <w:szCs w:val="18"/>
                <w:highlight w:val="none"/>
              </w:rPr>
            </w:pPr>
            <w:bookmarkStart w:id="804" w:name="_Toc30709"/>
            <w:r>
              <w:rPr>
                <w:rFonts w:hint="eastAsia" w:ascii="宋体" w:hAnsi="宋体" w:eastAsia="宋体" w:cs="宋体"/>
                <w:color w:val="auto"/>
                <w:sz w:val="21"/>
                <w:szCs w:val="21"/>
                <w:highlight w:val="none"/>
              </w:rPr>
              <w:t>用户需求书★技术参数条款汇总</w:t>
            </w:r>
            <w:bookmarkEnd w:id="804"/>
          </w:p>
        </w:tc>
        <w:tc>
          <w:tcPr>
            <w:tcW w:w="2401" w:type="dxa"/>
            <w:gridSpan w:val="3"/>
            <w:vAlign w:val="center"/>
          </w:tcPr>
          <w:p w14:paraId="025B6A98">
            <w:pPr>
              <w:keepNext/>
              <w:keepLines/>
              <w:pageBreakBefore w:val="0"/>
              <w:widowControl w:val="0"/>
              <w:kinsoku/>
              <w:wordWrap/>
              <w:overflowPunct/>
              <w:topLinePunct w:val="0"/>
              <w:bidi w:val="0"/>
              <w:snapToGrid/>
              <w:spacing w:line="240" w:lineRule="auto"/>
              <w:jc w:val="both"/>
              <w:textAlignment w:val="auto"/>
              <w:outlineLvl w:val="2"/>
              <w:rPr>
                <w:rFonts w:hint="eastAsia" w:ascii="宋体" w:hAnsi="宋体" w:eastAsia="宋体" w:cs="宋体"/>
                <w:color w:val="auto"/>
                <w:sz w:val="21"/>
                <w:szCs w:val="21"/>
                <w:highlight w:val="none"/>
              </w:rPr>
            </w:pPr>
          </w:p>
        </w:tc>
      </w:tr>
      <w:tr w14:paraId="78AC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dxa"/>
            <w:vAlign w:val="center"/>
          </w:tcPr>
          <w:p w14:paraId="44DF47E5">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p>
        </w:tc>
        <w:tc>
          <w:tcPr>
            <w:tcW w:w="831" w:type="dxa"/>
            <w:vAlign w:val="center"/>
          </w:tcPr>
          <w:p w14:paraId="3F68D69B">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677" w:type="dxa"/>
            <w:vMerge w:val="restart"/>
            <w:vAlign w:val="center"/>
          </w:tcPr>
          <w:p w14:paraId="4385A6AB">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r>
              <w:rPr>
                <w:rFonts w:hint="eastAsia" w:ascii="宋体" w:hAnsi="宋体" w:eastAsia="宋体" w:cs="宋体"/>
                <w:color w:val="auto"/>
                <w:sz w:val="21"/>
                <w:szCs w:val="21"/>
                <w:highlight w:val="none"/>
              </w:rPr>
              <w:t>水表技术要求</w:t>
            </w:r>
          </w:p>
        </w:tc>
        <w:tc>
          <w:tcPr>
            <w:tcW w:w="6102" w:type="dxa"/>
            <w:vAlign w:val="center"/>
          </w:tcPr>
          <w:p w14:paraId="11C15827">
            <w:pPr>
              <w:keepNext w:val="0"/>
              <w:keepLines w:val="0"/>
              <w:pageBreakBefore w:val="0"/>
              <w:kinsoku/>
              <w:wordWrap/>
              <w:overflowPunct/>
              <w:topLinePunct w:val="0"/>
              <w:bidi w:val="0"/>
              <w:adjustRightInd w:val="0"/>
              <w:snapToGrid w:val="0"/>
              <w:spacing w:before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★2.1.3 防护等级：IP68。</w:t>
            </w:r>
          </w:p>
        </w:tc>
        <w:tc>
          <w:tcPr>
            <w:tcW w:w="721" w:type="dxa"/>
            <w:vAlign w:val="center"/>
          </w:tcPr>
          <w:p w14:paraId="5C03F869">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049" w:type="dxa"/>
            <w:vAlign w:val="center"/>
          </w:tcPr>
          <w:p w14:paraId="2B515D46">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631" w:type="dxa"/>
            <w:vAlign w:val="center"/>
          </w:tcPr>
          <w:p w14:paraId="6FECC5F4">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7DAA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dxa"/>
            <w:vAlign w:val="center"/>
          </w:tcPr>
          <w:p w14:paraId="5460416F">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w:t>
            </w:r>
          </w:p>
        </w:tc>
        <w:tc>
          <w:tcPr>
            <w:tcW w:w="831" w:type="dxa"/>
            <w:vAlign w:val="center"/>
          </w:tcPr>
          <w:p w14:paraId="42F3D24F">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677" w:type="dxa"/>
            <w:vMerge w:val="continue"/>
            <w:vAlign w:val="center"/>
          </w:tcPr>
          <w:p w14:paraId="5EFA4439">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p>
        </w:tc>
        <w:tc>
          <w:tcPr>
            <w:tcW w:w="6102" w:type="dxa"/>
            <w:vAlign w:val="center"/>
          </w:tcPr>
          <w:p w14:paraId="33559725">
            <w:pPr>
              <w:keepNext w:val="0"/>
              <w:keepLines w:val="0"/>
              <w:pageBreakBefore w:val="0"/>
              <w:kinsoku/>
              <w:wordWrap/>
              <w:overflowPunct/>
              <w:topLinePunct w:val="0"/>
              <w:bidi w:val="0"/>
              <w:adjustRightInd w:val="0"/>
              <w:snapToGrid w:val="0"/>
              <w:spacing w:before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 水表准确度等级：2级。</w:t>
            </w:r>
          </w:p>
        </w:tc>
        <w:tc>
          <w:tcPr>
            <w:tcW w:w="721" w:type="dxa"/>
            <w:vAlign w:val="center"/>
          </w:tcPr>
          <w:p w14:paraId="55274EA7">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049" w:type="dxa"/>
            <w:vAlign w:val="center"/>
          </w:tcPr>
          <w:p w14:paraId="2B0F9A43">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631" w:type="dxa"/>
            <w:vAlign w:val="center"/>
          </w:tcPr>
          <w:p w14:paraId="26E6E994">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61FE1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jc w:val="center"/>
        </w:trPr>
        <w:tc>
          <w:tcPr>
            <w:tcW w:w="359" w:type="dxa"/>
            <w:vAlign w:val="center"/>
          </w:tcPr>
          <w:p w14:paraId="7A3F4DD0">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w:t>
            </w:r>
          </w:p>
        </w:tc>
        <w:tc>
          <w:tcPr>
            <w:tcW w:w="831" w:type="dxa"/>
            <w:vAlign w:val="center"/>
          </w:tcPr>
          <w:p w14:paraId="77C637E5">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677" w:type="dxa"/>
            <w:vMerge w:val="continue"/>
            <w:vAlign w:val="center"/>
          </w:tcPr>
          <w:p w14:paraId="272A8930">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p>
        </w:tc>
        <w:tc>
          <w:tcPr>
            <w:tcW w:w="6102" w:type="dxa"/>
            <w:vAlign w:val="center"/>
          </w:tcPr>
          <w:p w14:paraId="63EB5F02">
            <w:pPr>
              <w:pStyle w:val="210"/>
              <w:keepNext w:val="0"/>
              <w:keepLines w:val="0"/>
              <w:pageBreakBefore w:val="0"/>
              <w:kinsoku/>
              <w:wordWrap/>
              <w:topLinePunct w:val="0"/>
              <w:bidi w:val="0"/>
              <w:adjustRightInd w:val="0"/>
              <w:snapToGrid w:val="0"/>
              <w:spacing w:beforeAutospacing="0" w:line="360" w:lineRule="auto"/>
              <w:ind w:left="0" w:leftChars="0" w:right="0" w:firstLine="0" w:firstLineChars="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 xml:space="preserve">4 </w:t>
            </w:r>
            <w:r>
              <w:rPr>
                <w:rFonts w:hint="eastAsia" w:ascii="宋体" w:hAnsi="宋体" w:eastAsia="宋体" w:cs="宋体"/>
                <w:b w:val="0"/>
                <w:bCs w:val="0"/>
                <w:color w:val="auto"/>
                <w:kern w:val="0"/>
                <w:sz w:val="21"/>
                <w:szCs w:val="21"/>
                <w:highlight w:val="none"/>
              </w:rPr>
              <w:t>流量参数要求</w:t>
            </w:r>
          </w:p>
          <w:tbl>
            <w:tblPr>
              <w:tblStyle w:val="39"/>
              <w:tblW w:w="6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056"/>
              <w:gridCol w:w="1266"/>
              <w:gridCol w:w="1337"/>
              <w:gridCol w:w="1475"/>
            </w:tblGrid>
            <w:tr w14:paraId="13E9E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noWrap/>
                  <w:vAlign w:val="center"/>
                </w:tcPr>
                <w:p w14:paraId="1525D576">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水表类型</w:t>
                  </w:r>
                </w:p>
              </w:tc>
              <w:tc>
                <w:tcPr>
                  <w:tcW w:w="1056" w:type="dxa"/>
                  <w:noWrap/>
                  <w:vAlign w:val="center"/>
                </w:tcPr>
                <w:p w14:paraId="599E99A7">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公称口径</w:t>
                  </w:r>
                </w:p>
                <w:p w14:paraId="3C66C67B">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DN(mm)</w:t>
                  </w:r>
                </w:p>
              </w:tc>
              <w:tc>
                <w:tcPr>
                  <w:tcW w:w="1266" w:type="dxa"/>
                  <w:noWrap/>
                  <w:vAlign w:val="center"/>
                </w:tcPr>
                <w:p w14:paraId="6DBD291D">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常用流量</w:t>
                  </w:r>
                </w:p>
                <w:p w14:paraId="1486196C">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Q3（m³/h）</w:t>
                  </w:r>
                </w:p>
              </w:tc>
              <w:tc>
                <w:tcPr>
                  <w:tcW w:w="1337" w:type="dxa"/>
                  <w:noWrap/>
                  <w:vAlign w:val="center"/>
                </w:tcPr>
                <w:p w14:paraId="4A3D922F">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常用流量/最小流量</w:t>
                  </w:r>
                </w:p>
                <w:p w14:paraId="58C64A99">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Q3/Q1</w:t>
                  </w:r>
                </w:p>
              </w:tc>
              <w:tc>
                <w:tcPr>
                  <w:tcW w:w="1475" w:type="dxa"/>
                  <w:noWrap/>
                  <w:vAlign w:val="center"/>
                </w:tcPr>
                <w:p w14:paraId="4FD76356">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分界流量/最小流量Q2/Q1</w:t>
                  </w:r>
                </w:p>
              </w:tc>
            </w:tr>
            <w:tr w14:paraId="79C73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restart"/>
                  <w:noWrap/>
                  <w:vAlign w:val="center"/>
                </w:tcPr>
                <w:p w14:paraId="36F41765">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电磁水表</w:t>
                  </w:r>
                </w:p>
              </w:tc>
              <w:tc>
                <w:tcPr>
                  <w:tcW w:w="1056" w:type="dxa"/>
                  <w:noWrap/>
                  <w:vAlign w:val="center"/>
                </w:tcPr>
                <w:p w14:paraId="1DEEC8BE">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DN80</w:t>
                  </w:r>
                </w:p>
              </w:tc>
              <w:tc>
                <w:tcPr>
                  <w:tcW w:w="1266" w:type="dxa"/>
                  <w:noWrap/>
                  <w:vAlign w:val="center"/>
                </w:tcPr>
                <w:p w14:paraId="076C0AD2">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100</w:t>
                  </w:r>
                </w:p>
              </w:tc>
              <w:tc>
                <w:tcPr>
                  <w:tcW w:w="1337" w:type="dxa"/>
                  <w:noWrap/>
                  <w:vAlign w:val="center"/>
                </w:tcPr>
                <w:p w14:paraId="52D27A42">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≥250</w:t>
                  </w:r>
                </w:p>
              </w:tc>
              <w:tc>
                <w:tcPr>
                  <w:tcW w:w="1475" w:type="dxa"/>
                  <w:noWrap/>
                  <w:vAlign w:val="center"/>
                </w:tcPr>
                <w:p w14:paraId="467CC9B7">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1.6</w:t>
                  </w:r>
                </w:p>
              </w:tc>
            </w:tr>
            <w:tr w14:paraId="0BB5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6" w:type="dxa"/>
                  <w:vMerge w:val="continue"/>
                  <w:noWrap/>
                  <w:vAlign w:val="center"/>
                </w:tcPr>
                <w:p w14:paraId="288E2799">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1056" w:type="dxa"/>
                  <w:noWrap/>
                  <w:vAlign w:val="center"/>
                </w:tcPr>
                <w:p w14:paraId="4F1945D8">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DN100</w:t>
                  </w:r>
                </w:p>
              </w:tc>
              <w:tc>
                <w:tcPr>
                  <w:tcW w:w="1266" w:type="dxa"/>
                  <w:noWrap/>
                  <w:vAlign w:val="center"/>
                </w:tcPr>
                <w:p w14:paraId="74AC40F7">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250</w:t>
                  </w:r>
                </w:p>
              </w:tc>
              <w:tc>
                <w:tcPr>
                  <w:tcW w:w="1337" w:type="dxa"/>
                  <w:noWrap/>
                  <w:vAlign w:val="center"/>
                </w:tcPr>
                <w:p w14:paraId="6EBE2AD6">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≥250</w:t>
                  </w:r>
                </w:p>
              </w:tc>
              <w:tc>
                <w:tcPr>
                  <w:tcW w:w="1475" w:type="dxa"/>
                  <w:noWrap/>
                  <w:vAlign w:val="center"/>
                </w:tcPr>
                <w:p w14:paraId="3C830D4D">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1.6</w:t>
                  </w:r>
                </w:p>
              </w:tc>
            </w:tr>
            <w:tr w14:paraId="0829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continue"/>
                  <w:noWrap/>
                  <w:vAlign w:val="center"/>
                </w:tcPr>
                <w:p w14:paraId="66D42AF3">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1056" w:type="dxa"/>
                  <w:noWrap/>
                  <w:vAlign w:val="center"/>
                </w:tcPr>
                <w:p w14:paraId="460CDF0F">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DN150</w:t>
                  </w:r>
                </w:p>
              </w:tc>
              <w:tc>
                <w:tcPr>
                  <w:tcW w:w="1266" w:type="dxa"/>
                  <w:noWrap/>
                  <w:vAlign w:val="center"/>
                </w:tcPr>
                <w:p w14:paraId="591F12F1">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400</w:t>
                  </w:r>
                </w:p>
              </w:tc>
              <w:tc>
                <w:tcPr>
                  <w:tcW w:w="1337" w:type="dxa"/>
                  <w:noWrap/>
                  <w:vAlign w:val="center"/>
                </w:tcPr>
                <w:p w14:paraId="54D1F140">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≥250</w:t>
                  </w:r>
                </w:p>
              </w:tc>
              <w:tc>
                <w:tcPr>
                  <w:tcW w:w="1475" w:type="dxa"/>
                  <w:noWrap/>
                  <w:vAlign w:val="center"/>
                </w:tcPr>
                <w:p w14:paraId="2D03E58C">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1.6</w:t>
                  </w:r>
                </w:p>
              </w:tc>
            </w:tr>
            <w:tr w14:paraId="4C79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continue"/>
                  <w:noWrap/>
                  <w:vAlign w:val="center"/>
                </w:tcPr>
                <w:p w14:paraId="3DDDE28D">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1056" w:type="dxa"/>
                  <w:noWrap/>
                  <w:vAlign w:val="center"/>
                </w:tcPr>
                <w:p w14:paraId="7CCF787A">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DN200</w:t>
                  </w:r>
                </w:p>
              </w:tc>
              <w:tc>
                <w:tcPr>
                  <w:tcW w:w="1266" w:type="dxa"/>
                  <w:noWrap/>
                  <w:vAlign w:val="center"/>
                </w:tcPr>
                <w:p w14:paraId="3E4B5E65">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630</w:t>
                  </w:r>
                </w:p>
              </w:tc>
              <w:tc>
                <w:tcPr>
                  <w:tcW w:w="1337" w:type="dxa"/>
                  <w:noWrap/>
                  <w:vAlign w:val="center"/>
                </w:tcPr>
                <w:p w14:paraId="05D4C25B">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≥250</w:t>
                  </w:r>
                </w:p>
              </w:tc>
              <w:tc>
                <w:tcPr>
                  <w:tcW w:w="1475" w:type="dxa"/>
                  <w:noWrap/>
                  <w:vAlign w:val="center"/>
                </w:tcPr>
                <w:p w14:paraId="4ED455F2">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1.6</w:t>
                  </w:r>
                </w:p>
              </w:tc>
            </w:tr>
            <w:tr w14:paraId="18D0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continue"/>
                  <w:noWrap/>
                  <w:vAlign w:val="center"/>
                </w:tcPr>
                <w:p w14:paraId="706E0C03">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1056" w:type="dxa"/>
                  <w:noWrap/>
                  <w:vAlign w:val="center"/>
                </w:tcPr>
                <w:p w14:paraId="234808D6">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DN250</w:t>
                  </w:r>
                </w:p>
              </w:tc>
              <w:tc>
                <w:tcPr>
                  <w:tcW w:w="1266" w:type="dxa"/>
                  <w:noWrap/>
                  <w:vAlign w:val="center"/>
                </w:tcPr>
                <w:p w14:paraId="2B8DD41B">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1000</w:t>
                  </w:r>
                </w:p>
              </w:tc>
              <w:tc>
                <w:tcPr>
                  <w:tcW w:w="1337" w:type="dxa"/>
                  <w:noWrap/>
                  <w:vAlign w:val="center"/>
                </w:tcPr>
                <w:p w14:paraId="1B1A70B4">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≥250</w:t>
                  </w:r>
                </w:p>
              </w:tc>
              <w:tc>
                <w:tcPr>
                  <w:tcW w:w="1475" w:type="dxa"/>
                  <w:noWrap/>
                  <w:vAlign w:val="center"/>
                </w:tcPr>
                <w:p w14:paraId="5E7C8BA5">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1.6</w:t>
                  </w:r>
                </w:p>
              </w:tc>
            </w:tr>
            <w:tr w14:paraId="4AA7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continue"/>
                  <w:noWrap/>
                  <w:vAlign w:val="center"/>
                </w:tcPr>
                <w:p w14:paraId="1EA2DECA">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1056" w:type="dxa"/>
                  <w:noWrap/>
                  <w:vAlign w:val="center"/>
                </w:tcPr>
                <w:p w14:paraId="05D22564">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DN300</w:t>
                  </w:r>
                </w:p>
              </w:tc>
              <w:tc>
                <w:tcPr>
                  <w:tcW w:w="1266" w:type="dxa"/>
                  <w:noWrap/>
                  <w:vAlign w:val="center"/>
                </w:tcPr>
                <w:p w14:paraId="1324785C">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1600</w:t>
                  </w:r>
                </w:p>
              </w:tc>
              <w:tc>
                <w:tcPr>
                  <w:tcW w:w="1337" w:type="dxa"/>
                  <w:noWrap/>
                  <w:vAlign w:val="center"/>
                </w:tcPr>
                <w:p w14:paraId="3605D273">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≥250</w:t>
                  </w:r>
                </w:p>
              </w:tc>
              <w:tc>
                <w:tcPr>
                  <w:tcW w:w="1475" w:type="dxa"/>
                  <w:noWrap/>
                  <w:vAlign w:val="center"/>
                </w:tcPr>
                <w:p w14:paraId="34236C3E">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1.6</w:t>
                  </w:r>
                </w:p>
              </w:tc>
            </w:tr>
          </w:tbl>
          <w:p w14:paraId="0066EDE0">
            <w:pPr>
              <w:keepNext w:val="0"/>
              <w:keepLines w:val="0"/>
              <w:pageBreakBefore w:val="0"/>
              <w:kinsoku/>
              <w:wordWrap/>
              <w:overflowPunct/>
              <w:topLinePunct w:val="0"/>
              <w:bidi w:val="0"/>
              <w:adjustRightInd w:val="0"/>
              <w:snapToGrid w:val="0"/>
              <w:spacing w:beforeAutospacing="0" w:line="360" w:lineRule="auto"/>
              <w:ind w:right="0"/>
              <w:textAlignment w:val="auto"/>
              <w:rPr>
                <w:rFonts w:hint="eastAsia" w:ascii="宋体" w:hAnsi="宋体" w:eastAsia="宋体" w:cs="宋体"/>
                <w:color w:val="auto"/>
                <w:sz w:val="21"/>
                <w:szCs w:val="21"/>
                <w:highlight w:val="none"/>
                <w:lang w:val="en-US" w:eastAsia="zh-CN"/>
              </w:rPr>
            </w:pPr>
          </w:p>
        </w:tc>
        <w:tc>
          <w:tcPr>
            <w:tcW w:w="721" w:type="dxa"/>
            <w:vAlign w:val="center"/>
          </w:tcPr>
          <w:p w14:paraId="209BEBEE">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049" w:type="dxa"/>
            <w:vAlign w:val="center"/>
          </w:tcPr>
          <w:p w14:paraId="75D435DD">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631" w:type="dxa"/>
            <w:vAlign w:val="center"/>
          </w:tcPr>
          <w:p w14:paraId="70F89A2D">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723C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dxa"/>
            <w:vAlign w:val="center"/>
          </w:tcPr>
          <w:p w14:paraId="7EE0239C">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w:t>
            </w:r>
          </w:p>
        </w:tc>
        <w:tc>
          <w:tcPr>
            <w:tcW w:w="831" w:type="dxa"/>
            <w:vAlign w:val="center"/>
          </w:tcPr>
          <w:p w14:paraId="4766FF12">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677" w:type="dxa"/>
            <w:vMerge w:val="continue"/>
            <w:vAlign w:val="center"/>
          </w:tcPr>
          <w:p w14:paraId="007F2673">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p>
        </w:tc>
        <w:tc>
          <w:tcPr>
            <w:tcW w:w="6102" w:type="dxa"/>
            <w:vAlign w:val="center"/>
          </w:tcPr>
          <w:p w14:paraId="48B5C955">
            <w:pPr>
              <w:keepNext w:val="0"/>
              <w:keepLines w:val="0"/>
              <w:pageBreakBefore w:val="0"/>
              <w:kinsoku/>
              <w:wordWrap/>
              <w:overflowPunct/>
              <w:topLinePunct w:val="0"/>
              <w:bidi w:val="0"/>
              <w:adjustRightInd w:val="0"/>
              <w:snapToGrid w:val="0"/>
              <w:spacing w:before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SA"/>
              </w:rPr>
              <w:t>★2.2.6 水表应印有“东莞水务环境集团供水公司L0G0+客服热线96968”字样（具体样式中标后由招标人提供），其中印刷费计入投标报价。水表外壳、指示装置或铭牌、不可分离的表盖上，应集中或分散标明计量参数、流向箭头、公称口径、制造年月和编号等信息。</w:t>
            </w:r>
          </w:p>
        </w:tc>
        <w:tc>
          <w:tcPr>
            <w:tcW w:w="721" w:type="dxa"/>
            <w:vAlign w:val="center"/>
          </w:tcPr>
          <w:p w14:paraId="69B18F9F">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049" w:type="dxa"/>
            <w:vAlign w:val="center"/>
          </w:tcPr>
          <w:p w14:paraId="03BDA61A">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631" w:type="dxa"/>
            <w:vAlign w:val="center"/>
          </w:tcPr>
          <w:p w14:paraId="6E65B4C8">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5CD0F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dxa"/>
            <w:vAlign w:val="center"/>
          </w:tcPr>
          <w:p w14:paraId="66367702">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w:t>
            </w:r>
          </w:p>
        </w:tc>
        <w:tc>
          <w:tcPr>
            <w:tcW w:w="831" w:type="dxa"/>
            <w:vAlign w:val="center"/>
          </w:tcPr>
          <w:p w14:paraId="372E2291">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677" w:type="dxa"/>
            <w:vMerge w:val="continue"/>
            <w:vAlign w:val="center"/>
          </w:tcPr>
          <w:p w14:paraId="4C0CA029">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p>
        </w:tc>
        <w:tc>
          <w:tcPr>
            <w:tcW w:w="6102" w:type="dxa"/>
            <w:vAlign w:val="center"/>
          </w:tcPr>
          <w:p w14:paraId="4F203E9C">
            <w:pPr>
              <w:keepNext w:val="0"/>
              <w:keepLines w:val="0"/>
              <w:pageBreakBefore w:val="0"/>
              <w:kinsoku/>
              <w:wordWrap/>
              <w:overflowPunct/>
              <w:topLinePunct w:val="0"/>
              <w:bidi w:val="0"/>
              <w:adjustRightInd w:val="0"/>
              <w:snapToGrid w:val="0"/>
              <w:spacing w:before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★2.2.23 首次检定：投标人在交货的同时，需提交货物出厂合格证明和东莞地区法定计量检定机构出具的水表检定合格证书或校准证书，并对所提交证书的真实性及准确性承担责任</w:t>
            </w:r>
            <w:r>
              <w:rPr>
                <w:rFonts w:hint="eastAsia" w:ascii="宋体" w:hAnsi="宋体" w:eastAsia="宋体" w:cs="宋体"/>
                <w:b/>
                <w:bCs/>
                <w:color w:val="auto"/>
                <w:sz w:val="21"/>
                <w:szCs w:val="21"/>
                <w:highlight w:val="none"/>
                <w:lang w:val="en-US" w:eastAsia="zh-CN"/>
              </w:rPr>
              <w:t>（投标阶段需就上述事项提供相关承诺文件）</w:t>
            </w:r>
            <w:r>
              <w:rPr>
                <w:rFonts w:hint="eastAsia" w:ascii="宋体" w:hAnsi="宋体" w:eastAsia="宋体" w:cs="宋体"/>
                <w:color w:val="auto"/>
                <w:sz w:val="21"/>
                <w:szCs w:val="21"/>
                <w:highlight w:val="none"/>
                <w:lang w:val="en-US" w:eastAsia="zh-CN"/>
              </w:rPr>
              <w:t>。</w:t>
            </w:r>
          </w:p>
        </w:tc>
        <w:tc>
          <w:tcPr>
            <w:tcW w:w="721" w:type="dxa"/>
            <w:vAlign w:val="center"/>
          </w:tcPr>
          <w:p w14:paraId="38D74375">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049" w:type="dxa"/>
            <w:vAlign w:val="center"/>
          </w:tcPr>
          <w:p w14:paraId="21431F48">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631" w:type="dxa"/>
            <w:vAlign w:val="center"/>
          </w:tcPr>
          <w:p w14:paraId="0A18759E">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0888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dxa"/>
            <w:vAlign w:val="center"/>
          </w:tcPr>
          <w:p w14:paraId="3E740958">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w:t>
            </w:r>
          </w:p>
        </w:tc>
        <w:tc>
          <w:tcPr>
            <w:tcW w:w="831" w:type="dxa"/>
            <w:vAlign w:val="center"/>
          </w:tcPr>
          <w:p w14:paraId="588FC8F0">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677" w:type="dxa"/>
            <w:vMerge w:val="continue"/>
            <w:vAlign w:val="center"/>
          </w:tcPr>
          <w:p w14:paraId="5B1B1AEF">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p>
        </w:tc>
        <w:tc>
          <w:tcPr>
            <w:tcW w:w="6102" w:type="dxa"/>
            <w:vAlign w:val="center"/>
          </w:tcPr>
          <w:p w14:paraId="2090A44E">
            <w:pPr>
              <w:keepNext w:val="0"/>
              <w:keepLines w:val="0"/>
              <w:pageBreakBefore w:val="0"/>
              <w:kinsoku/>
              <w:wordWrap/>
              <w:overflowPunct/>
              <w:topLinePunct w:val="0"/>
              <w:bidi w:val="0"/>
              <w:adjustRightInd w:val="0"/>
              <w:snapToGrid w:val="0"/>
              <w:spacing w:before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★2.3.7 水表远传模块采用无线通讯，应取得工信部颁发的入网许可证、无线电核准证书，通讯方式：支持NB-IoT无线物联网远传通讯。采用东莞本地通信运营商的通讯网络实现数据传输，并提供属地化日常通信运维服务</w:t>
            </w:r>
            <w:r>
              <w:rPr>
                <w:rFonts w:hint="eastAsia" w:ascii="宋体" w:hAnsi="宋体" w:eastAsia="宋体" w:cs="宋体"/>
                <w:b/>
                <w:bCs/>
                <w:color w:val="auto"/>
                <w:sz w:val="21"/>
                <w:szCs w:val="21"/>
                <w:highlight w:val="none"/>
                <w:lang w:val="en-US" w:eastAsia="zh-CN"/>
              </w:rPr>
              <w:t>（需提供产品说明书和相关承诺文件）</w:t>
            </w:r>
            <w:r>
              <w:rPr>
                <w:rFonts w:hint="eastAsia" w:ascii="宋体" w:hAnsi="宋体" w:eastAsia="宋体" w:cs="宋体"/>
                <w:color w:val="auto"/>
                <w:sz w:val="21"/>
                <w:szCs w:val="21"/>
                <w:highlight w:val="none"/>
                <w:lang w:val="en-US" w:eastAsia="zh-CN"/>
              </w:rPr>
              <w:t>。</w:t>
            </w:r>
          </w:p>
        </w:tc>
        <w:tc>
          <w:tcPr>
            <w:tcW w:w="721" w:type="dxa"/>
            <w:vAlign w:val="center"/>
          </w:tcPr>
          <w:p w14:paraId="2F1A3454">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049" w:type="dxa"/>
            <w:vAlign w:val="center"/>
          </w:tcPr>
          <w:p w14:paraId="45FC0BC5">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631" w:type="dxa"/>
            <w:vAlign w:val="center"/>
          </w:tcPr>
          <w:p w14:paraId="0F48169F">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72F38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dxa"/>
            <w:vAlign w:val="center"/>
          </w:tcPr>
          <w:p w14:paraId="1F10C42B">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w:t>
            </w:r>
          </w:p>
        </w:tc>
        <w:tc>
          <w:tcPr>
            <w:tcW w:w="831" w:type="dxa"/>
            <w:vAlign w:val="center"/>
          </w:tcPr>
          <w:p w14:paraId="6394C77A">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677" w:type="dxa"/>
            <w:vMerge w:val="continue"/>
            <w:vAlign w:val="center"/>
          </w:tcPr>
          <w:p w14:paraId="05BF1845">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p>
        </w:tc>
        <w:tc>
          <w:tcPr>
            <w:tcW w:w="6102" w:type="dxa"/>
            <w:vAlign w:val="center"/>
          </w:tcPr>
          <w:p w14:paraId="0EA663A7">
            <w:pPr>
              <w:pStyle w:val="210"/>
              <w:keepNext w:val="0"/>
              <w:keepLines w:val="0"/>
              <w:pageBreakBefore w:val="0"/>
              <w:kinsoku/>
              <w:wordWrap/>
              <w:overflowPunct/>
              <w:topLinePunct w:val="0"/>
              <w:bidi w:val="0"/>
              <w:adjustRightInd w:val="0"/>
              <w:snapToGrid w:val="0"/>
              <w:spacing w:beforeAutospacing="0" w:line="36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rPr>
              <w:t>★2.3.10 远传模块的通讯协议需符合招标人物联网终端传输规约的有关要求</w:t>
            </w:r>
            <w:r>
              <w:rPr>
                <w:rFonts w:hint="eastAsia" w:ascii="宋体" w:hAnsi="宋体" w:eastAsia="宋体" w:cs="宋体"/>
                <w:b/>
                <w:bCs/>
                <w:color w:val="auto"/>
                <w:sz w:val="21"/>
                <w:szCs w:val="21"/>
                <w:highlight w:val="none"/>
              </w:rPr>
              <w:t>（需提供相关承诺文件）</w:t>
            </w:r>
            <w:r>
              <w:rPr>
                <w:rFonts w:hint="eastAsia" w:ascii="宋体" w:hAnsi="宋体" w:eastAsia="宋体" w:cs="宋体"/>
                <w:b w:val="0"/>
                <w:bCs w:val="0"/>
                <w:color w:val="auto"/>
                <w:sz w:val="21"/>
                <w:szCs w:val="21"/>
                <w:highlight w:val="none"/>
              </w:rPr>
              <w:t>。</w:t>
            </w:r>
          </w:p>
        </w:tc>
        <w:tc>
          <w:tcPr>
            <w:tcW w:w="721" w:type="dxa"/>
            <w:vAlign w:val="center"/>
          </w:tcPr>
          <w:p w14:paraId="4C3E39F3">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049" w:type="dxa"/>
            <w:vAlign w:val="center"/>
          </w:tcPr>
          <w:p w14:paraId="20986844">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631" w:type="dxa"/>
            <w:vAlign w:val="center"/>
          </w:tcPr>
          <w:p w14:paraId="2C7C5E92">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6638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dxa"/>
            <w:vAlign w:val="center"/>
          </w:tcPr>
          <w:p w14:paraId="6A0F4DF3">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8</w:t>
            </w:r>
          </w:p>
        </w:tc>
        <w:tc>
          <w:tcPr>
            <w:tcW w:w="831" w:type="dxa"/>
            <w:vAlign w:val="center"/>
          </w:tcPr>
          <w:p w14:paraId="48E2E131">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677" w:type="dxa"/>
            <w:vMerge w:val="continue"/>
            <w:vAlign w:val="center"/>
          </w:tcPr>
          <w:p w14:paraId="6DF4735F">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p>
        </w:tc>
        <w:tc>
          <w:tcPr>
            <w:tcW w:w="6102" w:type="dxa"/>
            <w:vAlign w:val="center"/>
          </w:tcPr>
          <w:p w14:paraId="2BB6B582">
            <w:pPr>
              <w:pStyle w:val="210"/>
              <w:keepNext w:val="0"/>
              <w:keepLines w:val="0"/>
              <w:pageBreakBefore w:val="0"/>
              <w:kinsoku/>
              <w:wordWrap/>
              <w:overflowPunct/>
              <w:topLinePunct w:val="0"/>
              <w:bidi w:val="0"/>
              <w:adjustRightInd w:val="0"/>
              <w:snapToGrid w:val="0"/>
              <w:spacing w:beforeAutospacing="0" w:line="36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★2.3.11 平台对接：所有数据按招标人要求无缝融合到招标人智能水表管理系统，中标人需无偿配合远传水表的接入工作</w:t>
            </w:r>
            <w:r>
              <w:rPr>
                <w:rFonts w:hint="eastAsia" w:ascii="宋体" w:hAnsi="宋体" w:eastAsia="宋体" w:cs="宋体"/>
                <w:b/>
                <w:bCs/>
                <w:color w:val="auto"/>
                <w:sz w:val="21"/>
                <w:szCs w:val="21"/>
                <w:highlight w:val="none"/>
                <w:lang w:val="en-US" w:eastAsia="zh-CN"/>
              </w:rPr>
              <w:t>（需提供可无缝接入中标人所指定的系统管理平台的承诺函）</w:t>
            </w:r>
            <w:r>
              <w:rPr>
                <w:rFonts w:hint="eastAsia" w:ascii="宋体" w:hAnsi="宋体" w:eastAsia="宋体" w:cs="宋体"/>
                <w:color w:val="auto"/>
                <w:sz w:val="21"/>
                <w:szCs w:val="21"/>
                <w:highlight w:val="none"/>
                <w:lang w:val="en-US" w:eastAsia="zh-CN"/>
              </w:rPr>
              <w:t>。</w:t>
            </w:r>
          </w:p>
        </w:tc>
        <w:tc>
          <w:tcPr>
            <w:tcW w:w="721" w:type="dxa"/>
            <w:vAlign w:val="center"/>
          </w:tcPr>
          <w:p w14:paraId="5606D3F3">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049" w:type="dxa"/>
            <w:vAlign w:val="center"/>
          </w:tcPr>
          <w:p w14:paraId="559ACC7E">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631" w:type="dxa"/>
            <w:vAlign w:val="center"/>
          </w:tcPr>
          <w:p w14:paraId="1B1854E5">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6660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70" w:type="dxa"/>
            <w:gridSpan w:val="7"/>
            <w:vAlign w:val="center"/>
          </w:tcPr>
          <w:p w14:paraId="0567E31F">
            <w:pPr>
              <w:keepNext/>
              <w:keepLines/>
              <w:pageBreakBefore w:val="0"/>
              <w:widowControl w:val="0"/>
              <w:kinsoku/>
              <w:wordWrap/>
              <w:overflowPunct/>
              <w:topLinePunct w:val="0"/>
              <w:bidi w:val="0"/>
              <w:snapToGrid/>
              <w:spacing w:line="240" w:lineRule="auto"/>
              <w:jc w:val="both"/>
              <w:textAlignment w:val="auto"/>
              <w:outlineLvl w:val="2"/>
              <w:rPr>
                <w:rFonts w:ascii="宋体" w:hAnsi="宋体" w:eastAsia="宋体" w:cs="宋体"/>
                <w:b w:val="0"/>
                <w:bCs/>
                <w:color w:val="auto"/>
                <w:kern w:val="0"/>
                <w:sz w:val="18"/>
                <w:szCs w:val="18"/>
                <w:highlight w:val="none"/>
              </w:rPr>
            </w:pPr>
            <w:bookmarkStart w:id="805" w:name="_Toc24795"/>
            <w:r>
              <w:rPr>
                <w:rFonts w:hint="eastAsia" w:ascii="宋体" w:hAnsi="宋体" w:eastAsia="宋体" w:cs="宋体"/>
                <w:color w:val="auto"/>
                <w:sz w:val="21"/>
                <w:szCs w:val="21"/>
                <w:highlight w:val="none"/>
              </w:rPr>
              <w:t>用户需求书</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技术参数条款汇总</w:t>
            </w:r>
            <w:bookmarkEnd w:id="805"/>
          </w:p>
        </w:tc>
      </w:tr>
      <w:tr w14:paraId="04AB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dxa"/>
            <w:vAlign w:val="center"/>
          </w:tcPr>
          <w:p w14:paraId="711B74F5">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p>
        </w:tc>
        <w:tc>
          <w:tcPr>
            <w:tcW w:w="831" w:type="dxa"/>
            <w:vAlign w:val="center"/>
          </w:tcPr>
          <w:p w14:paraId="656FF46B">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677" w:type="dxa"/>
            <w:vAlign w:val="center"/>
          </w:tcPr>
          <w:p w14:paraId="06B1C7C3">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r>
              <w:rPr>
                <w:rFonts w:hint="eastAsia" w:ascii="宋体" w:hAnsi="宋体" w:eastAsia="宋体" w:cs="宋体"/>
                <w:color w:val="auto"/>
                <w:sz w:val="21"/>
                <w:szCs w:val="21"/>
                <w:highlight w:val="none"/>
              </w:rPr>
              <w:t>水表技术要求</w:t>
            </w:r>
          </w:p>
        </w:tc>
        <w:tc>
          <w:tcPr>
            <w:tcW w:w="6102" w:type="dxa"/>
            <w:vAlign w:val="center"/>
          </w:tcPr>
          <w:p w14:paraId="3967D12C">
            <w:pPr>
              <w:pStyle w:val="210"/>
              <w:keepNext w:val="0"/>
              <w:keepLines w:val="0"/>
              <w:pageBreakBefore w:val="0"/>
              <w:kinsoku/>
              <w:wordWrap/>
              <w:overflowPunct/>
              <w:topLinePunct w:val="0"/>
              <w:bidi w:val="0"/>
              <w:adjustRightInd w:val="0"/>
              <w:snapToGrid w:val="0"/>
              <w:spacing w:beforeAutospacing="0" w:line="36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4 </w:t>
            </w:r>
            <w:r>
              <w:rPr>
                <w:rFonts w:hint="eastAsia" w:ascii="宋体" w:hAnsi="宋体" w:eastAsia="宋体" w:cs="宋体"/>
                <w:color w:val="auto"/>
                <w:kern w:val="0"/>
                <w:sz w:val="21"/>
                <w:szCs w:val="21"/>
                <w:highlight w:val="none"/>
              </w:rPr>
              <w:t>电磁环境等级：</w:t>
            </w:r>
            <w:r>
              <w:rPr>
                <w:rFonts w:hint="eastAsia" w:ascii="宋体" w:hAnsi="宋体" w:eastAsia="宋体" w:cs="宋体"/>
                <w:color w:val="auto"/>
                <w:kern w:val="0"/>
                <w:sz w:val="21"/>
                <w:szCs w:val="21"/>
                <w:highlight w:val="none"/>
                <w:lang w:val="en-US" w:eastAsia="zh-CN"/>
              </w:rPr>
              <w:t>E2级</w:t>
            </w:r>
            <w:r>
              <w:rPr>
                <w:rFonts w:hint="eastAsia" w:ascii="宋体" w:hAnsi="宋体" w:eastAsia="宋体" w:cs="宋体"/>
                <w:color w:val="auto"/>
                <w:kern w:val="0"/>
                <w:sz w:val="21"/>
                <w:szCs w:val="21"/>
                <w:highlight w:val="none"/>
              </w:rPr>
              <w:t>。</w:t>
            </w:r>
          </w:p>
        </w:tc>
        <w:tc>
          <w:tcPr>
            <w:tcW w:w="721" w:type="dxa"/>
            <w:vAlign w:val="center"/>
          </w:tcPr>
          <w:p w14:paraId="2F8416EA">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049" w:type="dxa"/>
            <w:vAlign w:val="center"/>
          </w:tcPr>
          <w:p w14:paraId="739AC03A">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631" w:type="dxa"/>
            <w:vAlign w:val="center"/>
          </w:tcPr>
          <w:p w14:paraId="3135412C">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1EE9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dxa"/>
            <w:vAlign w:val="center"/>
          </w:tcPr>
          <w:p w14:paraId="6650869D">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w:t>
            </w:r>
          </w:p>
        </w:tc>
        <w:tc>
          <w:tcPr>
            <w:tcW w:w="831" w:type="dxa"/>
            <w:vAlign w:val="center"/>
          </w:tcPr>
          <w:p w14:paraId="12BE09BE">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677" w:type="dxa"/>
            <w:vAlign w:val="center"/>
          </w:tcPr>
          <w:p w14:paraId="72102203">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p>
        </w:tc>
        <w:tc>
          <w:tcPr>
            <w:tcW w:w="6102" w:type="dxa"/>
            <w:vAlign w:val="center"/>
          </w:tcPr>
          <w:p w14:paraId="3F381103">
            <w:pPr>
              <w:pStyle w:val="210"/>
              <w:keepNext w:val="0"/>
              <w:keepLines w:val="0"/>
              <w:pageBreakBefore w:val="0"/>
              <w:kinsoku/>
              <w:wordWrap/>
              <w:overflowPunct/>
              <w:topLinePunct w:val="0"/>
              <w:bidi w:val="0"/>
              <w:adjustRightInd w:val="0"/>
              <w:snapToGrid w:val="0"/>
              <w:spacing w:beforeAutospacing="0" w:line="36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 xml:space="preserve"> 数据采集：支持采集累计正、反向累计流量数据，数据采集精确到0.1m³或1m³，支持时钟同步功能和低电压报警功能。默认上报频次为2次/日，水量数据采集周期为15分钟/次。可通过应用平台进行高频率上报周期设置，最小做到15分钟周期上报，最小数据采集和存储时间间隔为1分钟</w:t>
            </w:r>
            <w:r>
              <w:rPr>
                <w:rFonts w:hint="eastAsia" w:ascii="宋体" w:hAnsi="宋体" w:eastAsia="宋体" w:cs="宋体"/>
                <w:color w:val="auto"/>
                <w:kern w:val="0"/>
                <w:sz w:val="21"/>
                <w:szCs w:val="21"/>
                <w:highlight w:val="none"/>
              </w:rPr>
              <w:t>。</w:t>
            </w:r>
          </w:p>
        </w:tc>
        <w:tc>
          <w:tcPr>
            <w:tcW w:w="721" w:type="dxa"/>
            <w:vAlign w:val="center"/>
          </w:tcPr>
          <w:p w14:paraId="6D65F71B">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049" w:type="dxa"/>
            <w:vAlign w:val="center"/>
          </w:tcPr>
          <w:p w14:paraId="6D55B515">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631" w:type="dxa"/>
            <w:vAlign w:val="center"/>
          </w:tcPr>
          <w:p w14:paraId="582DA503">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6991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dxa"/>
            <w:vAlign w:val="center"/>
          </w:tcPr>
          <w:p w14:paraId="293232F1">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w:t>
            </w:r>
          </w:p>
        </w:tc>
        <w:tc>
          <w:tcPr>
            <w:tcW w:w="831" w:type="dxa"/>
            <w:vAlign w:val="center"/>
          </w:tcPr>
          <w:p w14:paraId="14F5D76E">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677" w:type="dxa"/>
            <w:vAlign w:val="center"/>
          </w:tcPr>
          <w:p w14:paraId="01A43D62">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p>
        </w:tc>
        <w:tc>
          <w:tcPr>
            <w:tcW w:w="6102" w:type="dxa"/>
            <w:vAlign w:val="center"/>
          </w:tcPr>
          <w:p w14:paraId="67557F46">
            <w:pPr>
              <w:pStyle w:val="210"/>
              <w:keepNext w:val="0"/>
              <w:keepLines w:val="0"/>
              <w:pageBreakBefore w:val="0"/>
              <w:kinsoku/>
              <w:wordWrap/>
              <w:overflowPunct/>
              <w:topLinePunct w:val="0"/>
              <w:bidi w:val="0"/>
              <w:adjustRightInd w:val="0"/>
              <w:snapToGrid w:val="0"/>
              <w:spacing w:beforeAutospacing="0" w:line="36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 xml:space="preserve"> 日</w:t>
            </w:r>
            <w:r>
              <w:rPr>
                <w:rFonts w:hint="eastAsia" w:ascii="宋体" w:hAnsi="宋体" w:eastAsia="宋体" w:cs="宋体"/>
                <w:color w:val="auto"/>
                <w:kern w:val="0"/>
                <w:sz w:val="21"/>
                <w:szCs w:val="21"/>
                <w:highlight w:val="none"/>
              </w:rPr>
              <w:t>数据传输成功率≥99% ，抄读准确率≥99%</w:t>
            </w:r>
            <w:r>
              <w:rPr>
                <w:rFonts w:hint="eastAsia" w:ascii="宋体" w:hAnsi="宋体" w:eastAsia="宋体" w:cs="宋体"/>
                <w:b/>
                <w:bCs/>
                <w:color w:val="auto"/>
                <w:kern w:val="0"/>
                <w:sz w:val="21"/>
                <w:szCs w:val="21"/>
                <w:highlight w:val="none"/>
              </w:rPr>
              <w:t>（投标人提供相关水表用户使用情况及证明材料）</w:t>
            </w:r>
            <w:r>
              <w:rPr>
                <w:rFonts w:hint="eastAsia" w:ascii="宋体" w:hAnsi="宋体" w:eastAsia="宋体" w:cs="宋体"/>
                <w:color w:val="auto"/>
                <w:kern w:val="0"/>
                <w:sz w:val="21"/>
                <w:szCs w:val="21"/>
                <w:highlight w:val="none"/>
              </w:rPr>
              <w:t>。</w:t>
            </w:r>
          </w:p>
        </w:tc>
        <w:tc>
          <w:tcPr>
            <w:tcW w:w="721" w:type="dxa"/>
            <w:vAlign w:val="center"/>
          </w:tcPr>
          <w:p w14:paraId="6DA6AD89">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049" w:type="dxa"/>
            <w:vAlign w:val="center"/>
          </w:tcPr>
          <w:p w14:paraId="4B8ECDA1">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631" w:type="dxa"/>
            <w:vAlign w:val="center"/>
          </w:tcPr>
          <w:p w14:paraId="3C9E7E4C">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bl>
    <w:p w14:paraId="09E251C2">
      <w:pPr>
        <w:spacing w:line="360" w:lineRule="auto"/>
        <w:rPr>
          <w:rFonts w:ascii="宋体" w:hAnsi="宋体" w:eastAsia="宋体" w:cs="宋体"/>
          <w:color w:val="auto"/>
          <w:szCs w:val="21"/>
          <w:highlight w:val="none"/>
        </w:rPr>
      </w:pPr>
    </w:p>
    <w:p w14:paraId="483A6A92">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75849A8F">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（其中“项目概况”除外）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w:t>
      </w:r>
      <w:r>
        <w:rPr>
          <w:rFonts w:hint="eastAsia" w:ascii="宋体" w:hAnsi="宋体" w:eastAsia="宋体" w:cs="宋体"/>
          <w:b/>
          <w:color w:val="auto"/>
          <w:szCs w:val="21"/>
          <w:highlight w:val="none"/>
          <w:u w:val="single"/>
          <w:lang w:val="en-US" w:eastAsia="zh-CN"/>
        </w:rPr>
        <w:t>或“</w:t>
      </w:r>
      <w:r>
        <w:rPr>
          <w:rFonts w:hint="eastAsia" w:ascii="宋体" w:hAnsi="宋体" w:eastAsia="宋体" w:cs="宋体"/>
          <w:color w:val="auto"/>
          <w:kern w:val="0"/>
          <w:sz w:val="21"/>
          <w:szCs w:val="21"/>
          <w:highlight w:val="none"/>
        </w:rPr>
        <w:t>▲</w:t>
      </w:r>
      <w:r>
        <w:rPr>
          <w:rFonts w:hint="eastAsia" w:ascii="宋体" w:hAnsi="宋体" w:eastAsia="宋体" w:cs="宋体"/>
          <w:b/>
          <w:color w:val="auto"/>
          <w:szCs w:val="21"/>
          <w:highlight w:val="none"/>
          <w:u w:val="single"/>
          <w:lang w:val="en-US" w:eastAsia="zh-CN"/>
        </w:rPr>
        <w:t>”</w:t>
      </w:r>
      <w:r>
        <w:rPr>
          <w:rFonts w:hint="eastAsia" w:ascii="宋体" w:hAnsi="宋体" w:eastAsia="宋体" w:cs="宋体"/>
          <w:b/>
          <w:color w:val="auto"/>
          <w:szCs w:val="21"/>
          <w:highlight w:val="none"/>
          <w:u w:val="single"/>
        </w:rPr>
        <w:t>条款须逐条逐项、如实地填写“偏离情况”，未填写“★”条款</w:t>
      </w:r>
      <w:r>
        <w:rPr>
          <w:rFonts w:hint="eastAsia" w:ascii="宋体" w:hAnsi="宋体" w:eastAsia="宋体" w:cs="宋体"/>
          <w:b/>
          <w:color w:val="auto"/>
          <w:szCs w:val="21"/>
          <w:highlight w:val="none"/>
          <w:u w:val="single"/>
          <w:lang w:val="en-US" w:eastAsia="zh-CN"/>
        </w:rPr>
        <w:t>及“</w:t>
      </w:r>
      <w:r>
        <w:rPr>
          <w:rFonts w:hint="eastAsia" w:ascii="宋体" w:hAnsi="宋体" w:eastAsia="宋体" w:cs="宋体"/>
          <w:color w:val="auto"/>
          <w:kern w:val="0"/>
          <w:sz w:val="21"/>
          <w:szCs w:val="21"/>
          <w:highlight w:val="none"/>
        </w:rPr>
        <w:t>▲</w:t>
      </w:r>
      <w:r>
        <w:rPr>
          <w:rFonts w:hint="eastAsia" w:ascii="宋体" w:hAnsi="宋体" w:eastAsia="宋体" w:cs="宋体"/>
          <w:b/>
          <w:color w:val="auto"/>
          <w:szCs w:val="21"/>
          <w:highlight w:val="none"/>
          <w:u w:val="single"/>
          <w:lang w:val="en-US" w:eastAsia="zh-CN"/>
        </w:rPr>
        <w:t>”</w:t>
      </w:r>
      <w:r>
        <w:rPr>
          <w:rFonts w:hint="eastAsia" w:ascii="宋体" w:hAnsi="宋体" w:eastAsia="宋体" w:cs="宋体"/>
          <w:b/>
          <w:color w:val="auto"/>
          <w:szCs w:val="21"/>
          <w:highlight w:val="none"/>
          <w:u w:val="single"/>
        </w:rPr>
        <w:t>条款以外的条款的，视为完全满足招标文件要求。</w:t>
      </w:r>
    </w:p>
    <w:p w14:paraId="65DF4C10">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657E8F75">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7ABCD088">
      <w:pPr>
        <w:spacing w:line="360" w:lineRule="auto"/>
        <w:ind w:left="607" w:leftChars="18" w:hanging="569" w:hangingChars="270"/>
        <w:rPr>
          <w:rFonts w:ascii="宋体" w:hAnsi="宋体" w:eastAsia="宋体" w:cs="Times New Roman"/>
          <w:b/>
          <w:color w:val="auto"/>
          <w:kern w:val="0"/>
          <w:sz w:val="24"/>
          <w:szCs w:val="21"/>
          <w:highlight w:val="none"/>
          <w:u w:val="single"/>
          <w:lang w:val="zh-CN"/>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3DC62C1C">
      <w:pPr>
        <w:spacing w:line="360" w:lineRule="auto"/>
        <w:ind w:left="645" w:leftChars="0" w:hanging="645" w:hangingChars="306"/>
        <w:rPr>
          <w:rFonts w:hint="eastAsia"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w:t>
      </w:r>
      <w:r>
        <w:rPr>
          <w:rFonts w:hint="eastAsia" w:ascii="宋体" w:hAnsi="宋体" w:eastAsia="宋体" w:cs="Times New Roman"/>
          <w:b/>
          <w:color w:val="auto"/>
          <w:kern w:val="0"/>
          <w:szCs w:val="21"/>
          <w:highlight w:val="none"/>
          <w:u w:val="single"/>
        </w:rPr>
        <w:t>凡标有“▲”标志的条款为评审的重要指标，投标人若有“▲”条款未响应或负偏离，将导致其响应性评审扣分，并不会按无效响应处理。投标人若有非“▲”条款未响应或负偏离，将导致其响应性评审扣分，并不会按无效响应处理。</w:t>
      </w:r>
    </w:p>
    <w:p w14:paraId="55283777">
      <w:pPr>
        <w:spacing w:line="360" w:lineRule="auto"/>
        <w:ind w:left="689" w:leftChars="18" w:hanging="651" w:hangingChars="270"/>
        <w:rPr>
          <w:rFonts w:ascii="宋体" w:hAnsi="宋体" w:eastAsia="宋体" w:cs="Times New Roman"/>
          <w:b/>
          <w:color w:val="auto"/>
          <w:kern w:val="0"/>
          <w:sz w:val="24"/>
          <w:szCs w:val="21"/>
          <w:highlight w:val="none"/>
          <w:u w:val="single"/>
          <w:lang w:val="zh-CN"/>
        </w:rPr>
      </w:pPr>
    </w:p>
    <w:p w14:paraId="1CC680D2">
      <w:pPr>
        <w:spacing w:line="360" w:lineRule="auto"/>
        <w:rPr>
          <w:rFonts w:ascii="宋体" w:hAnsi="宋体" w:eastAsia="宋体" w:cs="宋体"/>
          <w:color w:val="auto"/>
          <w:szCs w:val="21"/>
          <w:highlight w:val="none"/>
        </w:rPr>
      </w:pPr>
    </w:p>
    <w:p w14:paraId="3BFBA6C1">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51E4E9DB">
      <w:pPr>
        <w:autoSpaceDE w:val="0"/>
        <w:autoSpaceDN w:val="0"/>
        <w:adjustRightInd w:val="0"/>
        <w:spacing w:line="240" w:lineRule="auto"/>
        <w:ind w:left="15" w:leftChars="-50" w:hanging="120"/>
        <w:jc w:val="left"/>
        <w:outlineLvl w:val="9"/>
        <w:rPr>
          <w:rFonts w:hint="eastAsia" w:ascii="宋体" w:hAnsi="宋体" w:eastAsia="宋体" w:cs="宋体"/>
          <w:b/>
          <w:color w:val="auto"/>
          <w:kern w:val="0"/>
          <w:sz w:val="30"/>
          <w:szCs w:val="30"/>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r>
        <w:rPr>
          <w:rFonts w:hint="eastAsia" w:ascii="宋体" w:hAnsi="宋体" w:eastAsia="宋体" w:cs="宋体"/>
          <w:b/>
          <w:color w:val="auto"/>
          <w:kern w:val="0"/>
          <w:sz w:val="30"/>
          <w:szCs w:val="30"/>
          <w:highlight w:val="none"/>
        </w:rPr>
        <w:br w:type="page"/>
      </w:r>
      <w:bookmarkStart w:id="806" w:name="_Toc102860087"/>
      <w:bookmarkStart w:id="807" w:name="_Toc142508382"/>
      <w:bookmarkStart w:id="808" w:name="_Toc28623"/>
      <w:bookmarkStart w:id="809" w:name="_Toc20665"/>
      <w:bookmarkStart w:id="810" w:name="_Toc104991889"/>
      <w:bookmarkStart w:id="811" w:name="_Toc94107224"/>
      <w:bookmarkStart w:id="812" w:name="_Toc102860431"/>
      <w:bookmarkStart w:id="813" w:name="_Toc140596942"/>
    </w:p>
    <w:bookmarkEnd w:id="806"/>
    <w:bookmarkEnd w:id="807"/>
    <w:bookmarkEnd w:id="808"/>
    <w:bookmarkEnd w:id="809"/>
    <w:bookmarkEnd w:id="810"/>
    <w:bookmarkEnd w:id="811"/>
    <w:bookmarkEnd w:id="812"/>
    <w:bookmarkEnd w:id="813"/>
    <w:p w14:paraId="56456E3B">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30"/>
          <w:szCs w:val="30"/>
          <w:highlight w:val="none"/>
          <w:lang w:eastAsia="zh-CN"/>
        </w:rPr>
      </w:pPr>
      <w:bookmarkStart w:id="814" w:name="_Toc3853"/>
      <w:bookmarkStart w:id="815" w:name="_Toc6926"/>
      <w:bookmarkStart w:id="816" w:name="_Toc142508389"/>
      <w:bookmarkStart w:id="817" w:name="_Toc104991896"/>
      <w:bookmarkStart w:id="818" w:name="_Toc140596949"/>
      <w:bookmarkStart w:id="819" w:name="_Toc102860438"/>
      <w:bookmarkStart w:id="820" w:name="_Toc102860094"/>
      <w:bookmarkStart w:id="821" w:name="_Toc533708139"/>
      <w:r>
        <w:rPr>
          <w:rFonts w:hint="eastAsia" w:ascii="宋体" w:hAnsi="宋体" w:eastAsia="宋体" w:cs="宋体"/>
          <w:b/>
          <w:bCs/>
          <w:color w:val="auto"/>
          <w:sz w:val="30"/>
          <w:szCs w:val="30"/>
          <w:highlight w:val="none"/>
          <w:lang w:val="en-US" w:eastAsia="zh-CN"/>
        </w:rPr>
        <w:t>13.1.1</w:t>
      </w:r>
      <w:r>
        <w:rPr>
          <w:rFonts w:hint="eastAsia" w:ascii="宋体" w:hAnsi="宋体" w:eastAsia="宋体" w:cs="宋体"/>
          <w:b/>
          <w:bCs/>
          <w:color w:val="auto"/>
          <w:sz w:val="30"/>
          <w:szCs w:val="30"/>
          <w:highlight w:val="none"/>
        </w:rPr>
        <w:t xml:space="preserve"> 首次检定：</w:t>
      </w:r>
      <w:r>
        <w:rPr>
          <w:rFonts w:hint="eastAsia" w:ascii="宋体" w:hAnsi="宋体" w:eastAsia="宋体" w:cs="宋体"/>
          <w:b/>
          <w:bCs/>
          <w:color w:val="auto"/>
          <w:sz w:val="30"/>
          <w:szCs w:val="30"/>
          <w:highlight w:val="none"/>
          <w:lang w:val="en-US" w:eastAsia="zh-CN"/>
        </w:rPr>
        <w:t>中标</w:t>
      </w:r>
      <w:r>
        <w:rPr>
          <w:rFonts w:hint="eastAsia" w:ascii="宋体" w:hAnsi="宋体" w:eastAsia="宋体" w:cs="宋体"/>
          <w:b/>
          <w:bCs/>
          <w:color w:val="auto"/>
          <w:sz w:val="30"/>
          <w:szCs w:val="30"/>
          <w:highlight w:val="none"/>
        </w:rPr>
        <w:t>人在交货的同时，需提交货物出厂合格证明和东莞地区法定计量检定机构出具的水表检定合格证书或校准证书，并对所提交证书的真实性及准确性承担责任（投标阶段需就上述事项提供相关承诺文件）</w:t>
      </w:r>
      <w:r>
        <w:rPr>
          <w:rFonts w:hint="eastAsia" w:ascii="宋体" w:hAnsi="宋体" w:eastAsia="宋体" w:cs="宋体"/>
          <w:b/>
          <w:bCs/>
          <w:color w:val="auto"/>
          <w:sz w:val="30"/>
          <w:szCs w:val="30"/>
          <w:highlight w:val="none"/>
          <w:lang w:eastAsia="zh-CN"/>
        </w:rPr>
        <w:t>。</w:t>
      </w:r>
      <w:bookmarkEnd w:id="814"/>
    </w:p>
    <w:p w14:paraId="744786B1">
      <w:pPr>
        <w:rPr>
          <w:rFonts w:hint="eastAsia"/>
          <w:color w:val="auto"/>
          <w:highlight w:val="none"/>
          <w:lang w:val="en-US" w:eastAsia="zh-CN"/>
        </w:rPr>
      </w:pPr>
    </w:p>
    <w:p w14:paraId="3869B49D">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78870E31">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30"/>
          <w:szCs w:val="30"/>
          <w:highlight w:val="none"/>
          <w:lang w:val="en-US" w:eastAsia="zh-CN"/>
        </w:rPr>
      </w:pPr>
      <w:bookmarkStart w:id="822" w:name="_Toc250"/>
      <w:r>
        <w:rPr>
          <w:rFonts w:hint="eastAsia" w:ascii="宋体" w:hAnsi="宋体" w:eastAsia="宋体" w:cs="宋体"/>
          <w:b/>
          <w:bCs/>
          <w:color w:val="auto"/>
          <w:sz w:val="30"/>
          <w:szCs w:val="30"/>
          <w:highlight w:val="none"/>
          <w:lang w:val="en-US" w:eastAsia="zh-CN"/>
        </w:rPr>
        <w:t>13.1.2 水表远传模块采用无线通讯，应取得工信部颁发的入网许可证、无线电核准证书，通讯方式：支持NB-IoT无线物联网远传通讯。采用东莞本地通信运营商的通讯网络实现数据传输，并提供属地化日常通信运维服务（需提供产品说明书和相关承诺文件）。</w:t>
      </w:r>
      <w:bookmarkEnd w:id="822"/>
    </w:p>
    <w:p w14:paraId="4632236E">
      <w:pPr>
        <w:rPr>
          <w:rFonts w:hint="eastAsia"/>
          <w:color w:val="auto"/>
          <w:highlight w:val="none"/>
          <w:lang w:val="en-US" w:eastAsia="zh-CN"/>
        </w:rPr>
      </w:pPr>
      <w:r>
        <w:rPr>
          <w:rFonts w:hint="eastAsia"/>
          <w:color w:val="auto"/>
          <w:highlight w:val="none"/>
          <w:lang w:val="en-US" w:eastAsia="zh-CN"/>
        </w:rPr>
        <w:br w:type="page"/>
      </w:r>
    </w:p>
    <w:p w14:paraId="5FA06FDD">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30"/>
          <w:szCs w:val="30"/>
          <w:highlight w:val="none"/>
          <w:lang w:val="en-US" w:eastAsia="zh-CN"/>
        </w:rPr>
      </w:pPr>
      <w:bookmarkStart w:id="823" w:name="_Toc20503"/>
      <w:r>
        <w:rPr>
          <w:rFonts w:hint="eastAsia" w:ascii="宋体" w:hAnsi="宋体" w:eastAsia="宋体" w:cs="宋体"/>
          <w:b/>
          <w:bCs/>
          <w:color w:val="auto"/>
          <w:sz w:val="30"/>
          <w:szCs w:val="30"/>
          <w:highlight w:val="none"/>
          <w:lang w:val="en-US" w:eastAsia="zh-CN"/>
        </w:rPr>
        <w:t>13.1.3 远传模块的通讯协议需符合招标人物联网终端传输规约的有关要求（需提供相关承诺文件）。</w:t>
      </w:r>
      <w:bookmarkEnd w:id="823"/>
    </w:p>
    <w:p w14:paraId="4B8FB7E7">
      <w:pPr>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br w:type="page"/>
      </w:r>
    </w:p>
    <w:p w14:paraId="2647C8CB">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30"/>
          <w:szCs w:val="30"/>
          <w:highlight w:val="none"/>
          <w:lang w:val="en-US" w:eastAsia="zh-CN"/>
        </w:rPr>
      </w:pPr>
      <w:bookmarkStart w:id="824" w:name="_Toc25795"/>
      <w:r>
        <w:rPr>
          <w:rFonts w:hint="eastAsia" w:ascii="宋体" w:hAnsi="宋体" w:eastAsia="宋体" w:cs="宋体"/>
          <w:b/>
          <w:bCs/>
          <w:color w:val="auto"/>
          <w:sz w:val="30"/>
          <w:szCs w:val="30"/>
          <w:highlight w:val="none"/>
          <w:lang w:val="en-US" w:eastAsia="zh-CN"/>
        </w:rPr>
        <w:t>13.1.4 平台对接：所有数据按招标人要求无缝融合到招标人智能水表管理系统，中标人需无偿配合远传水表的接入工作（需提供可无缝接入中标人所指定的系统管理平台的承诺函）。</w:t>
      </w:r>
      <w:bookmarkEnd w:id="824"/>
    </w:p>
    <w:p w14:paraId="0179A8D9">
      <w:pPr>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br w:type="page"/>
      </w:r>
    </w:p>
    <w:p w14:paraId="11BEC21F">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宋体" w:hAnsi="宋体" w:eastAsia="宋体" w:cs="宋体"/>
          <w:b/>
          <w:bCs/>
          <w:color w:val="auto"/>
          <w:sz w:val="30"/>
          <w:szCs w:val="30"/>
          <w:highlight w:val="none"/>
          <w:lang w:val="en-US" w:eastAsia="zh-CN"/>
        </w:rPr>
      </w:pPr>
      <w:bookmarkStart w:id="825" w:name="_Toc3750"/>
      <w:r>
        <w:rPr>
          <w:rFonts w:hint="eastAsia" w:ascii="宋体" w:hAnsi="宋体" w:eastAsia="宋体" w:cs="宋体"/>
          <w:b/>
          <w:bCs/>
          <w:color w:val="auto"/>
          <w:kern w:val="2"/>
          <w:sz w:val="30"/>
          <w:szCs w:val="30"/>
          <w:highlight w:val="none"/>
          <w:lang w:val="en-US" w:eastAsia="zh-CN"/>
        </w:rPr>
        <w:t>13.1.5 日</w:t>
      </w:r>
      <w:r>
        <w:rPr>
          <w:rFonts w:hint="eastAsia" w:ascii="宋体" w:hAnsi="宋体" w:eastAsia="宋体" w:cs="宋体"/>
          <w:b/>
          <w:bCs/>
          <w:color w:val="auto"/>
          <w:kern w:val="2"/>
          <w:sz w:val="30"/>
          <w:szCs w:val="30"/>
          <w:highlight w:val="none"/>
        </w:rPr>
        <w:t>数据传输成功率≥99% ，抄读准确率≥99%（投标人提供相关水表用户使用情况及证明材料）。</w:t>
      </w:r>
      <w:bookmarkEnd w:id="825"/>
    </w:p>
    <w:p w14:paraId="3522A685">
      <w:pPr>
        <w:pStyle w:val="18"/>
        <w:rPr>
          <w:rFonts w:hint="eastAsia" w:ascii="宋体" w:hAnsi="宋体" w:eastAsia="宋体" w:cs="宋体"/>
          <w:b/>
          <w:color w:val="auto"/>
          <w:kern w:val="0"/>
          <w:sz w:val="30"/>
          <w:szCs w:val="30"/>
          <w:highlight w:val="none"/>
          <w:lang w:val="en-US" w:eastAsia="zh-CN"/>
        </w:rPr>
      </w:pPr>
    </w:p>
    <w:p w14:paraId="543E51CD">
      <w:pPr>
        <w:pStyle w:val="37"/>
        <w:rPr>
          <w:rFonts w:hint="eastAsia" w:ascii="宋体" w:hAnsi="宋体" w:eastAsia="宋体" w:cs="宋体"/>
          <w:b/>
          <w:color w:val="auto"/>
          <w:kern w:val="0"/>
          <w:sz w:val="30"/>
          <w:szCs w:val="30"/>
          <w:highlight w:val="none"/>
          <w:lang w:val="en-US" w:eastAsia="zh-CN"/>
        </w:rPr>
      </w:pPr>
    </w:p>
    <w:p w14:paraId="2CE2DB76">
      <w:pPr>
        <w:pStyle w:val="38"/>
        <w:rPr>
          <w:rFonts w:hint="eastAsia" w:ascii="宋体" w:hAnsi="宋体" w:eastAsia="宋体" w:cs="宋体"/>
          <w:b/>
          <w:color w:val="auto"/>
          <w:kern w:val="0"/>
          <w:sz w:val="30"/>
          <w:szCs w:val="30"/>
          <w:highlight w:val="none"/>
          <w:lang w:val="en-US" w:eastAsia="zh-CN"/>
        </w:rPr>
      </w:pPr>
    </w:p>
    <w:p w14:paraId="78459530">
      <w:pPr>
        <w:pStyle w:val="12"/>
        <w:rPr>
          <w:rFonts w:hint="eastAsia"/>
          <w:color w:val="auto"/>
          <w:highlight w:val="none"/>
          <w:lang w:val="en-US" w:eastAsia="zh-CN"/>
        </w:rPr>
      </w:pPr>
    </w:p>
    <w:p w14:paraId="51F92D0A">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44D40C11">
      <w:pPr>
        <w:outlineLvl w:val="2"/>
        <w:rPr>
          <w:rFonts w:hint="eastAsia" w:ascii="宋体" w:hAnsi="宋体" w:eastAsia="宋体" w:cs="宋体"/>
          <w:b/>
          <w:color w:val="auto"/>
          <w:kern w:val="0"/>
          <w:sz w:val="30"/>
          <w:szCs w:val="30"/>
          <w:highlight w:val="none"/>
          <w:lang w:val="en-US" w:eastAsia="zh-CN"/>
        </w:rPr>
      </w:pPr>
      <w:bookmarkStart w:id="826" w:name="_Toc20343"/>
      <w:r>
        <w:rPr>
          <w:rFonts w:hint="eastAsia" w:ascii="宋体" w:hAnsi="宋体" w:eastAsia="宋体" w:cs="宋体"/>
          <w:b/>
          <w:color w:val="auto"/>
          <w:kern w:val="0"/>
          <w:sz w:val="30"/>
          <w:szCs w:val="30"/>
          <w:highlight w:val="none"/>
          <w:lang w:val="en-US" w:eastAsia="zh-CN"/>
        </w:rPr>
        <w:t>13.2 供货货物清单表格式</w:t>
      </w:r>
      <w:bookmarkEnd w:id="826"/>
    </w:p>
    <w:p w14:paraId="3C18A713">
      <w:pPr>
        <w:autoSpaceDE w:val="0"/>
        <w:autoSpaceDN w:val="0"/>
        <w:adjustRightInd w:val="0"/>
        <w:ind w:right="-23" w:rightChars="-11"/>
        <w:jc w:val="center"/>
        <w:rPr>
          <w:rFonts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供货货物清单表</w:t>
      </w:r>
    </w:p>
    <w:p w14:paraId="32DBB880">
      <w:pPr>
        <w:autoSpaceDE w:val="0"/>
        <w:autoSpaceDN w:val="0"/>
        <w:adjustRightInd w:val="0"/>
        <w:snapToGrid w:val="0"/>
        <w:spacing w:line="360" w:lineRule="auto"/>
        <w:jc w:val="left"/>
        <w:rPr>
          <w:rFonts w:ascii="宋体" w:hAnsi="宋体" w:eastAsia="宋体" w:cs="Times New Roman"/>
          <w:color w:val="auto"/>
          <w:kern w:val="0"/>
          <w:szCs w:val="21"/>
          <w:highlight w:val="none"/>
        </w:rPr>
      </w:pPr>
    </w:p>
    <w:tbl>
      <w:tblPr>
        <w:tblStyle w:val="39"/>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512"/>
        <w:gridCol w:w="1101"/>
        <w:gridCol w:w="1037"/>
        <w:gridCol w:w="1170"/>
        <w:gridCol w:w="1099"/>
        <w:gridCol w:w="1099"/>
        <w:gridCol w:w="1099"/>
        <w:gridCol w:w="1101"/>
        <w:gridCol w:w="453"/>
      </w:tblGrid>
      <w:tr w14:paraId="3BB6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370" w:type="dxa"/>
            <w:gridSpan w:val="10"/>
            <w:tcBorders>
              <w:top w:val="single" w:color="auto" w:sz="4" w:space="0"/>
              <w:left w:val="single" w:color="auto" w:sz="4" w:space="0"/>
              <w:bottom w:val="single" w:color="auto" w:sz="4" w:space="0"/>
              <w:right w:val="single" w:color="auto" w:sz="4" w:space="0"/>
            </w:tcBorders>
            <w:vAlign w:val="center"/>
          </w:tcPr>
          <w:p w14:paraId="5A169C90">
            <w:pPr>
              <w:autoSpaceDE w:val="0"/>
              <w:autoSpaceDN w:val="0"/>
              <w:adjustRightInd w:val="0"/>
              <w:spacing w:line="4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货物明细</w:t>
            </w:r>
          </w:p>
        </w:tc>
      </w:tr>
      <w:tr w14:paraId="2FB18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699" w:type="dxa"/>
            <w:tcBorders>
              <w:top w:val="single" w:color="auto" w:sz="4" w:space="0"/>
              <w:left w:val="single" w:color="auto" w:sz="4" w:space="0"/>
              <w:bottom w:val="single" w:color="auto" w:sz="4" w:space="0"/>
              <w:right w:val="single" w:color="auto" w:sz="4" w:space="0"/>
            </w:tcBorders>
            <w:vAlign w:val="center"/>
          </w:tcPr>
          <w:p w14:paraId="6F6E7893">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1512" w:type="dxa"/>
            <w:tcBorders>
              <w:top w:val="single" w:color="auto" w:sz="4" w:space="0"/>
              <w:left w:val="single" w:color="auto" w:sz="4" w:space="0"/>
              <w:bottom w:val="single" w:color="auto" w:sz="4" w:space="0"/>
              <w:right w:val="single" w:color="auto" w:sz="4" w:space="0"/>
            </w:tcBorders>
            <w:vAlign w:val="center"/>
          </w:tcPr>
          <w:p w14:paraId="656F4E6C">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货物名称</w:t>
            </w:r>
          </w:p>
        </w:tc>
        <w:tc>
          <w:tcPr>
            <w:tcW w:w="1101" w:type="dxa"/>
            <w:tcBorders>
              <w:top w:val="single" w:color="auto" w:sz="4" w:space="0"/>
              <w:left w:val="single" w:color="auto" w:sz="4" w:space="0"/>
              <w:bottom w:val="single" w:color="auto" w:sz="4" w:space="0"/>
              <w:right w:val="single" w:color="auto" w:sz="4" w:space="0"/>
            </w:tcBorders>
            <w:vAlign w:val="center"/>
          </w:tcPr>
          <w:p w14:paraId="64D7CFB1">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品牌</w:t>
            </w:r>
          </w:p>
        </w:tc>
        <w:tc>
          <w:tcPr>
            <w:tcW w:w="1037" w:type="dxa"/>
            <w:tcBorders>
              <w:top w:val="single" w:color="auto" w:sz="4" w:space="0"/>
              <w:left w:val="single" w:color="auto" w:sz="4" w:space="0"/>
              <w:bottom w:val="single" w:color="auto" w:sz="4" w:space="0"/>
              <w:right w:val="single" w:color="auto" w:sz="4" w:space="0"/>
            </w:tcBorders>
            <w:vAlign w:val="center"/>
          </w:tcPr>
          <w:p w14:paraId="385C90F7">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产地</w:t>
            </w:r>
          </w:p>
        </w:tc>
        <w:tc>
          <w:tcPr>
            <w:tcW w:w="1170" w:type="dxa"/>
            <w:tcBorders>
              <w:top w:val="single" w:color="auto" w:sz="4" w:space="0"/>
              <w:left w:val="single" w:color="auto" w:sz="4" w:space="0"/>
              <w:bottom w:val="single" w:color="auto" w:sz="4" w:space="0"/>
              <w:right w:val="single" w:color="auto" w:sz="4" w:space="0"/>
            </w:tcBorders>
            <w:vAlign w:val="center"/>
          </w:tcPr>
          <w:p w14:paraId="172B979F">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口径规格</w:t>
            </w:r>
          </w:p>
        </w:tc>
        <w:tc>
          <w:tcPr>
            <w:tcW w:w="1099" w:type="dxa"/>
            <w:tcBorders>
              <w:top w:val="single" w:color="auto" w:sz="4" w:space="0"/>
              <w:left w:val="single" w:color="auto" w:sz="4" w:space="0"/>
              <w:bottom w:val="single" w:color="auto" w:sz="4" w:space="0"/>
              <w:right w:val="single" w:color="auto" w:sz="4" w:space="0"/>
            </w:tcBorders>
            <w:vAlign w:val="center"/>
          </w:tcPr>
          <w:p w14:paraId="362BD9D5">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单位</w:t>
            </w:r>
          </w:p>
        </w:tc>
        <w:tc>
          <w:tcPr>
            <w:tcW w:w="1099" w:type="dxa"/>
            <w:tcBorders>
              <w:top w:val="single" w:color="auto" w:sz="4" w:space="0"/>
              <w:left w:val="single" w:color="auto" w:sz="4" w:space="0"/>
              <w:bottom w:val="single" w:color="auto" w:sz="4" w:space="0"/>
              <w:right w:val="single" w:color="auto" w:sz="4" w:space="0"/>
            </w:tcBorders>
            <w:vAlign w:val="center"/>
          </w:tcPr>
          <w:p w14:paraId="3963C7D4">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数量</w:t>
            </w:r>
          </w:p>
        </w:tc>
        <w:tc>
          <w:tcPr>
            <w:tcW w:w="1099" w:type="dxa"/>
            <w:tcBorders>
              <w:top w:val="single" w:color="auto" w:sz="4" w:space="0"/>
              <w:left w:val="single" w:color="auto" w:sz="4" w:space="0"/>
              <w:bottom w:val="single" w:color="auto" w:sz="4" w:space="0"/>
              <w:right w:val="single" w:color="auto" w:sz="4" w:space="0"/>
            </w:tcBorders>
            <w:vAlign w:val="center"/>
          </w:tcPr>
          <w:p w14:paraId="1C72AC65">
            <w:pPr>
              <w:autoSpaceDE w:val="0"/>
              <w:autoSpaceDN w:val="0"/>
              <w:adjustRightInd w:val="0"/>
              <w:spacing w:line="400" w:lineRule="exact"/>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生产厂家</w:t>
            </w:r>
          </w:p>
        </w:tc>
        <w:tc>
          <w:tcPr>
            <w:tcW w:w="1101" w:type="dxa"/>
            <w:tcBorders>
              <w:top w:val="single" w:color="auto" w:sz="4" w:space="0"/>
              <w:left w:val="single" w:color="auto" w:sz="4" w:space="0"/>
              <w:bottom w:val="single" w:color="auto" w:sz="4" w:space="0"/>
              <w:right w:val="single" w:color="auto" w:sz="4" w:space="0"/>
            </w:tcBorders>
            <w:vAlign w:val="center"/>
          </w:tcPr>
          <w:p w14:paraId="7BF27848">
            <w:pPr>
              <w:autoSpaceDE w:val="0"/>
              <w:autoSpaceDN w:val="0"/>
              <w:adjustRightInd w:val="0"/>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主要技术参数</w:t>
            </w:r>
          </w:p>
        </w:tc>
        <w:tc>
          <w:tcPr>
            <w:tcW w:w="453" w:type="dxa"/>
            <w:tcBorders>
              <w:top w:val="single" w:color="auto" w:sz="4" w:space="0"/>
              <w:left w:val="single" w:color="auto" w:sz="4" w:space="0"/>
              <w:bottom w:val="single" w:color="auto" w:sz="4" w:space="0"/>
              <w:right w:val="single" w:color="auto" w:sz="4" w:space="0"/>
            </w:tcBorders>
            <w:vAlign w:val="center"/>
          </w:tcPr>
          <w:p w14:paraId="4BB3571C">
            <w:pPr>
              <w:autoSpaceDE w:val="0"/>
              <w:autoSpaceDN w:val="0"/>
              <w:adjustRightInd w:val="0"/>
              <w:spacing w:line="4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备注</w:t>
            </w:r>
          </w:p>
        </w:tc>
      </w:tr>
      <w:tr w14:paraId="254D5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99" w:type="dxa"/>
            <w:tcBorders>
              <w:top w:val="single" w:color="auto" w:sz="4" w:space="0"/>
              <w:left w:val="single" w:color="auto" w:sz="4" w:space="0"/>
              <w:bottom w:val="single" w:color="auto" w:sz="4" w:space="0"/>
              <w:right w:val="single" w:color="auto" w:sz="4" w:space="0"/>
            </w:tcBorders>
            <w:vAlign w:val="center"/>
          </w:tcPr>
          <w:p w14:paraId="64BDDB95">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1</w:t>
            </w:r>
          </w:p>
        </w:tc>
        <w:tc>
          <w:tcPr>
            <w:tcW w:w="1512" w:type="dxa"/>
            <w:vMerge w:val="restart"/>
            <w:tcBorders>
              <w:top w:val="single" w:color="auto" w:sz="4" w:space="0"/>
              <w:left w:val="single" w:color="auto" w:sz="4" w:space="0"/>
              <w:right w:val="single" w:color="auto" w:sz="4" w:space="0"/>
            </w:tcBorders>
            <w:vAlign w:val="center"/>
          </w:tcPr>
          <w:p w14:paraId="2FBA8638">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b w:val="0"/>
                <w:i w:val="0"/>
                <w:iCs w:val="0"/>
                <w:color w:val="auto"/>
                <w:kern w:val="0"/>
                <w:sz w:val="21"/>
                <w:szCs w:val="21"/>
                <w:highlight w:val="none"/>
                <w:u w:val="none"/>
                <w:lang w:val="en-US" w:eastAsia="zh-CN" w:bidi="ar"/>
              </w:rPr>
              <w:t>电磁水表</w:t>
            </w:r>
          </w:p>
        </w:tc>
        <w:tc>
          <w:tcPr>
            <w:tcW w:w="1101" w:type="dxa"/>
            <w:tcBorders>
              <w:top w:val="single" w:color="auto" w:sz="4" w:space="0"/>
              <w:left w:val="single" w:color="auto" w:sz="4" w:space="0"/>
              <w:bottom w:val="single" w:color="auto" w:sz="4" w:space="0"/>
              <w:right w:val="single" w:color="auto" w:sz="4" w:space="0"/>
            </w:tcBorders>
            <w:vAlign w:val="center"/>
          </w:tcPr>
          <w:p w14:paraId="0FFE8B2A">
            <w:pPr>
              <w:spacing w:line="400" w:lineRule="exact"/>
              <w:jc w:val="center"/>
              <w:rPr>
                <w:rFonts w:ascii="宋体" w:hAnsi="宋体" w:eastAsia="宋体" w:cs="Times New Roman"/>
                <w:color w:val="auto"/>
                <w:kern w:val="0"/>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14:paraId="22666229">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shd w:val="clear" w:color="FDE9D9" w:fill="auto"/>
            <w:vAlign w:val="center"/>
          </w:tcPr>
          <w:p w14:paraId="67932500">
            <w:pPr>
              <w:keepNext w:val="0"/>
              <w:keepLines w:val="0"/>
              <w:widowControl/>
              <w:suppressLineNumbers w:val="0"/>
              <w:jc w:val="center"/>
              <w:textAlignment w:val="center"/>
              <w:outlineLvl w:val="9"/>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DN80</w:t>
            </w:r>
          </w:p>
        </w:tc>
        <w:tc>
          <w:tcPr>
            <w:tcW w:w="1099" w:type="dxa"/>
            <w:tcBorders>
              <w:top w:val="single" w:color="auto" w:sz="4" w:space="0"/>
              <w:left w:val="single" w:color="auto" w:sz="4" w:space="0"/>
              <w:bottom w:val="single" w:color="auto" w:sz="4" w:space="0"/>
              <w:right w:val="single" w:color="auto" w:sz="4" w:space="0"/>
            </w:tcBorders>
            <w:shd w:val="clear" w:color="FDE9D9" w:fill="auto"/>
            <w:vAlign w:val="center"/>
          </w:tcPr>
          <w:p w14:paraId="10C65BD4">
            <w:pPr>
              <w:keepNext w:val="0"/>
              <w:keepLines w:val="0"/>
              <w:widowControl/>
              <w:suppressLineNumbers w:val="0"/>
              <w:jc w:val="center"/>
              <w:textAlignment w:val="center"/>
              <w:outlineLvl w:val="9"/>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1099" w:type="dxa"/>
            <w:tcBorders>
              <w:top w:val="single" w:color="auto" w:sz="4" w:space="0"/>
              <w:left w:val="single" w:color="auto" w:sz="4" w:space="0"/>
              <w:bottom w:val="single" w:color="auto" w:sz="4" w:space="0"/>
              <w:right w:val="single" w:color="auto" w:sz="4" w:space="0"/>
            </w:tcBorders>
            <w:shd w:val="clear" w:color="FDE9D9" w:fill="auto"/>
            <w:vAlign w:val="center"/>
          </w:tcPr>
          <w:p w14:paraId="7153FA8A">
            <w:pPr>
              <w:keepNext w:val="0"/>
              <w:keepLines w:val="0"/>
              <w:widowControl/>
              <w:suppressLineNumbers w:val="0"/>
              <w:jc w:val="center"/>
              <w:textAlignment w:val="center"/>
              <w:outlineLvl w:val="9"/>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404</w:t>
            </w:r>
          </w:p>
        </w:tc>
        <w:tc>
          <w:tcPr>
            <w:tcW w:w="1099" w:type="dxa"/>
            <w:tcBorders>
              <w:top w:val="single" w:color="auto" w:sz="4" w:space="0"/>
              <w:left w:val="single" w:color="auto" w:sz="4" w:space="0"/>
              <w:bottom w:val="single" w:color="auto" w:sz="4" w:space="0"/>
              <w:right w:val="single" w:color="auto" w:sz="4" w:space="0"/>
            </w:tcBorders>
          </w:tcPr>
          <w:p w14:paraId="03FEB0DC">
            <w:pPr>
              <w:spacing w:line="400" w:lineRule="exact"/>
              <w:jc w:val="center"/>
              <w:rPr>
                <w:rFonts w:ascii="宋体" w:hAnsi="宋体" w:eastAsia="宋体" w:cs="Times New Roman"/>
                <w:color w:val="auto"/>
                <w:kern w:val="0"/>
                <w:szCs w:val="21"/>
                <w:highlight w:val="none"/>
              </w:rPr>
            </w:pPr>
          </w:p>
        </w:tc>
        <w:tc>
          <w:tcPr>
            <w:tcW w:w="1101" w:type="dxa"/>
            <w:tcBorders>
              <w:top w:val="single" w:color="auto" w:sz="4" w:space="0"/>
              <w:left w:val="single" w:color="auto" w:sz="4" w:space="0"/>
              <w:bottom w:val="single" w:color="auto" w:sz="4" w:space="0"/>
              <w:right w:val="single" w:color="auto" w:sz="4" w:space="0"/>
            </w:tcBorders>
          </w:tcPr>
          <w:p w14:paraId="5551A157">
            <w:pPr>
              <w:spacing w:line="400" w:lineRule="exact"/>
              <w:jc w:val="center"/>
              <w:rPr>
                <w:rFonts w:ascii="宋体" w:hAnsi="宋体" w:eastAsia="宋体" w:cs="Times New Roman"/>
                <w:color w:val="auto"/>
                <w:kern w:val="0"/>
                <w:szCs w:val="21"/>
                <w:highlight w:val="none"/>
              </w:rPr>
            </w:pPr>
          </w:p>
        </w:tc>
        <w:tc>
          <w:tcPr>
            <w:tcW w:w="453" w:type="dxa"/>
            <w:tcBorders>
              <w:top w:val="single" w:color="auto" w:sz="4" w:space="0"/>
              <w:left w:val="single" w:color="auto" w:sz="4" w:space="0"/>
              <w:bottom w:val="single" w:color="auto" w:sz="4" w:space="0"/>
              <w:right w:val="single" w:color="auto" w:sz="4" w:space="0"/>
            </w:tcBorders>
            <w:vAlign w:val="center"/>
          </w:tcPr>
          <w:p w14:paraId="52699580">
            <w:pPr>
              <w:spacing w:line="400" w:lineRule="exact"/>
              <w:jc w:val="center"/>
              <w:rPr>
                <w:rFonts w:ascii="宋体" w:hAnsi="宋体" w:eastAsia="宋体" w:cs="Times New Roman"/>
                <w:color w:val="auto"/>
                <w:kern w:val="0"/>
                <w:szCs w:val="21"/>
                <w:highlight w:val="none"/>
              </w:rPr>
            </w:pPr>
          </w:p>
        </w:tc>
      </w:tr>
      <w:tr w14:paraId="15C39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99" w:type="dxa"/>
            <w:tcBorders>
              <w:top w:val="single" w:color="auto" w:sz="4" w:space="0"/>
              <w:left w:val="single" w:color="auto" w:sz="4" w:space="0"/>
              <w:bottom w:val="single" w:color="auto" w:sz="4" w:space="0"/>
              <w:right w:val="single" w:color="auto" w:sz="4" w:space="0"/>
            </w:tcBorders>
            <w:vAlign w:val="center"/>
          </w:tcPr>
          <w:p w14:paraId="09AAC1EB">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w:t>
            </w:r>
          </w:p>
        </w:tc>
        <w:tc>
          <w:tcPr>
            <w:tcW w:w="1512" w:type="dxa"/>
            <w:vMerge w:val="continue"/>
            <w:tcBorders>
              <w:left w:val="single" w:color="auto" w:sz="4" w:space="0"/>
              <w:right w:val="single" w:color="auto" w:sz="4" w:space="0"/>
            </w:tcBorders>
          </w:tcPr>
          <w:p w14:paraId="28BB4F07">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1101" w:type="dxa"/>
            <w:tcBorders>
              <w:top w:val="single" w:color="auto" w:sz="4" w:space="0"/>
              <w:left w:val="single" w:color="auto" w:sz="4" w:space="0"/>
              <w:bottom w:val="single" w:color="auto" w:sz="4" w:space="0"/>
              <w:right w:val="single" w:color="auto" w:sz="4" w:space="0"/>
            </w:tcBorders>
            <w:vAlign w:val="center"/>
          </w:tcPr>
          <w:p w14:paraId="17023175">
            <w:pPr>
              <w:spacing w:line="400" w:lineRule="exact"/>
              <w:jc w:val="center"/>
              <w:rPr>
                <w:rFonts w:ascii="宋体" w:hAnsi="宋体" w:eastAsia="宋体" w:cs="Times New Roman"/>
                <w:color w:val="auto"/>
                <w:kern w:val="0"/>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14:paraId="3E27FF22">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shd w:val="clear" w:color="FDE9D9" w:fill="auto"/>
            <w:vAlign w:val="center"/>
          </w:tcPr>
          <w:p w14:paraId="4CC11A53">
            <w:pPr>
              <w:keepNext w:val="0"/>
              <w:keepLines w:val="0"/>
              <w:widowControl/>
              <w:suppressLineNumbers w:val="0"/>
              <w:jc w:val="center"/>
              <w:textAlignment w:val="center"/>
              <w:outlineLvl w:val="9"/>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DN100</w:t>
            </w:r>
          </w:p>
        </w:tc>
        <w:tc>
          <w:tcPr>
            <w:tcW w:w="1099" w:type="dxa"/>
            <w:tcBorders>
              <w:top w:val="single" w:color="auto" w:sz="4" w:space="0"/>
              <w:left w:val="single" w:color="auto" w:sz="4" w:space="0"/>
              <w:bottom w:val="single" w:color="auto" w:sz="4" w:space="0"/>
              <w:right w:val="single" w:color="auto" w:sz="4" w:space="0"/>
            </w:tcBorders>
            <w:shd w:val="clear" w:color="FDE9D9" w:fill="auto"/>
            <w:vAlign w:val="center"/>
          </w:tcPr>
          <w:p w14:paraId="6BF3A7B3">
            <w:pPr>
              <w:keepNext w:val="0"/>
              <w:keepLines w:val="0"/>
              <w:widowControl/>
              <w:suppressLineNumbers w:val="0"/>
              <w:jc w:val="center"/>
              <w:textAlignment w:val="center"/>
              <w:outlineLvl w:val="9"/>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1099" w:type="dxa"/>
            <w:tcBorders>
              <w:top w:val="single" w:color="auto" w:sz="4" w:space="0"/>
              <w:left w:val="single" w:color="auto" w:sz="4" w:space="0"/>
              <w:bottom w:val="single" w:color="auto" w:sz="4" w:space="0"/>
              <w:right w:val="single" w:color="auto" w:sz="4" w:space="0"/>
            </w:tcBorders>
            <w:shd w:val="clear" w:color="FDE9D9" w:fill="auto"/>
            <w:vAlign w:val="center"/>
          </w:tcPr>
          <w:p w14:paraId="4145B7E4">
            <w:pPr>
              <w:keepNext w:val="0"/>
              <w:keepLines w:val="0"/>
              <w:widowControl/>
              <w:suppressLineNumbers w:val="0"/>
              <w:jc w:val="center"/>
              <w:textAlignment w:val="center"/>
              <w:outlineLvl w:val="9"/>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443</w:t>
            </w:r>
          </w:p>
        </w:tc>
        <w:tc>
          <w:tcPr>
            <w:tcW w:w="1099" w:type="dxa"/>
            <w:tcBorders>
              <w:top w:val="single" w:color="auto" w:sz="4" w:space="0"/>
              <w:left w:val="single" w:color="auto" w:sz="4" w:space="0"/>
              <w:bottom w:val="single" w:color="auto" w:sz="4" w:space="0"/>
              <w:right w:val="single" w:color="auto" w:sz="4" w:space="0"/>
            </w:tcBorders>
          </w:tcPr>
          <w:p w14:paraId="27486C0D">
            <w:pPr>
              <w:spacing w:line="400" w:lineRule="exact"/>
              <w:jc w:val="center"/>
              <w:rPr>
                <w:rFonts w:ascii="宋体" w:hAnsi="宋体" w:eastAsia="宋体" w:cs="Times New Roman"/>
                <w:color w:val="auto"/>
                <w:kern w:val="0"/>
                <w:szCs w:val="21"/>
                <w:highlight w:val="none"/>
              </w:rPr>
            </w:pPr>
          </w:p>
        </w:tc>
        <w:tc>
          <w:tcPr>
            <w:tcW w:w="1101" w:type="dxa"/>
            <w:tcBorders>
              <w:top w:val="single" w:color="auto" w:sz="4" w:space="0"/>
              <w:left w:val="single" w:color="auto" w:sz="4" w:space="0"/>
              <w:bottom w:val="single" w:color="auto" w:sz="4" w:space="0"/>
              <w:right w:val="single" w:color="auto" w:sz="4" w:space="0"/>
            </w:tcBorders>
          </w:tcPr>
          <w:p w14:paraId="749B8318">
            <w:pPr>
              <w:spacing w:line="400" w:lineRule="exact"/>
              <w:jc w:val="center"/>
              <w:rPr>
                <w:rFonts w:ascii="宋体" w:hAnsi="宋体" w:eastAsia="宋体" w:cs="Times New Roman"/>
                <w:color w:val="auto"/>
                <w:kern w:val="0"/>
                <w:szCs w:val="21"/>
                <w:highlight w:val="none"/>
              </w:rPr>
            </w:pPr>
          </w:p>
        </w:tc>
        <w:tc>
          <w:tcPr>
            <w:tcW w:w="453" w:type="dxa"/>
            <w:tcBorders>
              <w:top w:val="single" w:color="auto" w:sz="4" w:space="0"/>
              <w:left w:val="single" w:color="auto" w:sz="4" w:space="0"/>
              <w:bottom w:val="single" w:color="auto" w:sz="4" w:space="0"/>
              <w:right w:val="single" w:color="auto" w:sz="4" w:space="0"/>
            </w:tcBorders>
            <w:vAlign w:val="center"/>
          </w:tcPr>
          <w:p w14:paraId="70E3A528">
            <w:pPr>
              <w:spacing w:line="400" w:lineRule="exact"/>
              <w:jc w:val="center"/>
              <w:rPr>
                <w:rFonts w:ascii="宋体" w:hAnsi="宋体" w:eastAsia="宋体" w:cs="Times New Roman"/>
                <w:color w:val="auto"/>
                <w:kern w:val="0"/>
                <w:szCs w:val="21"/>
                <w:highlight w:val="none"/>
              </w:rPr>
            </w:pPr>
          </w:p>
        </w:tc>
      </w:tr>
      <w:tr w14:paraId="6C29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699" w:type="dxa"/>
            <w:tcBorders>
              <w:top w:val="single" w:color="auto" w:sz="4" w:space="0"/>
              <w:left w:val="single" w:color="auto" w:sz="4" w:space="0"/>
              <w:bottom w:val="single" w:color="auto" w:sz="4" w:space="0"/>
              <w:right w:val="single" w:color="auto" w:sz="4" w:space="0"/>
            </w:tcBorders>
            <w:vAlign w:val="center"/>
          </w:tcPr>
          <w:p w14:paraId="5A0A4CAA">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w:t>
            </w:r>
          </w:p>
        </w:tc>
        <w:tc>
          <w:tcPr>
            <w:tcW w:w="1512" w:type="dxa"/>
            <w:vMerge w:val="continue"/>
            <w:tcBorders>
              <w:left w:val="single" w:color="auto" w:sz="4" w:space="0"/>
              <w:right w:val="single" w:color="auto" w:sz="4" w:space="0"/>
            </w:tcBorders>
          </w:tcPr>
          <w:p w14:paraId="7A6D8A69">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1101" w:type="dxa"/>
            <w:tcBorders>
              <w:top w:val="single" w:color="auto" w:sz="4" w:space="0"/>
              <w:left w:val="single" w:color="auto" w:sz="4" w:space="0"/>
              <w:bottom w:val="single" w:color="auto" w:sz="4" w:space="0"/>
              <w:right w:val="single" w:color="auto" w:sz="4" w:space="0"/>
            </w:tcBorders>
            <w:vAlign w:val="center"/>
          </w:tcPr>
          <w:p w14:paraId="5ECA4884">
            <w:pPr>
              <w:spacing w:line="400" w:lineRule="exact"/>
              <w:jc w:val="center"/>
              <w:rPr>
                <w:rFonts w:ascii="宋体" w:hAnsi="宋体" w:eastAsia="宋体" w:cs="Times New Roman"/>
                <w:color w:val="auto"/>
                <w:kern w:val="0"/>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14:paraId="53340935">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shd w:val="clear" w:color="FDE9D9" w:fill="auto"/>
            <w:vAlign w:val="center"/>
          </w:tcPr>
          <w:p w14:paraId="4748E981">
            <w:pPr>
              <w:keepNext w:val="0"/>
              <w:keepLines w:val="0"/>
              <w:widowControl/>
              <w:suppressLineNumbers w:val="0"/>
              <w:jc w:val="center"/>
              <w:textAlignment w:val="center"/>
              <w:outlineLvl w:val="9"/>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DN150</w:t>
            </w:r>
          </w:p>
        </w:tc>
        <w:tc>
          <w:tcPr>
            <w:tcW w:w="1099" w:type="dxa"/>
            <w:tcBorders>
              <w:top w:val="single" w:color="auto" w:sz="4" w:space="0"/>
              <w:left w:val="single" w:color="auto" w:sz="4" w:space="0"/>
              <w:bottom w:val="single" w:color="auto" w:sz="4" w:space="0"/>
              <w:right w:val="single" w:color="auto" w:sz="4" w:space="0"/>
            </w:tcBorders>
            <w:shd w:val="clear" w:color="FDE9D9" w:fill="auto"/>
            <w:vAlign w:val="center"/>
          </w:tcPr>
          <w:p w14:paraId="3A2D6218">
            <w:pPr>
              <w:keepNext w:val="0"/>
              <w:keepLines w:val="0"/>
              <w:widowControl/>
              <w:suppressLineNumbers w:val="0"/>
              <w:jc w:val="center"/>
              <w:textAlignment w:val="center"/>
              <w:outlineLvl w:val="9"/>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1099" w:type="dxa"/>
            <w:tcBorders>
              <w:top w:val="single" w:color="auto" w:sz="4" w:space="0"/>
              <w:left w:val="single" w:color="auto" w:sz="4" w:space="0"/>
              <w:bottom w:val="single" w:color="auto" w:sz="4" w:space="0"/>
              <w:right w:val="single" w:color="auto" w:sz="4" w:space="0"/>
            </w:tcBorders>
            <w:shd w:val="clear" w:color="FDE9D9" w:fill="auto"/>
            <w:vAlign w:val="center"/>
          </w:tcPr>
          <w:p w14:paraId="52AC1F76">
            <w:pPr>
              <w:keepNext w:val="0"/>
              <w:keepLines w:val="0"/>
              <w:widowControl/>
              <w:suppressLineNumbers w:val="0"/>
              <w:jc w:val="center"/>
              <w:textAlignment w:val="center"/>
              <w:outlineLvl w:val="9"/>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101</w:t>
            </w:r>
          </w:p>
        </w:tc>
        <w:tc>
          <w:tcPr>
            <w:tcW w:w="1099" w:type="dxa"/>
            <w:tcBorders>
              <w:top w:val="single" w:color="auto" w:sz="4" w:space="0"/>
              <w:left w:val="single" w:color="auto" w:sz="4" w:space="0"/>
              <w:bottom w:val="single" w:color="auto" w:sz="4" w:space="0"/>
              <w:right w:val="single" w:color="auto" w:sz="4" w:space="0"/>
            </w:tcBorders>
          </w:tcPr>
          <w:p w14:paraId="3564B769">
            <w:pPr>
              <w:spacing w:line="400" w:lineRule="exact"/>
              <w:jc w:val="center"/>
              <w:rPr>
                <w:rFonts w:ascii="宋体" w:hAnsi="宋体" w:eastAsia="宋体" w:cs="Times New Roman"/>
                <w:color w:val="auto"/>
                <w:kern w:val="0"/>
                <w:szCs w:val="21"/>
                <w:highlight w:val="none"/>
              </w:rPr>
            </w:pPr>
          </w:p>
        </w:tc>
        <w:tc>
          <w:tcPr>
            <w:tcW w:w="1101" w:type="dxa"/>
            <w:tcBorders>
              <w:top w:val="single" w:color="auto" w:sz="4" w:space="0"/>
              <w:left w:val="single" w:color="auto" w:sz="4" w:space="0"/>
              <w:bottom w:val="single" w:color="auto" w:sz="4" w:space="0"/>
              <w:right w:val="single" w:color="auto" w:sz="4" w:space="0"/>
            </w:tcBorders>
          </w:tcPr>
          <w:p w14:paraId="4A1D86B0">
            <w:pPr>
              <w:spacing w:line="400" w:lineRule="exact"/>
              <w:jc w:val="center"/>
              <w:rPr>
                <w:rFonts w:ascii="宋体" w:hAnsi="宋体" w:eastAsia="宋体" w:cs="Times New Roman"/>
                <w:color w:val="auto"/>
                <w:kern w:val="0"/>
                <w:szCs w:val="21"/>
                <w:highlight w:val="none"/>
              </w:rPr>
            </w:pPr>
          </w:p>
        </w:tc>
        <w:tc>
          <w:tcPr>
            <w:tcW w:w="453" w:type="dxa"/>
            <w:tcBorders>
              <w:top w:val="single" w:color="auto" w:sz="4" w:space="0"/>
              <w:left w:val="single" w:color="auto" w:sz="4" w:space="0"/>
              <w:bottom w:val="single" w:color="auto" w:sz="4" w:space="0"/>
              <w:right w:val="single" w:color="auto" w:sz="4" w:space="0"/>
            </w:tcBorders>
            <w:vAlign w:val="center"/>
          </w:tcPr>
          <w:p w14:paraId="3580D79D">
            <w:pPr>
              <w:spacing w:line="400" w:lineRule="exact"/>
              <w:jc w:val="center"/>
              <w:rPr>
                <w:rFonts w:ascii="宋体" w:hAnsi="宋体" w:eastAsia="宋体" w:cs="Times New Roman"/>
                <w:color w:val="auto"/>
                <w:kern w:val="0"/>
                <w:szCs w:val="21"/>
                <w:highlight w:val="none"/>
              </w:rPr>
            </w:pPr>
          </w:p>
        </w:tc>
      </w:tr>
      <w:tr w14:paraId="1B90D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699" w:type="dxa"/>
            <w:tcBorders>
              <w:top w:val="single" w:color="auto" w:sz="4" w:space="0"/>
              <w:left w:val="single" w:color="auto" w:sz="4" w:space="0"/>
              <w:bottom w:val="single" w:color="auto" w:sz="4" w:space="0"/>
              <w:right w:val="single" w:color="auto" w:sz="4" w:space="0"/>
            </w:tcBorders>
            <w:vAlign w:val="center"/>
          </w:tcPr>
          <w:p w14:paraId="580FBDBF">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p>
        </w:tc>
        <w:tc>
          <w:tcPr>
            <w:tcW w:w="1512" w:type="dxa"/>
            <w:vMerge w:val="continue"/>
            <w:tcBorders>
              <w:left w:val="single" w:color="auto" w:sz="4" w:space="0"/>
              <w:right w:val="single" w:color="auto" w:sz="4" w:space="0"/>
            </w:tcBorders>
          </w:tcPr>
          <w:p w14:paraId="23ECDC04">
            <w:pPr>
              <w:autoSpaceDE w:val="0"/>
              <w:autoSpaceDN w:val="0"/>
              <w:adjustRightInd w:val="0"/>
              <w:spacing w:line="400" w:lineRule="exact"/>
              <w:jc w:val="center"/>
              <w:rPr>
                <w:rFonts w:ascii="宋体" w:hAnsi="宋体" w:eastAsia="宋体"/>
                <w:color w:val="auto"/>
                <w:szCs w:val="21"/>
                <w:highlight w:val="none"/>
              </w:rPr>
            </w:pPr>
          </w:p>
        </w:tc>
        <w:tc>
          <w:tcPr>
            <w:tcW w:w="1101" w:type="dxa"/>
            <w:tcBorders>
              <w:top w:val="single" w:color="auto" w:sz="4" w:space="0"/>
              <w:left w:val="single" w:color="auto" w:sz="4" w:space="0"/>
              <w:bottom w:val="single" w:color="auto" w:sz="4" w:space="0"/>
              <w:right w:val="single" w:color="auto" w:sz="4" w:space="0"/>
            </w:tcBorders>
            <w:vAlign w:val="center"/>
          </w:tcPr>
          <w:p w14:paraId="67F4AE4C">
            <w:pPr>
              <w:spacing w:line="400" w:lineRule="exact"/>
              <w:jc w:val="center"/>
              <w:rPr>
                <w:rFonts w:ascii="宋体" w:hAnsi="宋体" w:eastAsia="宋体" w:cs="Times New Roman"/>
                <w:color w:val="auto"/>
                <w:kern w:val="0"/>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14:paraId="51F901E0">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shd w:val="clear" w:color="FDE9D9" w:fill="auto"/>
            <w:vAlign w:val="center"/>
          </w:tcPr>
          <w:p w14:paraId="1FB62414">
            <w:pPr>
              <w:keepNext w:val="0"/>
              <w:keepLines w:val="0"/>
              <w:widowControl/>
              <w:suppressLineNumbers w:val="0"/>
              <w:jc w:val="center"/>
              <w:textAlignment w:val="center"/>
              <w:outlineLvl w:val="9"/>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DN200</w:t>
            </w:r>
          </w:p>
        </w:tc>
        <w:tc>
          <w:tcPr>
            <w:tcW w:w="1099" w:type="dxa"/>
            <w:tcBorders>
              <w:top w:val="single" w:color="auto" w:sz="4" w:space="0"/>
              <w:left w:val="single" w:color="auto" w:sz="4" w:space="0"/>
              <w:bottom w:val="single" w:color="auto" w:sz="4" w:space="0"/>
              <w:right w:val="single" w:color="auto" w:sz="4" w:space="0"/>
            </w:tcBorders>
            <w:shd w:val="clear" w:color="FDE9D9" w:fill="auto"/>
            <w:vAlign w:val="center"/>
          </w:tcPr>
          <w:p w14:paraId="33986187">
            <w:pPr>
              <w:keepNext w:val="0"/>
              <w:keepLines w:val="0"/>
              <w:widowControl/>
              <w:suppressLineNumbers w:val="0"/>
              <w:jc w:val="center"/>
              <w:textAlignment w:val="center"/>
              <w:outlineLvl w:val="9"/>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1099" w:type="dxa"/>
            <w:tcBorders>
              <w:top w:val="single" w:color="auto" w:sz="4" w:space="0"/>
              <w:left w:val="single" w:color="auto" w:sz="4" w:space="0"/>
              <w:bottom w:val="single" w:color="auto" w:sz="4" w:space="0"/>
              <w:right w:val="single" w:color="auto" w:sz="4" w:space="0"/>
            </w:tcBorders>
            <w:shd w:val="clear" w:color="FDE9D9" w:fill="auto"/>
            <w:vAlign w:val="center"/>
          </w:tcPr>
          <w:p w14:paraId="2D969B1F">
            <w:pPr>
              <w:keepNext w:val="0"/>
              <w:keepLines w:val="0"/>
              <w:widowControl/>
              <w:suppressLineNumbers w:val="0"/>
              <w:jc w:val="center"/>
              <w:textAlignment w:val="center"/>
              <w:outlineLvl w:val="9"/>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51</w:t>
            </w:r>
          </w:p>
        </w:tc>
        <w:tc>
          <w:tcPr>
            <w:tcW w:w="1099" w:type="dxa"/>
            <w:tcBorders>
              <w:top w:val="single" w:color="auto" w:sz="4" w:space="0"/>
              <w:left w:val="single" w:color="auto" w:sz="4" w:space="0"/>
              <w:bottom w:val="single" w:color="auto" w:sz="4" w:space="0"/>
              <w:right w:val="single" w:color="auto" w:sz="4" w:space="0"/>
            </w:tcBorders>
          </w:tcPr>
          <w:p w14:paraId="2903B869">
            <w:pPr>
              <w:spacing w:line="400" w:lineRule="exact"/>
              <w:jc w:val="center"/>
              <w:rPr>
                <w:rFonts w:ascii="宋体" w:hAnsi="宋体" w:eastAsia="宋体" w:cs="Times New Roman"/>
                <w:color w:val="auto"/>
                <w:kern w:val="0"/>
                <w:szCs w:val="21"/>
                <w:highlight w:val="none"/>
              </w:rPr>
            </w:pPr>
          </w:p>
        </w:tc>
        <w:tc>
          <w:tcPr>
            <w:tcW w:w="1101" w:type="dxa"/>
            <w:tcBorders>
              <w:top w:val="single" w:color="auto" w:sz="4" w:space="0"/>
              <w:left w:val="single" w:color="auto" w:sz="4" w:space="0"/>
              <w:bottom w:val="single" w:color="auto" w:sz="4" w:space="0"/>
              <w:right w:val="single" w:color="auto" w:sz="4" w:space="0"/>
            </w:tcBorders>
          </w:tcPr>
          <w:p w14:paraId="3A58030E">
            <w:pPr>
              <w:spacing w:line="400" w:lineRule="exact"/>
              <w:jc w:val="center"/>
              <w:rPr>
                <w:rFonts w:ascii="宋体" w:hAnsi="宋体" w:eastAsia="宋体" w:cs="Times New Roman"/>
                <w:color w:val="auto"/>
                <w:kern w:val="0"/>
                <w:szCs w:val="21"/>
                <w:highlight w:val="none"/>
              </w:rPr>
            </w:pPr>
          </w:p>
        </w:tc>
        <w:tc>
          <w:tcPr>
            <w:tcW w:w="453" w:type="dxa"/>
            <w:tcBorders>
              <w:top w:val="single" w:color="auto" w:sz="4" w:space="0"/>
              <w:left w:val="single" w:color="auto" w:sz="4" w:space="0"/>
              <w:bottom w:val="single" w:color="auto" w:sz="4" w:space="0"/>
              <w:right w:val="single" w:color="auto" w:sz="4" w:space="0"/>
            </w:tcBorders>
            <w:vAlign w:val="center"/>
          </w:tcPr>
          <w:p w14:paraId="3595B836">
            <w:pPr>
              <w:spacing w:line="400" w:lineRule="exact"/>
              <w:jc w:val="center"/>
              <w:rPr>
                <w:rFonts w:ascii="宋体" w:hAnsi="宋体" w:eastAsia="宋体" w:cs="Times New Roman"/>
                <w:color w:val="auto"/>
                <w:kern w:val="0"/>
                <w:szCs w:val="21"/>
                <w:highlight w:val="none"/>
              </w:rPr>
            </w:pPr>
          </w:p>
        </w:tc>
      </w:tr>
      <w:tr w14:paraId="46DA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699" w:type="dxa"/>
            <w:tcBorders>
              <w:top w:val="single" w:color="auto" w:sz="4" w:space="0"/>
              <w:left w:val="single" w:color="auto" w:sz="4" w:space="0"/>
              <w:bottom w:val="single" w:color="auto" w:sz="4" w:space="0"/>
              <w:right w:val="single" w:color="auto" w:sz="4" w:space="0"/>
            </w:tcBorders>
            <w:vAlign w:val="center"/>
          </w:tcPr>
          <w:p w14:paraId="63C1B823">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w:t>
            </w:r>
          </w:p>
        </w:tc>
        <w:tc>
          <w:tcPr>
            <w:tcW w:w="1512" w:type="dxa"/>
            <w:vMerge w:val="continue"/>
            <w:tcBorders>
              <w:left w:val="single" w:color="auto" w:sz="4" w:space="0"/>
              <w:right w:val="single" w:color="auto" w:sz="4" w:space="0"/>
            </w:tcBorders>
          </w:tcPr>
          <w:p w14:paraId="42C5AD11">
            <w:pPr>
              <w:autoSpaceDE w:val="0"/>
              <w:autoSpaceDN w:val="0"/>
              <w:adjustRightInd w:val="0"/>
              <w:spacing w:line="400" w:lineRule="exact"/>
              <w:jc w:val="center"/>
              <w:rPr>
                <w:rFonts w:ascii="宋体" w:hAnsi="宋体" w:eastAsia="宋体"/>
                <w:color w:val="auto"/>
                <w:szCs w:val="21"/>
                <w:highlight w:val="none"/>
              </w:rPr>
            </w:pPr>
          </w:p>
        </w:tc>
        <w:tc>
          <w:tcPr>
            <w:tcW w:w="1101" w:type="dxa"/>
            <w:tcBorders>
              <w:top w:val="single" w:color="auto" w:sz="4" w:space="0"/>
              <w:left w:val="single" w:color="auto" w:sz="4" w:space="0"/>
              <w:bottom w:val="single" w:color="auto" w:sz="4" w:space="0"/>
              <w:right w:val="single" w:color="auto" w:sz="4" w:space="0"/>
            </w:tcBorders>
            <w:vAlign w:val="center"/>
          </w:tcPr>
          <w:p w14:paraId="5CE0A3A0">
            <w:pPr>
              <w:spacing w:line="400" w:lineRule="exact"/>
              <w:jc w:val="center"/>
              <w:rPr>
                <w:rFonts w:ascii="宋体" w:hAnsi="宋体" w:eastAsia="宋体" w:cs="Times New Roman"/>
                <w:color w:val="auto"/>
                <w:kern w:val="0"/>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14:paraId="09148FE8">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shd w:val="clear" w:color="FDE9D9" w:fill="auto"/>
            <w:vAlign w:val="center"/>
          </w:tcPr>
          <w:p w14:paraId="3C14B9A3">
            <w:pPr>
              <w:keepNext w:val="0"/>
              <w:keepLines w:val="0"/>
              <w:widowControl/>
              <w:suppressLineNumbers w:val="0"/>
              <w:jc w:val="center"/>
              <w:textAlignment w:val="center"/>
              <w:outlineLvl w:val="9"/>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DN250</w:t>
            </w:r>
          </w:p>
        </w:tc>
        <w:tc>
          <w:tcPr>
            <w:tcW w:w="1099" w:type="dxa"/>
            <w:tcBorders>
              <w:top w:val="single" w:color="auto" w:sz="4" w:space="0"/>
              <w:left w:val="single" w:color="auto" w:sz="4" w:space="0"/>
              <w:bottom w:val="single" w:color="auto" w:sz="4" w:space="0"/>
              <w:right w:val="single" w:color="auto" w:sz="4" w:space="0"/>
            </w:tcBorders>
            <w:shd w:val="clear" w:color="FDE9D9" w:fill="auto"/>
            <w:vAlign w:val="center"/>
          </w:tcPr>
          <w:p w14:paraId="77294753">
            <w:pPr>
              <w:keepNext w:val="0"/>
              <w:keepLines w:val="0"/>
              <w:widowControl/>
              <w:suppressLineNumbers w:val="0"/>
              <w:jc w:val="center"/>
              <w:textAlignment w:val="center"/>
              <w:outlineLvl w:val="9"/>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1099" w:type="dxa"/>
            <w:tcBorders>
              <w:top w:val="single" w:color="auto" w:sz="4" w:space="0"/>
              <w:left w:val="single" w:color="auto" w:sz="4" w:space="0"/>
              <w:bottom w:val="single" w:color="auto" w:sz="4" w:space="0"/>
              <w:right w:val="single" w:color="auto" w:sz="4" w:space="0"/>
            </w:tcBorders>
            <w:shd w:val="clear" w:color="FDE9D9" w:fill="auto"/>
            <w:vAlign w:val="center"/>
          </w:tcPr>
          <w:p w14:paraId="31215A19">
            <w:pPr>
              <w:keepNext w:val="0"/>
              <w:keepLines w:val="0"/>
              <w:widowControl/>
              <w:suppressLineNumbers w:val="0"/>
              <w:jc w:val="center"/>
              <w:textAlignment w:val="center"/>
              <w:outlineLvl w:val="9"/>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4</w:t>
            </w:r>
          </w:p>
        </w:tc>
        <w:tc>
          <w:tcPr>
            <w:tcW w:w="1099" w:type="dxa"/>
            <w:tcBorders>
              <w:top w:val="single" w:color="auto" w:sz="4" w:space="0"/>
              <w:left w:val="single" w:color="auto" w:sz="4" w:space="0"/>
              <w:bottom w:val="single" w:color="auto" w:sz="4" w:space="0"/>
              <w:right w:val="single" w:color="auto" w:sz="4" w:space="0"/>
            </w:tcBorders>
          </w:tcPr>
          <w:p w14:paraId="3ABCF5F1">
            <w:pPr>
              <w:spacing w:line="400" w:lineRule="exact"/>
              <w:jc w:val="center"/>
              <w:rPr>
                <w:rFonts w:ascii="宋体" w:hAnsi="宋体" w:eastAsia="宋体" w:cs="Times New Roman"/>
                <w:color w:val="auto"/>
                <w:kern w:val="0"/>
                <w:szCs w:val="21"/>
                <w:highlight w:val="none"/>
              </w:rPr>
            </w:pPr>
          </w:p>
        </w:tc>
        <w:tc>
          <w:tcPr>
            <w:tcW w:w="1101" w:type="dxa"/>
            <w:tcBorders>
              <w:top w:val="single" w:color="auto" w:sz="4" w:space="0"/>
              <w:left w:val="single" w:color="auto" w:sz="4" w:space="0"/>
              <w:bottom w:val="single" w:color="auto" w:sz="4" w:space="0"/>
              <w:right w:val="single" w:color="auto" w:sz="4" w:space="0"/>
            </w:tcBorders>
          </w:tcPr>
          <w:p w14:paraId="57890DDA">
            <w:pPr>
              <w:spacing w:line="400" w:lineRule="exact"/>
              <w:jc w:val="center"/>
              <w:rPr>
                <w:rFonts w:ascii="宋体" w:hAnsi="宋体" w:eastAsia="宋体" w:cs="Times New Roman"/>
                <w:color w:val="auto"/>
                <w:kern w:val="0"/>
                <w:szCs w:val="21"/>
                <w:highlight w:val="none"/>
              </w:rPr>
            </w:pPr>
          </w:p>
        </w:tc>
        <w:tc>
          <w:tcPr>
            <w:tcW w:w="453" w:type="dxa"/>
            <w:tcBorders>
              <w:top w:val="single" w:color="auto" w:sz="4" w:space="0"/>
              <w:left w:val="single" w:color="auto" w:sz="4" w:space="0"/>
              <w:bottom w:val="single" w:color="auto" w:sz="4" w:space="0"/>
              <w:right w:val="single" w:color="auto" w:sz="4" w:space="0"/>
            </w:tcBorders>
            <w:vAlign w:val="center"/>
          </w:tcPr>
          <w:p w14:paraId="55D087D2">
            <w:pPr>
              <w:spacing w:line="400" w:lineRule="exact"/>
              <w:jc w:val="center"/>
              <w:rPr>
                <w:rFonts w:ascii="宋体" w:hAnsi="宋体" w:eastAsia="宋体" w:cs="Times New Roman"/>
                <w:color w:val="auto"/>
                <w:kern w:val="0"/>
                <w:szCs w:val="21"/>
                <w:highlight w:val="none"/>
              </w:rPr>
            </w:pPr>
          </w:p>
        </w:tc>
      </w:tr>
      <w:tr w14:paraId="25DE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99" w:type="dxa"/>
            <w:tcBorders>
              <w:top w:val="single" w:color="auto" w:sz="4" w:space="0"/>
              <w:left w:val="single" w:color="auto" w:sz="4" w:space="0"/>
              <w:bottom w:val="single" w:color="auto" w:sz="4" w:space="0"/>
              <w:right w:val="single" w:color="auto" w:sz="4" w:space="0"/>
            </w:tcBorders>
            <w:vAlign w:val="center"/>
          </w:tcPr>
          <w:p w14:paraId="7FEC3D84">
            <w:pPr>
              <w:autoSpaceDE w:val="0"/>
              <w:autoSpaceDN w:val="0"/>
              <w:adjustRightInd w:val="0"/>
              <w:spacing w:line="400" w:lineRule="exact"/>
              <w:jc w:val="center"/>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lang w:val="en-US" w:eastAsia="zh-CN"/>
              </w:rPr>
              <w:t>6</w:t>
            </w:r>
          </w:p>
        </w:tc>
        <w:tc>
          <w:tcPr>
            <w:tcW w:w="1512" w:type="dxa"/>
            <w:vMerge w:val="continue"/>
            <w:tcBorders>
              <w:left w:val="single" w:color="auto" w:sz="4" w:space="0"/>
              <w:bottom w:val="single" w:color="auto" w:sz="4" w:space="0"/>
              <w:right w:val="single" w:color="auto" w:sz="4" w:space="0"/>
            </w:tcBorders>
            <w:vAlign w:val="center"/>
          </w:tcPr>
          <w:p w14:paraId="39F1A55A">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1101" w:type="dxa"/>
            <w:tcBorders>
              <w:top w:val="single" w:color="auto" w:sz="4" w:space="0"/>
              <w:left w:val="single" w:color="auto" w:sz="4" w:space="0"/>
              <w:bottom w:val="single" w:color="auto" w:sz="4" w:space="0"/>
              <w:right w:val="single" w:color="auto" w:sz="4" w:space="0"/>
            </w:tcBorders>
            <w:vAlign w:val="center"/>
          </w:tcPr>
          <w:p w14:paraId="4031C7FD">
            <w:pPr>
              <w:spacing w:line="400" w:lineRule="exact"/>
              <w:jc w:val="center"/>
              <w:rPr>
                <w:rFonts w:ascii="宋体" w:hAnsi="宋体" w:eastAsia="宋体" w:cs="Times New Roman"/>
                <w:color w:val="auto"/>
                <w:kern w:val="0"/>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14:paraId="037F0195">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shd w:val="clear" w:color="FDE9D9" w:fill="auto"/>
            <w:vAlign w:val="center"/>
          </w:tcPr>
          <w:p w14:paraId="2E5A84C3">
            <w:pPr>
              <w:keepNext w:val="0"/>
              <w:keepLines w:val="0"/>
              <w:widowControl/>
              <w:suppressLineNumbers w:val="0"/>
              <w:jc w:val="center"/>
              <w:textAlignment w:val="center"/>
              <w:outlineLvl w:val="9"/>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DN300</w:t>
            </w:r>
          </w:p>
        </w:tc>
        <w:tc>
          <w:tcPr>
            <w:tcW w:w="1099" w:type="dxa"/>
            <w:tcBorders>
              <w:top w:val="single" w:color="auto" w:sz="4" w:space="0"/>
              <w:left w:val="single" w:color="auto" w:sz="4" w:space="0"/>
              <w:bottom w:val="single" w:color="auto" w:sz="4" w:space="0"/>
              <w:right w:val="single" w:color="auto" w:sz="4" w:space="0"/>
            </w:tcBorders>
            <w:shd w:val="clear" w:color="FDE9D9" w:fill="auto"/>
            <w:vAlign w:val="center"/>
          </w:tcPr>
          <w:p w14:paraId="1CE5A073">
            <w:pPr>
              <w:keepNext w:val="0"/>
              <w:keepLines w:val="0"/>
              <w:widowControl/>
              <w:suppressLineNumbers w:val="0"/>
              <w:jc w:val="center"/>
              <w:textAlignment w:val="center"/>
              <w:outlineLvl w:val="9"/>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1099" w:type="dxa"/>
            <w:tcBorders>
              <w:top w:val="single" w:color="auto" w:sz="4" w:space="0"/>
              <w:left w:val="single" w:color="auto" w:sz="4" w:space="0"/>
              <w:bottom w:val="single" w:color="auto" w:sz="4" w:space="0"/>
              <w:right w:val="single" w:color="auto" w:sz="4" w:space="0"/>
            </w:tcBorders>
            <w:shd w:val="clear" w:color="FDE9D9" w:fill="auto"/>
            <w:vAlign w:val="center"/>
          </w:tcPr>
          <w:p w14:paraId="0F8D0E84">
            <w:pPr>
              <w:keepNext w:val="0"/>
              <w:keepLines w:val="0"/>
              <w:widowControl/>
              <w:suppressLineNumbers w:val="0"/>
              <w:jc w:val="center"/>
              <w:textAlignment w:val="center"/>
              <w:outlineLvl w:val="9"/>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37</w:t>
            </w:r>
          </w:p>
        </w:tc>
        <w:tc>
          <w:tcPr>
            <w:tcW w:w="1099" w:type="dxa"/>
            <w:tcBorders>
              <w:top w:val="single" w:color="auto" w:sz="4" w:space="0"/>
              <w:left w:val="single" w:color="auto" w:sz="4" w:space="0"/>
              <w:bottom w:val="single" w:color="auto" w:sz="4" w:space="0"/>
              <w:right w:val="single" w:color="auto" w:sz="4" w:space="0"/>
            </w:tcBorders>
          </w:tcPr>
          <w:p w14:paraId="5E1A4A59">
            <w:pPr>
              <w:spacing w:line="400" w:lineRule="exact"/>
              <w:jc w:val="center"/>
              <w:rPr>
                <w:rFonts w:ascii="宋体" w:hAnsi="宋体" w:eastAsia="宋体" w:cs="Times New Roman"/>
                <w:color w:val="auto"/>
                <w:kern w:val="0"/>
                <w:szCs w:val="21"/>
                <w:highlight w:val="none"/>
              </w:rPr>
            </w:pPr>
          </w:p>
        </w:tc>
        <w:tc>
          <w:tcPr>
            <w:tcW w:w="1101" w:type="dxa"/>
            <w:tcBorders>
              <w:top w:val="single" w:color="auto" w:sz="4" w:space="0"/>
              <w:left w:val="single" w:color="auto" w:sz="4" w:space="0"/>
              <w:bottom w:val="single" w:color="auto" w:sz="4" w:space="0"/>
              <w:right w:val="single" w:color="auto" w:sz="4" w:space="0"/>
            </w:tcBorders>
          </w:tcPr>
          <w:p w14:paraId="34A095DE">
            <w:pPr>
              <w:spacing w:line="400" w:lineRule="exact"/>
              <w:jc w:val="center"/>
              <w:rPr>
                <w:rFonts w:ascii="宋体" w:hAnsi="宋体" w:eastAsia="宋体" w:cs="Times New Roman"/>
                <w:color w:val="auto"/>
                <w:kern w:val="0"/>
                <w:szCs w:val="21"/>
                <w:highlight w:val="none"/>
              </w:rPr>
            </w:pPr>
          </w:p>
        </w:tc>
        <w:tc>
          <w:tcPr>
            <w:tcW w:w="453" w:type="dxa"/>
            <w:tcBorders>
              <w:top w:val="single" w:color="auto" w:sz="4" w:space="0"/>
              <w:left w:val="single" w:color="auto" w:sz="4" w:space="0"/>
              <w:bottom w:val="single" w:color="auto" w:sz="4" w:space="0"/>
              <w:right w:val="single" w:color="auto" w:sz="4" w:space="0"/>
            </w:tcBorders>
            <w:vAlign w:val="center"/>
          </w:tcPr>
          <w:p w14:paraId="6C527D8C">
            <w:pPr>
              <w:spacing w:line="400" w:lineRule="exact"/>
              <w:jc w:val="center"/>
              <w:rPr>
                <w:rFonts w:ascii="宋体" w:hAnsi="宋体" w:eastAsia="宋体" w:cs="Times New Roman"/>
                <w:color w:val="auto"/>
                <w:kern w:val="0"/>
                <w:szCs w:val="21"/>
                <w:highlight w:val="none"/>
              </w:rPr>
            </w:pPr>
          </w:p>
        </w:tc>
      </w:tr>
    </w:tbl>
    <w:p w14:paraId="4584C11D">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p>
    <w:p w14:paraId="0470672A">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备注：</w:t>
      </w:r>
    </w:p>
    <w:p w14:paraId="0B3260A1">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（1）投标人应列明按《用户需求书》所要求的全部货物及其服务的明细清单；</w:t>
      </w:r>
    </w:p>
    <w:p w14:paraId="1D28F016">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lang w:val="zh-CN"/>
        </w:rPr>
        <w:t>）表格可根据实际货物种类自行扩展。</w:t>
      </w:r>
    </w:p>
    <w:p w14:paraId="053B6EBC">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lang w:val="zh-CN"/>
        </w:rPr>
      </w:pPr>
    </w:p>
    <w:p w14:paraId="2B185406">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796C53C6">
      <w:pPr>
        <w:autoSpaceDE w:val="0"/>
        <w:autoSpaceDN w:val="0"/>
        <w:adjustRightInd w:val="0"/>
        <w:spacing w:line="360" w:lineRule="auto"/>
        <w:ind w:firstLine="4200" w:firstLineChars="2000"/>
        <w:jc w:val="left"/>
        <w:rPr>
          <w:rFonts w:ascii="宋体" w:hAnsi="宋体" w:eastAsia="宋体" w:cs="Times New Roman"/>
          <w:color w:val="auto"/>
          <w:kern w:val="0"/>
          <w:szCs w:val="21"/>
          <w:highlight w:val="none"/>
        </w:rPr>
      </w:pPr>
      <w:r>
        <w:rPr>
          <w:rFonts w:ascii="宋体" w:hAnsi="宋体" w:eastAsia="宋体" w:cs="Times New Roman"/>
          <w:color w:val="auto"/>
          <w:kern w:val="3"/>
          <w:szCs w:val="21"/>
          <w:highlight w:val="none"/>
        </w:rPr>
        <w:t xml:space="preserve">投 标 人（加盖投标人法人公章）：              </w:t>
      </w:r>
    </w:p>
    <w:p w14:paraId="54C7F37F">
      <w:pPr>
        <w:spacing w:line="360" w:lineRule="auto"/>
        <w:ind w:firstLine="4200" w:firstLineChars="20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日  期：        年     月     日</w:t>
      </w:r>
    </w:p>
    <w:p w14:paraId="71F1C3BD">
      <w:pPr>
        <w:outlineLvl w:val="9"/>
        <w:rPr>
          <w:rFonts w:hint="eastAsia" w:ascii="宋体" w:hAnsi="宋体" w:eastAsia="宋体" w:cs="宋体"/>
          <w:b/>
          <w:color w:val="auto"/>
          <w:kern w:val="0"/>
          <w:sz w:val="30"/>
          <w:szCs w:val="30"/>
          <w:highlight w:val="none"/>
          <w:lang w:val="en-US" w:eastAsia="zh-CN"/>
        </w:rPr>
      </w:pPr>
    </w:p>
    <w:p w14:paraId="0ADDBCCF">
      <w:pPr>
        <w:outlineLvl w:val="9"/>
        <w:rPr>
          <w:rFonts w:hint="eastAsia" w:ascii="宋体" w:hAnsi="宋体" w:eastAsia="宋体" w:cs="宋体"/>
          <w:b/>
          <w:color w:val="auto"/>
          <w:kern w:val="0"/>
          <w:sz w:val="30"/>
          <w:szCs w:val="30"/>
          <w:highlight w:val="none"/>
          <w:lang w:val="en-US" w:eastAsia="zh-CN"/>
        </w:rPr>
      </w:pPr>
    </w:p>
    <w:p w14:paraId="0426CE53">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2F30E805">
      <w:pPr>
        <w:outlineLvl w:val="2"/>
        <w:rPr>
          <w:rFonts w:hint="eastAsia" w:ascii="宋体" w:hAnsi="宋体" w:eastAsia="宋体" w:cs="宋体"/>
          <w:b/>
          <w:color w:val="auto"/>
          <w:kern w:val="0"/>
          <w:sz w:val="30"/>
          <w:szCs w:val="30"/>
          <w:highlight w:val="none"/>
          <w:lang w:val="en-US" w:eastAsia="zh-CN"/>
        </w:rPr>
      </w:pPr>
      <w:bookmarkStart w:id="827" w:name="_Toc12043"/>
      <w:r>
        <w:rPr>
          <w:rFonts w:hint="eastAsia" w:ascii="宋体" w:hAnsi="宋体" w:eastAsia="宋体" w:cs="宋体"/>
          <w:b/>
          <w:color w:val="auto"/>
          <w:kern w:val="0"/>
          <w:sz w:val="30"/>
          <w:szCs w:val="30"/>
          <w:highlight w:val="none"/>
          <w:lang w:val="en-US" w:eastAsia="zh-CN"/>
        </w:rPr>
        <w:t>13.3 研发能力及产品先进性</w:t>
      </w:r>
      <w:r>
        <w:rPr>
          <w:rFonts w:hint="eastAsia" w:ascii="宋体" w:hAnsi="宋体" w:eastAsia="宋体" w:cs="宋体"/>
          <w:b/>
          <w:color w:val="auto"/>
          <w:kern w:val="0"/>
          <w:sz w:val="30"/>
          <w:szCs w:val="30"/>
          <w:highlight w:val="none"/>
        </w:rPr>
        <w:t>的证明材料</w:t>
      </w:r>
      <w:bookmarkEnd w:id="827"/>
    </w:p>
    <w:p w14:paraId="60427A61">
      <w:pPr>
        <w:spacing w:line="360" w:lineRule="auto"/>
        <w:outlineLvl w:val="9"/>
        <w:rPr>
          <w:rFonts w:hint="eastAsia" w:ascii="宋体" w:hAnsi="宋体" w:eastAsia="宋体" w:cs="宋体"/>
          <w:b/>
          <w:bCs/>
          <w:color w:val="auto"/>
          <w:kern w:val="2"/>
          <w:sz w:val="21"/>
          <w:szCs w:val="21"/>
          <w:highlight w:val="none"/>
          <w:lang w:val="en-US" w:eastAsia="zh-CN" w:bidi="ar-SA"/>
        </w:rPr>
      </w:pPr>
    </w:p>
    <w:p w14:paraId="2B866289">
      <w:pPr>
        <w:spacing w:line="360" w:lineRule="auto"/>
        <w:outlineLvl w:val="9"/>
        <w:rPr>
          <w:rFonts w:hint="default" w:asciiTheme="minorHAnsi" w:hAnsiTheme="minorHAnsi" w:eastAsiaTheme="minorEastAsia" w:cstheme="minorBidi"/>
          <w:b/>
          <w:bCs/>
          <w:color w:val="auto"/>
          <w:kern w:val="2"/>
          <w:sz w:val="21"/>
          <w:szCs w:val="22"/>
          <w:highlight w:val="none"/>
          <w:lang w:val="en-US" w:eastAsia="zh-CN"/>
        </w:rPr>
      </w:pPr>
      <w:r>
        <w:rPr>
          <w:rFonts w:hint="eastAsia" w:ascii="宋体" w:hAnsi="宋体" w:eastAsia="宋体" w:cs="宋体"/>
          <w:b/>
          <w:bCs/>
          <w:color w:val="auto"/>
          <w:kern w:val="0"/>
          <w:sz w:val="21"/>
          <w:szCs w:val="21"/>
          <w:highlight w:val="none"/>
          <w:lang w:val="zh-CN" w:eastAsia="zh-CN" w:bidi="ar-SA"/>
        </w:rPr>
        <w:t>备注：（</w:t>
      </w:r>
      <w:r>
        <w:rPr>
          <w:rFonts w:hint="eastAsia" w:ascii="宋体" w:hAnsi="宋体" w:eastAsia="宋体" w:cs="宋体"/>
          <w:b/>
          <w:bCs/>
          <w:color w:val="auto"/>
          <w:kern w:val="0"/>
          <w:sz w:val="21"/>
          <w:szCs w:val="21"/>
          <w:highlight w:val="none"/>
          <w:lang w:val="en-US" w:eastAsia="zh-CN" w:bidi="ar-SA"/>
        </w:rPr>
        <w:t>1</w:t>
      </w:r>
      <w:r>
        <w:rPr>
          <w:rFonts w:hint="eastAsia" w:ascii="宋体" w:hAnsi="宋体" w:eastAsia="宋体" w:cs="宋体"/>
          <w:b/>
          <w:bCs/>
          <w:color w:val="auto"/>
          <w:kern w:val="0"/>
          <w:sz w:val="21"/>
          <w:szCs w:val="21"/>
          <w:highlight w:val="none"/>
          <w:lang w:val="zh-CN" w:eastAsia="zh-CN" w:bidi="ar-SA"/>
        </w:rPr>
        <w:t>）投标人应提供相关的许可、批复、专利证书、</w:t>
      </w:r>
      <w:r>
        <w:rPr>
          <w:rFonts w:hint="eastAsia" w:ascii="宋体" w:hAnsi="宋体" w:eastAsia="宋体" w:cs="宋体"/>
          <w:b/>
          <w:bCs/>
          <w:color w:val="auto"/>
          <w:kern w:val="0"/>
          <w:sz w:val="21"/>
          <w:szCs w:val="21"/>
          <w:highlight w:val="none"/>
          <w:lang w:val="en-US" w:eastAsia="zh-CN" w:bidi="ar-SA"/>
        </w:rPr>
        <w:t>技术认证证书</w:t>
      </w:r>
      <w:r>
        <w:rPr>
          <w:rFonts w:hint="eastAsia" w:ascii="宋体" w:hAnsi="宋体" w:eastAsia="宋体" w:cs="宋体"/>
          <w:b/>
          <w:bCs/>
          <w:color w:val="auto"/>
          <w:kern w:val="0"/>
          <w:sz w:val="21"/>
          <w:szCs w:val="21"/>
          <w:highlight w:val="none"/>
          <w:lang w:val="zh-CN" w:eastAsia="zh-CN" w:bidi="ar-SA"/>
        </w:rPr>
        <w:t>及其他相关资料等证明文件的</w:t>
      </w:r>
      <w:r>
        <w:rPr>
          <w:rFonts w:hint="eastAsia" w:ascii="宋体" w:hAnsi="宋体" w:eastAsia="宋体" w:cs="宋体"/>
          <w:b/>
          <w:bCs/>
          <w:color w:val="auto"/>
          <w:kern w:val="0"/>
          <w:sz w:val="21"/>
          <w:szCs w:val="21"/>
          <w:highlight w:val="none"/>
          <w:lang w:val="en-US" w:eastAsia="zh-CN" w:bidi="ar-SA"/>
        </w:rPr>
        <w:t>复印件</w:t>
      </w:r>
      <w:r>
        <w:rPr>
          <w:rFonts w:hint="eastAsia" w:ascii="宋体" w:hAnsi="宋体" w:eastAsia="宋体" w:cs="宋体"/>
          <w:b/>
          <w:bCs/>
          <w:color w:val="auto"/>
          <w:kern w:val="0"/>
          <w:sz w:val="21"/>
          <w:szCs w:val="21"/>
          <w:highlight w:val="none"/>
          <w:lang w:val="zh-CN" w:eastAsia="zh-CN" w:bidi="ar-SA"/>
        </w:rPr>
        <w:t>，其中ISO10012（或GB/T 19022）测量管理体系认证证书除提供证书</w:t>
      </w:r>
      <w:r>
        <w:rPr>
          <w:rFonts w:hint="eastAsia" w:ascii="宋体" w:hAnsi="宋体" w:eastAsia="宋体" w:cs="宋体"/>
          <w:b/>
          <w:bCs/>
          <w:color w:val="auto"/>
          <w:kern w:val="0"/>
          <w:sz w:val="21"/>
          <w:szCs w:val="21"/>
          <w:highlight w:val="none"/>
          <w:lang w:val="en-US" w:eastAsia="zh-CN" w:bidi="ar-SA"/>
        </w:rPr>
        <w:t>复印件</w:t>
      </w:r>
      <w:r>
        <w:rPr>
          <w:rFonts w:hint="eastAsia" w:ascii="宋体" w:hAnsi="宋体" w:eastAsia="宋体" w:cs="宋体"/>
          <w:b/>
          <w:bCs/>
          <w:color w:val="auto"/>
          <w:kern w:val="0"/>
          <w:sz w:val="21"/>
          <w:szCs w:val="21"/>
          <w:highlight w:val="none"/>
          <w:lang w:val="zh-CN" w:eastAsia="zh-CN" w:bidi="ar-SA"/>
        </w:rPr>
        <w:t>外,还需提供能显示证书有效状态的全国认证认可信息公共服务平台（http://cx.cnca.cn/）查询结果凭证{凭证界面需显示有“全国认证认可信息公共服务平台”或“认证证书（需显示网址cx.cnca. cn）”}，以投标人提供的上述资料作为评审依据，未按要求提供上述资料或不能体现与投标人</w:t>
      </w:r>
      <w:r>
        <w:rPr>
          <w:rFonts w:hint="eastAsia" w:ascii="宋体" w:hAnsi="宋体" w:eastAsia="宋体" w:cs="宋体"/>
          <w:b/>
          <w:bCs/>
          <w:color w:val="auto"/>
          <w:szCs w:val="21"/>
          <w:highlight w:val="none"/>
          <w:lang w:eastAsia="zh-CN" w:bidi="ar"/>
        </w:rPr>
        <w:t>（</w:t>
      </w:r>
      <w:r>
        <w:rPr>
          <w:rFonts w:hint="eastAsia" w:ascii="宋体" w:hAnsi="宋体" w:eastAsia="宋体" w:cs="宋体"/>
          <w:b/>
          <w:bCs/>
          <w:color w:val="auto"/>
          <w:szCs w:val="21"/>
          <w:highlight w:val="none"/>
          <w:lang w:val="en-US" w:eastAsia="zh-CN" w:bidi="ar"/>
        </w:rPr>
        <w:t>或</w:t>
      </w:r>
      <w:r>
        <w:rPr>
          <w:rFonts w:hint="eastAsia" w:ascii="宋体" w:hAnsi="宋体" w:eastAsia="宋体" w:cs="宋体"/>
          <w:b/>
          <w:bCs/>
          <w:color w:val="auto"/>
          <w:szCs w:val="21"/>
          <w:highlight w:val="none"/>
          <w:lang w:eastAsia="zh-CN" w:bidi="ar"/>
        </w:rPr>
        <w:t>所投产品制造商）</w:t>
      </w:r>
      <w:r>
        <w:rPr>
          <w:rFonts w:hint="eastAsia" w:ascii="宋体" w:hAnsi="宋体" w:eastAsia="宋体" w:cs="宋体"/>
          <w:b/>
          <w:bCs/>
          <w:color w:val="auto"/>
          <w:kern w:val="0"/>
          <w:sz w:val="21"/>
          <w:szCs w:val="21"/>
          <w:highlight w:val="none"/>
          <w:lang w:val="zh-CN" w:eastAsia="zh-CN" w:bidi="ar-SA"/>
        </w:rPr>
        <w:t>关系的不得分。 （2）对于同一类型国际证书提供多个的，不能重复得分，只按一个证书计分。</w:t>
      </w:r>
      <w:r>
        <w:rPr>
          <w:rFonts w:hint="default" w:asciiTheme="minorHAnsi" w:hAnsiTheme="minorHAnsi" w:eastAsiaTheme="minorEastAsia" w:cstheme="minorBidi"/>
          <w:b/>
          <w:bCs/>
          <w:color w:val="auto"/>
          <w:kern w:val="2"/>
          <w:sz w:val="21"/>
          <w:szCs w:val="22"/>
          <w:highlight w:val="none"/>
          <w:lang w:val="en-US" w:eastAsia="zh-CN"/>
        </w:rPr>
        <w:br w:type="page"/>
      </w:r>
    </w:p>
    <w:p w14:paraId="49F09D30">
      <w:pPr>
        <w:outlineLvl w:val="2"/>
        <w:rPr>
          <w:rFonts w:hint="eastAsia" w:ascii="宋体" w:hAnsi="宋体" w:eastAsia="宋体" w:cs="宋体"/>
          <w:b/>
          <w:color w:val="auto"/>
          <w:kern w:val="0"/>
          <w:sz w:val="30"/>
          <w:szCs w:val="30"/>
          <w:highlight w:val="none"/>
          <w:lang w:val="en-US" w:eastAsia="zh-CN"/>
        </w:rPr>
      </w:pPr>
      <w:bookmarkStart w:id="828" w:name="_Toc20971"/>
      <w:r>
        <w:rPr>
          <w:rFonts w:hint="eastAsia" w:ascii="宋体" w:hAnsi="宋体" w:eastAsia="宋体" w:cs="宋体"/>
          <w:b/>
          <w:color w:val="auto"/>
          <w:kern w:val="0"/>
          <w:sz w:val="30"/>
          <w:szCs w:val="30"/>
          <w:highlight w:val="none"/>
          <w:lang w:val="en-US" w:eastAsia="zh-CN"/>
        </w:rPr>
        <w:t>13.4 投标产品的设计及性能</w:t>
      </w:r>
      <w:r>
        <w:rPr>
          <w:rFonts w:hint="eastAsia" w:ascii="宋体" w:hAnsi="宋体" w:eastAsia="宋体" w:cs="宋体"/>
          <w:b/>
          <w:color w:val="auto"/>
          <w:kern w:val="0"/>
          <w:sz w:val="30"/>
          <w:szCs w:val="30"/>
          <w:highlight w:val="none"/>
        </w:rPr>
        <w:t>的证明材料</w:t>
      </w:r>
      <w:bookmarkEnd w:id="828"/>
    </w:p>
    <w:p w14:paraId="69598D0A">
      <w:pPr>
        <w:rPr>
          <w:rFonts w:hint="eastAsia" w:ascii="宋体" w:hAnsi="宋体" w:eastAsia="宋体" w:cs="宋体"/>
          <w:b/>
          <w:color w:val="auto"/>
          <w:kern w:val="0"/>
          <w:sz w:val="30"/>
          <w:szCs w:val="30"/>
          <w:highlight w:val="none"/>
          <w:lang w:val="en-US" w:eastAsia="zh-CN"/>
        </w:rPr>
      </w:pPr>
    </w:p>
    <w:p w14:paraId="4AFA33F7">
      <w:pPr>
        <w:spacing w:line="360" w:lineRule="auto"/>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bCs/>
          <w:color w:val="auto"/>
          <w:kern w:val="2"/>
          <w:sz w:val="21"/>
          <w:szCs w:val="21"/>
          <w:highlight w:val="none"/>
          <w:lang w:val="en-US" w:eastAsia="zh-CN" w:bidi="ar-SA"/>
        </w:rPr>
        <w:t>备注：1、投标人必须提供投标产品性能说明书或其他能体现投标产品性能的证明材料，以此证明材料作为依据进行评审；</w:t>
      </w:r>
      <w:r>
        <w:rPr>
          <w:rFonts w:hint="default" w:ascii="宋体" w:hAnsi="宋体" w:eastAsia="宋体" w:cs="宋体"/>
          <w:b/>
          <w:bCs/>
          <w:color w:val="auto"/>
          <w:kern w:val="2"/>
          <w:sz w:val="21"/>
          <w:szCs w:val="21"/>
          <w:highlight w:val="none"/>
          <w:lang w:val="en-US" w:eastAsia="zh-CN" w:bidi="ar-SA"/>
        </w:rPr>
        <w:t>2</w:t>
      </w:r>
      <w:r>
        <w:rPr>
          <w:rFonts w:hint="eastAsia" w:ascii="宋体" w:hAnsi="宋体" w:eastAsia="宋体" w:cs="宋体"/>
          <w:b/>
          <w:bCs/>
          <w:color w:val="auto"/>
          <w:kern w:val="2"/>
          <w:sz w:val="21"/>
          <w:szCs w:val="21"/>
          <w:highlight w:val="none"/>
          <w:lang w:val="en-US" w:eastAsia="zh-CN" w:bidi="ar-SA"/>
        </w:rPr>
        <w:t>、投标人提供的水表类型【提供：</w:t>
      </w:r>
      <w:r>
        <w:rPr>
          <w:rFonts w:hint="eastAsia" w:ascii="宋体" w:hAnsi="宋体" w:eastAsia="宋体" w:cs="宋体"/>
          <w:b/>
          <w:bCs w:val="0"/>
          <w:color w:val="auto"/>
          <w:kern w:val="0"/>
          <w:sz w:val="21"/>
          <w:szCs w:val="21"/>
          <w:highlight w:val="none"/>
          <w:lang w:val="en-US" w:eastAsia="zh-CN" w:bidi="ar-SA"/>
        </w:rPr>
        <w:t>DN100电磁水表</w:t>
      </w:r>
      <w:r>
        <w:rPr>
          <w:rFonts w:hint="eastAsia" w:ascii="宋体" w:hAnsi="宋体" w:eastAsia="宋体" w:cs="宋体"/>
          <w:b/>
          <w:bCs/>
          <w:color w:val="auto"/>
          <w:kern w:val="2"/>
          <w:sz w:val="21"/>
          <w:szCs w:val="21"/>
          <w:highlight w:val="none"/>
          <w:lang w:val="en-US" w:eastAsia="zh-CN" w:bidi="ar-SA"/>
        </w:rPr>
        <w:t>】的省级或省级以上质量监督检测机构或第三方具有 CMA 资格的检测机构或第三方具有CNAS 认证的检测机构出具的检验报告进行评审。</w:t>
      </w:r>
      <w:r>
        <w:rPr>
          <w:rFonts w:hint="eastAsia" w:ascii="宋体" w:hAnsi="宋体" w:eastAsia="宋体" w:cs="宋体"/>
          <w:b/>
          <w:color w:val="auto"/>
          <w:kern w:val="0"/>
          <w:sz w:val="30"/>
          <w:szCs w:val="30"/>
          <w:highlight w:val="none"/>
          <w:lang w:val="en-US" w:eastAsia="zh-CN"/>
        </w:rPr>
        <w:br w:type="page"/>
      </w:r>
    </w:p>
    <w:p w14:paraId="3D6E5C9A">
      <w:pPr>
        <w:outlineLvl w:val="2"/>
        <w:rPr>
          <w:rFonts w:hint="eastAsia" w:ascii="宋体" w:hAnsi="宋体" w:eastAsia="宋体" w:cs="宋体"/>
          <w:b/>
          <w:color w:val="auto"/>
          <w:kern w:val="0"/>
          <w:sz w:val="30"/>
          <w:szCs w:val="30"/>
          <w:highlight w:val="none"/>
          <w:lang w:val="en-US" w:eastAsia="zh-CN"/>
        </w:rPr>
      </w:pPr>
      <w:bookmarkStart w:id="829" w:name="_Toc28002"/>
      <w:r>
        <w:rPr>
          <w:rFonts w:hint="eastAsia" w:ascii="宋体" w:hAnsi="宋体" w:eastAsia="宋体" w:cs="宋体"/>
          <w:b/>
          <w:color w:val="auto"/>
          <w:kern w:val="0"/>
          <w:sz w:val="30"/>
          <w:szCs w:val="30"/>
          <w:highlight w:val="none"/>
          <w:lang w:val="en-US" w:eastAsia="zh-CN"/>
        </w:rPr>
        <w:t>13.5 生产制造能力</w:t>
      </w:r>
      <w:r>
        <w:rPr>
          <w:rFonts w:hint="eastAsia" w:ascii="宋体" w:hAnsi="宋体" w:eastAsia="宋体" w:cs="宋体"/>
          <w:b/>
          <w:color w:val="auto"/>
          <w:kern w:val="0"/>
          <w:sz w:val="30"/>
          <w:szCs w:val="30"/>
          <w:highlight w:val="none"/>
        </w:rPr>
        <w:t>的证明材料</w:t>
      </w:r>
      <w:bookmarkEnd w:id="829"/>
    </w:p>
    <w:p w14:paraId="4DA27350">
      <w:pPr>
        <w:spacing w:line="360" w:lineRule="auto"/>
        <w:rPr>
          <w:rFonts w:hint="eastAsia" w:ascii="宋体" w:hAnsi="宋体" w:eastAsia="宋体" w:cs="宋体"/>
          <w:b/>
          <w:bCs/>
          <w:color w:val="auto"/>
          <w:kern w:val="0"/>
          <w:szCs w:val="21"/>
          <w:highlight w:val="none"/>
          <w:shd w:val="clear" w:color="auto" w:fill="auto"/>
          <w:lang w:val="en-US" w:eastAsia="zh-CN"/>
        </w:rPr>
      </w:pPr>
    </w:p>
    <w:p w14:paraId="7D525152">
      <w:pPr>
        <w:spacing w:line="360" w:lineRule="auto"/>
        <w:rPr>
          <w:rFonts w:hint="default"/>
          <w:color w:val="auto"/>
          <w:highlight w:val="none"/>
          <w:lang w:val="en-US" w:eastAsia="zh-CN"/>
        </w:rPr>
      </w:pPr>
      <w:r>
        <w:rPr>
          <w:rFonts w:hint="eastAsia" w:ascii="宋体" w:hAnsi="宋体" w:eastAsia="宋体" w:cs="宋体"/>
          <w:b/>
          <w:bCs/>
          <w:color w:val="auto"/>
          <w:kern w:val="0"/>
          <w:szCs w:val="21"/>
          <w:highlight w:val="none"/>
          <w:shd w:val="clear" w:color="auto" w:fill="auto"/>
          <w:lang w:val="en-US" w:eastAsia="zh-CN"/>
        </w:rPr>
        <w:t>备注：投标人应提供2025年7月1日或以后拍摄的有关所投产品制造商的生产设备、检测设备、制造工艺流程及质检设备的照片/图片（照片/图片须清晰反映拍摄时间，否则评标时将不予考虑），以及相关设备设施清单和（付款单位/购买方为所投产品制造商）采购合同及购置发票原件复印件等证明材料，以投标人提供的上述资料作为评审依据。</w:t>
      </w:r>
    </w:p>
    <w:bookmarkEnd w:id="815"/>
    <w:p w14:paraId="28753568">
      <w:pPr>
        <w:outlineLvl w:val="9"/>
        <w:rPr>
          <w:rFonts w:hint="eastAsia" w:ascii="宋体" w:hAnsi="宋体" w:eastAsia="宋体" w:cs="宋体"/>
          <w:b/>
          <w:color w:val="auto"/>
          <w:kern w:val="0"/>
          <w:sz w:val="30"/>
          <w:szCs w:val="30"/>
          <w:highlight w:val="none"/>
          <w:lang w:val="en-US" w:eastAsia="zh-CN"/>
        </w:rPr>
      </w:pPr>
      <w:bookmarkStart w:id="830" w:name="_Toc27500"/>
      <w:r>
        <w:rPr>
          <w:rFonts w:hint="eastAsia" w:ascii="宋体" w:hAnsi="宋体" w:eastAsia="宋体" w:cs="宋体"/>
          <w:b/>
          <w:color w:val="auto"/>
          <w:kern w:val="0"/>
          <w:sz w:val="30"/>
          <w:szCs w:val="30"/>
          <w:highlight w:val="none"/>
          <w:lang w:val="en-US" w:eastAsia="zh-CN"/>
        </w:rPr>
        <w:br w:type="page"/>
      </w:r>
      <w:bookmarkEnd w:id="830"/>
    </w:p>
    <w:p w14:paraId="19D352AC">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831" w:name="_Toc29744"/>
      <w:bookmarkStart w:id="832" w:name="_Toc29670"/>
      <w:bookmarkStart w:id="833" w:name="_Toc1222"/>
      <w:bookmarkStart w:id="834" w:name="_Toc770"/>
      <w:r>
        <w:rPr>
          <w:rFonts w:hint="eastAsia" w:ascii="宋体" w:hAnsi="宋体" w:eastAsia="宋体" w:cs="宋体"/>
          <w:b/>
          <w:color w:val="auto"/>
          <w:kern w:val="0"/>
          <w:sz w:val="30"/>
          <w:szCs w:val="30"/>
          <w:highlight w:val="none"/>
          <w:lang w:val="en-US" w:eastAsia="zh-CN"/>
        </w:rPr>
        <w:t>13.</w:t>
      </w:r>
      <w:bookmarkEnd w:id="831"/>
      <w:r>
        <w:rPr>
          <w:rFonts w:hint="eastAsia" w:ascii="宋体" w:hAnsi="宋体" w:eastAsia="宋体" w:cs="宋体"/>
          <w:b/>
          <w:color w:val="auto"/>
          <w:kern w:val="0"/>
          <w:sz w:val="30"/>
          <w:szCs w:val="30"/>
          <w:highlight w:val="none"/>
          <w:lang w:val="en-US" w:eastAsia="zh-CN"/>
        </w:rPr>
        <w:t>6 售后服务方案</w:t>
      </w:r>
      <w:bookmarkEnd w:id="832"/>
    </w:p>
    <w:p w14:paraId="3E881201">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6C090734">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3B7090E9">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bookmarkEnd w:id="816"/>
    <w:bookmarkEnd w:id="817"/>
    <w:bookmarkEnd w:id="818"/>
    <w:bookmarkEnd w:id="819"/>
    <w:bookmarkEnd w:id="820"/>
    <w:bookmarkEnd w:id="833"/>
    <w:bookmarkEnd w:id="834"/>
    <w:p w14:paraId="36FE232A">
      <w:pPr>
        <w:autoSpaceDE w:val="0"/>
        <w:autoSpaceDN w:val="0"/>
        <w:adjustRightInd w:val="0"/>
        <w:spacing w:line="360" w:lineRule="auto"/>
        <w:jc w:val="left"/>
        <w:outlineLvl w:val="2"/>
        <w:rPr>
          <w:rFonts w:hint="default" w:ascii="宋体" w:hAnsi="宋体" w:eastAsia="宋体" w:cs="宋体"/>
          <w:b/>
          <w:color w:val="auto"/>
          <w:kern w:val="0"/>
          <w:sz w:val="30"/>
          <w:szCs w:val="30"/>
          <w:highlight w:val="none"/>
          <w:lang w:val="en-US" w:eastAsia="zh-CN"/>
        </w:rPr>
      </w:pPr>
      <w:bookmarkStart w:id="835" w:name="_Toc26126"/>
      <w:r>
        <w:rPr>
          <w:rFonts w:hint="eastAsia" w:ascii="宋体" w:hAnsi="宋体" w:eastAsia="宋体" w:cs="宋体"/>
          <w:b/>
          <w:color w:val="auto"/>
          <w:kern w:val="0"/>
          <w:sz w:val="30"/>
          <w:szCs w:val="30"/>
          <w:highlight w:val="none"/>
          <w:lang w:val="en-US" w:eastAsia="zh-CN"/>
        </w:rPr>
        <w:t>13.7 售后服务响应时间承诺</w:t>
      </w:r>
      <w:bookmarkEnd w:id="835"/>
    </w:p>
    <w:p w14:paraId="50CCE0BF">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2EB1024A">
      <w:pPr>
        <w:autoSpaceDE w:val="0"/>
        <w:autoSpaceDN w:val="0"/>
        <w:adjustRightInd w:val="0"/>
        <w:spacing w:line="360" w:lineRule="auto"/>
        <w:jc w:val="center"/>
        <w:outlineLvl w:val="9"/>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24"/>
          <w:szCs w:val="24"/>
          <w:highlight w:val="none"/>
          <w:lang w:val="en-US" w:eastAsia="zh-CN"/>
        </w:rPr>
        <w:t>《售后服务响应时间承诺表》</w:t>
      </w:r>
    </w:p>
    <w:tbl>
      <w:tblPr>
        <w:tblStyle w:val="39"/>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0"/>
      </w:tblGrid>
      <w:tr w14:paraId="58C6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0370" w:type="dxa"/>
            <w:tcBorders>
              <w:top w:val="single" w:color="auto" w:sz="4" w:space="0"/>
              <w:left w:val="single" w:color="auto" w:sz="4" w:space="0"/>
              <w:bottom w:val="single" w:color="auto" w:sz="4" w:space="0"/>
              <w:right w:val="single" w:color="auto" w:sz="4" w:space="0"/>
            </w:tcBorders>
            <w:noWrap w:val="0"/>
            <w:vAlign w:val="center"/>
          </w:tcPr>
          <w:p w14:paraId="597045D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bidi="ar"/>
              </w:rPr>
              <w:t>承诺事项</w:t>
            </w:r>
          </w:p>
        </w:tc>
      </w:tr>
      <w:tr w14:paraId="597F2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0370" w:type="dxa"/>
            <w:tcBorders>
              <w:top w:val="single" w:color="auto" w:sz="4" w:space="0"/>
              <w:left w:val="single" w:color="auto" w:sz="4" w:space="0"/>
              <w:bottom w:val="single" w:color="auto" w:sz="4" w:space="0"/>
              <w:right w:val="single" w:color="auto" w:sz="4" w:space="0"/>
            </w:tcBorders>
            <w:noWrap w:val="0"/>
            <w:vAlign w:val="center"/>
          </w:tcPr>
          <w:p w14:paraId="28A53189">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我司</w:t>
            </w:r>
            <w:r>
              <w:rPr>
                <w:rFonts w:hint="eastAsia" w:ascii="宋体" w:hAnsi="宋体" w:eastAsia="宋体" w:cs="宋体"/>
                <w:color w:val="auto"/>
                <w:sz w:val="21"/>
                <w:szCs w:val="21"/>
                <w:highlight w:val="none"/>
                <w:shd w:val="clear" w:color="auto" w:fill="FFFFFF"/>
                <w:lang w:eastAsia="zh-CN"/>
              </w:rPr>
              <w:t>承诺在接到招标人的</w:t>
            </w:r>
            <w:r>
              <w:rPr>
                <w:rFonts w:hint="eastAsia" w:ascii="宋体" w:hAnsi="宋体" w:eastAsia="宋体" w:cs="宋体"/>
                <w:color w:val="auto"/>
                <w:szCs w:val="21"/>
                <w:highlight w:val="none"/>
                <w:lang w:val="en-US" w:eastAsia="zh-CN"/>
              </w:rPr>
              <w:t>售后服务通知</w:t>
            </w:r>
            <w:r>
              <w:rPr>
                <w:rFonts w:hint="eastAsia" w:ascii="宋体" w:hAnsi="宋体" w:eastAsia="宋体" w:cs="宋体"/>
                <w:color w:val="auto"/>
                <w:sz w:val="21"/>
                <w:szCs w:val="21"/>
                <w:highlight w:val="none"/>
                <w:shd w:val="clear" w:color="auto" w:fill="FFFFFF"/>
                <w:lang w:eastAsia="zh-CN"/>
              </w:rPr>
              <w:t>后</w:t>
            </w:r>
            <w:r>
              <w:rPr>
                <w:rFonts w:hint="eastAsia" w:ascii="宋体" w:hAnsi="宋体" w:eastAsia="宋体" w:cs="宋体"/>
                <w:color w:val="auto"/>
                <w:sz w:val="21"/>
                <w:szCs w:val="21"/>
                <w:highlight w:val="none"/>
                <w:u w:val="single"/>
                <w:shd w:val="clear" w:color="auto" w:fill="FFFFFF"/>
                <w:lang w:val="en-US" w:eastAsia="zh-CN"/>
              </w:rPr>
              <w:t xml:space="preserve">      </w:t>
            </w:r>
            <w:r>
              <w:rPr>
                <w:rFonts w:hint="eastAsia" w:ascii="宋体" w:hAnsi="宋体" w:eastAsia="宋体" w:cs="宋体"/>
                <w:color w:val="auto"/>
                <w:sz w:val="21"/>
                <w:szCs w:val="21"/>
                <w:highlight w:val="none"/>
                <w:shd w:val="clear" w:color="auto" w:fill="FFFFFF"/>
                <w:lang w:eastAsia="zh-CN"/>
              </w:rPr>
              <w:t>小时内响应，</w:t>
            </w:r>
            <w:r>
              <w:rPr>
                <w:rFonts w:hint="eastAsia" w:ascii="宋体" w:hAnsi="宋体" w:eastAsia="宋体" w:cs="宋体"/>
                <w:color w:val="auto"/>
                <w:sz w:val="21"/>
                <w:szCs w:val="21"/>
                <w:highlight w:val="none"/>
                <w:u w:val="single"/>
                <w:shd w:val="clear" w:color="auto" w:fill="FFFFFF"/>
                <w:lang w:val="en-US" w:eastAsia="zh-CN"/>
              </w:rPr>
              <w:t xml:space="preserve">      </w:t>
            </w:r>
            <w:r>
              <w:rPr>
                <w:rFonts w:hint="eastAsia" w:ascii="宋体" w:hAnsi="宋体" w:eastAsia="宋体" w:cs="宋体"/>
                <w:color w:val="auto"/>
                <w:sz w:val="21"/>
                <w:szCs w:val="21"/>
                <w:highlight w:val="none"/>
                <w:shd w:val="clear" w:color="auto" w:fill="FFFFFF"/>
                <w:lang w:eastAsia="zh-CN"/>
              </w:rPr>
              <w:t>小时内到达项目现场进行维修等服务。</w:t>
            </w:r>
          </w:p>
        </w:tc>
      </w:tr>
    </w:tbl>
    <w:p w14:paraId="46982082">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6FEB50C4">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836" w:name="_Toc3372"/>
      <w:r>
        <w:rPr>
          <w:rFonts w:hint="eastAsia" w:ascii="宋体" w:hAnsi="宋体" w:eastAsia="宋体" w:cs="宋体"/>
          <w:b/>
          <w:color w:val="auto"/>
          <w:kern w:val="0"/>
          <w:sz w:val="30"/>
          <w:szCs w:val="30"/>
          <w:highlight w:val="none"/>
          <w:lang w:val="en-US" w:eastAsia="zh-CN"/>
        </w:rPr>
        <w:t xml:space="preserve">13.8 </w:t>
      </w:r>
      <w:r>
        <w:rPr>
          <w:rFonts w:hint="eastAsia" w:ascii="宋体" w:hAnsi="宋体" w:eastAsia="宋体" w:cs="宋体"/>
          <w:b/>
          <w:color w:val="auto"/>
          <w:kern w:val="0"/>
          <w:sz w:val="30"/>
          <w:szCs w:val="30"/>
          <w:highlight w:val="none"/>
        </w:rPr>
        <w:t>投标人认为有必要提供的其它材料（不做强制要求）</w:t>
      </w:r>
      <w:bookmarkEnd w:id="836"/>
    </w:p>
    <w:p w14:paraId="7095275F">
      <w:pPr>
        <w:pStyle w:val="18"/>
        <w:rPr>
          <w:rFonts w:hint="eastAsia"/>
          <w:color w:val="auto"/>
          <w:highlight w:val="none"/>
          <w:lang w:val="en-US" w:eastAsia="zh-CN"/>
        </w:rPr>
      </w:pPr>
    </w:p>
    <w:p w14:paraId="3899FF0F">
      <w:pPr>
        <w:autoSpaceDE w:val="0"/>
        <w:autoSpaceDN w:val="0"/>
        <w:adjustRightInd w:val="0"/>
        <w:jc w:val="left"/>
        <w:rPr>
          <w:rFonts w:ascii="宋体" w:hAnsi="宋体" w:eastAsia="宋体" w:cs="Times New Roman"/>
          <w:color w:val="auto"/>
          <w:kern w:val="0"/>
          <w:sz w:val="24"/>
          <w:szCs w:val="24"/>
          <w:highlight w:val="none"/>
        </w:rPr>
      </w:pPr>
    </w:p>
    <w:p w14:paraId="105E58DE">
      <w:pPr>
        <w:autoSpaceDE w:val="0"/>
        <w:autoSpaceDN w:val="0"/>
        <w:adjustRightInd w:val="0"/>
        <w:jc w:val="left"/>
        <w:rPr>
          <w:rFonts w:ascii="宋体" w:hAnsi="宋体" w:eastAsia="宋体" w:cs="Times New Roman"/>
          <w:color w:val="auto"/>
          <w:kern w:val="0"/>
          <w:sz w:val="24"/>
          <w:szCs w:val="24"/>
          <w:highlight w:val="none"/>
        </w:rPr>
      </w:pPr>
    </w:p>
    <w:p w14:paraId="59DA9D5C">
      <w:pPr>
        <w:autoSpaceDE w:val="0"/>
        <w:autoSpaceDN w:val="0"/>
        <w:adjustRightInd w:val="0"/>
        <w:jc w:val="left"/>
        <w:rPr>
          <w:rFonts w:ascii="宋体" w:hAnsi="宋体" w:eastAsia="宋体" w:cs="Times New Roman"/>
          <w:color w:val="auto"/>
          <w:kern w:val="0"/>
          <w:sz w:val="24"/>
          <w:szCs w:val="24"/>
          <w:highlight w:val="none"/>
        </w:rPr>
      </w:pPr>
    </w:p>
    <w:p w14:paraId="33ABD146">
      <w:pPr>
        <w:autoSpaceDE w:val="0"/>
        <w:autoSpaceDN w:val="0"/>
        <w:adjustRightInd w:val="0"/>
        <w:jc w:val="left"/>
        <w:rPr>
          <w:rFonts w:ascii="宋体" w:hAnsi="宋体" w:eastAsia="宋体" w:cs="Times New Roman"/>
          <w:color w:val="auto"/>
          <w:kern w:val="0"/>
          <w:sz w:val="24"/>
          <w:szCs w:val="24"/>
          <w:highlight w:val="none"/>
        </w:rPr>
      </w:pPr>
    </w:p>
    <w:p w14:paraId="5F1DC3E2">
      <w:pPr>
        <w:autoSpaceDE w:val="0"/>
        <w:autoSpaceDN w:val="0"/>
        <w:adjustRightInd w:val="0"/>
        <w:jc w:val="left"/>
        <w:rPr>
          <w:rFonts w:ascii="宋体" w:hAnsi="宋体" w:eastAsia="宋体" w:cs="Times New Roman"/>
          <w:color w:val="auto"/>
          <w:kern w:val="0"/>
          <w:sz w:val="24"/>
          <w:szCs w:val="24"/>
          <w:highlight w:val="none"/>
        </w:rPr>
      </w:pPr>
    </w:p>
    <w:p w14:paraId="5EF86663">
      <w:pPr>
        <w:autoSpaceDE w:val="0"/>
        <w:autoSpaceDN w:val="0"/>
        <w:adjustRightInd w:val="0"/>
        <w:jc w:val="left"/>
        <w:rPr>
          <w:rFonts w:ascii="宋体" w:hAnsi="宋体" w:eastAsia="宋体" w:cs="Times New Roman"/>
          <w:color w:val="auto"/>
          <w:kern w:val="0"/>
          <w:sz w:val="24"/>
          <w:szCs w:val="24"/>
          <w:highlight w:val="none"/>
        </w:rPr>
      </w:pPr>
    </w:p>
    <w:p w14:paraId="35AC5E58">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3E47A651">
      <w:pPr>
        <w:autoSpaceDE w:val="0"/>
        <w:autoSpaceDN w:val="0"/>
        <w:adjustRightInd w:val="0"/>
        <w:jc w:val="left"/>
        <w:rPr>
          <w:rFonts w:ascii="宋体" w:hAnsi="宋体" w:eastAsia="宋体" w:cs="Times New Roman"/>
          <w:color w:val="auto"/>
          <w:kern w:val="0"/>
          <w:sz w:val="24"/>
          <w:szCs w:val="24"/>
          <w:highlight w:val="none"/>
        </w:rPr>
      </w:pPr>
    </w:p>
    <w:p w14:paraId="7D525983">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837" w:name="_Toc142508390"/>
      <w:bookmarkStart w:id="838" w:name="_Toc13062"/>
      <w:bookmarkStart w:id="839" w:name="_Toc25469"/>
      <w:bookmarkStart w:id="840" w:name="_Toc28845"/>
      <w:bookmarkStart w:id="841" w:name="_Toc24913"/>
      <w:bookmarkStart w:id="842" w:name="_Toc522047402"/>
      <w:bookmarkStart w:id="843" w:name="_Toc22601_WPSOffice_Level1"/>
      <w:bookmarkStart w:id="844" w:name="_Toc521918141"/>
      <w:r>
        <w:rPr>
          <w:rFonts w:hint="eastAsia" w:ascii="宋体" w:hAnsi="宋体" w:eastAsia="宋体" w:cs="宋体"/>
          <w:b/>
          <w:bCs/>
          <w:color w:val="auto"/>
          <w:kern w:val="44"/>
          <w:sz w:val="32"/>
          <w:szCs w:val="32"/>
          <w:highlight w:val="none"/>
          <w:lang w:val="zh-CN"/>
        </w:rPr>
        <w:t>附件一：评标工作大纲</w:t>
      </w:r>
      <w:bookmarkEnd w:id="837"/>
      <w:bookmarkEnd w:id="838"/>
      <w:bookmarkEnd w:id="839"/>
      <w:bookmarkEnd w:id="840"/>
      <w:bookmarkEnd w:id="841"/>
    </w:p>
    <w:p w14:paraId="066D0FC4">
      <w:pPr>
        <w:autoSpaceDE w:val="0"/>
        <w:autoSpaceDN w:val="0"/>
        <w:adjustRightInd w:val="0"/>
        <w:spacing w:line="400" w:lineRule="atLeast"/>
        <w:jc w:val="center"/>
        <w:rPr>
          <w:rFonts w:ascii="宋体" w:hAnsi="宋体" w:eastAsia="宋体" w:cs="宋体"/>
          <w:b/>
          <w:bCs/>
          <w:color w:val="auto"/>
          <w:szCs w:val="21"/>
          <w:highlight w:val="none"/>
        </w:rPr>
      </w:pPr>
    </w:p>
    <w:p w14:paraId="7482D56F">
      <w:pPr>
        <w:autoSpaceDE w:val="0"/>
        <w:autoSpaceDN w:val="0"/>
        <w:adjustRightInd w:val="0"/>
        <w:spacing w:line="400" w:lineRule="atLeast"/>
        <w:jc w:val="center"/>
        <w:rPr>
          <w:rFonts w:ascii="宋体" w:hAnsi="宋体" w:eastAsia="宋体" w:cs="宋体"/>
          <w:b/>
          <w:bCs/>
          <w:color w:val="auto"/>
          <w:szCs w:val="21"/>
          <w:highlight w:val="none"/>
        </w:rPr>
      </w:pPr>
    </w:p>
    <w:p w14:paraId="19F99FE7">
      <w:pPr>
        <w:autoSpaceDE w:val="0"/>
        <w:autoSpaceDN w:val="0"/>
        <w:adjustRightInd w:val="0"/>
        <w:spacing w:line="400" w:lineRule="atLeast"/>
        <w:jc w:val="center"/>
        <w:rPr>
          <w:rFonts w:ascii="宋体" w:hAnsi="宋体" w:eastAsia="宋体" w:cs="宋体"/>
          <w:b/>
          <w:bCs/>
          <w:color w:val="auto"/>
          <w:szCs w:val="21"/>
          <w:highlight w:val="none"/>
        </w:rPr>
      </w:pPr>
    </w:p>
    <w:p w14:paraId="31C51920">
      <w:pPr>
        <w:autoSpaceDE w:val="0"/>
        <w:autoSpaceDN w:val="0"/>
        <w:adjustRightInd w:val="0"/>
        <w:spacing w:line="400" w:lineRule="atLeast"/>
        <w:jc w:val="center"/>
        <w:rPr>
          <w:rFonts w:ascii="宋体" w:hAnsi="宋体" w:eastAsia="宋体" w:cs="宋体"/>
          <w:b/>
          <w:bCs/>
          <w:color w:val="auto"/>
          <w:szCs w:val="21"/>
          <w:highlight w:val="none"/>
        </w:rPr>
      </w:pPr>
    </w:p>
    <w:p w14:paraId="647F8EA6">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东莞市供水计量设施更新项目（2026-2027年计量仪表）－电磁水表</w:t>
      </w:r>
    </w:p>
    <w:p w14:paraId="4AE10822">
      <w:pPr>
        <w:autoSpaceDE w:val="0"/>
        <w:autoSpaceDN w:val="0"/>
        <w:adjustRightInd w:val="0"/>
        <w:spacing w:line="360" w:lineRule="auto"/>
        <w:jc w:val="center"/>
        <w:rPr>
          <w:rFonts w:ascii="宋体" w:hAnsi="宋体" w:eastAsia="宋体" w:cs="宋体"/>
          <w:b/>
          <w:bCs/>
          <w:color w:val="auto"/>
          <w:sz w:val="36"/>
          <w:szCs w:val="36"/>
          <w:highlight w:val="none"/>
        </w:rPr>
      </w:pPr>
      <w:bookmarkStart w:id="845" w:name="_Toc14752_WPSOffice_Level1"/>
      <w:r>
        <w:rPr>
          <w:rFonts w:hint="eastAsia" w:ascii="宋体" w:hAnsi="宋体" w:eastAsia="宋体" w:cs="宋体"/>
          <w:b/>
          <w:bCs/>
          <w:color w:val="auto"/>
          <w:sz w:val="36"/>
          <w:szCs w:val="36"/>
          <w:highlight w:val="none"/>
          <w:lang w:val="zh-CN"/>
        </w:rPr>
        <w:t>（招标编号：GXTZ-ZB-2026第（39）号）</w:t>
      </w:r>
      <w:bookmarkEnd w:id="845"/>
    </w:p>
    <w:p w14:paraId="07CA801C">
      <w:pPr>
        <w:autoSpaceDE w:val="0"/>
        <w:autoSpaceDN w:val="0"/>
        <w:adjustRightInd w:val="0"/>
        <w:spacing w:line="400" w:lineRule="atLeast"/>
        <w:jc w:val="center"/>
        <w:rPr>
          <w:rFonts w:ascii="宋体" w:hAnsi="宋体" w:eastAsia="宋体" w:cs="宋体"/>
          <w:b/>
          <w:bCs/>
          <w:color w:val="auto"/>
          <w:sz w:val="36"/>
          <w:szCs w:val="36"/>
          <w:highlight w:val="none"/>
        </w:rPr>
      </w:pPr>
    </w:p>
    <w:p w14:paraId="22F69DAE">
      <w:pPr>
        <w:autoSpaceDE w:val="0"/>
        <w:autoSpaceDN w:val="0"/>
        <w:adjustRightInd w:val="0"/>
        <w:spacing w:line="400" w:lineRule="atLeast"/>
        <w:jc w:val="center"/>
        <w:rPr>
          <w:rFonts w:ascii="宋体" w:hAnsi="宋体" w:eastAsia="宋体" w:cs="宋体"/>
          <w:b/>
          <w:bCs/>
          <w:color w:val="auto"/>
          <w:sz w:val="36"/>
          <w:szCs w:val="36"/>
          <w:highlight w:val="none"/>
        </w:rPr>
      </w:pPr>
    </w:p>
    <w:p w14:paraId="5F82D497">
      <w:pPr>
        <w:autoSpaceDE w:val="0"/>
        <w:autoSpaceDN w:val="0"/>
        <w:adjustRightInd w:val="0"/>
        <w:spacing w:line="400" w:lineRule="atLeast"/>
        <w:jc w:val="center"/>
        <w:rPr>
          <w:rFonts w:ascii="宋体" w:hAnsi="宋体" w:eastAsia="宋体" w:cs="宋体"/>
          <w:b/>
          <w:bCs/>
          <w:color w:val="auto"/>
          <w:sz w:val="36"/>
          <w:szCs w:val="36"/>
          <w:highlight w:val="none"/>
        </w:rPr>
      </w:pPr>
    </w:p>
    <w:p w14:paraId="7EAFBFC9">
      <w:pPr>
        <w:autoSpaceDE w:val="0"/>
        <w:autoSpaceDN w:val="0"/>
        <w:adjustRightInd w:val="0"/>
        <w:spacing w:line="400" w:lineRule="atLeast"/>
        <w:jc w:val="center"/>
        <w:rPr>
          <w:rFonts w:ascii="宋体" w:hAnsi="宋体" w:eastAsia="宋体" w:cs="宋体"/>
          <w:b/>
          <w:bCs/>
          <w:color w:val="auto"/>
          <w:sz w:val="36"/>
          <w:szCs w:val="36"/>
          <w:highlight w:val="none"/>
        </w:rPr>
      </w:pPr>
    </w:p>
    <w:p w14:paraId="02031171">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846" w:name="_Toc18947_WPSOffice_Level2"/>
      <w:r>
        <w:rPr>
          <w:rFonts w:hint="eastAsia" w:ascii="宋体" w:hAnsi="宋体" w:eastAsia="宋体" w:cs="宋体"/>
          <w:b/>
          <w:bCs/>
          <w:color w:val="auto"/>
          <w:sz w:val="72"/>
          <w:szCs w:val="72"/>
          <w:highlight w:val="none"/>
          <w:lang w:val="zh-CN"/>
        </w:rPr>
        <w:t>评标工作大纲</w:t>
      </w:r>
      <w:bookmarkEnd w:id="846"/>
    </w:p>
    <w:p w14:paraId="7F0D23D5">
      <w:pPr>
        <w:autoSpaceDE w:val="0"/>
        <w:autoSpaceDN w:val="0"/>
        <w:adjustRightInd w:val="0"/>
        <w:spacing w:line="400" w:lineRule="atLeast"/>
        <w:jc w:val="center"/>
        <w:rPr>
          <w:rFonts w:ascii="宋体" w:hAnsi="宋体" w:eastAsia="宋体" w:cs="宋体"/>
          <w:b/>
          <w:bCs/>
          <w:color w:val="auto"/>
          <w:sz w:val="36"/>
          <w:szCs w:val="36"/>
          <w:highlight w:val="none"/>
        </w:rPr>
      </w:pPr>
    </w:p>
    <w:p w14:paraId="7370AA13">
      <w:pPr>
        <w:autoSpaceDE w:val="0"/>
        <w:autoSpaceDN w:val="0"/>
        <w:adjustRightInd w:val="0"/>
        <w:spacing w:line="400" w:lineRule="atLeast"/>
        <w:rPr>
          <w:rFonts w:ascii="宋体" w:hAnsi="宋体" w:eastAsia="宋体" w:cs="宋体"/>
          <w:b/>
          <w:bCs/>
          <w:color w:val="auto"/>
          <w:sz w:val="36"/>
          <w:szCs w:val="36"/>
          <w:highlight w:val="none"/>
        </w:rPr>
      </w:pPr>
    </w:p>
    <w:p w14:paraId="4BB639FC">
      <w:pPr>
        <w:autoSpaceDE w:val="0"/>
        <w:autoSpaceDN w:val="0"/>
        <w:adjustRightInd w:val="0"/>
        <w:spacing w:line="400" w:lineRule="atLeast"/>
        <w:jc w:val="center"/>
        <w:rPr>
          <w:rFonts w:ascii="宋体" w:hAnsi="宋体" w:eastAsia="宋体" w:cs="宋体"/>
          <w:b/>
          <w:bCs/>
          <w:color w:val="auto"/>
          <w:sz w:val="36"/>
          <w:szCs w:val="36"/>
          <w:highlight w:val="none"/>
        </w:rPr>
      </w:pPr>
    </w:p>
    <w:p w14:paraId="48A9CA01">
      <w:pPr>
        <w:autoSpaceDE w:val="0"/>
        <w:autoSpaceDN w:val="0"/>
        <w:adjustRightInd w:val="0"/>
        <w:spacing w:line="400" w:lineRule="atLeast"/>
        <w:jc w:val="center"/>
        <w:rPr>
          <w:rFonts w:ascii="宋体" w:hAnsi="宋体" w:eastAsia="宋体" w:cs="宋体"/>
          <w:b/>
          <w:bCs/>
          <w:color w:val="auto"/>
          <w:sz w:val="36"/>
          <w:szCs w:val="36"/>
          <w:highlight w:val="none"/>
        </w:rPr>
      </w:pPr>
    </w:p>
    <w:p w14:paraId="78254F20">
      <w:pPr>
        <w:autoSpaceDE w:val="0"/>
        <w:autoSpaceDN w:val="0"/>
        <w:adjustRightInd w:val="0"/>
        <w:spacing w:line="400" w:lineRule="atLeast"/>
        <w:jc w:val="center"/>
        <w:rPr>
          <w:rFonts w:ascii="宋体" w:hAnsi="宋体" w:eastAsia="宋体" w:cs="宋体"/>
          <w:b/>
          <w:bCs/>
          <w:color w:val="auto"/>
          <w:sz w:val="36"/>
          <w:szCs w:val="36"/>
          <w:highlight w:val="none"/>
        </w:rPr>
      </w:pPr>
    </w:p>
    <w:p w14:paraId="3F94573B">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en-US" w:eastAsia="zh-CN"/>
        </w:rPr>
        <w:t>广西同泽工程项目管理股份有限公司</w:t>
      </w:r>
    </w:p>
    <w:p w14:paraId="31E45DBE">
      <w:pPr>
        <w:autoSpaceDE w:val="0"/>
        <w:autoSpaceDN w:val="0"/>
        <w:adjustRightInd w:val="0"/>
        <w:spacing w:line="400" w:lineRule="atLeast"/>
        <w:jc w:val="center"/>
        <w:rPr>
          <w:rFonts w:ascii="宋体" w:hAnsi="宋体" w:eastAsia="宋体" w:cs="宋体"/>
          <w:b/>
          <w:bCs/>
          <w:color w:val="auto"/>
          <w:sz w:val="36"/>
          <w:szCs w:val="36"/>
          <w:highlight w:val="none"/>
        </w:rPr>
      </w:pPr>
    </w:p>
    <w:p w14:paraId="3CBB2AD4">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847" w:name="_Toc32395_WPSOffice_Level1"/>
      <w:r>
        <w:rPr>
          <w:rFonts w:hint="eastAsia" w:ascii="宋体" w:hAnsi="宋体" w:eastAsia="宋体" w:cs="宋体"/>
          <w:b/>
          <w:bCs/>
          <w:color w:val="auto"/>
          <w:sz w:val="36"/>
          <w:szCs w:val="36"/>
          <w:highlight w:val="none"/>
          <w:lang w:val="zh-CN"/>
        </w:rPr>
        <w:t>目录</w:t>
      </w:r>
      <w:bookmarkEnd w:id="847"/>
    </w:p>
    <w:p w14:paraId="34069A86">
      <w:pPr>
        <w:autoSpaceDE w:val="0"/>
        <w:autoSpaceDN w:val="0"/>
        <w:adjustRightInd w:val="0"/>
        <w:spacing w:line="400" w:lineRule="atLeast"/>
        <w:jc w:val="center"/>
        <w:rPr>
          <w:rFonts w:ascii="宋体" w:hAnsi="宋体" w:eastAsia="宋体" w:cs="宋体"/>
          <w:color w:val="auto"/>
          <w:sz w:val="44"/>
          <w:szCs w:val="44"/>
          <w:highlight w:val="none"/>
        </w:rPr>
      </w:pPr>
    </w:p>
    <w:p w14:paraId="0147462B">
      <w:pPr>
        <w:autoSpaceDE w:val="0"/>
        <w:autoSpaceDN w:val="0"/>
        <w:adjustRightInd w:val="0"/>
        <w:spacing w:line="360" w:lineRule="auto"/>
        <w:ind w:left="567" w:hanging="567"/>
        <w:rPr>
          <w:rFonts w:ascii="宋体" w:hAnsi="宋体" w:eastAsia="宋体" w:cs="宋体"/>
          <w:color w:val="auto"/>
          <w:szCs w:val="30"/>
          <w:highlight w:val="none"/>
        </w:rPr>
      </w:pPr>
      <w:bookmarkStart w:id="848"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848"/>
    </w:p>
    <w:p w14:paraId="7F7EFB66">
      <w:pPr>
        <w:autoSpaceDE w:val="0"/>
        <w:autoSpaceDN w:val="0"/>
        <w:adjustRightInd w:val="0"/>
        <w:spacing w:line="360" w:lineRule="auto"/>
        <w:ind w:left="567" w:hanging="567"/>
        <w:rPr>
          <w:rFonts w:ascii="宋体" w:hAnsi="宋体" w:eastAsia="宋体" w:cs="宋体"/>
          <w:color w:val="auto"/>
          <w:szCs w:val="30"/>
          <w:highlight w:val="none"/>
        </w:rPr>
      </w:pPr>
      <w:bookmarkStart w:id="849"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849"/>
    </w:p>
    <w:p w14:paraId="5C2EB4A1">
      <w:pPr>
        <w:autoSpaceDE w:val="0"/>
        <w:autoSpaceDN w:val="0"/>
        <w:adjustRightInd w:val="0"/>
        <w:spacing w:line="360" w:lineRule="auto"/>
        <w:ind w:left="567" w:hanging="567"/>
        <w:rPr>
          <w:rFonts w:ascii="宋体" w:hAnsi="宋体" w:eastAsia="宋体" w:cs="宋体"/>
          <w:color w:val="auto"/>
          <w:szCs w:val="30"/>
          <w:highlight w:val="none"/>
        </w:rPr>
      </w:pPr>
      <w:bookmarkStart w:id="850"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850"/>
    </w:p>
    <w:p w14:paraId="62C6CCC2">
      <w:pPr>
        <w:autoSpaceDE w:val="0"/>
        <w:autoSpaceDN w:val="0"/>
        <w:adjustRightInd w:val="0"/>
        <w:spacing w:line="360" w:lineRule="auto"/>
        <w:ind w:left="567" w:hanging="567"/>
        <w:rPr>
          <w:rFonts w:ascii="宋体" w:hAnsi="宋体" w:eastAsia="宋体" w:cs="宋体"/>
          <w:color w:val="auto"/>
          <w:szCs w:val="30"/>
          <w:highlight w:val="none"/>
        </w:rPr>
      </w:pPr>
      <w:bookmarkStart w:id="851" w:name="_Toc1206_WPSOffice_Level1"/>
      <w:r>
        <w:rPr>
          <w:rFonts w:hint="eastAsia" w:ascii="宋体" w:hAnsi="宋体" w:eastAsia="宋体" w:cs="宋体"/>
          <w:color w:val="auto"/>
          <w:szCs w:val="30"/>
          <w:highlight w:val="none"/>
        </w:rPr>
        <w:t>四、 比较和评价</w:t>
      </w:r>
      <w:bookmarkEnd w:id="851"/>
    </w:p>
    <w:p w14:paraId="49AB4487">
      <w:pPr>
        <w:autoSpaceDE w:val="0"/>
        <w:autoSpaceDN w:val="0"/>
        <w:adjustRightInd w:val="0"/>
        <w:spacing w:line="360" w:lineRule="auto"/>
        <w:ind w:left="567" w:hanging="567"/>
        <w:rPr>
          <w:rFonts w:ascii="宋体" w:hAnsi="宋体" w:eastAsia="宋体" w:cs="宋体"/>
          <w:color w:val="auto"/>
          <w:szCs w:val="30"/>
          <w:highlight w:val="none"/>
        </w:rPr>
      </w:pPr>
      <w:bookmarkStart w:id="852"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852"/>
    </w:p>
    <w:p w14:paraId="0412ECC2">
      <w:pPr>
        <w:autoSpaceDE w:val="0"/>
        <w:autoSpaceDN w:val="0"/>
        <w:adjustRightInd w:val="0"/>
        <w:spacing w:line="360" w:lineRule="auto"/>
        <w:ind w:left="567" w:hanging="567"/>
        <w:rPr>
          <w:rFonts w:ascii="宋体" w:hAnsi="宋体" w:eastAsia="宋体" w:cs="宋体"/>
          <w:color w:val="auto"/>
          <w:szCs w:val="30"/>
          <w:highlight w:val="none"/>
        </w:rPr>
      </w:pPr>
      <w:bookmarkStart w:id="853"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853"/>
    </w:p>
    <w:p w14:paraId="6DA87590">
      <w:pPr>
        <w:autoSpaceDE w:val="0"/>
        <w:autoSpaceDN w:val="0"/>
        <w:adjustRightInd w:val="0"/>
        <w:spacing w:line="360" w:lineRule="auto"/>
        <w:ind w:left="567" w:hanging="567"/>
        <w:rPr>
          <w:rFonts w:ascii="宋体" w:hAnsi="宋体" w:eastAsia="宋体" w:cs="宋体"/>
          <w:color w:val="auto"/>
          <w:szCs w:val="30"/>
          <w:highlight w:val="none"/>
        </w:rPr>
      </w:pPr>
      <w:bookmarkStart w:id="854"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854"/>
    </w:p>
    <w:p w14:paraId="32F05E5E">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6DFB69CE">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29E9D686">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640CAC24">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855"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855"/>
    </w:p>
    <w:p w14:paraId="205542A0">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4269EFDF">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eastAsia="zh-CN"/>
        </w:rPr>
        <w:t>东莞市供水计量设施更新项目（2026-2027年计量仪表）</w:t>
      </w:r>
      <w:r>
        <w:rPr>
          <w:rFonts w:hint="eastAsia" w:ascii="宋体" w:hAnsi="宋体" w:eastAsia="宋体" w:cs="宋体"/>
          <w:color w:val="auto"/>
          <w:kern w:val="0"/>
          <w:szCs w:val="21"/>
          <w:highlight w:val="none"/>
          <w:lang w:eastAsia="zh-CN"/>
        </w:rPr>
        <w:t>－电磁水表</w:t>
      </w:r>
      <w:r>
        <w:rPr>
          <w:rFonts w:hint="eastAsia" w:ascii="宋体" w:hAnsi="宋体" w:eastAsia="宋体" w:cs="宋体"/>
          <w:color w:val="auto"/>
          <w:szCs w:val="21"/>
          <w:highlight w:val="none"/>
          <w:lang w:val="zh-CN"/>
        </w:rPr>
        <w:t>(招标编号：GXTZ-ZB-2026第（39）号</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5FEBFBA8">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6250447C">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(广西同泽工程项目管理股份有限公司）组</w:t>
      </w:r>
      <w:r>
        <w:rPr>
          <w:rFonts w:hint="eastAsia" w:ascii="宋体" w:hAnsi="宋体" w:eastAsia="宋体" w:cs="宋体"/>
          <w:color w:val="auto"/>
          <w:szCs w:val="24"/>
          <w:highlight w:val="none"/>
          <w:lang w:val="zh-CN"/>
        </w:rPr>
        <w:t>织评标工作，全过程接受招标人及相关部门的监督、管理和指导。</w:t>
      </w:r>
    </w:p>
    <w:p w14:paraId="5240B862">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7256F861">
      <w:pPr>
        <w:numPr>
          <w:ilvl w:val="1"/>
          <w:numId w:val="3"/>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5FA6D0C6">
      <w:pPr>
        <w:autoSpaceDE w:val="0"/>
        <w:autoSpaceDN w:val="0"/>
        <w:adjustRightInd w:val="0"/>
        <w:spacing w:line="360" w:lineRule="auto"/>
        <w:rPr>
          <w:rFonts w:ascii="宋体" w:hAnsi="宋体" w:eastAsia="宋体" w:cs="宋体"/>
          <w:color w:val="auto"/>
          <w:sz w:val="24"/>
          <w:szCs w:val="24"/>
          <w:highlight w:val="none"/>
          <w:lang w:val="zh-CN"/>
        </w:rPr>
      </w:pPr>
    </w:p>
    <w:p w14:paraId="20D5F162">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29A4B52E">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5C3FE1C6">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0D70993A">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13449143">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25D193F7">
      <w:pPr>
        <w:autoSpaceDE w:val="0"/>
        <w:autoSpaceDN w:val="0"/>
        <w:adjustRightInd w:val="0"/>
        <w:spacing w:line="360" w:lineRule="auto"/>
        <w:rPr>
          <w:rFonts w:ascii="宋体" w:hAnsi="宋体" w:eastAsia="宋体" w:cs="宋体"/>
          <w:color w:val="auto"/>
          <w:sz w:val="24"/>
          <w:szCs w:val="24"/>
          <w:highlight w:val="none"/>
          <w:lang w:val="zh-CN"/>
        </w:rPr>
      </w:pPr>
    </w:p>
    <w:p w14:paraId="0FD6E5DD">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2540BF4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7BF9507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2687DAD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3B4BB95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1D1867CD">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022D110B">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00EC041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4D61768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1887412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33E5FD4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5C7DC87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0795D5F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482352E7">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291892C9">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62487E82">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0B905C4D">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25977739">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361742E1">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208DEA19">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0BB0454C">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6CB15D2E">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4B78C297">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53AB009B">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06C37F06">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856" w:name="_Toc19435_WPSOffice_Level1"/>
      <w:r>
        <w:rPr>
          <w:rFonts w:hint="eastAsia" w:ascii="宋体" w:hAnsi="宋体" w:eastAsia="宋体" w:cs="宋体"/>
          <w:b/>
          <w:bCs/>
          <w:color w:val="auto"/>
          <w:sz w:val="28"/>
          <w:szCs w:val="28"/>
          <w:highlight w:val="none"/>
          <w:lang w:val="zh-CN"/>
        </w:rPr>
        <w:t>二、投标文件的初审</w:t>
      </w:r>
      <w:bookmarkEnd w:id="856"/>
    </w:p>
    <w:p w14:paraId="11328052">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2AE5B803">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25D3FB1D">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5722BE73">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342662E2">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16A9A207">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11F510E7">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11B87AC8">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19237178">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7.2  投标文件中的投标报价未按照招标文件要求进行折扣系数报价的；</w:t>
      </w:r>
    </w:p>
    <w:p w14:paraId="729F4984">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35B96350">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1DD87B11">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3236FFA9">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7.6  存在投标产品制造商及其就本项目独家授权销售的经销商同时参与本项目的投标；</w:t>
      </w:r>
    </w:p>
    <w:p w14:paraId="755F8E49">
      <w:pPr>
        <w:pStyle w:val="2"/>
        <w:spacing w:line="360" w:lineRule="auto"/>
        <w:rPr>
          <w:rFonts w:hint="default" w:eastAsia="宋体"/>
          <w:lang w:val="en-US" w:eastAsia="zh-CN"/>
        </w:rPr>
      </w:pPr>
      <w:r>
        <w:rPr>
          <w:rFonts w:hint="eastAsia" w:hAnsi="宋体" w:cs="宋体"/>
          <w:b/>
          <w:bCs/>
          <w:color w:val="auto"/>
          <w:kern w:val="0"/>
          <w:sz w:val="21"/>
          <w:szCs w:val="21"/>
          <w:highlight w:val="none"/>
          <w:lang w:val="en-US" w:eastAsia="zh-CN"/>
        </w:rPr>
        <w:t>7.7</w:t>
      </w:r>
      <w:r>
        <w:rPr>
          <w:rFonts w:hint="eastAsia" w:hAnsi="宋体" w:cs="宋体"/>
          <w:b/>
          <w:bCs/>
          <w:color w:val="auto"/>
          <w:kern w:val="0"/>
          <w:szCs w:val="21"/>
          <w:highlight w:val="none"/>
          <w:lang w:val="en-US" w:eastAsia="zh-CN"/>
        </w:rPr>
        <w:t xml:space="preserve"> </w:t>
      </w:r>
      <w:r>
        <w:rPr>
          <w:rFonts w:hint="eastAsia" w:hAnsi="宋体" w:cs="宋体"/>
          <w:b/>
          <w:bCs/>
          <w:color w:val="auto"/>
          <w:kern w:val="0"/>
          <w:sz w:val="21"/>
          <w:szCs w:val="21"/>
          <w:highlight w:val="none"/>
          <w:lang w:val="en-US" w:eastAsia="zh-CN"/>
        </w:rPr>
        <w:t>同一投标产品的制造商通过两家或以上就本次投标独家授权的经销商同时参与本项目投标的；</w:t>
      </w:r>
    </w:p>
    <w:p w14:paraId="3AA22CBF">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xml:space="preserve">  投标文件未按照招标文件规定要求密封；投标文件无法定代表人或其授权代表签字（或盖私章），或签字人无法定代表人有效授权的；签字盖章不符合招标文件要求的； </w:t>
      </w:r>
    </w:p>
    <w:p w14:paraId="3E87DAF9">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8</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17942FD0">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rPr>
        <w:t xml:space="preserve">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589822EC">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11</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6F974E51">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2</w:t>
      </w:r>
      <w:r>
        <w:rPr>
          <w:rFonts w:ascii="宋体" w:hAnsi="宋体" w:eastAsia="宋体" w:cs="Times New Roman"/>
          <w:b/>
          <w:color w:val="auto"/>
          <w:kern w:val="0"/>
          <w:szCs w:val="21"/>
          <w:highlight w:val="none"/>
        </w:rPr>
        <w:t xml:space="preserve">  未填写或虚假填写《用户需求偏离表》的；</w:t>
      </w:r>
    </w:p>
    <w:p w14:paraId="0CEF1FD3">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3</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2ACECAF3">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160C484D">
      <w:pPr>
        <w:spacing w:line="360" w:lineRule="auto"/>
        <w:ind w:left="480"/>
        <w:rPr>
          <w:rFonts w:ascii="宋体" w:hAnsi="宋体" w:eastAsia="宋体" w:cs="宋体"/>
          <w:b/>
          <w:color w:val="auto"/>
          <w:kern w:val="0"/>
          <w:szCs w:val="21"/>
          <w:highlight w:val="none"/>
        </w:rPr>
      </w:pPr>
    </w:p>
    <w:p w14:paraId="407A3824">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857" w:name="_Toc4109_WPSOffice_Level1"/>
      <w:r>
        <w:rPr>
          <w:rFonts w:hint="eastAsia" w:ascii="宋体" w:hAnsi="宋体" w:eastAsia="宋体" w:cs="宋体"/>
          <w:b/>
          <w:bCs/>
          <w:color w:val="auto"/>
          <w:sz w:val="28"/>
          <w:szCs w:val="28"/>
          <w:highlight w:val="none"/>
          <w:lang w:val="zh-CN"/>
        </w:rPr>
        <w:t>三、澄清有关问题</w:t>
      </w:r>
      <w:bookmarkEnd w:id="857"/>
    </w:p>
    <w:p w14:paraId="26B221B6">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58532125">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13D0769A">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5F1AC1B0">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521CDE04">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33DEEF85">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018023E3">
      <w:pPr>
        <w:autoSpaceDE/>
        <w:autoSpaceDN/>
        <w:adjustRightInd/>
        <w:spacing w:line="360" w:lineRule="auto"/>
        <w:ind w:left="638" w:leftChars="304" w:firstLine="417" w:firstLineChars="199"/>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当以数字表示的报价系数与以文字表示的报价系数不一致时，以文字表示的报价系数为准。经双方确认后，作为投标人的投标报价。</w:t>
      </w:r>
    </w:p>
    <w:p w14:paraId="3380FE0C">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1FF85346">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w:t>
      </w:r>
      <w:r>
        <w:rPr>
          <w:rFonts w:hint="eastAsia" w:ascii="宋体" w:hAnsi="宋体" w:eastAsia="宋体" w:cs="宋体"/>
          <w:color w:val="auto"/>
          <w:kern w:val="0"/>
          <w:szCs w:val="21"/>
          <w:highlight w:val="none"/>
          <w:lang w:val="en-US" w:eastAsia="zh-CN"/>
        </w:rPr>
        <w:t>所供货物及有关</w:t>
      </w:r>
      <w:r>
        <w:rPr>
          <w:rFonts w:hint="eastAsia" w:ascii="宋体" w:hAnsi="宋体" w:eastAsia="宋体" w:cs="宋体"/>
          <w:color w:val="auto"/>
          <w:kern w:val="0"/>
          <w:szCs w:val="21"/>
          <w:highlight w:val="none"/>
          <w:lang w:val="zh-CN"/>
        </w:rPr>
        <w:t>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00F48BC4">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858" w:name="_Toc8518_WPSOffice_Level1"/>
    </w:p>
    <w:p w14:paraId="04F8303F">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858"/>
    </w:p>
    <w:p w14:paraId="12A6E66B">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193FEE20">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3308FF7C">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524AFA99">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19535476">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1CC79F51">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4493FB75">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7CACB131">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w:t>
      </w:r>
      <w:r>
        <w:rPr>
          <w:rFonts w:hint="eastAsia" w:ascii="宋体" w:hAnsi="宋体" w:eastAsia="宋体" w:cs="宋体"/>
          <w:color w:val="auto"/>
          <w:sz w:val="21"/>
          <w:szCs w:val="21"/>
          <w:highlight w:val="none"/>
          <w:lang w:val="en-US" w:eastAsia="zh-CN"/>
        </w:rPr>
        <w:t>良、</w:t>
      </w:r>
      <w:r>
        <w:rPr>
          <w:rFonts w:hint="eastAsia" w:ascii="宋体" w:hAnsi="宋体" w:eastAsia="宋体" w:cs="宋体"/>
          <w:color w:val="auto"/>
          <w:sz w:val="21"/>
          <w:szCs w:val="21"/>
          <w:highlight w:val="none"/>
        </w:rPr>
        <w:t>中、差”</w:t>
      </w:r>
      <w:r>
        <w:rPr>
          <w:rFonts w:hint="eastAsia" w:ascii="宋体" w:hAnsi="宋体" w:eastAsia="宋体" w:cs="宋体"/>
          <w:color w:val="auto"/>
          <w:sz w:val="21"/>
          <w:szCs w:val="21"/>
          <w:highlight w:val="none"/>
          <w:lang w:val="en-US" w:eastAsia="zh-CN"/>
        </w:rPr>
        <w:t>区间</w:t>
      </w:r>
      <w:r>
        <w:rPr>
          <w:rFonts w:hint="eastAsia" w:ascii="宋体" w:hAnsi="宋体" w:eastAsia="宋体" w:cs="宋体"/>
          <w:color w:val="auto"/>
          <w:sz w:val="21"/>
          <w:szCs w:val="21"/>
          <w:highlight w:val="none"/>
        </w:rPr>
        <w:t>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407BD40D">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6265F347">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334CBCBA">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56CF6BA6">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4D1F742B">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226B0933">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24D4B109">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45B6E6F4">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5AE106BD">
      <w:pPr>
        <w:autoSpaceDE w:val="0"/>
        <w:autoSpaceDN w:val="0"/>
        <w:adjustRightInd w:val="0"/>
        <w:spacing w:line="360" w:lineRule="auto"/>
        <w:rPr>
          <w:rFonts w:ascii="宋体" w:hAnsi="宋体" w:eastAsia="宋体" w:cs="宋体"/>
          <w:color w:val="auto"/>
          <w:szCs w:val="24"/>
          <w:highlight w:val="none"/>
          <w:lang w:val="zh-CN"/>
        </w:rPr>
      </w:pPr>
    </w:p>
    <w:p w14:paraId="1B2C3C7E">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textAlignment w:val="auto"/>
        <w:outlineLvl w:val="2"/>
        <w:rPr>
          <w:rFonts w:ascii="宋体" w:hAnsi="宋体" w:eastAsia="宋体" w:cs="宋体"/>
          <w:b/>
          <w:color w:val="auto"/>
          <w:szCs w:val="24"/>
          <w:highlight w:val="none"/>
          <w:lang w:val="zh-CN"/>
        </w:rPr>
      </w:pPr>
      <w:bookmarkStart w:id="859" w:name="_Toc29709"/>
      <w:r>
        <w:rPr>
          <w:rFonts w:hint="eastAsia" w:ascii="宋体" w:hAnsi="宋体" w:eastAsia="宋体" w:cs="宋体"/>
          <w:b/>
          <w:color w:val="auto"/>
          <w:szCs w:val="24"/>
          <w:highlight w:val="none"/>
          <w:lang w:val="zh-CN"/>
        </w:rPr>
        <w:t>12、评分因素及分值</w:t>
      </w:r>
      <w:bookmarkEnd w:id="859"/>
    </w:p>
    <w:tbl>
      <w:tblPr>
        <w:tblStyle w:val="39"/>
        <w:tblW w:w="103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7"/>
        <w:gridCol w:w="5173"/>
      </w:tblGrid>
      <w:tr w14:paraId="49757F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704256BC">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5173" w:type="dxa"/>
            <w:tcBorders>
              <w:top w:val="single" w:color="auto" w:sz="4" w:space="0"/>
              <w:left w:val="single" w:color="auto" w:sz="4" w:space="0"/>
              <w:bottom w:val="single" w:color="auto" w:sz="4" w:space="0"/>
              <w:right w:val="single" w:color="auto" w:sz="4" w:space="0"/>
            </w:tcBorders>
            <w:vAlign w:val="center"/>
          </w:tcPr>
          <w:p w14:paraId="14B4390E">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42A4F3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78658D7D">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4D50D9D4">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173D6A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28B48C06">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1BA256A4">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p>
        </w:tc>
      </w:tr>
      <w:tr w14:paraId="7513DF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37E1E31F">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66E1E2BB">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bl>
    <w:p w14:paraId="3CC5658C">
      <w:pPr>
        <w:tabs>
          <w:tab w:val="left" w:pos="585"/>
        </w:tabs>
        <w:autoSpaceDE w:val="0"/>
        <w:autoSpaceDN w:val="0"/>
        <w:adjustRightInd w:val="0"/>
        <w:spacing w:line="360" w:lineRule="auto"/>
        <w:rPr>
          <w:rFonts w:ascii="宋体" w:hAnsi="宋体" w:eastAsia="宋体" w:cs="宋体"/>
          <w:b/>
          <w:color w:val="auto"/>
          <w:szCs w:val="21"/>
          <w:highlight w:val="none"/>
        </w:rPr>
      </w:pPr>
      <w:bookmarkStart w:id="860" w:name="_Toc18349_WPSOffice_Level2"/>
    </w:p>
    <w:p w14:paraId="51AC76B3">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860"/>
    </w:p>
    <w:tbl>
      <w:tblPr>
        <w:tblStyle w:val="39"/>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133"/>
        <w:gridCol w:w="7661"/>
        <w:gridCol w:w="907"/>
      </w:tblGrid>
      <w:tr w14:paraId="3FEC2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5F9CDF9C">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133" w:type="dxa"/>
            <w:tcBorders>
              <w:top w:val="single" w:color="auto" w:sz="4" w:space="0"/>
              <w:left w:val="single" w:color="auto" w:sz="4" w:space="0"/>
              <w:bottom w:val="single" w:color="auto" w:sz="4" w:space="0"/>
              <w:right w:val="single" w:color="auto" w:sz="4" w:space="0"/>
            </w:tcBorders>
            <w:vAlign w:val="center"/>
          </w:tcPr>
          <w:p w14:paraId="29028FD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lang w:val="zh-CN"/>
              </w:rPr>
              <w:t>评审内容</w:t>
            </w:r>
          </w:p>
        </w:tc>
        <w:tc>
          <w:tcPr>
            <w:tcW w:w="7661" w:type="dxa"/>
            <w:tcBorders>
              <w:top w:val="single" w:color="auto" w:sz="4" w:space="0"/>
              <w:left w:val="single" w:color="auto" w:sz="4" w:space="0"/>
              <w:bottom w:val="single" w:color="auto" w:sz="4" w:space="0"/>
              <w:right w:val="single" w:color="auto" w:sz="4" w:space="0"/>
            </w:tcBorders>
            <w:vAlign w:val="center"/>
          </w:tcPr>
          <w:p w14:paraId="63E4DE2A">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center"/>
          </w:tcPr>
          <w:p w14:paraId="4A4CAA7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满分值</w:t>
            </w:r>
          </w:p>
        </w:tc>
      </w:tr>
      <w:tr w14:paraId="764DD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1747F45A">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133" w:type="dxa"/>
            <w:tcBorders>
              <w:top w:val="single" w:color="auto" w:sz="4" w:space="0"/>
              <w:left w:val="single" w:color="auto" w:sz="4" w:space="0"/>
              <w:bottom w:val="single" w:color="auto" w:sz="4" w:space="0"/>
              <w:right w:val="single" w:color="auto" w:sz="4" w:space="0"/>
            </w:tcBorders>
            <w:vAlign w:val="center"/>
          </w:tcPr>
          <w:p w14:paraId="0F270C06">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宋体" w:hAnsi="宋体" w:eastAsia="宋体" w:cs="Times New Roman"/>
                <w:bCs/>
                <w:color w:val="auto"/>
                <w:kern w:val="0"/>
                <w:sz w:val="21"/>
                <w:szCs w:val="21"/>
                <w:highlight w:val="none"/>
                <w:lang w:val="en-US" w:eastAsia="zh-CN"/>
              </w:rPr>
            </w:pPr>
            <w:r>
              <w:rPr>
                <w:rFonts w:hint="eastAsia" w:ascii="宋体" w:hAnsi="宋体" w:eastAsia="宋体" w:cs="Times New Roman"/>
                <w:bCs/>
                <w:color w:val="auto"/>
                <w:kern w:val="0"/>
                <w:sz w:val="21"/>
                <w:szCs w:val="21"/>
                <w:highlight w:val="none"/>
                <w:lang w:val="en-US" w:eastAsia="zh-CN"/>
              </w:rPr>
              <w:t>财务状况</w:t>
            </w:r>
          </w:p>
        </w:tc>
        <w:tc>
          <w:tcPr>
            <w:tcW w:w="7661" w:type="dxa"/>
            <w:tcBorders>
              <w:top w:val="single" w:color="auto" w:sz="4" w:space="0"/>
              <w:left w:val="single" w:color="auto" w:sz="4" w:space="0"/>
              <w:bottom w:val="single" w:color="auto" w:sz="4" w:space="0"/>
              <w:right w:val="single" w:color="auto" w:sz="4" w:space="0"/>
            </w:tcBorders>
            <w:vAlign w:val="center"/>
          </w:tcPr>
          <w:p w14:paraId="03836BD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年三个年度，每具有1个年度盈利的得1分，满分3分。</w:t>
            </w:r>
          </w:p>
          <w:p w14:paraId="2442AA02">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cs="Times New Roman"/>
                <w:b/>
                <w:color w:val="auto"/>
                <w:kern w:val="0"/>
                <w:sz w:val="21"/>
                <w:szCs w:val="21"/>
                <w:highlight w:val="none"/>
                <w:lang w:val="zh-CN"/>
              </w:rPr>
            </w:pPr>
            <w:r>
              <w:rPr>
                <w:rFonts w:hint="eastAsia" w:ascii="宋体" w:hAnsi="宋体" w:eastAsia="宋体" w:cs="宋体"/>
                <w:b/>
                <w:color w:val="auto"/>
                <w:szCs w:val="21"/>
                <w:highlight w:val="none"/>
                <w:lang w:val="zh-CN"/>
              </w:rPr>
              <w:t>备注：盈利指净利润为正数（非零、非负数），投标人应提供202</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lang w:val="zh-CN"/>
              </w:rPr>
              <w:t>年、202</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年、202</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r>
              <w:rPr>
                <w:rFonts w:hint="eastAsia" w:ascii="宋体" w:hAnsi="宋体" w:eastAsia="宋体" w:cs="宋体"/>
                <w:color w:val="auto"/>
                <w:szCs w:val="21"/>
                <w:highlight w:val="none"/>
                <w:lang w:val="zh-CN"/>
              </w:rPr>
              <w:t>。</w:t>
            </w:r>
          </w:p>
        </w:tc>
        <w:tc>
          <w:tcPr>
            <w:tcW w:w="907" w:type="dxa"/>
            <w:tcBorders>
              <w:top w:val="single" w:color="auto" w:sz="4" w:space="0"/>
              <w:left w:val="single" w:color="auto" w:sz="4" w:space="0"/>
              <w:bottom w:val="single" w:color="auto" w:sz="4" w:space="0"/>
              <w:right w:val="single" w:color="auto" w:sz="4" w:space="0"/>
            </w:tcBorders>
            <w:vAlign w:val="center"/>
          </w:tcPr>
          <w:p w14:paraId="6132DD4C">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3分</w:t>
            </w:r>
          </w:p>
        </w:tc>
      </w:tr>
      <w:tr w14:paraId="001E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4178E313">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bookmarkStart w:id="861" w:name="_Hlk104987354"/>
            <w:r>
              <w:rPr>
                <w:rFonts w:hint="eastAsia" w:ascii="宋体" w:hAnsi="宋体" w:eastAsia="宋体" w:cs="宋体"/>
                <w:color w:val="auto"/>
                <w:kern w:val="0"/>
                <w:sz w:val="21"/>
                <w:szCs w:val="21"/>
                <w:highlight w:val="none"/>
                <w:lang w:val="en-US" w:eastAsia="zh-CN"/>
              </w:rPr>
              <w:t>2</w:t>
            </w:r>
          </w:p>
        </w:tc>
        <w:tc>
          <w:tcPr>
            <w:tcW w:w="1133" w:type="dxa"/>
            <w:tcBorders>
              <w:top w:val="single" w:color="auto" w:sz="4" w:space="0"/>
              <w:left w:val="single" w:color="auto" w:sz="4" w:space="0"/>
              <w:bottom w:val="single" w:color="auto" w:sz="4" w:space="0"/>
              <w:right w:val="single" w:color="auto" w:sz="4" w:space="0"/>
            </w:tcBorders>
            <w:vAlign w:val="center"/>
          </w:tcPr>
          <w:p w14:paraId="1944DC74">
            <w:pPr>
              <w:keepNext w:val="0"/>
              <w:keepLines w:val="0"/>
              <w:pageBreakBefore w:val="0"/>
              <w:widowControl w:val="0"/>
              <w:kinsoku/>
              <w:wordWrap/>
              <w:overflowPunct/>
              <w:topLinePunct w:val="0"/>
              <w:bidi w:val="0"/>
              <w:adjustRightInd/>
              <w:snapToGrid/>
              <w:spacing w:line="400" w:lineRule="exac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业绩</w:t>
            </w:r>
          </w:p>
        </w:tc>
        <w:tc>
          <w:tcPr>
            <w:tcW w:w="7661" w:type="dxa"/>
            <w:tcBorders>
              <w:top w:val="single" w:color="auto" w:sz="4" w:space="0"/>
              <w:left w:val="single" w:color="auto" w:sz="4" w:space="0"/>
              <w:bottom w:val="single" w:color="auto" w:sz="4" w:space="0"/>
              <w:right w:val="single" w:color="auto" w:sz="4" w:space="0"/>
            </w:tcBorders>
            <w:vAlign w:val="center"/>
          </w:tcPr>
          <w:p w14:paraId="40211DC2">
            <w:pPr>
              <w:keepNext w:val="0"/>
              <w:keepLines w:val="0"/>
              <w:pageBreakBefore w:val="0"/>
              <w:widowControl w:val="0"/>
              <w:tabs>
                <w:tab w:val="left" w:pos="134"/>
              </w:tabs>
              <w:kinsoku/>
              <w:wordWrap/>
              <w:overflowPunct/>
              <w:topLinePunct w:val="0"/>
              <w:autoSpaceDE w:val="0"/>
              <w:autoSpaceDN w:val="0"/>
              <w:bidi w:val="0"/>
              <w:adjustRightInd w:val="0"/>
              <w:snapToGrid/>
              <w:spacing w:line="380" w:lineRule="exact"/>
              <w:jc w:val="both"/>
              <w:textAlignment w:val="auto"/>
              <w:rPr>
                <w:rFonts w:hint="default" w:ascii="Times New Roman" w:hAnsi="Times New Roman" w:eastAsia="宋体" w:cs="Times New Roman"/>
                <w:b w:val="0"/>
                <w:bCs w:val="0"/>
                <w:color w:val="auto"/>
                <w:kern w:val="0"/>
                <w:szCs w:val="21"/>
                <w:highlight w:val="none"/>
              </w:rPr>
            </w:pPr>
            <w:r>
              <w:rPr>
                <w:rFonts w:hint="default" w:ascii="Times New Roman" w:hAnsi="Times New Roman" w:eastAsia="宋体" w:cs="Times New Roman"/>
                <w:b w:val="0"/>
                <w:bCs w:val="0"/>
                <w:color w:val="auto"/>
                <w:kern w:val="0"/>
                <w:szCs w:val="21"/>
                <w:highlight w:val="none"/>
              </w:rPr>
              <w:t>20</w:t>
            </w:r>
            <w:r>
              <w:rPr>
                <w:rFonts w:hint="default" w:ascii="Times New Roman" w:hAnsi="Times New Roman" w:eastAsia="宋体" w:cs="Times New Roman"/>
                <w:b w:val="0"/>
                <w:bCs w:val="0"/>
                <w:color w:val="auto"/>
                <w:kern w:val="0"/>
                <w:szCs w:val="21"/>
                <w:highlight w:val="none"/>
                <w:lang w:val="en-US" w:eastAsia="zh-CN"/>
              </w:rPr>
              <w:t>23</w:t>
            </w:r>
            <w:r>
              <w:rPr>
                <w:rFonts w:hint="default" w:ascii="Times New Roman" w:hAnsi="Times New Roman" w:eastAsia="宋体" w:cs="Times New Roman"/>
                <w:b w:val="0"/>
                <w:bCs w:val="0"/>
                <w:color w:val="auto"/>
                <w:kern w:val="0"/>
                <w:szCs w:val="21"/>
                <w:highlight w:val="none"/>
              </w:rPr>
              <w:t>年1月1日以来（业绩的时间以合同签订的日期为准）</w:t>
            </w:r>
            <w:r>
              <w:rPr>
                <w:rFonts w:hint="default" w:ascii="Times New Roman" w:hAnsi="Times New Roman" w:eastAsia="宋体" w:cs="Times New Roman"/>
                <w:b w:val="0"/>
                <w:bCs w:val="0"/>
                <w:color w:val="auto"/>
                <w:kern w:val="0"/>
                <w:szCs w:val="21"/>
                <w:highlight w:val="none"/>
                <w:lang w:val="en-US" w:eastAsia="zh-CN"/>
              </w:rPr>
              <w:t>投标品牌</w:t>
            </w:r>
            <w:r>
              <w:rPr>
                <w:rFonts w:hint="eastAsia" w:ascii="Times New Roman" w:hAnsi="Times New Roman" w:eastAsia="宋体" w:cs="Times New Roman"/>
                <w:b w:val="0"/>
                <w:bCs w:val="0"/>
                <w:color w:val="auto"/>
                <w:kern w:val="0"/>
                <w:szCs w:val="21"/>
                <w:highlight w:val="none"/>
                <w:lang w:val="en-US" w:eastAsia="zh-CN"/>
              </w:rPr>
              <w:t>电磁水表</w:t>
            </w:r>
            <w:r>
              <w:rPr>
                <w:rFonts w:hint="default" w:ascii="Times New Roman" w:hAnsi="Times New Roman" w:eastAsia="宋体" w:cs="Times New Roman"/>
                <w:b w:val="0"/>
                <w:bCs w:val="0"/>
                <w:color w:val="auto"/>
                <w:kern w:val="0"/>
                <w:szCs w:val="21"/>
                <w:highlight w:val="none"/>
              </w:rPr>
              <w:t>在国内的销售业绩，按下列情况评分，本项业绩评审满分</w:t>
            </w:r>
            <w:r>
              <w:rPr>
                <w:rFonts w:hint="default" w:ascii="Times New Roman" w:hAnsi="Times New Roman" w:eastAsia="宋体" w:cs="Times New Roman"/>
                <w:b w:val="0"/>
                <w:bCs w:val="0"/>
                <w:color w:val="auto"/>
                <w:kern w:val="0"/>
                <w:szCs w:val="21"/>
                <w:highlight w:val="none"/>
                <w:lang w:val="en-US" w:eastAsia="zh-CN"/>
              </w:rPr>
              <w:t>27</w:t>
            </w:r>
            <w:r>
              <w:rPr>
                <w:rFonts w:hint="default" w:ascii="Times New Roman" w:hAnsi="Times New Roman" w:eastAsia="宋体" w:cs="Times New Roman"/>
                <w:b w:val="0"/>
                <w:bCs w:val="0"/>
                <w:color w:val="auto"/>
                <w:kern w:val="0"/>
                <w:szCs w:val="21"/>
                <w:highlight w:val="none"/>
              </w:rPr>
              <w:t>分。</w:t>
            </w:r>
          </w:p>
          <w:p w14:paraId="481C9089">
            <w:pPr>
              <w:keepNext w:val="0"/>
              <w:keepLines w:val="0"/>
              <w:pageBreakBefore w:val="0"/>
              <w:widowControl w:val="0"/>
              <w:tabs>
                <w:tab w:val="left" w:pos="134"/>
              </w:tabs>
              <w:kinsoku/>
              <w:wordWrap/>
              <w:overflowPunct/>
              <w:topLinePunct w:val="0"/>
              <w:autoSpaceDE w:val="0"/>
              <w:autoSpaceDN w:val="0"/>
              <w:bidi w:val="0"/>
              <w:adjustRightInd w:val="0"/>
              <w:snapToGrid/>
              <w:spacing w:line="380" w:lineRule="exact"/>
              <w:jc w:val="both"/>
              <w:textAlignment w:val="auto"/>
              <w:rPr>
                <w:rFonts w:hint="default" w:ascii="Times New Roman" w:hAnsi="Times New Roman" w:eastAsia="宋体" w:cs="Times New Roman"/>
                <w:b w:val="0"/>
                <w:bCs w:val="0"/>
                <w:color w:val="auto"/>
                <w:kern w:val="0"/>
                <w:szCs w:val="21"/>
                <w:highlight w:val="none"/>
              </w:rPr>
            </w:pPr>
            <w:r>
              <w:rPr>
                <w:rFonts w:hint="default" w:ascii="Times New Roman" w:hAnsi="Times New Roman" w:eastAsia="宋体" w:cs="Times New Roman"/>
                <w:b w:val="0"/>
                <w:bCs w:val="0"/>
                <w:color w:val="auto"/>
                <w:kern w:val="0"/>
                <w:szCs w:val="21"/>
                <w:highlight w:val="none"/>
              </w:rPr>
              <w:t>（1）单项合同金额≥</w:t>
            </w:r>
            <w:r>
              <w:rPr>
                <w:rFonts w:hint="eastAsia" w:ascii="Times New Roman" w:hAnsi="Times New Roman" w:eastAsia="宋体" w:cs="Times New Roman"/>
                <w:b w:val="0"/>
                <w:bCs w:val="0"/>
                <w:color w:val="auto"/>
                <w:kern w:val="0"/>
                <w:szCs w:val="21"/>
                <w:highlight w:val="none"/>
                <w:lang w:val="en-US" w:eastAsia="zh-CN"/>
              </w:rPr>
              <w:t>410</w:t>
            </w:r>
            <w:r>
              <w:rPr>
                <w:rFonts w:hint="default" w:ascii="Times New Roman" w:hAnsi="Times New Roman" w:eastAsia="宋体" w:cs="Times New Roman"/>
                <w:b w:val="0"/>
                <w:bCs w:val="0"/>
                <w:color w:val="auto"/>
                <w:kern w:val="0"/>
                <w:szCs w:val="21"/>
                <w:highlight w:val="none"/>
              </w:rPr>
              <w:t>万元的前述业绩，每项得</w:t>
            </w:r>
            <w:r>
              <w:rPr>
                <w:rFonts w:hint="eastAsia" w:ascii="Times New Roman" w:hAnsi="Times New Roman" w:eastAsia="宋体" w:cs="Times New Roman"/>
                <w:b w:val="0"/>
                <w:bCs w:val="0"/>
                <w:color w:val="auto"/>
                <w:kern w:val="0"/>
                <w:szCs w:val="21"/>
                <w:highlight w:val="none"/>
                <w:lang w:val="en-US" w:eastAsia="zh-CN"/>
              </w:rPr>
              <w:t>3</w:t>
            </w:r>
            <w:r>
              <w:rPr>
                <w:rFonts w:hint="default" w:ascii="Times New Roman" w:hAnsi="Times New Roman" w:eastAsia="宋体" w:cs="Times New Roman"/>
                <w:b w:val="0"/>
                <w:bCs w:val="0"/>
                <w:color w:val="auto"/>
                <w:kern w:val="0"/>
                <w:szCs w:val="21"/>
                <w:highlight w:val="none"/>
              </w:rPr>
              <w:t>分。</w:t>
            </w:r>
          </w:p>
          <w:p w14:paraId="3CB03CC1">
            <w:pPr>
              <w:keepNext w:val="0"/>
              <w:keepLines w:val="0"/>
              <w:pageBreakBefore w:val="0"/>
              <w:widowControl w:val="0"/>
              <w:tabs>
                <w:tab w:val="left" w:pos="134"/>
              </w:tabs>
              <w:kinsoku/>
              <w:wordWrap/>
              <w:overflowPunct/>
              <w:topLinePunct w:val="0"/>
              <w:autoSpaceDE w:val="0"/>
              <w:autoSpaceDN w:val="0"/>
              <w:bidi w:val="0"/>
              <w:adjustRightInd w:val="0"/>
              <w:snapToGrid/>
              <w:spacing w:line="380" w:lineRule="exact"/>
              <w:jc w:val="both"/>
              <w:textAlignment w:val="auto"/>
              <w:rPr>
                <w:rFonts w:hint="default" w:ascii="Times New Roman" w:hAnsi="Times New Roman" w:eastAsia="宋体" w:cs="Times New Roman"/>
                <w:b w:val="0"/>
                <w:bCs w:val="0"/>
                <w:color w:val="auto"/>
                <w:kern w:val="0"/>
                <w:szCs w:val="21"/>
                <w:highlight w:val="none"/>
                <w:lang w:eastAsia="zh-CN"/>
              </w:rPr>
            </w:pPr>
            <w:r>
              <w:rPr>
                <w:rFonts w:hint="default" w:ascii="Times New Roman" w:hAnsi="Times New Roman" w:eastAsia="宋体" w:cs="Times New Roman"/>
                <w:b w:val="0"/>
                <w:bCs w:val="0"/>
                <w:color w:val="auto"/>
                <w:kern w:val="0"/>
                <w:szCs w:val="21"/>
                <w:highlight w:val="none"/>
              </w:rPr>
              <w:t>（2）</w:t>
            </w:r>
            <w:r>
              <w:rPr>
                <w:rFonts w:hint="eastAsia" w:ascii="Times New Roman" w:hAnsi="Times New Roman" w:eastAsia="宋体" w:cs="Times New Roman"/>
                <w:b w:val="0"/>
                <w:bCs w:val="0"/>
                <w:color w:val="auto"/>
                <w:kern w:val="0"/>
                <w:szCs w:val="21"/>
                <w:highlight w:val="none"/>
                <w:lang w:val="en-US" w:eastAsia="zh-CN"/>
              </w:rPr>
              <w:t>270</w:t>
            </w:r>
            <w:r>
              <w:rPr>
                <w:rFonts w:hint="default" w:ascii="Times New Roman" w:hAnsi="Times New Roman" w:eastAsia="宋体" w:cs="Times New Roman"/>
                <w:b w:val="0"/>
                <w:bCs w:val="0"/>
                <w:color w:val="auto"/>
                <w:kern w:val="0"/>
                <w:szCs w:val="21"/>
                <w:highlight w:val="none"/>
              </w:rPr>
              <w:t>万元≤单项合同金额＜</w:t>
            </w:r>
            <w:r>
              <w:rPr>
                <w:rFonts w:hint="eastAsia" w:ascii="Times New Roman" w:hAnsi="Times New Roman" w:eastAsia="宋体" w:cs="Times New Roman"/>
                <w:b w:val="0"/>
                <w:bCs w:val="0"/>
                <w:color w:val="auto"/>
                <w:kern w:val="0"/>
                <w:szCs w:val="21"/>
                <w:highlight w:val="none"/>
                <w:lang w:val="en-US" w:eastAsia="zh-CN"/>
              </w:rPr>
              <w:t>410</w:t>
            </w:r>
            <w:r>
              <w:rPr>
                <w:rFonts w:hint="default" w:ascii="Times New Roman" w:hAnsi="Times New Roman" w:eastAsia="宋体" w:cs="Times New Roman"/>
                <w:b w:val="0"/>
                <w:bCs w:val="0"/>
                <w:color w:val="auto"/>
                <w:kern w:val="0"/>
                <w:szCs w:val="21"/>
                <w:highlight w:val="none"/>
              </w:rPr>
              <w:t>万元的前述业绩，每项得</w:t>
            </w:r>
            <w:r>
              <w:rPr>
                <w:rFonts w:hint="eastAsia" w:ascii="Times New Roman" w:hAnsi="Times New Roman" w:eastAsia="宋体" w:cs="Times New Roman"/>
                <w:b w:val="0"/>
                <w:bCs w:val="0"/>
                <w:color w:val="auto"/>
                <w:kern w:val="0"/>
                <w:szCs w:val="21"/>
                <w:highlight w:val="none"/>
                <w:lang w:val="en-US" w:eastAsia="zh-CN"/>
              </w:rPr>
              <w:t>2</w:t>
            </w:r>
            <w:r>
              <w:rPr>
                <w:rFonts w:hint="default" w:ascii="Times New Roman" w:hAnsi="Times New Roman" w:eastAsia="宋体" w:cs="Times New Roman"/>
                <w:b w:val="0"/>
                <w:bCs w:val="0"/>
                <w:color w:val="auto"/>
                <w:kern w:val="0"/>
                <w:szCs w:val="21"/>
                <w:highlight w:val="none"/>
              </w:rPr>
              <w:t>分</w:t>
            </w:r>
            <w:r>
              <w:rPr>
                <w:rFonts w:hint="eastAsia" w:ascii="Times New Roman" w:hAnsi="Times New Roman" w:eastAsia="宋体" w:cs="Times New Roman"/>
                <w:b w:val="0"/>
                <w:bCs w:val="0"/>
                <w:color w:val="auto"/>
                <w:kern w:val="0"/>
                <w:szCs w:val="21"/>
                <w:highlight w:val="none"/>
                <w:lang w:eastAsia="zh-CN"/>
              </w:rPr>
              <w:t>，</w:t>
            </w:r>
            <w:r>
              <w:rPr>
                <w:rFonts w:hint="default" w:ascii="Times New Roman" w:hAnsi="Times New Roman" w:eastAsia="宋体" w:cs="Times New Roman"/>
                <w:b w:val="0"/>
                <w:bCs w:val="0"/>
                <w:color w:val="auto"/>
                <w:kern w:val="0"/>
                <w:szCs w:val="21"/>
                <w:highlight w:val="none"/>
              </w:rPr>
              <w:t>本子项满分</w:t>
            </w:r>
            <w:r>
              <w:rPr>
                <w:rFonts w:hint="default" w:ascii="Times New Roman" w:hAnsi="Times New Roman" w:eastAsia="宋体" w:cs="Times New Roman"/>
                <w:b w:val="0"/>
                <w:bCs w:val="0"/>
                <w:color w:val="auto"/>
                <w:kern w:val="0"/>
                <w:szCs w:val="21"/>
                <w:highlight w:val="none"/>
                <w:lang w:val="en-US" w:eastAsia="zh-CN"/>
              </w:rPr>
              <w:t>12</w:t>
            </w:r>
            <w:r>
              <w:rPr>
                <w:rFonts w:hint="default" w:ascii="Times New Roman" w:hAnsi="Times New Roman" w:eastAsia="宋体" w:cs="Times New Roman"/>
                <w:b w:val="0"/>
                <w:bCs w:val="0"/>
                <w:color w:val="auto"/>
                <w:kern w:val="0"/>
                <w:szCs w:val="21"/>
                <w:highlight w:val="none"/>
              </w:rPr>
              <w:t>分</w:t>
            </w:r>
            <w:r>
              <w:rPr>
                <w:rFonts w:hint="default" w:ascii="Times New Roman" w:hAnsi="Times New Roman" w:eastAsia="宋体" w:cs="Times New Roman"/>
                <w:b w:val="0"/>
                <w:bCs w:val="0"/>
                <w:color w:val="auto"/>
                <w:kern w:val="0"/>
                <w:szCs w:val="21"/>
                <w:highlight w:val="none"/>
                <w:lang w:eastAsia="zh-CN"/>
              </w:rPr>
              <w:t>。</w:t>
            </w:r>
          </w:p>
          <w:p w14:paraId="2F419475">
            <w:pPr>
              <w:keepNext w:val="0"/>
              <w:keepLines w:val="0"/>
              <w:pageBreakBefore w:val="0"/>
              <w:widowControl w:val="0"/>
              <w:tabs>
                <w:tab w:val="left" w:pos="134"/>
              </w:tabs>
              <w:kinsoku/>
              <w:wordWrap/>
              <w:overflowPunct/>
              <w:topLinePunct w:val="0"/>
              <w:autoSpaceDE w:val="0"/>
              <w:autoSpaceDN w:val="0"/>
              <w:bidi w:val="0"/>
              <w:adjustRightInd w:val="0"/>
              <w:snapToGrid/>
              <w:spacing w:line="380" w:lineRule="exact"/>
              <w:jc w:val="both"/>
              <w:textAlignment w:val="auto"/>
              <w:rPr>
                <w:rFonts w:hint="default" w:ascii="Times New Roman" w:hAnsi="Times New Roman" w:eastAsia="宋体" w:cs="Times New Roman"/>
                <w:b w:val="0"/>
                <w:bCs w:val="0"/>
                <w:color w:val="auto"/>
                <w:kern w:val="0"/>
                <w:szCs w:val="21"/>
                <w:highlight w:val="none"/>
              </w:rPr>
            </w:pPr>
            <w:r>
              <w:rPr>
                <w:rFonts w:hint="default" w:ascii="Times New Roman" w:hAnsi="Times New Roman" w:eastAsia="宋体" w:cs="Times New Roman"/>
                <w:b w:val="0"/>
                <w:bCs w:val="0"/>
                <w:color w:val="auto"/>
                <w:kern w:val="0"/>
                <w:szCs w:val="21"/>
                <w:highlight w:val="none"/>
                <w:lang w:val="en-US" w:eastAsia="zh-CN"/>
              </w:rPr>
              <w:t>（3）</w:t>
            </w:r>
            <w:r>
              <w:rPr>
                <w:rFonts w:hint="eastAsia" w:ascii="Times New Roman" w:hAnsi="Times New Roman" w:eastAsia="宋体" w:cs="Times New Roman"/>
                <w:b w:val="0"/>
                <w:bCs w:val="0"/>
                <w:color w:val="auto"/>
                <w:kern w:val="0"/>
                <w:szCs w:val="21"/>
                <w:highlight w:val="none"/>
                <w:lang w:val="en-US" w:eastAsia="zh-CN"/>
              </w:rPr>
              <w:t>180</w:t>
            </w:r>
            <w:r>
              <w:rPr>
                <w:rFonts w:hint="default" w:ascii="Times New Roman" w:hAnsi="Times New Roman" w:eastAsia="宋体" w:cs="Times New Roman"/>
                <w:b w:val="0"/>
                <w:bCs w:val="0"/>
                <w:color w:val="auto"/>
                <w:kern w:val="0"/>
                <w:szCs w:val="21"/>
                <w:highlight w:val="none"/>
              </w:rPr>
              <w:t>万元≤单项合同金额＜</w:t>
            </w:r>
            <w:r>
              <w:rPr>
                <w:rFonts w:hint="eastAsia" w:ascii="Times New Roman" w:hAnsi="Times New Roman" w:eastAsia="宋体" w:cs="Times New Roman"/>
                <w:b w:val="0"/>
                <w:bCs w:val="0"/>
                <w:color w:val="auto"/>
                <w:kern w:val="0"/>
                <w:szCs w:val="21"/>
                <w:highlight w:val="none"/>
                <w:lang w:val="en-US" w:eastAsia="zh-CN"/>
              </w:rPr>
              <w:t>270</w:t>
            </w:r>
            <w:r>
              <w:rPr>
                <w:rFonts w:hint="default" w:ascii="Times New Roman" w:hAnsi="Times New Roman" w:eastAsia="宋体" w:cs="Times New Roman"/>
                <w:b w:val="0"/>
                <w:bCs w:val="0"/>
                <w:color w:val="auto"/>
                <w:kern w:val="0"/>
                <w:szCs w:val="21"/>
                <w:highlight w:val="none"/>
              </w:rPr>
              <w:t>万元的前述业绩，每项得</w:t>
            </w:r>
            <w:r>
              <w:rPr>
                <w:rFonts w:hint="eastAsia" w:ascii="Times New Roman" w:hAnsi="Times New Roman" w:eastAsia="宋体" w:cs="Times New Roman"/>
                <w:b w:val="0"/>
                <w:bCs w:val="0"/>
                <w:color w:val="auto"/>
                <w:kern w:val="0"/>
                <w:szCs w:val="21"/>
                <w:highlight w:val="none"/>
                <w:lang w:val="en-US" w:eastAsia="zh-CN"/>
              </w:rPr>
              <w:t>1</w:t>
            </w:r>
            <w:r>
              <w:rPr>
                <w:rFonts w:hint="default" w:ascii="Times New Roman" w:hAnsi="Times New Roman" w:eastAsia="宋体" w:cs="Times New Roman"/>
                <w:b w:val="0"/>
                <w:bCs w:val="0"/>
                <w:color w:val="auto"/>
                <w:kern w:val="0"/>
                <w:szCs w:val="21"/>
                <w:highlight w:val="none"/>
              </w:rPr>
              <w:t>分</w:t>
            </w:r>
            <w:r>
              <w:rPr>
                <w:rFonts w:hint="default" w:ascii="Times New Roman" w:hAnsi="Times New Roman" w:eastAsia="宋体" w:cs="Times New Roman"/>
                <w:b w:val="0"/>
                <w:bCs w:val="0"/>
                <w:color w:val="auto"/>
                <w:kern w:val="0"/>
                <w:szCs w:val="21"/>
                <w:highlight w:val="none"/>
                <w:lang w:eastAsia="zh-CN"/>
              </w:rPr>
              <w:t>，</w:t>
            </w:r>
            <w:r>
              <w:rPr>
                <w:rFonts w:hint="default" w:ascii="Times New Roman" w:hAnsi="Times New Roman" w:eastAsia="宋体" w:cs="Times New Roman"/>
                <w:b w:val="0"/>
                <w:bCs w:val="0"/>
                <w:color w:val="auto"/>
                <w:kern w:val="0"/>
                <w:szCs w:val="21"/>
                <w:highlight w:val="none"/>
              </w:rPr>
              <w:t>本子项满分</w:t>
            </w:r>
            <w:r>
              <w:rPr>
                <w:rFonts w:hint="eastAsia" w:ascii="Times New Roman" w:hAnsi="Times New Roman" w:eastAsia="宋体" w:cs="Times New Roman"/>
                <w:b w:val="0"/>
                <w:bCs w:val="0"/>
                <w:color w:val="auto"/>
                <w:kern w:val="0"/>
                <w:szCs w:val="21"/>
                <w:highlight w:val="none"/>
                <w:lang w:val="en-US" w:eastAsia="zh-CN"/>
              </w:rPr>
              <w:t>6</w:t>
            </w:r>
            <w:r>
              <w:rPr>
                <w:rFonts w:hint="default" w:ascii="Times New Roman" w:hAnsi="Times New Roman" w:eastAsia="宋体" w:cs="Times New Roman"/>
                <w:b w:val="0"/>
                <w:bCs w:val="0"/>
                <w:color w:val="auto"/>
                <w:kern w:val="0"/>
                <w:szCs w:val="21"/>
                <w:highlight w:val="none"/>
              </w:rPr>
              <w:t>分。</w:t>
            </w:r>
          </w:p>
          <w:p w14:paraId="65C0D8D4">
            <w:pPr>
              <w:keepNext w:val="0"/>
              <w:keepLines w:val="0"/>
              <w:pageBreakBefore w:val="0"/>
              <w:widowControl w:val="0"/>
              <w:tabs>
                <w:tab w:val="left" w:pos="134"/>
              </w:tabs>
              <w:kinsoku/>
              <w:wordWrap/>
              <w:overflowPunct/>
              <w:topLinePunct w:val="0"/>
              <w:autoSpaceDE w:val="0"/>
              <w:autoSpaceDN w:val="0"/>
              <w:bidi w:val="0"/>
              <w:adjustRightInd w:val="0"/>
              <w:snapToGrid/>
              <w:spacing w:line="380" w:lineRule="exact"/>
              <w:jc w:val="both"/>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p w14:paraId="17EE3CE0">
            <w:pPr>
              <w:keepNext w:val="0"/>
              <w:keepLines w:val="0"/>
              <w:pageBreakBefore w:val="0"/>
              <w:widowControl w:val="0"/>
              <w:tabs>
                <w:tab w:val="left" w:pos="134"/>
              </w:tabs>
              <w:kinsoku/>
              <w:wordWrap/>
              <w:overflowPunct/>
              <w:topLinePunct w:val="0"/>
              <w:autoSpaceDE w:val="0"/>
              <w:autoSpaceDN w:val="0"/>
              <w:bidi w:val="0"/>
              <w:adjustRightInd w:val="0"/>
              <w:snapToGrid/>
              <w:spacing w:line="380" w:lineRule="exact"/>
              <w:jc w:val="both"/>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①业绩须同时提供</w:t>
            </w:r>
            <w:r>
              <w:rPr>
                <w:rFonts w:hint="eastAsia" w:ascii="宋体" w:hAnsi="宋体" w:eastAsia="宋体" w:cs="宋体"/>
                <w:b/>
                <w:bCs/>
                <w:color w:val="auto"/>
                <w:kern w:val="0"/>
                <w:szCs w:val="21"/>
                <w:highlight w:val="none"/>
                <w:lang w:eastAsia="zh-CN"/>
              </w:rPr>
              <w:t>⑴</w:t>
            </w:r>
            <w:r>
              <w:rPr>
                <w:rFonts w:hint="eastAsia" w:ascii="宋体" w:hAnsi="宋体" w:eastAsia="宋体" w:cs="宋体"/>
                <w:b/>
                <w:bCs/>
                <w:color w:val="auto"/>
                <w:kern w:val="0"/>
                <w:szCs w:val="21"/>
                <w:highlight w:val="none"/>
                <w:lang w:val="en-US" w:eastAsia="zh-CN"/>
              </w:rPr>
              <w:t>投标品牌</w:t>
            </w:r>
            <w:r>
              <w:rPr>
                <w:rFonts w:hint="eastAsia" w:hAnsi="宋体" w:eastAsia="宋体" w:cs="宋体"/>
                <w:b/>
                <w:bCs/>
                <w:color w:val="auto"/>
                <w:kern w:val="0"/>
                <w:szCs w:val="21"/>
                <w:highlight w:val="none"/>
                <w:lang w:val="en-US" w:eastAsia="zh-CN"/>
              </w:rPr>
              <w:t>电磁水表有效</w:t>
            </w:r>
            <w:r>
              <w:rPr>
                <w:rFonts w:hint="eastAsia" w:ascii="宋体" w:hAnsi="宋体" w:eastAsia="宋体" w:cs="宋体"/>
                <w:b/>
                <w:bCs/>
                <w:color w:val="auto"/>
                <w:kern w:val="0"/>
                <w:szCs w:val="21"/>
                <w:highlight w:val="none"/>
              </w:rPr>
              <w:t>销售合同复印件（合同卖方可为投标品牌</w:t>
            </w:r>
            <w:r>
              <w:rPr>
                <w:rFonts w:hint="eastAsia" w:ascii="宋体" w:hAnsi="宋体" w:eastAsia="宋体" w:cs="宋体"/>
                <w:b/>
                <w:bCs/>
                <w:color w:val="auto"/>
                <w:kern w:val="0"/>
                <w:szCs w:val="21"/>
                <w:highlight w:val="none"/>
                <w:lang w:val="en-US" w:eastAsia="zh-CN"/>
              </w:rPr>
              <w:t>电磁水表</w:t>
            </w:r>
            <w:r>
              <w:rPr>
                <w:rFonts w:hint="eastAsia" w:ascii="宋体" w:hAnsi="宋体" w:eastAsia="宋体" w:cs="宋体"/>
                <w:b/>
                <w:bCs/>
                <w:color w:val="auto"/>
                <w:kern w:val="0"/>
                <w:szCs w:val="21"/>
                <w:highlight w:val="none"/>
              </w:rPr>
              <w:t>的制造商，也可为投标品牌</w:t>
            </w:r>
            <w:r>
              <w:rPr>
                <w:rFonts w:hint="eastAsia" w:ascii="宋体" w:hAnsi="宋体" w:eastAsia="宋体" w:cs="宋体"/>
                <w:b/>
                <w:bCs/>
                <w:color w:val="auto"/>
                <w:kern w:val="0"/>
                <w:szCs w:val="21"/>
                <w:highlight w:val="none"/>
                <w:lang w:val="en-US" w:eastAsia="zh-CN"/>
              </w:rPr>
              <w:t>电磁水表</w:t>
            </w:r>
            <w:r>
              <w:rPr>
                <w:rFonts w:hint="eastAsia" w:ascii="宋体" w:hAnsi="宋体" w:eastAsia="宋体" w:cs="宋体"/>
                <w:b/>
                <w:bCs/>
                <w:color w:val="auto"/>
                <w:kern w:val="0"/>
                <w:szCs w:val="21"/>
                <w:highlight w:val="none"/>
              </w:rPr>
              <w:t>的代理商/经销商），</w:t>
            </w:r>
            <w:r>
              <w:rPr>
                <w:rFonts w:hint="eastAsia" w:ascii="宋体" w:hAnsi="宋体" w:eastAsia="宋体" w:cs="宋体"/>
                <w:b/>
                <w:bCs/>
                <w:color w:val="auto"/>
                <w:kern w:val="0"/>
                <w:szCs w:val="21"/>
                <w:highlight w:val="none"/>
                <w:lang w:eastAsia="zh-CN"/>
              </w:rPr>
              <w:t>⑵已供货产品任意一张发票复印件（发票开具日期须在本项目招标公告发布之日前），</w:t>
            </w:r>
            <w:r>
              <w:rPr>
                <w:rFonts w:hint="eastAsia" w:ascii="宋体" w:hAnsi="宋体" w:eastAsia="宋体" w:cs="宋体"/>
                <w:b/>
                <w:bCs/>
                <w:color w:val="auto"/>
                <w:kern w:val="0"/>
                <w:szCs w:val="21"/>
                <w:highlight w:val="none"/>
              </w:rPr>
              <w:t>否则不得分；</w:t>
            </w:r>
          </w:p>
          <w:p w14:paraId="3BAEE027">
            <w:pPr>
              <w:keepNext w:val="0"/>
              <w:keepLines w:val="0"/>
              <w:pageBreakBefore w:val="0"/>
              <w:widowControl w:val="0"/>
              <w:tabs>
                <w:tab w:val="left" w:pos="134"/>
              </w:tabs>
              <w:kinsoku/>
              <w:wordWrap/>
              <w:overflowPunct/>
              <w:topLinePunct w:val="0"/>
              <w:autoSpaceDE w:val="0"/>
              <w:autoSpaceDN w:val="0"/>
              <w:bidi w:val="0"/>
              <w:adjustRightInd w:val="0"/>
              <w:snapToGrid/>
              <w:spacing w:line="380" w:lineRule="exact"/>
              <w:jc w:val="both"/>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②</w:t>
            </w:r>
            <w:r>
              <w:rPr>
                <w:rFonts w:hint="eastAsia" w:ascii="宋体" w:hAnsi="宋体" w:eastAsia="宋体" w:cs="宋体"/>
                <w:b/>
                <w:bCs/>
                <w:color w:val="auto"/>
                <w:kern w:val="0"/>
                <w:szCs w:val="21"/>
                <w:highlight w:val="none"/>
              </w:rPr>
              <w:t>若合同无法反映评分条件（合同签订日期为20</w:t>
            </w:r>
            <w:r>
              <w:rPr>
                <w:rFonts w:hint="eastAsia" w:ascii="宋体" w:hAnsi="宋体" w:eastAsia="宋体" w:cs="宋体"/>
                <w:b/>
                <w:bCs/>
                <w:color w:val="auto"/>
                <w:kern w:val="0"/>
                <w:szCs w:val="21"/>
                <w:highlight w:val="none"/>
                <w:lang w:val="en-US" w:eastAsia="zh-CN"/>
              </w:rPr>
              <w:t>23</w:t>
            </w:r>
            <w:r>
              <w:rPr>
                <w:rFonts w:hint="eastAsia" w:ascii="宋体" w:hAnsi="宋体" w:eastAsia="宋体" w:cs="宋体"/>
                <w:b/>
                <w:bCs/>
                <w:color w:val="auto"/>
                <w:kern w:val="0"/>
                <w:szCs w:val="21"/>
                <w:highlight w:val="none"/>
              </w:rPr>
              <w:t>年1月1日或以后，合同标的必须包含</w:t>
            </w:r>
            <w:r>
              <w:rPr>
                <w:rFonts w:hint="eastAsia" w:ascii="宋体" w:hAnsi="宋体" w:eastAsia="宋体" w:cs="宋体"/>
                <w:b/>
                <w:bCs/>
                <w:color w:val="auto"/>
                <w:kern w:val="0"/>
                <w:szCs w:val="21"/>
                <w:highlight w:val="none"/>
                <w:lang w:val="en-US" w:eastAsia="zh-CN"/>
              </w:rPr>
              <w:t>投标品牌</w:t>
            </w:r>
            <w:r>
              <w:rPr>
                <w:rFonts w:hint="eastAsia" w:hAnsi="宋体" w:eastAsia="宋体" w:cs="宋体"/>
                <w:b/>
                <w:bCs/>
                <w:color w:val="auto"/>
                <w:kern w:val="0"/>
                <w:szCs w:val="21"/>
                <w:highlight w:val="none"/>
                <w:lang w:val="en-US" w:eastAsia="zh-CN"/>
              </w:rPr>
              <w:t>电磁水表</w:t>
            </w:r>
            <w:r>
              <w:rPr>
                <w:rFonts w:hint="eastAsia" w:ascii="宋体" w:hAnsi="宋体" w:eastAsia="宋体" w:cs="宋体"/>
                <w:b/>
                <w:bCs/>
                <w:color w:val="auto"/>
                <w:kern w:val="0"/>
                <w:szCs w:val="21"/>
                <w:highlight w:val="none"/>
              </w:rPr>
              <w:t>、合同金额）的，还需提供产品购买方出具的书面补充说明文件复印件作为辅助证明（需</w:t>
            </w:r>
            <w:r>
              <w:rPr>
                <w:rFonts w:hint="eastAsia" w:ascii="宋体" w:hAnsi="宋体" w:eastAsia="宋体" w:cs="宋体"/>
                <w:b/>
                <w:bCs/>
                <w:color w:val="auto"/>
                <w:kern w:val="0"/>
                <w:szCs w:val="21"/>
                <w:highlight w:val="none"/>
                <w:lang w:val="en-US" w:eastAsia="zh-CN"/>
              </w:rPr>
              <w:t>显示</w:t>
            </w:r>
            <w:r>
              <w:rPr>
                <w:rFonts w:hint="eastAsia" w:ascii="宋体" w:hAnsi="宋体" w:eastAsia="宋体" w:cs="宋体"/>
                <w:b/>
                <w:bCs/>
                <w:color w:val="auto"/>
                <w:kern w:val="0"/>
                <w:szCs w:val="21"/>
                <w:highlight w:val="none"/>
              </w:rPr>
              <w:t>购买方公章），否则不得分；</w:t>
            </w:r>
          </w:p>
          <w:p w14:paraId="18A8C86C">
            <w:pPr>
              <w:keepNext w:val="0"/>
              <w:keepLines w:val="0"/>
              <w:pageBreakBefore w:val="0"/>
              <w:widowControl w:val="0"/>
              <w:tabs>
                <w:tab w:val="left" w:pos="134"/>
              </w:tabs>
              <w:kinsoku/>
              <w:wordWrap/>
              <w:overflowPunct/>
              <w:topLinePunct w:val="0"/>
              <w:autoSpaceDE w:val="0"/>
              <w:autoSpaceDN w:val="0"/>
              <w:bidi w:val="0"/>
              <w:adjustRightInd/>
              <w:snapToGrid/>
              <w:spacing w:line="360" w:lineRule="auto"/>
              <w:textAlignment w:val="auto"/>
              <w:rPr>
                <w:rFonts w:ascii="宋体" w:hAnsi="宋体" w:eastAsia="宋体" w:cs="Times New Roman"/>
                <w:b/>
                <w:color w:val="auto"/>
                <w:kern w:val="0"/>
                <w:sz w:val="21"/>
                <w:szCs w:val="21"/>
                <w:highlight w:val="none"/>
              </w:rPr>
            </w:pPr>
            <w:r>
              <w:rPr>
                <w:rFonts w:hint="eastAsia" w:ascii="宋体" w:hAnsi="宋体" w:eastAsia="宋体" w:cs="宋体"/>
                <w:b/>
                <w:bCs/>
                <w:color w:val="auto"/>
                <w:kern w:val="0"/>
                <w:szCs w:val="21"/>
                <w:highlight w:val="none"/>
                <w:lang w:val="en-US" w:eastAsia="zh-CN"/>
              </w:rPr>
              <w:t>③</w:t>
            </w:r>
            <w:r>
              <w:rPr>
                <w:rFonts w:hint="eastAsia" w:ascii="宋体" w:hAnsi="宋体" w:eastAsia="宋体" w:cs="宋体"/>
                <w:b/>
                <w:bCs/>
                <w:color w:val="auto"/>
                <w:kern w:val="0"/>
                <w:szCs w:val="21"/>
                <w:highlight w:val="none"/>
              </w:rPr>
              <w:t>若业绩为框架式协议或资格入围无明确金额的合同，必须同时提供合同期限内已供货发票金额统计表和发票复印件</w:t>
            </w:r>
            <w:r>
              <w:rPr>
                <w:rFonts w:hint="eastAsia" w:ascii="宋体" w:hAnsi="宋体" w:eastAsia="宋体" w:cs="宋体"/>
                <w:b/>
                <w:bCs/>
                <w:color w:val="auto"/>
                <w:kern w:val="0"/>
                <w:szCs w:val="21"/>
                <w:highlight w:val="none"/>
                <w:lang w:eastAsia="zh-CN"/>
              </w:rPr>
              <w:t>。</w:t>
            </w:r>
          </w:p>
        </w:tc>
        <w:tc>
          <w:tcPr>
            <w:tcW w:w="907" w:type="dxa"/>
            <w:tcBorders>
              <w:top w:val="single" w:color="auto" w:sz="4" w:space="0"/>
              <w:left w:val="single" w:color="auto" w:sz="4" w:space="0"/>
              <w:bottom w:val="single" w:color="auto" w:sz="4" w:space="0"/>
              <w:right w:val="single" w:color="auto" w:sz="4" w:space="0"/>
            </w:tcBorders>
            <w:vAlign w:val="center"/>
          </w:tcPr>
          <w:p w14:paraId="01A1D33F">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27分</w:t>
            </w:r>
          </w:p>
        </w:tc>
      </w:tr>
      <w:tr w14:paraId="0365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63" w:type="dxa"/>
            <w:gridSpan w:val="3"/>
            <w:tcBorders>
              <w:top w:val="single" w:color="auto" w:sz="4" w:space="0"/>
              <w:left w:val="single" w:color="auto" w:sz="4" w:space="0"/>
              <w:bottom w:val="single" w:color="auto" w:sz="4" w:space="0"/>
              <w:right w:val="single" w:color="auto" w:sz="4" w:space="0"/>
            </w:tcBorders>
            <w:vAlign w:val="center"/>
          </w:tcPr>
          <w:p w14:paraId="551EAB99">
            <w:pPr>
              <w:keepNext w:val="0"/>
              <w:keepLines w:val="0"/>
              <w:pageBreakBefore w:val="0"/>
              <w:widowControl w:val="0"/>
              <w:tabs>
                <w:tab w:val="left" w:pos="134"/>
              </w:tabs>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color w:val="auto"/>
                <w:sz w:val="21"/>
                <w:szCs w:val="21"/>
                <w:highlight w:val="none"/>
                <w:lang w:val="en-US" w:eastAsia="zh-CN"/>
              </w:rPr>
            </w:pPr>
            <w:bookmarkStart w:id="862" w:name="_Toc11639_WPSOffice_Level2"/>
            <w:r>
              <w:rPr>
                <w:rFonts w:hint="eastAsia" w:ascii="宋体" w:hAnsi="宋体" w:eastAsia="宋体" w:cs="宋体"/>
                <w:b/>
                <w:color w:val="auto"/>
                <w:sz w:val="21"/>
                <w:szCs w:val="21"/>
                <w:highlight w:val="none"/>
                <w:lang w:val="en-US" w:eastAsia="zh-CN"/>
              </w:rPr>
              <w:t>商务总分</w:t>
            </w:r>
          </w:p>
        </w:tc>
        <w:tc>
          <w:tcPr>
            <w:tcW w:w="907" w:type="dxa"/>
            <w:tcBorders>
              <w:top w:val="single" w:color="auto" w:sz="4" w:space="0"/>
              <w:left w:val="single" w:color="auto" w:sz="4" w:space="0"/>
              <w:bottom w:val="single" w:color="auto" w:sz="4" w:space="0"/>
              <w:right w:val="single" w:color="auto" w:sz="4" w:space="0"/>
            </w:tcBorders>
            <w:vAlign w:val="center"/>
          </w:tcPr>
          <w:p w14:paraId="7EC25587">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30分</w:t>
            </w:r>
          </w:p>
        </w:tc>
      </w:tr>
      <w:bookmarkEnd w:id="861"/>
    </w:tbl>
    <w:p w14:paraId="05C6ED27">
      <w:pPr>
        <w:autoSpaceDE w:val="0"/>
        <w:autoSpaceDN w:val="0"/>
        <w:adjustRightInd w:val="0"/>
        <w:ind w:right="-26" w:firstLine="480"/>
        <w:jc w:val="center"/>
        <w:rPr>
          <w:rFonts w:ascii="宋体" w:hAnsi="宋体" w:eastAsia="宋体" w:cs="Times New Roman"/>
          <w:b/>
          <w:bCs/>
          <w:color w:val="auto"/>
          <w:kern w:val="0"/>
          <w:sz w:val="24"/>
          <w:szCs w:val="24"/>
          <w:highlight w:val="none"/>
        </w:rPr>
      </w:pPr>
    </w:p>
    <w:p w14:paraId="0BDEFBD8">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bookmarkEnd w:id="862"/>
    </w:p>
    <w:tbl>
      <w:tblPr>
        <w:tblStyle w:val="39"/>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133"/>
        <w:gridCol w:w="7677"/>
        <w:gridCol w:w="907"/>
      </w:tblGrid>
      <w:tr w14:paraId="4CBA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14:paraId="542AE5D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bookmarkStart w:id="863" w:name="_Hlk104987779"/>
            <w:r>
              <w:rPr>
                <w:rFonts w:hint="eastAsia" w:ascii="宋体" w:hAnsi="宋体" w:eastAsia="宋体" w:cs="宋体"/>
                <w:b/>
                <w:color w:val="auto"/>
                <w:kern w:val="0"/>
                <w:szCs w:val="21"/>
                <w:highlight w:val="none"/>
              </w:rPr>
              <w:t>序号</w:t>
            </w:r>
          </w:p>
        </w:tc>
        <w:tc>
          <w:tcPr>
            <w:tcW w:w="1133" w:type="dxa"/>
            <w:tcBorders>
              <w:top w:val="single" w:color="auto" w:sz="4" w:space="0"/>
              <w:left w:val="single" w:color="auto" w:sz="4" w:space="0"/>
              <w:bottom w:val="single" w:color="auto" w:sz="4" w:space="0"/>
              <w:right w:val="single" w:color="auto" w:sz="4" w:space="0"/>
            </w:tcBorders>
            <w:vAlign w:val="center"/>
          </w:tcPr>
          <w:p w14:paraId="428EF93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77" w:type="dxa"/>
            <w:tcBorders>
              <w:top w:val="single" w:color="auto" w:sz="4" w:space="0"/>
              <w:left w:val="single" w:color="auto" w:sz="4" w:space="0"/>
              <w:bottom w:val="single" w:color="auto" w:sz="4" w:space="0"/>
              <w:right w:val="single" w:color="auto" w:sz="4" w:space="0"/>
            </w:tcBorders>
            <w:vAlign w:val="center"/>
          </w:tcPr>
          <w:p w14:paraId="21C023E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center"/>
          </w:tcPr>
          <w:p w14:paraId="3B3EC52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2723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14:paraId="7A83BEFA">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16EB4CEE">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用户需求的响应程度</w:t>
            </w:r>
          </w:p>
        </w:tc>
        <w:tc>
          <w:tcPr>
            <w:tcW w:w="7677" w:type="dxa"/>
            <w:tcBorders>
              <w:top w:val="single" w:color="auto" w:sz="4" w:space="0"/>
              <w:left w:val="single" w:color="auto" w:sz="4" w:space="0"/>
              <w:bottom w:val="single" w:color="auto" w:sz="4" w:space="0"/>
              <w:right w:val="single" w:color="auto" w:sz="4" w:space="0"/>
            </w:tcBorders>
            <w:vAlign w:val="center"/>
          </w:tcPr>
          <w:p w14:paraId="411A1ADC">
            <w:pPr>
              <w:pStyle w:val="21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根据用户需求偏离表的偏离情况进行评审计分，完全满足用户需求的要求得满分，每项带“▲”号的条款负偏离或未响应的，扣2分；每一处非“▲”号条款负偏离或未响应的，扣1分；同时参照其投标文件中产品技术性能说明等技术资料的内容进行对比，每发现一处投标人填写为无偏离或正偏离，但评标委员会评审认定其为负偏离的，每处扣3分；本项最低分为0分。</w:t>
            </w:r>
          </w:p>
        </w:tc>
        <w:tc>
          <w:tcPr>
            <w:tcW w:w="907" w:type="dxa"/>
            <w:tcBorders>
              <w:top w:val="single" w:color="auto" w:sz="4" w:space="0"/>
              <w:left w:val="single" w:color="auto" w:sz="4" w:space="0"/>
              <w:bottom w:val="single" w:color="auto" w:sz="4" w:space="0"/>
              <w:right w:val="single" w:color="auto" w:sz="4" w:space="0"/>
            </w:tcBorders>
            <w:vAlign w:val="center"/>
          </w:tcPr>
          <w:p w14:paraId="538F80D3">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9分</w:t>
            </w:r>
          </w:p>
        </w:tc>
      </w:tr>
      <w:tr w14:paraId="0554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14:paraId="5FF6A893">
            <w:pPr>
              <w:keepNext w:val="0"/>
              <w:keepLines w:val="0"/>
              <w:pageBreakBefore w:val="0"/>
              <w:widowControl w:val="0"/>
              <w:kinsoku/>
              <w:wordWrap/>
              <w:overflowPunct/>
              <w:topLinePunct w:val="0"/>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1CF43F0A">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研发能力及产品先进性</w:t>
            </w:r>
          </w:p>
        </w:tc>
        <w:tc>
          <w:tcPr>
            <w:tcW w:w="7677" w:type="dxa"/>
            <w:tcBorders>
              <w:top w:val="single" w:color="auto" w:sz="4" w:space="0"/>
              <w:left w:val="single" w:color="auto" w:sz="4" w:space="0"/>
              <w:bottom w:val="single" w:color="auto" w:sz="4" w:space="0"/>
              <w:right w:val="single" w:color="auto" w:sz="4" w:space="0"/>
            </w:tcBorders>
            <w:vAlign w:val="center"/>
          </w:tcPr>
          <w:p w14:paraId="3113C954">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color w:val="auto"/>
                <w:kern w:val="0"/>
                <w:sz w:val="21"/>
                <w:szCs w:val="21"/>
                <w:highlight w:val="none"/>
                <w:lang w:val="zh-CN" w:eastAsia="zh-CN" w:bidi="ar-SA"/>
              </w:rPr>
            </w:pPr>
            <w:r>
              <w:rPr>
                <w:rFonts w:hint="eastAsia" w:ascii="宋体" w:hAnsi="宋体" w:eastAsia="宋体" w:cs="宋体"/>
                <w:b w:val="0"/>
                <w:color w:val="auto"/>
                <w:kern w:val="0"/>
                <w:sz w:val="21"/>
                <w:szCs w:val="21"/>
                <w:highlight w:val="none"/>
                <w:lang w:val="zh-CN" w:eastAsia="zh-CN" w:bidi="ar-SA"/>
              </w:rPr>
              <w:t>（</w:t>
            </w:r>
            <w:r>
              <w:rPr>
                <w:rFonts w:hint="eastAsia" w:ascii="宋体" w:hAnsi="宋体" w:eastAsia="宋体" w:cs="宋体"/>
                <w:b w:val="0"/>
                <w:color w:val="auto"/>
                <w:kern w:val="0"/>
                <w:sz w:val="21"/>
                <w:szCs w:val="21"/>
                <w:highlight w:val="none"/>
                <w:lang w:val="en-US" w:eastAsia="zh-CN" w:bidi="ar-SA"/>
              </w:rPr>
              <w:t>1</w:t>
            </w:r>
            <w:r>
              <w:rPr>
                <w:rFonts w:hint="eastAsia" w:ascii="宋体" w:hAnsi="宋体" w:eastAsia="宋体" w:cs="宋体"/>
                <w:b w:val="0"/>
                <w:color w:val="auto"/>
                <w:kern w:val="0"/>
                <w:sz w:val="21"/>
                <w:szCs w:val="21"/>
                <w:highlight w:val="none"/>
                <w:lang w:val="zh-CN" w:eastAsia="zh-CN" w:bidi="ar-SA"/>
              </w:rPr>
              <w:t>）企业研发能力（</w:t>
            </w:r>
            <w:r>
              <w:rPr>
                <w:rFonts w:hint="eastAsia" w:ascii="宋体" w:hAnsi="宋体" w:eastAsia="宋体" w:cs="宋体"/>
                <w:b w:val="0"/>
                <w:color w:val="auto"/>
                <w:kern w:val="0"/>
                <w:sz w:val="21"/>
                <w:szCs w:val="21"/>
                <w:highlight w:val="none"/>
                <w:lang w:val="en-US" w:eastAsia="zh-CN" w:bidi="ar-SA"/>
              </w:rPr>
              <w:t>6分</w:t>
            </w:r>
            <w:r>
              <w:rPr>
                <w:rFonts w:hint="eastAsia" w:ascii="宋体" w:hAnsi="宋体" w:eastAsia="宋体" w:cs="宋体"/>
                <w:b w:val="0"/>
                <w:color w:val="auto"/>
                <w:kern w:val="0"/>
                <w:sz w:val="21"/>
                <w:szCs w:val="21"/>
                <w:highlight w:val="none"/>
                <w:lang w:val="zh-CN" w:eastAsia="zh-CN" w:bidi="ar-SA"/>
              </w:rPr>
              <w:t>）:</w:t>
            </w:r>
          </w:p>
          <w:p w14:paraId="603C3C42">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color w:val="auto"/>
                <w:kern w:val="0"/>
                <w:sz w:val="21"/>
                <w:szCs w:val="21"/>
                <w:highlight w:val="none"/>
                <w:lang w:val="zh-CN" w:eastAsia="zh-CN" w:bidi="ar-SA"/>
              </w:rPr>
            </w:pPr>
            <w:r>
              <w:rPr>
                <w:rFonts w:hint="eastAsia" w:ascii="宋体" w:hAnsi="宋体" w:eastAsia="宋体" w:cs="宋体"/>
                <w:b w:val="0"/>
                <w:color w:val="auto"/>
                <w:kern w:val="0"/>
                <w:sz w:val="21"/>
                <w:szCs w:val="21"/>
                <w:highlight w:val="none"/>
                <w:lang w:val="zh-CN" w:eastAsia="zh-CN" w:bidi="ar-SA"/>
              </w:rPr>
              <w:t>①</w:t>
            </w:r>
            <w:r>
              <w:rPr>
                <w:rFonts w:hint="eastAsia" w:ascii="宋体" w:hAnsi="宋体" w:eastAsia="宋体" w:cs="宋体"/>
                <w:b w:val="0"/>
                <w:color w:val="auto"/>
                <w:kern w:val="0"/>
                <w:sz w:val="21"/>
                <w:szCs w:val="21"/>
                <w:highlight w:val="none"/>
                <w:lang w:val="en-US" w:eastAsia="zh-CN" w:bidi="ar-SA"/>
              </w:rPr>
              <w:t>投标人（或所投产品制造商）</w:t>
            </w:r>
            <w:r>
              <w:rPr>
                <w:rFonts w:hint="eastAsia" w:ascii="宋体" w:hAnsi="宋体" w:eastAsia="宋体" w:cs="宋体"/>
                <w:b w:val="0"/>
                <w:color w:val="auto"/>
                <w:kern w:val="0"/>
                <w:sz w:val="21"/>
                <w:szCs w:val="21"/>
                <w:highlight w:val="none"/>
                <w:lang w:val="zh-CN" w:eastAsia="zh-CN" w:bidi="ar-SA"/>
              </w:rPr>
              <w:t>建有省（部）级或以上技术研发中心/工程中心/研究院等研究机构的（须取得行政部门相关许可或批复等证明文件），得</w:t>
            </w:r>
            <w:r>
              <w:rPr>
                <w:rFonts w:hint="eastAsia" w:ascii="宋体" w:hAnsi="宋体" w:eastAsia="宋体" w:cs="宋体"/>
                <w:b w:val="0"/>
                <w:color w:val="auto"/>
                <w:kern w:val="0"/>
                <w:sz w:val="21"/>
                <w:szCs w:val="21"/>
                <w:highlight w:val="none"/>
                <w:lang w:val="en-US" w:eastAsia="zh-CN" w:bidi="ar-SA"/>
              </w:rPr>
              <w:t>3</w:t>
            </w:r>
            <w:r>
              <w:rPr>
                <w:rFonts w:hint="eastAsia" w:ascii="宋体" w:hAnsi="宋体" w:eastAsia="宋体" w:cs="宋体"/>
                <w:b w:val="0"/>
                <w:color w:val="auto"/>
                <w:kern w:val="0"/>
                <w:sz w:val="21"/>
                <w:szCs w:val="21"/>
                <w:highlight w:val="none"/>
                <w:lang w:val="zh-CN" w:eastAsia="zh-CN" w:bidi="ar-SA"/>
              </w:rPr>
              <w:t xml:space="preserve">分； </w:t>
            </w:r>
          </w:p>
          <w:p w14:paraId="65CD9B3C">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color w:val="auto"/>
                <w:kern w:val="0"/>
                <w:sz w:val="21"/>
                <w:szCs w:val="21"/>
                <w:highlight w:val="none"/>
                <w:lang w:val="zh-CN" w:eastAsia="zh-CN" w:bidi="ar-SA"/>
              </w:rPr>
            </w:pPr>
            <w:r>
              <w:rPr>
                <w:rFonts w:hint="eastAsia" w:ascii="宋体" w:hAnsi="宋体" w:eastAsia="宋体" w:cs="宋体"/>
                <w:b w:val="0"/>
                <w:color w:val="auto"/>
                <w:kern w:val="0"/>
                <w:sz w:val="21"/>
                <w:szCs w:val="21"/>
                <w:highlight w:val="none"/>
                <w:lang w:val="zh-CN" w:eastAsia="zh-CN" w:bidi="ar-SA"/>
              </w:rPr>
              <w:t>②</w:t>
            </w:r>
            <w:r>
              <w:rPr>
                <w:rFonts w:hint="eastAsia" w:ascii="宋体" w:hAnsi="宋体" w:eastAsia="宋体" w:cs="宋体"/>
                <w:b w:val="0"/>
                <w:color w:val="auto"/>
                <w:kern w:val="0"/>
                <w:sz w:val="21"/>
                <w:szCs w:val="21"/>
                <w:highlight w:val="none"/>
                <w:lang w:val="en-US" w:eastAsia="zh-CN" w:bidi="ar-SA"/>
              </w:rPr>
              <w:t>投标人（或所投产品制造商）</w:t>
            </w:r>
            <w:r>
              <w:rPr>
                <w:rFonts w:hint="eastAsia" w:ascii="宋体" w:hAnsi="宋体" w:eastAsia="宋体" w:cs="宋体"/>
                <w:b w:val="0"/>
                <w:color w:val="auto"/>
                <w:kern w:val="0"/>
                <w:sz w:val="21"/>
                <w:szCs w:val="21"/>
                <w:highlight w:val="none"/>
                <w:lang w:val="zh-CN" w:eastAsia="zh-CN" w:bidi="ar-SA"/>
              </w:rPr>
              <w:t>取得中国合格评定国家认可委员会实验室认可证书（有效期内的CNAS证书）或具备质量技术监督部门颁发的检验检测机构资质认定证书（有效期内的CMA证书），得</w:t>
            </w:r>
            <w:r>
              <w:rPr>
                <w:rFonts w:hint="eastAsia" w:ascii="宋体" w:hAnsi="宋体" w:eastAsia="宋体" w:cs="宋体"/>
                <w:b w:val="0"/>
                <w:color w:val="auto"/>
                <w:kern w:val="0"/>
                <w:sz w:val="21"/>
                <w:szCs w:val="21"/>
                <w:highlight w:val="none"/>
                <w:lang w:val="en-US" w:eastAsia="zh-CN" w:bidi="ar-SA"/>
              </w:rPr>
              <w:t>3</w:t>
            </w:r>
            <w:r>
              <w:rPr>
                <w:rFonts w:hint="eastAsia" w:ascii="宋体" w:hAnsi="宋体" w:eastAsia="宋体" w:cs="宋体"/>
                <w:b w:val="0"/>
                <w:color w:val="auto"/>
                <w:kern w:val="0"/>
                <w:sz w:val="21"/>
                <w:szCs w:val="21"/>
                <w:highlight w:val="none"/>
                <w:lang w:val="zh-CN" w:eastAsia="zh-CN" w:bidi="ar-SA"/>
              </w:rPr>
              <w:t xml:space="preserve">分。 </w:t>
            </w:r>
          </w:p>
          <w:p w14:paraId="5A34C206">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color w:val="auto"/>
                <w:kern w:val="0"/>
                <w:sz w:val="21"/>
                <w:szCs w:val="21"/>
                <w:highlight w:val="none"/>
                <w:lang w:val="zh-CN" w:eastAsia="zh-CN" w:bidi="ar-SA"/>
              </w:rPr>
            </w:pPr>
            <w:r>
              <w:rPr>
                <w:rFonts w:hint="eastAsia" w:ascii="宋体" w:hAnsi="宋体" w:eastAsia="宋体" w:cs="宋体"/>
                <w:b w:val="0"/>
                <w:color w:val="auto"/>
                <w:kern w:val="0"/>
                <w:sz w:val="21"/>
                <w:szCs w:val="21"/>
                <w:highlight w:val="none"/>
                <w:lang w:val="zh-CN" w:eastAsia="zh-CN" w:bidi="ar-SA"/>
              </w:rPr>
              <w:t>（2）专利数量（</w:t>
            </w:r>
            <w:r>
              <w:rPr>
                <w:rFonts w:hint="eastAsia" w:ascii="宋体" w:hAnsi="宋体" w:eastAsia="宋体" w:cs="宋体"/>
                <w:b w:val="0"/>
                <w:color w:val="auto"/>
                <w:kern w:val="0"/>
                <w:sz w:val="21"/>
                <w:szCs w:val="21"/>
                <w:highlight w:val="none"/>
                <w:lang w:val="en-US" w:eastAsia="zh-CN" w:bidi="ar-SA"/>
              </w:rPr>
              <w:t>5</w:t>
            </w:r>
            <w:r>
              <w:rPr>
                <w:rFonts w:hint="eastAsia" w:ascii="宋体" w:hAnsi="宋体" w:eastAsia="宋体" w:cs="宋体"/>
                <w:b w:val="0"/>
                <w:color w:val="auto"/>
                <w:kern w:val="0"/>
                <w:sz w:val="21"/>
                <w:szCs w:val="21"/>
                <w:highlight w:val="none"/>
                <w:lang w:val="zh-CN" w:eastAsia="zh-CN" w:bidi="ar-SA"/>
              </w:rPr>
              <w:t>分）：</w:t>
            </w:r>
          </w:p>
          <w:p w14:paraId="7D5F4811">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color w:val="auto"/>
                <w:kern w:val="0"/>
                <w:sz w:val="21"/>
                <w:szCs w:val="21"/>
                <w:highlight w:val="none"/>
                <w:lang w:val="zh-CN" w:eastAsia="zh-CN" w:bidi="ar-SA"/>
              </w:rPr>
            </w:pPr>
            <w:r>
              <w:rPr>
                <w:rFonts w:hint="eastAsia" w:ascii="宋体" w:hAnsi="宋体" w:eastAsia="宋体" w:cs="宋体"/>
                <w:b w:val="0"/>
                <w:color w:val="auto"/>
                <w:kern w:val="0"/>
                <w:sz w:val="21"/>
                <w:szCs w:val="21"/>
                <w:highlight w:val="none"/>
                <w:lang w:val="en-US" w:eastAsia="zh-CN" w:bidi="ar-SA"/>
              </w:rPr>
              <w:t>投标人（或所投产品制造商）</w:t>
            </w:r>
            <w:r>
              <w:rPr>
                <w:rFonts w:hint="eastAsia" w:ascii="宋体" w:hAnsi="宋体" w:eastAsia="宋体" w:cs="宋体"/>
                <w:b w:val="0"/>
                <w:color w:val="auto"/>
                <w:kern w:val="0"/>
                <w:sz w:val="21"/>
                <w:szCs w:val="21"/>
                <w:highlight w:val="none"/>
                <w:lang w:val="zh-CN" w:eastAsia="zh-CN" w:bidi="ar-SA"/>
              </w:rPr>
              <w:t>具有应用于投标产品的发明专利证书或实用新型专利证书，且投标人须为专利权人，每获得过1项得0.5分；本子项最高得</w:t>
            </w:r>
            <w:r>
              <w:rPr>
                <w:rFonts w:hint="eastAsia" w:ascii="宋体" w:hAnsi="宋体" w:eastAsia="宋体" w:cs="宋体"/>
                <w:b w:val="0"/>
                <w:color w:val="auto"/>
                <w:kern w:val="0"/>
                <w:sz w:val="21"/>
                <w:szCs w:val="21"/>
                <w:highlight w:val="none"/>
                <w:lang w:val="en-US" w:eastAsia="zh-CN" w:bidi="ar-SA"/>
              </w:rPr>
              <w:t>5</w:t>
            </w:r>
            <w:r>
              <w:rPr>
                <w:rFonts w:hint="eastAsia" w:ascii="宋体" w:hAnsi="宋体" w:eastAsia="宋体" w:cs="宋体"/>
                <w:b w:val="0"/>
                <w:color w:val="auto"/>
                <w:kern w:val="0"/>
                <w:sz w:val="21"/>
                <w:szCs w:val="21"/>
                <w:highlight w:val="none"/>
                <w:lang w:val="zh-CN" w:eastAsia="zh-CN" w:bidi="ar-SA"/>
              </w:rPr>
              <w:t xml:space="preserve">分。 </w:t>
            </w:r>
          </w:p>
          <w:p w14:paraId="11AE3EB6">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color w:val="auto"/>
                <w:kern w:val="0"/>
                <w:sz w:val="21"/>
                <w:szCs w:val="21"/>
                <w:highlight w:val="none"/>
                <w:lang w:val="zh-CN" w:eastAsia="zh-CN" w:bidi="ar-SA"/>
              </w:rPr>
            </w:pPr>
            <w:r>
              <w:rPr>
                <w:rFonts w:hint="eastAsia" w:ascii="宋体" w:hAnsi="宋体" w:eastAsia="宋体" w:cs="宋体"/>
                <w:b w:val="0"/>
                <w:color w:val="auto"/>
                <w:kern w:val="0"/>
                <w:sz w:val="21"/>
                <w:szCs w:val="21"/>
                <w:highlight w:val="none"/>
                <w:lang w:val="zh-CN" w:eastAsia="zh-CN" w:bidi="ar-SA"/>
              </w:rPr>
              <w:t>（3）技术认证（</w:t>
            </w:r>
            <w:r>
              <w:rPr>
                <w:rFonts w:hint="eastAsia" w:ascii="宋体" w:hAnsi="宋体" w:eastAsia="宋体" w:cs="宋体"/>
                <w:b w:val="0"/>
                <w:color w:val="auto"/>
                <w:kern w:val="0"/>
                <w:sz w:val="21"/>
                <w:szCs w:val="21"/>
                <w:highlight w:val="none"/>
                <w:lang w:val="en-US" w:eastAsia="zh-CN" w:bidi="ar-SA"/>
              </w:rPr>
              <w:t>5</w:t>
            </w:r>
            <w:r>
              <w:rPr>
                <w:rFonts w:hint="eastAsia" w:ascii="宋体" w:hAnsi="宋体" w:eastAsia="宋体" w:cs="宋体"/>
                <w:b w:val="0"/>
                <w:color w:val="auto"/>
                <w:kern w:val="0"/>
                <w:sz w:val="21"/>
                <w:szCs w:val="21"/>
                <w:highlight w:val="none"/>
                <w:lang w:val="zh-CN" w:eastAsia="zh-CN" w:bidi="ar-SA"/>
              </w:rPr>
              <w:t>分）：</w:t>
            </w:r>
          </w:p>
          <w:p w14:paraId="013E4164">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color w:val="auto"/>
                <w:kern w:val="0"/>
                <w:sz w:val="21"/>
                <w:szCs w:val="21"/>
                <w:highlight w:val="none"/>
                <w:lang w:val="zh-CN" w:eastAsia="zh-CN" w:bidi="ar-SA"/>
              </w:rPr>
            </w:pPr>
            <w:r>
              <w:rPr>
                <w:rFonts w:hint="eastAsia" w:ascii="宋体" w:hAnsi="宋体" w:eastAsia="宋体" w:cs="宋体"/>
                <w:b w:val="0"/>
                <w:color w:val="auto"/>
                <w:kern w:val="0"/>
                <w:sz w:val="21"/>
                <w:szCs w:val="21"/>
                <w:highlight w:val="none"/>
                <w:lang w:val="en-US" w:eastAsia="zh-CN" w:bidi="ar-SA"/>
              </w:rPr>
              <w:t>投标人（或所投产品制造商）</w:t>
            </w:r>
            <w:r>
              <w:rPr>
                <w:rFonts w:hint="eastAsia" w:ascii="宋体" w:hAnsi="宋体" w:eastAsia="宋体" w:cs="宋体"/>
                <w:b w:val="0"/>
                <w:color w:val="auto"/>
                <w:kern w:val="0"/>
                <w:sz w:val="21"/>
                <w:szCs w:val="21"/>
                <w:highlight w:val="none"/>
                <w:lang w:val="zh-CN" w:eastAsia="zh-CN" w:bidi="ar-SA"/>
              </w:rPr>
              <w:t>获得有效期内的国际证书（OIML、MID、CE、NSF、WRAS、ACS、AS4020）、</w:t>
            </w:r>
            <w:r>
              <w:rPr>
                <w:rFonts w:hint="eastAsia" w:ascii="宋体" w:hAnsi="宋体" w:eastAsia="宋体" w:cs="宋体"/>
                <w:b w:val="0"/>
                <w:color w:val="auto"/>
                <w:kern w:val="0"/>
                <w:sz w:val="21"/>
                <w:szCs w:val="21"/>
                <w:highlight w:val="none"/>
                <w:lang w:val="en-US" w:eastAsia="zh-CN" w:bidi="ar-SA"/>
              </w:rPr>
              <w:t>ISO10012（或GB/T 19022）测量管理体系认证证书</w:t>
            </w:r>
            <w:r>
              <w:rPr>
                <w:rFonts w:hint="eastAsia" w:ascii="宋体" w:hAnsi="宋体" w:eastAsia="宋体" w:cs="宋体"/>
                <w:b w:val="0"/>
                <w:color w:val="auto"/>
                <w:kern w:val="0"/>
                <w:sz w:val="21"/>
                <w:szCs w:val="21"/>
                <w:highlight w:val="none"/>
                <w:lang w:val="zh-CN" w:eastAsia="zh-CN" w:bidi="ar-SA"/>
              </w:rPr>
              <w:t>的</w:t>
            </w:r>
            <w:r>
              <w:rPr>
                <w:rFonts w:hint="eastAsia" w:ascii="宋体" w:hAnsi="宋体" w:eastAsia="宋体" w:cs="宋体"/>
                <w:b w:val="0"/>
                <w:color w:val="auto"/>
                <w:kern w:val="0"/>
                <w:sz w:val="21"/>
                <w:szCs w:val="21"/>
                <w:highlight w:val="none"/>
                <w:lang w:val="en-US" w:eastAsia="zh-CN" w:bidi="ar-SA"/>
              </w:rPr>
              <w:t>,</w:t>
            </w:r>
            <w:r>
              <w:rPr>
                <w:rFonts w:hint="eastAsia" w:ascii="宋体" w:hAnsi="宋体" w:eastAsia="宋体" w:cs="宋体"/>
                <w:b w:val="0"/>
                <w:color w:val="auto"/>
                <w:kern w:val="0"/>
                <w:sz w:val="21"/>
                <w:szCs w:val="21"/>
                <w:highlight w:val="none"/>
                <w:lang w:val="zh-CN" w:eastAsia="zh-CN" w:bidi="ar-SA"/>
              </w:rPr>
              <w:t>每个证书得 1 分</w:t>
            </w:r>
            <w:r>
              <w:rPr>
                <w:rFonts w:hint="eastAsia" w:ascii="宋体" w:hAnsi="宋体" w:eastAsia="宋体" w:cs="宋体"/>
                <w:b w:val="0"/>
                <w:color w:val="auto"/>
                <w:kern w:val="0"/>
                <w:sz w:val="21"/>
                <w:szCs w:val="21"/>
                <w:highlight w:val="none"/>
                <w:lang w:val="en-US" w:eastAsia="zh-CN" w:bidi="ar-SA"/>
              </w:rPr>
              <w:t>,</w:t>
            </w:r>
            <w:r>
              <w:rPr>
                <w:rFonts w:hint="eastAsia" w:ascii="宋体" w:hAnsi="宋体" w:eastAsia="宋体" w:cs="宋体"/>
                <w:b w:val="0"/>
                <w:color w:val="auto"/>
                <w:kern w:val="0"/>
                <w:sz w:val="21"/>
                <w:szCs w:val="21"/>
                <w:highlight w:val="none"/>
                <w:lang w:val="zh-CN" w:eastAsia="zh-CN" w:bidi="ar-SA"/>
              </w:rPr>
              <w:t>本子项最高得</w:t>
            </w:r>
            <w:r>
              <w:rPr>
                <w:rFonts w:hint="eastAsia" w:ascii="宋体" w:hAnsi="宋体" w:eastAsia="宋体" w:cs="宋体"/>
                <w:b w:val="0"/>
                <w:color w:val="auto"/>
                <w:kern w:val="0"/>
                <w:sz w:val="21"/>
                <w:szCs w:val="21"/>
                <w:highlight w:val="none"/>
                <w:lang w:val="en-US" w:eastAsia="zh-CN" w:bidi="ar-SA"/>
              </w:rPr>
              <w:t>5</w:t>
            </w:r>
            <w:r>
              <w:rPr>
                <w:rFonts w:hint="eastAsia" w:ascii="宋体" w:hAnsi="宋体" w:eastAsia="宋体" w:cs="宋体"/>
                <w:b w:val="0"/>
                <w:color w:val="auto"/>
                <w:kern w:val="0"/>
                <w:sz w:val="21"/>
                <w:szCs w:val="21"/>
                <w:highlight w:val="none"/>
                <w:lang w:val="zh-CN" w:eastAsia="zh-CN" w:bidi="ar-SA"/>
              </w:rPr>
              <w:t>分。如为非中文证书的，须提供中文译本并注明属于前述证书的类型，否则不得分。中文译本及注明内容无法体现评分要求的，不得分。中标后，招标人有权要求提供</w:t>
            </w:r>
            <w:r>
              <w:rPr>
                <w:rFonts w:hint="eastAsia" w:ascii="宋体" w:hAnsi="宋体" w:eastAsia="宋体" w:cs="宋体"/>
                <w:b w:val="0"/>
                <w:color w:val="auto"/>
                <w:kern w:val="0"/>
                <w:sz w:val="21"/>
                <w:szCs w:val="21"/>
                <w:highlight w:val="none"/>
                <w:lang w:val="en-US" w:eastAsia="zh-CN" w:bidi="ar-SA"/>
              </w:rPr>
              <w:t>技术认证证书</w:t>
            </w:r>
            <w:r>
              <w:rPr>
                <w:rFonts w:hint="eastAsia" w:ascii="宋体" w:hAnsi="宋体" w:eastAsia="宋体" w:cs="宋体"/>
                <w:b w:val="0"/>
                <w:color w:val="auto"/>
                <w:kern w:val="0"/>
                <w:sz w:val="21"/>
                <w:szCs w:val="21"/>
                <w:highlight w:val="none"/>
                <w:lang w:val="zh-CN" w:eastAsia="zh-CN" w:bidi="ar-SA"/>
              </w:rPr>
              <w:t xml:space="preserve">的证明材料进行复核。 </w:t>
            </w:r>
          </w:p>
          <w:p w14:paraId="5DC7B357">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color w:val="auto"/>
                <w:kern w:val="0"/>
                <w:sz w:val="21"/>
                <w:szCs w:val="21"/>
                <w:highlight w:val="none"/>
                <w:lang w:val="zh-CN" w:eastAsia="zh-CN" w:bidi="ar-SA"/>
              </w:rPr>
            </w:pPr>
            <w:r>
              <w:rPr>
                <w:rFonts w:hint="eastAsia" w:ascii="宋体" w:hAnsi="宋体" w:eastAsia="宋体" w:cs="宋体"/>
                <w:b/>
                <w:bCs/>
                <w:color w:val="auto"/>
                <w:kern w:val="0"/>
                <w:sz w:val="21"/>
                <w:szCs w:val="21"/>
                <w:highlight w:val="none"/>
                <w:lang w:val="zh-CN" w:eastAsia="zh-CN" w:bidi="ar-SA"/>
              </w:rPr>
              <w:t>备注：（</w:t>
            </w:r>
            <w:r>
              <w:rPr>
                <w:rFonts w:hint="eastAsia" w:ascii="宋体" w:hAnsi="宋体" w:eastAsia="宋体" w:cs="宋体"/>
                <w:b/>
                <w:bCs/>
                <w:color w:val="auto"/>
                <w:kern w:val="0"/>
                <w:sz w:val="21"/>
                <w:szCs w:val="21"/>
                <w:highlight w:val="none"/>
                <w:lang w:val="en-US" w:eastAsia="zh-CN" w:bidi="ar-SA"/>
              </w:rPr>
              <w:t>1</w:t>
            </w:r>
            <w:r>
              <w:rPr>
                <w:rFonts w:hint="eastAsia" w:ascii="宋体" w:hAnsi="宋体" w:eastAsia="宋体" w:cs="宋体"/>
                <w:b/>
                <w:bCs/>
                <w:color w:val="auto"/>
                <w:kern w:val="0"/>
                <w:sz w:val="21"/>
                <w:szCs w:val="21"/>
                <w:highlight w:val="none"/>
                <w:lang w:val="zh-CN" w:eastAsia="zh-CN" w:bidi="ar-SA"/>
              </w:rPr>
              <w:t>）投标人应提供相关的许可、批复、专利证书、</w:t>
            </w:r>
            <w:r>
              <w:rPr>
                <w:rFonts w:hint="eastAsia" w:ascii="宋体" w:hAnsi="宋体" w:eastAsia="宋体" w:cs="宋体"/>
                <w:b/>
                <w:bCs/>
                <w:color w:val="auto"/>
                <w:kern w:val="0"/>
                <w:sz w:val="21"/>
                <w:szCs w:val="21"/>
                <w:highlight w:val="none"/>
                <w:lang w:val="en-US" w:eastAsia="zh-CN" w:bidi="ar-SA"/>
              </w:rPr>
              <w:t>技术认证证书</w:t>
            </w:r>
            <w:r>
              <w:rPr>
                <w:rFonts w:hint="eastAsia" w:ascii="宋体" w:hAnsi="宋体" w:eastAsia="宋体" w:cs="宋体"/>
                <w:b/>
                <w:bCs/>
                <w:color w:val="auto"/>
                <w:kern w:val="0"/>
                <w:sz w:val="21"/>
                <w:szCs w:val="21"/>
                <w:highlight w:val="none"/>
                <w:lang w:val="zh-CN" w:eastAsia="zh-CN" w:bidi="ar-SA"/>
              </w:rPr>
              <w:t>及其他相关资料等证明文件的</w:t>
            </w:r>
            <w:r>
              <w:rPr>
                <w:rFonts w:hint="eastAsia" w:ascii="宋体" w:hAnsi="宋体" w:eastAsia="宋体" w:cs="宋体"/>
                <w:b/>
                <w:bCs/>
                <w:color w:val="auto"/>
                <w:kern w:val="0"/>
                <w:sz w:val="21"/>
                <w:szCs w:val="21"/>
                <w:highlight w:val="none"/>
                <w:lang w:val="en-US" w:eastAsia="zh-CN" w:bidi="ar-SA"/>
              </w:rPr>
              <w:t>复印</w:t>
            </w:r>
            <w:r>
              <w:rPr>
                <w:rFonts w:hint="eastAsia" w:ascii="宋体" w:hAnsi="宋体" w:eastAsia="宋体" w:cs="宋体"/>
                <w:b/>
                <w:bCs/>
                <w:color w:val="auto"/>
                <w:kern w:val="0"/>
                <w:sz w:val="21"/>
                <w:szCs w:val="21"/>
                <w:highlight w:val="none"/>
                <w:lang w:val="zh-CN" w:eastAsia="zh-CN" w:bidi="ar-SA"/>
              </w:rPr>
              <w:t>件，其中ISO10012（或GB/T 19022）测量管理体系认证证书除提供证书</w:t>
            </w:r>
            <w:r>
              <w:rPr>
                <w:rFonts w:hint="eastAsia" w:ascii="宋体" w:hAnsi="宋体" w:eastAsia="宋体" w:cs="宋体"/>
                <w:b/>
                <w:bCs/>
                <w:color w:val="auto"/>
                <w:kern w:val="0"/>
                <w:sz w:val="21"/>
                <w:szCs w:val="21"/>
                <w:highlight w:val="none"/>
                <w:lang w:val="en-US" w:eastAsia="zh-CN" w:bidi="ar-SA"/>
              </w:rPr>
              <w:t>复印</w:t>
            </w:r>
            <w:r>
              <w:rPr>
                <w:rFonts w:hint="eastAsia" w:ascii="宋体" w:hAnsi="宋体" w:eastAsia="宋体" w:cs="宋体"/>
                <w:b/>
                <w:bCs/>
                <w:color w:val="auto"/>
                <w:kern w:val="0"/>
                <w:sz w:val="21"/>
                <w:szCs w:val="21"/>
                <w:highlight w:val="none"/>
                <w:lang w:val="zh-CN" w:eastAsia="zh-CN" w:bidi="ar-SA"/>
              </w:rPr>
              <w:t>件外,还需提供能显示证书有效状态的全国认证认可信息公共服务平台（http://cx.cnca.cn/）查询结果凭证{凭证界面需显示有“全国认证认可信息公共服务平台”或“认证证书（需显示网址cx.cnca. cn）”}，以投标人提供的上述资料作为评审依据，未按要求提供上述资料或不能体现与投标人</w:t>
            </w:r>
            <w:r>
              <w:rPr>
                <w:rFonts w:hint="eastAsia" w:ascii="宋体" w:hAnsi="宋体" w:eastAsia="宋体" w:cs="宋体"/>
                <w:b/>
                <w:bCs/>
                <w:color w:val="auto"/>
                <w:szCs w:val="21"/>
                <w:highlight w:val="none"/>
                <w:lang w:eastAsia="zh-CN" w:bidi="ar"/>
              </w:rPr>
              <w:t>（</w:t>
            </w:r>
            <w:r>
              <w:rPr>
                <w:rFonts w:hint="eastAsia" w:ascii="宋体" w:hAnsi="宋体" w:eastAsia="宋体" w:cs="宋体"/>
                <w:b/>
                <w:bCs/>
                <w:color w:val="auto"/>
                <w:szCs w:val="21"/>
                <w:highlight w:val="none"/>
                <w:lang w:val="en-US" w:eastAsia="zh-CN" w:bidi="ar"/>
              </w:rPr>
              <w:t>或</w:t>
            </w:r>
            <w:r>
              <w:rPr>
                <w:rFonts w:hint="eastAsia" w:ascii="宋体" w:hAnsi="宋体" w:eastAsia="宋体" w:cs="宋体"/>
                <w:b/>
                <w:bCs/>
                <w:color w:val="auto"/>
                <w:szCs w:val="21"/>
                <w:highlight w:val="none"/>
                <w:lang w:eastAsia="zh-CN" w:bidi="ar"/>
              </w:rPr>
              <w:t>所投产品制造商）</w:t>
            </w:r>
            <w:r>
              <w:rPr>
                <w:rFonts w:hint="eastAsia" w:ascii="宋体" w:hAnsi="宋体" w:eastAsia="宋体" w:cs="宋体"/>
                <w:b/>
                <w:bCs/>
                <w:color w:val="auto"/>
                <w:kern w:val="0"/>
                <w:sz w:val="21"/>
                <w:szCs w:val="21"/>
                <w:highlight w:val="none"/>
                <w:lang w:val="zh-CN" w:eastAsia="zh-CN" w:bidi="ar-SA"/>
              </w:rPr>
              <w:t>关系的不得分。</w:t>
            </w:r>
            <w:r>
              <w:rPr>
                <w:rFonts w:hint="eastAsia" w:ascii="宋体" w:hAnsi="宋体" w:eastAsia="宋体" w:cs="宋体"/>
                <w:b w:val="0"/>
                <w:color w:val="auto"/>
                <w:kern w:val="0"/>
                <w:sz w:val="21"/>
                <w:szCs w:val="21"/>
                <w:highlight w:val="none"/>
                <w:lang w:val="zh-CN" w:eastAsia="zh-CN" w:bidi="ar-SA"/>
              </w:rPr>
              <w:t xml:space="preserve"> </w:t>
            </w:r>
          </w:p>
          <w:p w14:paraId="72E2C4A5">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（2）对于同一类型国际证书提供多个的，不能重复得分，只按一个证书计分。</w:t>
            </w:r>
          </w:p>
        </w:tc>
        <w:tc>
          <w:tcPr>
            <w:tcW w:w="907" w:type="dxa"/>
            <w:tcBorders>
              <w:top w:val="single" w:color="auto" w:sz="4" w:space="0"/>
              <w:left w:val="single" w:color="auto" w:sz="4" w:space="0"/>
              <w:bottom w:val="single" w:color="auto" w:sz="4" w:space="0"/>
              <w:right w:val="single" w:color="auto" w:sz="4" w:space="0"/>
            </w:tcBorders>
            <w:vAlign w:val="center"/>
          </w:tcPr>
          <w:p w14:paraId="76C6D0B0">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16分</w:t>
            </w:r>
          </w:p>
        </w:tc>
      </w:tr>
      <w:tr w14:paraId="1961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14:paraId="6FFA4560">
            <w:pPr>
              <w:keepNext w:val="0"/>
              <w:keepLines w:val="0"/>
              <w:pageBreakBefore w:val="0"/>
              <w:widowControl w:val="0"/>
              <w:kinsoku/>
              <w:wordWrap/>
              <w:overflowPunct/>
              <w:topLinePunct w:val="0"/>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7E92A06D">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 xml:space="preserve">投标产品 </w:t>
            </w:r>
          </w:p>
          <w:p w14:paraId="6F346055">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的设计及性能</w:t>
            </w:r>
          </w:p>
        </w:tc>
        <w:tc>
          <w:tcPr>
            <w:tcW w:w="7677" w:type="dxa"/>
            <w:tcBorders>
              <w:top w:val="single" w:color="auto" w:sz="4" w:space="0"/>
              <w:left w:val="single" w:color="auto" w:sz="4" w:space="0"/>
              <w:bottom w:val="single" w:color="auto" w:sz="4" w:space="0"/>
              <w:right w:val="single" w:color="auto" w:sz="4" w:space="0"/>
            </w:tcBorders>
            <w:vAlign w:val="center"/>
          </w:tcPr>
          <w:p w14:paraId="18137409">
            <w:pPr>
              <w:keepNext w:val="0"/>
              <w:keepLines w:val="0"/>
              <w:pageBreakBefore w:val="0"/>
              <w:widowControl w:val="0"/>
              <w:kinsoku/>
              <w:wordWrap/>
              <w:overflowPunct/>
              <w:topLinePunct w:val="0"/>
              <w:autoSpaceDE w:val="0"/>
              <w:autoSpaceDN w:val="0"/>
              <w:bidi w:val="0"/>
              <w:adjustRightInd w:val="0"/>
              <w:snapToGrid/>
              <w:spacing w:line="336" w:lineRule="auto"/>
              <w:textAlignment w:val="auto"/>
              <w:rPr>
                <w:rFonts w:hint="default" w:ascii="宋体" w:hAnsi="宋体" w:eastAsia="宋体" w:cs="宋体"/>
                <w:b w:val="0"/>
                <w:bCs w:val="0"/>
                <w:color w:val="auto"/>
                <w:kern w:val="0"/>
                <w:szCs w:val="21"/>
                <w:highlight w:val="none"/>
                <w:shd w:val="clear" w:color="auto" w:fill="auto"/>
                <w:lang w:val="en-US" w:eastAsia="zh-CN"/>
              </w:rPr>
            </w:pPr>
            <w:r>
              <w:rPr>
                <w:rFonts w:hint="default" w:ascii="宋体" w:hAnsi="宋体" w:eastAsia="宋体" w:cs="宋体"/>
                <w:b w:val="0"/>
                <w:bCs w:val="0"/>
                <w:color w:val="auto"/>
                <w:kern w:val="0"/>
                <w:szCs w:val="21"/>
                <w:highlight w:val="none"/>
                <w:shd w:val="clear" w:color="auto" w:fill="auto"/>
                <w:lang w:val="en-US" w:eastAsia="zh-CN"/>
              </w:rPr>
              <w:t>对投标品牌</w:t>
            </w:r>
            <w:r>
              <w:rPr>
                <w:rFonts w:hint="eastAsia" w:ascii="宋体" w:hAnsi="宋体" w:eastAsia="宋体" w:cs="宋体"/>
                <w:b w:val="0"/>
                <w:bCs w:val="0"/>
                <w:color w:val="auto"/>
                <w:kern w:val="0"/>
                <w:szCs w:val="21"/>
                <w:highlight w:val="none"/>
                <w:shd w:val="clear" w:color="auto" w:fill="auto"/>
                <w:lang w:val="en-US" w:eastAsia="zh-CN"/>
              </w:rPr>
              <w:t>电磁</w:t>
            </w:r>
            <w:r>
              <w:rPr>
                <w:rFonts w:hint="default" w:ascii="宋体" w:hAnsi="宋体" w:eastAsia="宋体" w:cs="宋体"/>
                <w:b w:val="0"/>
                <w:bCs w:val="0"/>
                <w:color w:val="auto"/>
                <w:kern w:val="0"/>
                <w:szCs w:val="21"/>
                <w:highlight w:val="none"/>
                <w:shd w:val="clear" w:color="auto" w:fill="auto"/>
                <w:lang w:val="en-US" w:eastAsia="zh-CN"/>
              </w:rPr>
              <w:t>水表的整体设计</w:t>
            </w:r>
            <w:r>
              <w:rPr>
                <w:rFonts w:hint="eastAsia" w:ascii="宋体" w:hAnsi="宋体" w:eastAsia="宋体" w:cs="宋体"/>
                <w:b w:val="0"/>
                <w:bCs w:val="0"/>
                <w:color w:val="auto"/>
                <w:kern w:val="0"/>
                <w:szCs w:val="21"/>
                <w:highlight w:val="none"/>
                <w:shd w:val="clear" w:color="auto" w:fill="auto"/>
                <w:lang w:val="en-US" w:eastAsia="zh-CN"/>
              </w:rPr>
              <w:t>、产品性能及技术响应度</w:t>
            </w:r>
            <w:r>
              <w:rPr>
                <w:rFonts w:hint="default" w:ascii="宋体" w:hAnsi="宋体" w:eastAsia="宋体" w:cs="宋体"/>
                <w:b w:val="0"/>
                <w:bCs w:val="0"/>
                <w:color w:val="auto"/>
                <w:kern w:val="0"/>
                <w:szCs w:val="21"/>
                <w:highlight w:val="none"/>
                <w:shd w:val="clear" w:color="auto" w:fill="auto"/>
                <w:lang w:val="en-US" w:eastAsia="zh-CN"/>
              </w:rPr>
              <w:t>进行综合评审</w:t>
            </w:r>
            <w:r>
              <w:rPr>
                <w:rFonts w:hint="eastAsia" w:ascii="宋体" w:hAnsi="宋体" w:eastAsia="宋体" w:cs="宋体"/>
                <w:b w:val="0"/>
                <w:bCs w:val="0"/>
                <w:color w:val="auto"/>
                <w:kern w:val="0"/>
                <w:szCs w:val="21"/>
                <w:highlight w:val="none"/>
                <w:shd w:val="clear" w:color="auto" w:fill="auto"/>
                <w:lang w:val="en-US" w:eastAsia="zh-CN"/>
              </w:rPr>
              <w:t>，包括但不限于</w:t>
            </w:r>
            <w:r>
              <w:rPr>
                <w:rFonts w:hint="default" w:ascii="宋体" w:hAnsi="宋体" w:eastAsia="宋体" w:cs="宋体"/>
                <w:b w:val="0"/>
                <w:bCs w:val="0"/>
                <w:color w:val="auto"/>
                <w:kern w:val="0"/>
                <w:szCs w:val="21"/>
                <w:highlight w:val="none"/>
                <w:shd w:val="clear" w:color="auto" w:fill="auto"/>
                <w:lang w:val="en-US" w:eastAsia="zh-CN"/>
              </w:rPr>
              <w:t>：显示屏设计、同屏显示内容、</w:t>
            </w:r>
            <w:r>
              <w:rPr>
                <w:rFonts w:hint="eastAsia" w:ascii="宋体" w:hAnsi="宋体" w:eastAsia="宋体" w:cs="宋体"/>
                <w:b w:val="0"/>
                <w:bCs w:val="0"/>
                <w:color w:val="auto"/>
                <w:kern w:val="0"/>
                <w:szCs w:val="21"/>
                <w:highlight w:val="none"/>
                <w:shd w:val="clear" w:color="auto" w:fill="auto"/>
                <w:lang w:val="en-US" w:eastAsia="zh-CN"/>
              </w:rPr>
              <w:t>电极材质及</w:t>
            </w:r>
            <w:r>
              <w:rPr>
                <w:rFonts w:hint="default" w:ascii="宋体" w:hAnsi="宋体" w:eastAsia="宋体" w:cs="宋体"/>
                <w:b w:val="0"/>
                <w:bCs w:val="0"/>
                <w:color w:val="auto"/>
                <w:kern w:val="0"/>
                <w:szCs w:val="21"/>
                <w:highlight w:val="none"/>
                <w:shd w:val="clear" w:color="auto" w:fill="auto"/>
                <w:lang w:val="en-US" w:eastAsia="zh-CN"/>
              </w:rPr>
              <w:t>结构设计、制造</w:t>
            </w:r>
            <w:r>
              <w:rPr>
                <w:rFonts w:hint="eastAsia" w:ascii="宋体" w:hAnsi="宋体" w:eastAsia="宋体" w:cs="宋体"/>
                <w:b w:val="0"/>
                <w:bCs w:val="0"/>
                <w:color w:val="auto"/>
                <w:kern w:val="0"/>
                <w:szCs w:val="21"/>
                <w:highlight w:val="none"/>
                <w:shd w:val="clear" w:color="auto" w:fill="auto"/>
                <w:lang w:val="en-US" w:eastAsia="zh-CN"/>
              </w:rPr>
              <w:t>工艺</w:t>
            </w:r>
            <w:r>
              <w:rPr>
                <w:rFonts w:hint="default" w:ascii="宋体" w:hAnsi="宋体" w:eastAsia="宋体" w:cs="宋体"/>
                <w:b w:val="0"/>
                <w:bCs w:val="0"/>
                <w:color w:val="auto"/>
                <w:kern w:val="0"/>
                <w:szCs w:val="21"/>
                <w:highlight w:val="none"/>
                <w:shd w:val="clear" w:color="auto" w:fill="auto"/>
                <w:lang w:val="en-US" w:eastAsia="zh-CN"/>
              </w:rPr>
              <w:t>精细度、配套远传</w:t>
            </w:r>
            <w:r>
              <w:rPr>
                <w:rFonts w:hint="eastAsia" w:ascii="宋体" w:hAnsi="宋体" w:eastAsia="宋体" w:cs="宋体"/>
                <w:b w:val="0"/>
                <w:bCs w:val="0"/>
                <w:color w:val="auto"/>
                <w:kern w:val="0"/>
                <w:szCs w:val="21"/>
                <w:highlight w:val="none"/>
                <w:shd w:val="clear" w:color="auto" w:fill="auto"/>
                <w:lang w:val="en-US" w:eastAsia="zh-CN"/>
              </w:rPr>
              <w:t>模块</w:t>
            </w:r>
            <w:r>
              <w:rPr>
                <w:rFonts w:hint="default" w:ascii="宋体" w:hAnsi="宋体" w:eastAsia="宋体" w:cs="宋体"/>
                <w:b w:val="0"/>
                <w:bCs w:val="0"/>
                <w:color w:val="auto"/>
                <w:kern w:val="0"/>
                <w:szCs w:val="21"/>
                <w:highlight w:val="none"/>
                <w:shd w:val="clear" w:color="auto" w:fill="auto"/>
                <w:lang w:val="en-US" w:eastAsia="zh-CN"/>
              </w:rPr>
              <w:t>和内置电池的维护便利性</w:t>
            </w:r>
            <w:r>
              <w:rPr>
                <w:rFonts w:hint="eastAsia" w:ascii="宋体" w:hAnsi="宋体" w:eastAsia="宋体" w:cs="宋体"/>
                <w:b w:val="0"/>
                <w:bCs w:val="0"/>
                <w:color w:val="auto"/>
                <w:kern w:val="0"/>
                <w:szCs w:val="21"/>
                <w:highlight w:val="none"/>
                <w:shd w:val="clear" w:color="auto" w:fill="auto"/>
                <w:lang w:val="en-US" w:eastAsia="zh-CN"/>
              </w:rPr>
              <w:t>、计量性能参数、防腐技术、密封性能及防护等级、抗干扰性能、芯片及换能器设计、电池性能和设计寿命以及水表测量频率等配置</w:t>
            </w:r>
            <w:r>
              <w:rPr>
                <w:rFonts w:hint="default" w:ascii="宋体" w:hAnsi="宋体" w:eastAsia="宋体" w:cs="宋体"/>
                <w:b w:val="0"/>
                <w:bCs w:val="0"/>
                <w:color w:val="auto"/>
                <w:kern w:val="0"/>
                <w:szCs w:val="21"/>
                <w:highlight w:val="none"/>
                <w:shd w:val="clear" w:color="auto" w:fill="auto"/>
                <w:lang w:val="en-US" w:eastAsia="zh-CN"/>
              </w:rPr>
              <w:t>。</w:t>
            </w:r>
          </w:p>
          <w:p w14:paraId="01CDE8EE">
            <w:pPr>
              <w:keepNext w:val="0"/>
              <w:keepLines w:val="0"/>
              <w:pageBreakBefore w:val="0"/>
              <w:widowControl w:val="0"/>
              <w:kinsoku/>
              <w:wordWrap/>
              <w:overflowPunct/>
              <w:topLinePunct w:val="0"/>
              <w:autoSpaceDE w:val="0"/>
              <w:autoSpaceDN w:val="0"/>
              <w:bidi w:val="0"/>
              <w:adjustRightInd w:val="0"/>
              <w:snapToGrid/>
              <w:spacing w:line="336" w:lineRule="auto"/>
              <w:textAlignment w:val="auto"/>
              <w:rPr>
                <w:rFonts w:hint="default" w:ascii="宋体" w:hAnsi="宋体" w:eastAsia="宋体" w:cs="宋体"/>
                <w:b w:val="0"/>
                <w:bCs w:val="0"/>
                <w:color w:val="auto"/>
                <w:kern w:val="0"/>
                <w:szCs w:val="21"/>
                <w:highlight w:val="none"/>
                <w:shd w:val="clear" w:color="auto" w:fill="auto"/>
                <w:lang w:val="en-US" w:eastAsia="zh-CN"/>
              </w:rPr>
            </w:pPr>
            <w:r>
              <w:rPr>
                <w:rFonts w:hint="default" w:ascii="宋体" w:hAnsi="宋体" w:eastAsia="宋体" w:cs="宋体"/>
                <w:b/>
                <w:bCs/>
                <w:color w:val="auto"/>
                <w:kern w:val="0"/>
                <w:szCs w:val="21"/>
                <w:highlight w:val="none"/>
                <w:shd w:val="clear" w:color="auto" w:fill="auto"/>
                <w:lang w:val="en-US" w:eastAsia="zh-CN"/>
              </w:rPr>
              <w:t>优：</w:t>
            </w:r>
            <w:r>
              <w:rPr>
                <w:rFonts w:hint="default" w:ascii="宋体" w:hAnsi="宋体" w:eastAsia="宋体" w:cs="宋体"/>
                <w:b w:val="0"/>
                <w:bCs w:val="0"/>
                <w:color w:val="auto"/>
                <w:kern w:val="0"/>
                <w:szCs w:val="21"/>
                <w:highlight w:val="none"/>
                <w:shd w:val="clear" w:color="auto" w:fill="auto"/>
                <w:lang w:val="en-US" w:eastAsia="zh-CN"/>
              </w:rPr>
              <w:t>产品设计说明详实完善，外观实用美观，结构合理，制造工艺先进，关键部件易于维护；技术性能先进，功能响应全面，运行稳定可靠，维护简便</w:t>
            </w:r>
            <w:r>
              <w:rPr>
                <w:rFonts w:hint="eastAsia" w:ascii="宋体" w:hAnsi="宋体" w:eastAsia="宋体" w:cs="宋体"/>
                <w:b w:val="0"/>
                <w:bCs w:val="0"/>
                <w:color w:val="auto"/>
                <w:kern w:val="0"/>
                <w:szCs w:val="21"/>
                <w:highlight w:val="none"/>
                <w:shd w:val="clear" w:color="auto" w:fill="auto"/>
                <w:lang w:val="en-US" w:eastAsia="zh-CN"/>
              </w:rPr>
              <w:t>，得（3.5,5</w:t>
            </w:r>
            <w:r>
              <w:rPr>
                <w:rFonts w:hint="eastAsia" w:ascii="宋体" w:hAnsi="宋体" w:eastAsia="宋体" w:cs="宋体"/>
                <w:szCs w:val="21"/>
                <w:highlight w:val="none"/>
                <w:lang w:bidi="ar"/>
              </w:rPr>
              <w:t>]</w:t>
            </w:r>
            <w:r>
              <w:rPr>
                <w:rFonts w:hint="eastAsia" w:ascii="宋体" w:hAnsi="宋体" w:eastAsia="宋体" w:cs="宋体"/>
                <w:b w:val="0"/>
                <w:bCs w:val="0"/>
                <w:color w:val="auto"/>
                <w:kern w:val="0"/>
                <w:szCs w:val="21"/>
                <w:highlight w:val="none"/>
                <w:shd w:val="clear" w:color="auto" w:fill="auto"/>
                <w:lang w:val="en-US" w:eastAsia="zh-CN"/>
              </w:rPr>
              <w:t xml:space="preserve">分； </w:t>
            </w:r>
          </w:p>
          <w:p w14:paraId="2399E24A">
            <w:pPr>
              <w:keepNext w:val="0"/>
              <w:keepLines w:val="0"/>
              <w:pageBreakBefore w:val="0"/>
              <w:widowControl w:val="0"/>
              <w:kinsoku/>
              <w:wordWrap/>
              <w:overflowPunct/>
              <w:topLinePunct w:val="0"/>
              <w:autoSpaceDE w:val="0"/>
              <w:autoSpaceDN w:val="0"/>
              <w:bidi w:val="0"/>
              <w:adjustRightInd w:val="0"/>
              <w:snapToGrid/>
              <w:spacing w:line="336" w:lineRule="auto"/>
              <w:textAlignment w:val="auto"/>
              <w:rPr>
                <w:rFonts w:hint="default" w:ascii="宋体" w:hAnsi="宋体" w:eastAsia="宋体" w:cs="宋体"/>
                <w:b w:val="0"/>
                <w:bCs w:val="0"/>
                <w:color w:val="auto"/>
                <w:kern w:val="0"/>
                <w:szCs w:val="21"/>
                <w:highlight w:val="none"/>
                <w:shd w:val="clear" w:color="auto" w:fill="auto"/>
                <w:lang w:val="en-US" w:eastAsia="zh-CN"/>
              </w:rPr>
            </w:pPr>
            <w:r>
              <w:rPr>
                <w:rFonts w:hint="default" w:ascii="宋体" w:hAnsi="宋体" w:eastAsia="宋体" w:cs="宋体"/>
                <w:b/>
                <w:bCs/>
                <w:color w:val="auto"/>
                <w:kern w:val="0"/>
                <w:szCs w:val="21"/>
                <w:highlight w:val="none"/>
                <w:shd w:val="clear" w:color="auto" w:fill="auto"/>
                <w:lang w:val="en-US" w:eastAsia="zh-CN"/>
              </w:rPr>
              <w:t>良：</w:t>
            </w:r>
            <w:r>
              <w:rPr>
                <w:rFonts w:hint="default" w:ascii="宋体" w:hAnsi="宋体" w:eastAsia="宋体" w:cs="宋体"/>
                <w:b w:val="0"/>
                <w:bCs w:val="0"/>
                <w:color w:val="auto"/>
                <w:kern w:val="0"/>
                <w:szCs w:val="21"/>
                <w:highlight w:val="none"/>
                <w:shd w:val="clear" w:color="auto" w:fill="auto"/>
                <w:lang w:val="en-US" w:eastAsia="zh-CN"/>
              </w:rPr>
              <w:t>产品设计说明较详实，设计较合理，制造工艺较好，维护较为方便；技术性能良好，功能响应较全面，运行较稳定，维护较简便</w:t>
            </w:r>
            <w:r>
              <w:rPr>
                <w:rFonts w:hint="eastAsia" w:ascii="宋体" w:hAnsi="宋体" w:eastAsia="宋体" w:cs="宋体"/>
                <w:b w:val="0"/>
                <w:bCs w:val="0"/>
                <w:color w:val="auto"/>
                <w:kern w:val="0"/>
                <w:szCs w:val="21"/>
                <w:highlight w:val="none"/>
                <w:shd w:val="clear" w:color="auto" w:fill="auto"/>
                <w:lang w:val="en-US" w:eastAsia="zh-CN"/>
              </w:rPr>
              <w:t>，得（2,3.5</w:t>
            </w:r>
            <w:r>
              <w:rPr>
                <w:rFonts w:hint="eastAsia" w:ascii="宋体" w:hAnsi="宋体" w:eastAsia="宋体" w:cs="宋体"/>
                <w:szCs w:val="21"/>
                <w:highlight w:val="none"/>
                <w:lang w:bidi="ar"/>
              </w:rPr>
              <w:t>]</w:t>
            </w:r>
            <w:r>
              <w:rPr>
                <w:rFonts w:hint="eastAsia" w:ascii="宋体" w:hAnsi="宋体" w:eastAsia="宋体" w:cs="宋体"/>
                <w:b w:val="0"/>
                <w:bCs w:val="0"/>
                <w:color w:val="auto"/>
                <w:kern w:val="0"/>
                <w:szCs w:val="21"/>
                <w:highlight w:val="none"/>
                <w:shd w:val="clear" w:color="auto" w:fill="auto"/>
                <w:lang w:val="en-US" w:eastAsia="zh-CN"/>
              </w:rPr>
              <w:t xml:space="preserve">分； </w:t>
            </w:r>
          </w:p>
          <w:p w14:paraId="2E7A72B5">
            <w:pPr>
              <w:keepNext w:val="0"/>
              <w:keepLines w:val="0"/>
              <w:pageBreakBefore w:val="0"/>
              <w:widowControl w:val="0"/>
              <w:kinsoku/>
              <w:wordWrap/>
              <w:overflowPunct/>
              <w:topLinePunct w:val="0"/>
              <w:autoSpaceDE w:val="0"/>
              <w:autoSpaceDN w:val="0"/>
              <w:bidi w:val="0"/>
              <w:adjustRightInd w:val="0"/>
              <w:snapToGrid/>
              <w:spacing w:line="336" w:lineRule="auto"/>
              <w:textAlignment w:val="auto"/>
              <w:rPr>
                <w:rFonts w:hint="default" w:ascii="宋体" w:hAnsi="宋体" w:eastAsia="宋体" w:cs="宋体"/>
                <w:b w:val="0"/>
                <w:bCs w:val="0"/>
                <w:color w:val="auto"/>
                <w:kern w:val="0"/>
                <w:szCs w:val="21"/>
                <w:highlight w:val="none"/>
                <w:shd w:val="clear" w:color="auto" w:fill="auto"/>
                <w:lang w:val="en-US" w:eastAsia="zh-CN"/>
              </w:rPr>
            </w:pPr>
            <w:r>
              <w:rPr>
                <w:rFonts w:hint="default" w:ascii="宋体" w:hAnsi="宋体" w:eastAsia="宋体" w:cs="宋体"/>
                <w:b/>
                <w:bCs/>
                <w:color w:val="auto"/>
                <w:kern w:val="0"/>
                <w:szCs w:val="21"/>
                <w:highlight w:val="none"/>
                <w:shd w:val="clear" w:color="auto" w:fill="auto"/>
                <w:lang w:val="en-US" w:eastAsia="zh-CN"/>
              </w:rPr>
              <w:t>中：</w:t>
            </w:r>
            <w:r>
              <w:rPr>
                <w:rFonts w:hint="default" w:ascii="宋体" w:hAnsi="宋体" w:eastAsia="宋体" w:cs="宋体"/>
                <w:b w:val="0"/>
                <w:bCs w:val="0"/>
                <w:color w:val="auto"/>
                <w:kern w:val="0"/>
                <w:szCs w:val="21"/>
                <w:highlight w:val="none"/>
                <w:shd w:val="clear" w:color="auto" w:fill="auto"/>
                <w:lang w:val="en-US" w:eastAsia="zh-CN"/>
              </w:rPr>
              <w:t>产品设计说明一般，设计合理性一般，制造工艺一般，维护便利性一般；技术性能基本满足要求，功能响应一般，运行稳定</w:t>
            </w:r>
            <w:r>
              <w:rPr>
                <w:rFonts w:hint="eastAsia" w:ascii="宋体" w:hAnsi="宋体" w:eastAsia="宋体" w:cs="宋体"/>
                <w:b w:val="0"/>
                <w:bCs w:val="0"/>
                <w:color w:val="auto"/>
                <w:kern w:val="0"/>
                <w:szCs w:val="21"/>
                <w:highlight w:val="none"/>
                <w:shd w:val="clear" w:color="auto" w:fill="auto"/>
                <w:lang w:val="en-US" w:eastAsia="zh-CN"/>
              </w:rPr>
              <w:t>性一般，得（1,2</w:t>
            </w:r>
            <w:r>
              <w:rPr>
                <w:rFonts w:hint="eastAsia" w:ascii="宋体" w:hAnsi="宋体" w:eastAsia="宋体" w:cs="宋体"/>
                <w:szCs w:val="21"/>
                <w:highlight w:val="none"/>
                <w:lang w:bidi="ar"/>
              </w:rPr>
              <w:t>]</w:t>
            </w:r>
            <w:r>
              <w:rPr>
                <w:rFonts w:hint="eastAsia" w:ascii="宋体" w:hAnsi="宋体" w:eastAsia="宋体" w:cs="宋体"/>
                <w:b w:val="0"/>
                <w:bCs w:val="0"/>
                <w:color w:val="auto"/>
                <w:kern w:val="0"/>
                <w:szCs w:val="21"/>
                <w:highlight w:val="none"/>
                <w:shd w:val="clear" w:color="auto" w:fill="auto"/>
                <w:lang w:val="en-US" w:eastAsia="zh-CN"/>
              </w:rPr>
              <w:t xml:space="preserve">分； </w:t>
            </w:r>
          </w:p>
          <w:p w14:paraId="2A0E4F35">
            <w:pPr>
              <w:keepNext w:val="0"/>
              <w:keepLines w:val="0"/>
              <w:pageBreakBefore w:val="0"/>
              <w:widowControl w:val="0"/>
              <w:kinsoku/>
              <w:wordWrap/>
              <w:overflowPunct/>
              <w:topLinePunct w:val="0"/>
              <w:autoSpaceDE w:val="0"/>
              <w:autoSpaceDN w:val="0"/>
              <w:bidi w:val="0"/>
              <w:adjustRightInd w:val="0"/>
              <w:snapToGrid/>
              <w:spacing w:line="336" w:lineRule="auto"/>
              <w:textAlignment w:val="auto"/>
              <w:rPr>
                <w:rFonts w:hint="default" w:ascii="宋体" w:hAnsi="宋体" w:eastAsia="宋体" w:cs="宋体"/>
                <w:b w:val="0"/>
                <w:bCs w:val="0"/>
                <w:color w:val="auto"/>
                <w:kern w:val="0"/>
                <w:szCs w:val="21"/>
                <w:highlight w:val="none"/>
                <w:shd w:val="clear" w:color="auto" w:fill="auto"/>
                <w:lang w:val="en-US" w:eastAsia="zh-CN"/>
              </w:rPr>
            </w:pPr>
            <w:r>
              <w:rPr>
                <w:rFonts w:hint="default" w:ascii="宋体" w:hAnsi="宋体" w:eastAsia="宋体" w:cs="宋体"/>
                <w:b/>
                <w:bCs/>
                <w:color w:val="auto"/>
                <w:kern w:val="0"/>
                <w:szCs w:val="21"/>
                <w:highlight w:val="none"/>
                <w:shd w:val="clear" w:color="auto" w:fill="auto"/>
                <w:lang w:val="en-US" w:eastAsia="zh-CN"/>
              </w:rPr>
              <w:t>差：</w:t>
            </w:r>
            <w:r>
              <w:rPr>
                <w:rFonts w:hint="default" w:ascii="宋体" w:hAnsi="宋体" w:eastAsia="宋体" w:cs="宋体"/>
                <w:b w:val="0"/>
                <w:bCs w:val="0"/>
                <w:color w:val="auto"/>
                <w:kern w:val="0"/>
                <w:szCs w:val="21"/>
                <w:highlight w:val="none"/>
                <w:shd w:val="clear" w:color="auto" w:fill="auto"/>
                <w:lang w:val="en-US" w:eastAsia="zh-CN"/>
              </w:rPr>
              <w:t>产品设计说明基本符合要求，结构设计基本合理，制造工艺一般，维护不够方便；技术性能基本达标，功能响应基本满足要求，运行基本稳定，得</w:t>
            </w:r>
            <w:r>
              <w:rPr>
                <w:rFonts w:hint="eastAsia" w:ascii="宋体" w:hAnsi="宋体" w:eastAsia="宋体" w:cs="宋体"/>
                <w:b w:val="0"/>
                <w:bCs w:val="0"/>
                <w:color w:val="auto"/>
                <w:kern w:val="0"/>
                <w:szCs w:val="21"/>
                <w:highlight w:val="none"/>
                <w:shd w:val="clear" w:color="auto" w:fill="auto"/>
                <w:lang w:val="en-US" w:eastAsia="zh-CN"/>
              </w:rPr>
              <w:t>（0,1</w:t>
            </w:r>
            <w:r>
              <w:rPr>
                <w:rFonts w:hint="eastAsia" w:ascii="宋体" w:hAnsi="宋体" w:eastAsia="宋体" w:cs="宋体"/>
                <w:szCs w:val="21"/>
                <w:highlight w:val="none"/>
                <w:lang w:bidi="ar"/>
              </w:rPr>
              <w:t>]</w:t>
            </w:r>
            <w:r>
              <w:rPr>
                <w:rFonts w:hint="default" w:ascii="宋体" w:hAnsi="宋体" w:eastAsia="宋体" w:cs="宋体"/>
                <w:b w:val="0"/>
                <w:bCs w:val="0"/>
                <w:color w:val="auto"/>
                <w:kern w:val="0"/>
                <w:szCs w:val="21"/>
                <w:highlight w:val="none"/>
                <w:shd w:val="clear" w:color="auto" w:fill="auto"/>
                <w:lang w:val="en-US" w:eastAsia="zh-CN"/>
              </w:rPr>
              <w:t>分</w:t>
            </w:r>
            <w:r>
              <w:rPr>
                <w:rFonts w:hint="eastAsia" w:ascii="宋体" w:hAnsi="宋体" w:eastAsia="宋体" w:cs="宋体"/>
                <w:b w:val="0"/>
                <w:bCs w:val="0"/>
                <w:color w:val="auto"/>
                <w:kern w:val="0"/>
                <w:szCs w:val="21"/>
                <w:highlight w:val="none"/>
                <w:shd w:val="clear" w:color="auto" w:fill="auto"/>
                <w:lang w:val="en-US" w:eastAsia="zh-CN"/>
              </w:rPr>
              <w:t xml:space="preserve">； </w:t>
            </w:r>
          </w:p>
          <w:p w14:paraId="094F285F">
            <w:pPr>
              <w:autoSpaceDE w:val="0"/>
              <w:autoSpaceDN w:val="0"/>
              <w:adjustRightInd w:val="0"/>
              <w:spacing w:line="360" w:lineRule="auto"/>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val="0"/>
                <w:bCs w:val="0"/>
                <w:color w:val="auto"/>
                <w:kern w:val="0"/>
                <w:szCs w:val="21"/>
                <w:highlight w:val="none"/>
                <w:shd w:val="clear" w:color="auto" w:fill="auto"/>
                <w:lang w:val="en-US" w:eastAsia="zh-CN"/>
              </w:rPr>
              <w:t>未提供投标产品的设计及性能说明及相关证明材料的，不得分。</w:t>
            </w:r>
          </w:p>
          <w:p w14:paraId="000210D3">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hAnsi="宋体" w:cs="宋体"/>
                <w:color w:val="auto"/>
                <w:kern w:val="2"/>
                <w:sz w:val="21"/>
                <w:szCs w:val="22"/>
                <w:highlight w:val="none"/>
                <w:lang w:val="en-US" w:eastAsia="zh-CN"/>
              </w:rPr>
            </w:pPr>
            <w:r>
              <w:rPr>
                <w:rFonts w:hint="eastAsia" w:ascii="宋体" w:hAnsi="宋体" w:eastAsia="宋体" w:cs="宋体"/>
                <w:b/>
                <w:bCs/>
                <w:color w:val="auto"/>
                <w:kern w:val="2"/>
                <w:sz w:val="21"/>
                <w:szCs w:val="21"/>
                <w:highlight w:val="none"/>
                <w:lang w:val="en-US" w:eastAsia="zh-CN" w:bidi="ar-SA"/>
              </w:rPr>
              <w:t>备注：1、投标人必须提供投标产品性能说明书或其他能体现投标产品性能的证明材料，以此证明材料作为依据进行评审；</w:t>
            </w:r>
            <w:r>
              <w:rPr>
                <w:rFonts w:hint="default" w:ascii="宋体" w:hAnsi="宋体" w:eastAsia="宋体" w:cs="宋体"/>
                <w:b/>
                <w:bCs/>
                <w:color w:val="auto"/>
                <w:kern w:val="2"/>
                <w:sz w:val="21"/>
                <w:szCs w:val="21"/>
                <w:highlight w:val="none"/>
                <w:lang w:val="en-US" w:eastAsia="zh-CN" w:bidi="ar-SA"/>
              </w:rPr>
              <w:t>2</w:t>
            </w:r>
            <w:r>
              <w:rPr>
                <w:rFonts w:hint="eastAsia" w:ascii="宋体" w:hAnsi="宋体" w:eastAsia="宋体" w:cs="宋体"/>
                <w:b/>
                <w:bCs/>
                <w:color w:val="auto"/>
                <w:kern w:val="2"/>
                <w:sz w:val="21"/>
                <w:szCs w:val="21"/>
                <w:highlight w:val="none"/>
                <w:lang w:val="en-US" w:eastAsia="zh-CN" w:bidi="ar-SA"/>
              </w:rPr>
              <w:t>、投标人提供的水表类型【提供：DN100电磁水表】的省级或省级以上质量监督检测机构或第三方具有 CMA 资格的检测机构或第三方具有CNAS 认证的检测机构出具的检验报告进行评审。</w:t>
            </w:r>
          </w:p>
        </w:tc>
        <w:tc>
          <w:tcPr>
            <w:tcW w:w="907" w:type="dxa"/>
            <w:tcBorders>
              <w:top w:val="single" w:color="auto" w:sz="4" w:space="0"/>
              <w:left w:val="single" w:color="auto" w:sz="4" w:space="0"/>
              <w:bottom w:val="single" w:color="auto" w:sz="4" w:space="0"/>
              <w:right w:val="single" w:color="auto" w:sz="4" w:space="0"/>
            </w:tcBorders>
            <w:vAlign w:val="center"/>
          </w:tcPr>
          <w:p w14:paraId="3BDE1966">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5分</w:t>
            </w:r>
          </w:p>
        </w:tc>
      </w:tr>
      <w:tr w14:paraId="5B2B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14:paraId="3EAB310C">
            <w:pPr>
              <w:keepNext w:val="0"/>
              <w:keepLines w:val="0"/>
              <w:pageBreakBefore w:val="0"/>
              <w:widowControl w:val="0"/>
              <w:kinsoku/>
              <w:wordWrap/>
              <w:overflowPunct/>
              <w:topLinePunct w:val="0"/>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744CF270">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生产制造能力</w:t>
            </w:r>
          </w:p>
        </w:tc>
        <w:tc>
          <w:tcPr>
            <w:tcW w:w="7677" w:type="dxa"/>
            <w:tcBorders>
              <w:top w:val="single" w:color="auto" w:sz="4" w:space="0"/>
              <w:left w:val="single" w:color="auto" w:sz="4" w:space="0"/>
              <w:bottom w:val="single" w:color="auto" w:sz="4" w:space="0"/>
              <w:right w:val="single" w:color="auto" w:sz="4" w:space="0"/>
            </w:tcBorders>
            <w:vAlign w:val="center"/>
          </w:tcPr>
          <w:p w14:paraId="681CA3CA">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根据投标人（或所投产品制造商）的生产设备、检测设备、制造工艺流程及质检手段（包括各类设备的单台价值及档次水平、生产能力、工艺质量、试压和误差检测的效率）等进行评审： </w:t>
            </w:r>
          </w:p>
          <w:p w14:paraId="6A209A6B">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优：生产、检测设备质量高、生产管理流程高效、产品质量检测能力先进，得</w:t>
            </w:r>
            <w:r>
              <w:rPr>
                <w:rFonts w:hint="eastAsia" w:ascii="宋体" w:hAnsi="宋体" w:eastAsia="宋体" w:cs="宋体"/>
                <w:szCs w:val="21"/>
                <w:highlight w:val="none"/>
                <w:lang w:val="en-US" w:eastAsia="zh-CN" w:bidi="ar"/>
              </w:rPr>
              <w:t>（3,4</w:t>
            </w:r>
            <w:r>
              <w:rPr>
                <w:rFonts w:hint="eastAsia" w:ascii="宋体" w:hAnsi="宋体" w:eastAsia="宋体" w:cs="宋体"/>
                <w:szCs w:val="21"/>
                <w:highlight w:val="none"/>
                <w:lang w:bidi="ar"/>
              </w:rPr>
              <w:t>]</w:t>
            </w:r>
            <w:r>
              <w:rPr>
                <w:rFonts w:hint="eastAsia" w:ascii="宋体" w:hAnsi="宋体" w:eastAsia="宋体" w:cs="宋体"/>
                <w:color w:val="auto"/>
                <w:kern w:val="2"/>
                <w:sz w:val="21"/>
                <w:szCs w:val="21"/>
                <w:highlight w:val="none"/>
                <w:lang w:val="en-US" w:eastAsia="zh-CN" w:bidi="ar-SA"/>
              </w:rPr>
              <w:t xml:space="preserve">分； </w:t>
            </w:r>
          </w:p>
          <w:p w14:paraId="2242C118">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良：生产、检测设备质量比较高、生产管理流程比较稳定、产品质量检测能力较好，得</w:t>
            </w:r>
            <w:r>
              <w:rPr>
                <w:rFonts w:hint="eastAsia" w:ascii="宋体" w:hAnsi="宋体" w:eastAsia="宋体" w:cs="宋体"/>
                <w:szCs w:val="21"/>
                <w:highlight w:val="none"/>
                <w:lang w:val="en-US" w:eastAsia="zh-CN" w:bidi="ar"/>
              </w:rPr>
              <w:t>（2,3</w:t>
            </w:r>
            <w:r>
              <w:rPr>
                <w:rFonts w:hint="eastAsia" w:ascii="宋体" w:hAnsi="宋体" w:eastAsia="宋体" w:cs="宋体"/>
                <w:szCs w:val="21"/>
                <w:highlight w:val="none"/>
                <w:lang w:bidi="ar"/>
              </w:rPr>
              <w:t>]</w:t>
            </w:r>
            <w:r>
              <w:rPr>
                <w:rFonts w:hint="eastAsia" w:ascii="宋体" w:hAnsi="宋体" w:eastAsia="宋体" w:cs="宋体"/>
                <w:color w:val="auto"/>
                <w:kern w:val="2"/>
                <w:sz w:val="21"/>
                <w:szCs w:val="21"/>
                <w:highlight w:val="none"/>
                <w:lang w:val="en-US" w:eastAsia="zh-CN" w:bidi="ar-SA"/>
              </w:rPr>
              <w:t xml:space="preserve">分； </w:t>
            </w:r>
          </w:p>
          <w:p w14:paraId="5392E526">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中：生产、检测设备质量一般、生产管理流程效率一般、产品质量检测能力一般，得</w:t>
            </w:r>
            <w:r>
              <w:rPr>
                <w:rFonts w:hint="eastAsia" w:ascii="宋体" w:hAnsi="宋体" w:eastAsia="宋体" w:cs="宋体"/>
                <w:szCs w:val="21"/>
                <w:highlight w:val="none"/>
                <w:lang w:val="en-US" w:eastAsia="zh-CN" w:bidi="ar"/>
              </w:rPr>
              <w:t>（1,2</w:t>
            </w:r>
            <w:r>
              <w:rPr>
                <w:rFonts w:hint="eastAsia" w:ascii="宋体" w:hAnsi="宋体" w:eastAsia="宋体" w:cs="宋体"/>
                <w:szCs w:val="21"/>
                <w:highlight w:val="none"/>
                <w:lang w:bidi="ar"/>
              </w:rPr>
              <w:t>]</w:t>
            </w:r>
            <w:r>
              <w:rPr>
                <w:rFonts w:hint="eastAsia" w:ascii="宋体" w:hAnsi="宋体" w:eastAsia="宋体" w:cs="宋体"/>
                <w:color w:val="auto"/>
                <w:kern w:val="2"/>
                <w:sz w:val="21"/>
                <w:szCs w:val="21"/>
                <w:highlight w:val="none"/>
                <w:lang w:val="en-US" w:eastAsia="zh-CN" w:bidi="ar-SA"/>
              </w:rPr>
              <w:t xml:space="preserve">分； </w:t>
            </w:r>
          </w:p>
          <w:p w14:paraId="10C89A6C">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差：</w:t>
            </w:r>
            <w:r>
              <w:rPr>
                <w:rFonts w:hint="eastAsia" w:ascii="宋体" w:hAnsi="宋体" w:eastAsia="宋体" w:cs="宋体"/>
                <w:b w:val="0"/>
                <w:bCs w:val="0"/>
                <w:i w:val="0"/>
                <w:iCs w:val="0"/>
                <w:caps w:val="0"/>
                <w:color w:val="auto"/>
                <w:spacing w:val="0"/>
                <w:sz w:val="21"/>
                <w:szCs w:val="21"/>
                <w:highlight w:val="none"/>
                <w:shd w:val="clear"/>
              </w:rPr>
              <w:t>具备基本的生产与检测设备，生产管理流程初步建立，产品质量检测</w:t>
            </w:r>
            <w:r>
              <w:rPr>
                <w:rFonts w:hint="eastAsia" w:ascii="宋体" w:hAnsi="宋体" w:eastAsia="宋体" w:cs="宋体"/>
                <w:b w:val="0"/>
                <w:bCs w:val="0"/>
                <w:i w:val="0"/>
                <w:iCs w:val="0"/>
                <w:caps w:val="0"/>
                <w:color w:val="auto"/>
                <w:spacing w:val="0"/>
                <w:sz w:val="21"/>
                <w:szCs w:val="21"/>
                <w:highlight w:val="none"/>
                <w:shd w:val="clear"/>
                <w:lang w:val="en-US" w:eastAsia="zh-CN"/>
              </w:rPr>
              <w:t>能力较为基础</w:t>
            </w:r>
            <w:r>
              <w:rPr>
                <w:rFonts w:hint="eastAsia" w:ascii="宋体" w:hAnsi="宋体" w:eastAsia="宋体" w:cs="宋体"/>
                <w:b w:val="0"/>
                <w:bCs w:val="0"/>
                <w:i w:val="0"/>
                <w:iCs w:val="0"/>
                <w:caps w:val="0"/>
                <w:color w:val="auto"/>
                <w:spacing w:val="0"/>
                <w:sz w:val="21"/>
                <w:szCs w:val="21"/>
                <w:highlight w:val="none"/>
                <w:shd w:val="clear"/>
              </w:rPr>
              <w:t>，得</w:t>
            </w:r>
            <w:r>
              <w:rPr>
                <w:rFonts w:hint="eastAsia" w:ascii="宋体" w:hAnsi="宋体" w:eastAsia="宋体" w:cs="宋体"/>
                <w:szCs w:val="21"/>
                <w:highlight w:val="none"/>
                <w:lang w:val="en-US" w:eastAsia="zh-CN" w:bidi="ar"/>
              </w:rPr>
              <w:t>（0,1</w:t>
            </w:r>
            <w:r>
              <w:rPr>
                <w:rFonts w:hint="eastAsia" w:ascii="宋体" w:hAnsi="宋体" w:eastAsia="宋体" w:cs="宋体"/>
                <w:szCs w:val="21"/>
                <w:highlight w:val="none"/>
                <w:lang w:bidi="ar"/>
              </w:rPr>
              <w:t>]</w:t>
            </w:r>
            <w:r>
              <w:rPr>
                <w:rFonts w:hint="eastAsia" w:ascii="宋体" w:hAnsi="宋体" w:eastAsia="宋体" w:cs="宋体"/>
                <w:b w:val="0"/>
                <w:bCs w:val="0"/>
                <w:i w:val="0"/>
                <w:iCs w:val="0"/>
                <w:caps w:val="0"/>
                <w:color w:val="auto"/>
                <w:spacing w:val="0"/>
                <w:sz w:val="21"/>
                <w:szCs w:val="21"/>
                <w:highlight w:val="none"/>
                <w:shd w:val="clear"/>
              </w:rPr>
              <w:t>分</w:t>
            </w:r>
            <w:r>
              <w:rPr>
                <w:rFonts w:hint="eastAsia" w:ascii="宋体" w:hAnsi="宋体" w:eastAsia="宋体" w:cs="宋体"/>
                <w:color w:val="auto"/>
                <w:kern w:val="2"/>
                <w:sz w:val="21"/>
                <w:szCs w:val="21"/>
                <w:highlight w:val="none"/>
                <w:lang w:val="en-US" w:eastAsia="zh-CN" w:bidi="ar-SA"/>
              </w:rPr>
              <w:t>；</w:t>
            </w:r>
          </w:p>
          <w:p w14:paraId="5F46791A">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bCs w:val="0"/>
                <w:color w:val="auto"/>
                <w:kern w:val="0"/>
                <w:szCs w:val="21"/>
                <w:highlight w:val="none"/>
                <w:shd w:val="clear" w:color="auto" w:fill="auto"/>
                <w:lang w:val="en-US" w:eastAsia="zh-CN"/>
              </w:rPr>
            </w:pPr>
            <w:r>
              <w:rPr>
                <w:rFonts w:hint="eastAsia" w:ascii="宋体" w:hAnsi="宋体" w:eastAsia="宋体" w:cs="宋体"/>
                <w:b w:val="0"/>
                <w:bCs w:val="0"/>
                <w:color w:val="auto"/>
                <w:kern w:val="0"/>
                <w:szCs w:val="21"/>
                <w:highlight w:val="none"/>
                <w:shd w:val="clear" w:color="auto" w:fill="auto"/>
                <w:lang w:val="en-US" w:eastAsia="zh-CN"/>
              </w:rPr>
              <w:t>未提供生产制造能力方案及相关证明材料的，不得分。</w:t>
            </w:r>
          </w:p>
          <w:p w14:paraId="12F51EC2">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b/>
                <w:bCs/>
                <w:color w:val="auto"/>
                <w:kern w:val="0"/>
                <w:szCs w:val="21"/>
                <w:highlight w:val="none"/>
                <w:shd w:val="clear" w:color="auto" w:fill="auto"/>
                <w:lang w:val="en-US" w:eastAsia="zh-CN"/>
              </w:rPr>
              <w:t>备注：投标人应提供2025年7月1日或以后拍摄的有关所投产品制造商的生产设备、检测设备、制造工艺流程及质检设备的照片/图片（照片/图片须清晰反映拍摄时间，否则评标时将不予考虑），以及相关设备设施清单和（付款单位/购买方为所投产品制造商）采购合同及购置发票原件复印件等证明材料，以投标人提供的上述资料作为评审依据。</w:t>
            </w:r>
          </w:p>
        </w:tc>
        <w:tc>
          <w:tcPr>
            <w:tcW w:w="907" w:type="dxa"/>
            <w:tcBorders>
              <w:top w:val="single" w:color="auto" w:sz="4" w:space="0"/>
              <w:left w:val="single" w:color="auto" w:sz="4" w:space="0"/>
              <w:bottom w:val="single" w:color="auto" w:sz="4" w:space="0"/>
              <w:right w:val="single" w:color="auto" w:sz="4" w:space="0"/>
            </w:tcBorders>
            <w:vAlign w:val="center"/>
          </w:tcPr>
          <w:p w14:paraId="5F1A0CDD">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4分</w:t>
            </w:r>
          </w:p>
        </w:tc>
      </w:tr>
      <w:tr w14:paraId="0A256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3" w:type="dxa"/>
            <w:vMerge w:val="restart"/>
            <w:tcBorders>
              <w:top w:val="single" w:color="auto" w:sz="4" w:space="0"/>
              <w:left w:val="single" w:color="auto" w:sz="4" w:space="0"/>
              <w:right w:val="single" w:color="auto" w:sz="4" w:space="0"/>
            </w:tcBorders>
            <w:vAlign w:val="center"/>
          </w:tcPr>
          <w:p w14:paraId="721854EC">
            <w:pPr>
              <w:keepNext w:val="0"/>
              <w:keepLines w:val="0"/>
              <w:pageBreakBefore w:val="0"/>
              <w:widowControl w:val="0"/>
              <w:kinsoku/>
              <w:wordWrap/>
              <w:overflowPunct/>
              <w:topLinePunct w:val="0"/>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1133" w:type="dxa"/>
            <w:vMerge w:val="restart"/>
            <w:tcBorders>
              <w:top w:val="single" w:color="auto" w:sz="4" w:space="0"/>
              <w:left w:val="single" w:color="auto" w:sz="4" w:space="0"/>
              <w:right w:val="single" w:color="auto" w:sz="4" w:space="0"/>
            </w:tcBorders>
            <w:shd w:val="clear" w:color="auto" w:fill="auto"/>
            <w:vAlign w:val="center"/>
          </w:tcPr>
          <w:p w14:paraId="7FB2284F">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售后服务方案</w:t>
            </w:r>
          </w:p>
        </w:tc>
        <w:tc>
          <w:tcPr>
            <w:tcW w:w="7677" w:type="dxa"/>
            <w:tcBorders>
              <w:top w:val="single" w:color="auto" w:sz="4" w:space="0"/>
              <w:left w:val="single" w:color="auto" w:sz="4" w:space="0"/>
              <w:bottom w:val="single" w:color="auto" w:sz="4" w:space="0"/>
              <w:right w:val="single" w:color="auto" w:sz="4" w:space="0"/>
            </w:tcBorders>
            <w:vAlign w:val="center"/>
          </w:tcPr>
          <w:p w14:paraId="63B389F5">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bCs w:val="0"/>
                <w:color w:val="auto"/>
                <w:kern w:val="0"/>
                <w:szCs w:val="21"/>
                <w:highlight w:val="none"/>
                <w:shd w:val="clear" w:color="auto" w:fill="auto"/>
                <w:lang w:val="en-US" w:eastAsia="zh-CN"/>
              </w:rPr>
            </w:pPr>
            <w:r>
              <w:rPr>
                <w:rFonts w:hint="eastAsia" w:ascii="宋体" w:hAnsi="宋体" w:eastAsia="宋体" w:cs="宋体"/>
                <w:b w:val="0"/>
                <w:bCs w:val="0"/>
                <w:color w:val="auto"/>
                <w:kern w:val="0"/>
                <w:szCs w:val="21"/>
                <w:highlight w:val="none"/>
                <w:shd w:val="clear" w:color="auto" w:fill="auto"/>
                <w:lang w:val="en-US" w:eastAsia="zh-CN"/>
              </w:rPr>
              <w:t xml:space="preserve">1、根据投标人提供的售后服务机构配置（包括技术服务人员数量及水平、备品配件数量、保修方式），售后服务的便利性，应急处理方式，培训计划等进行评审： </w:t>
            </w:r>
          </w:p>
          <w:p w14:paraId="3A7066D2">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bCs w:val="0"/>
                <w:color w:val="auto"/>
                <w:kern w:val="0"/>
                <w:szCs w:val="21"/>
                <w:highlight w:val="none"/>
                <w:shd w:val="clear" w:color="auto" w:fill="auto"/>
                <w:lang w:val="en-US" w:eastAsia="zh-CN"/>
              </w:rPr>
            </w:pPr>
            <w:r>
              <w:rPr>
                <w:rFonts w:hint="eastAsia" w:ascii="宋体" w:hAnsi="宋体" w:eastAsia="宋体" w:cs="宋体"/>
                <w:b w:val="0"/>
                <w:bCs w:val="0"/>
                <w:color w:val="auto"/>
                <w:kern w:val="0"/>
                <w:szCs w:val="21"/>
                <w:highlight w:val="none"/>
                <w:shd w:val="clear" w:color="auto" w:fill="auto"/>
                <w:lang w:val="en-US" w:eastAsia="zh-CN"/>
              </w:rPr>
              <w:t>优：售后服务机构配置的技术服务人员数量、备品配件数量充足；技术服务水平高，保修方式高效；售后服务便利、应急处理方式完善；培训计划内容非常详实完善、科学合理和保障及时充分，得</w:t>
            </w:r>
            <w:r>
              <w:rPr>
                <w:rFonts w:hint="eastAsia" w:ascii="宋体" w:hAnsi="宋体" w:eastAsia="宋体" w:cs="宋体"/>
                <w:szCs w:val="21"/>
                <w:highlight w:val="none"/>
                <w:lang w:val="en-US" w:eastAsia="zh-CN" w:bidi="ar"/>
              </w:rPr>
              <w:t>（3,4</w:t>
            </w:r>
            <w:r>
              <w:rPr>
                <w:rFonts w:hint="eastAsia" w:ascii="宋体" w:hAnsi="宋体" w:eastAsia="宋体" w:cs="宋体"/>
                <w:szCs w:val="21"/>
                <w:highlight w:val="none"/>
                <w:lang w:bidi="ar"/>
              </w:rPr>
              <w:t>]</w:t>
            </w:r>
            <w:r>
              <w:rPr>
                <w:rFonts w:hint="eastAsia" w:ascii="宋体" w:hAnsi="宋体" w:eastAsia="宋体" w:cs="宋体"/>
                <w:b w:val="0"/>
                <w:bCs w:val="0"/>
                <w:color w:val="auto"/>
                <w:kern w:val="0"/>
                <w:szCs w:val="21"/>
                <w:highlight w:val="none"/>
                <w:shd w:val="clear" w:color="auto" w:fill="auto"/>
                <w:lang w:val="en-US" w:eastAsia="zh-CN"/>
              </w:rPr>
              <w:t xml:space="preserve">分； </w:t>
            </w:r>
          </w:p>
          <w:p w14:paraId="03F1444E">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bCs w:val="0"/>
                <w:color w:val="auto"/>
                <w:kern w:val="0"/>
                <w:szCs w:val="21"/>
                <w:highlight w:val="none"/>
                <w:shd w:val="clear" w:color="auto" w:fill="auto"/>
                <w:lang w:val="en-US" w:eastAsia="zh-CN"/>
              </w:rPr>
            </w:pPr>
            <w:r>
              <w:rPr>
                <w:rFonts w:hint="eastAsia" w:ascii="宋体" w:hAnsi="宋体" w:eastAsia="宋体" w:cs="宋体"/>
                <w:b w:val="0"/>
                <w:bCs w:val="0"/>
                <w:color w:val="auto"/>
                <w:kern w:val="0"/>
                <w:szCs w:val="21"/>
                <w:highlight w:val="none"/>
                <w:shd w:val="clear" w:color="auto" w:fill="auto"/>
                <w:lang w:val="en-US" w:eastAsia="zh-CN"/>
              </w:rPr>
              <w:t>良：售后服务机构配置的技术服务人员数量、备品配件数量较充足；技术服务水平较高，保修方式较佳；售后服务较便利、应急处理方式较完善；培训计划内容比较详实完善、可行性较好、保障性和及时性较好，得</w:t>
            </w:r>
            <w:r>
              <w:rPr>
                <w:rFonts w:hint="eastAsia" w:ascii="宋体" w:hAnsi="宋体" w:eastAsia="宋体" w:cs="宋体"/>
                <w:szCs w:val="21"/>
                <w:highlight w:val="none"/>
                <w:lang w:val="en-US" w:eastAsia="zh-CN" w:bidi="ar"/>
              </w:rPr>
              <w:t>（2,3</w:t>
            </w:r>
            <w:r>
              <w:rPr>
                <w:rFonts w:hint="eastAsia" w:ascii="宋体" w:hAnsi="宋体" w:eastAsia="宋体" w:cs="宋体"/>
                <w:szCs w:val="21"/>
                <w:highlight w:val="none"/>
                <w:lang w:bidi="ar"/>
              </w:rPr>
              <w:t>]</w:t>
            </w:r>
            <w:r>
              <w:rPr>
                <w:rFonts w:hint="eastAsia" w:ascii="宋体" w:hAnsi="宋体" w:eastAsia="宋体" w:cs="宋体"/>
                <w:b w:val="0"/>
                <w:bCs w:val="0"/>
                <w:color w:val="auto"/>
                <w:kern w:val="0"/>
                <w:szCs w:val="21"/>
                <w:highlight w:val="none"/>
                <w:shd w:val="clear" w:color="auto" w:fill="auto"/>
                <w:lang w:val="en-US" w:eastAsia="zh-CN"/>
              </w:rPr>
              <w:t xml:space="preserve">分； </w:t>
            </w:r>
          </w:p>
          <w:p w14:paraId="19E99177">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bCs w:val="0"/>
                <w:color w:val="auto"/>
                <w:kern w:val="0"/>
                <w:szCs w:val="21"/>
                <w:highlight w:val="none"/>
                <w:shd w:val="clear" w:color="auto" w:fill="auto"/>
                <w:lang w:val="en-US" w:eastAsia="zh-CN"/>
              </w:rPr>
            </w:pPr>
            <w:r>
              <w:rPr>
                <w:rFonts w:hint="eastAsia" w:ascii="宋体" w:hAnsi="宋体" w:eastAsia="宋体" w:cs="宋体"/>
                <w:b w:val="0"/>
                <w:bCs w:val="0"/>
                <w:color w:val="auto"/>
                <w:kern w:val="0"/>
                <w:szCs w:val="21"/>
                <w:highlight w:val="none"/>
                <w:shd w:val="clear" w:color="auto" w:fill="auto"/>
                <w:lang w:val="en-US" w:eastAsia="zh-CN"/>
              </w:rPr>
              <w:t>中：售后服务机构配置的技术服务人员数量、备品配件数量一般；技术服务水平一般，保修方式一般；售后服务便利性一般、应急处理方式一般；培训计划内容基本详实完善、基本可行、保障性和及时性一般，得</w:t>
            </w:r>
            <w:r>
              <w:rPr>
                <w:rFonts w:hint="eastAsia" w:ascii="宋体" w:hAnsi="宋体" w:eastAsia="宋体" w:cs="宋体"/>
                <w:szCs w:val="21"/>
                <w:highlight w:val="none"/>
                <w:lang w:val="en-US" w:eastAsia="zh-CN" w:bidi="ar"/>
              </w:rPr>
              <w:t>（1,2</w:t>
            </w:r>
            <w:r>
              <w:rPr>
                <w:rFonts w:hint="eastAsia" w:ascii="宋体" w:hAnsi="宋体" w:eastAsia="宋体" w:cs="宋体"/>
                <w:szCs w:val="21"/>
                <w:highlight w:val="none"/>
                <w:lang w:bidi="ar"/>
              </w:rPr>
              <w:t>]</w:t>
            </w:r>
            <w:r>
              <w:rPr>
                <w:rFonts w:hint="eastAsia" w:ascii="宋体" w:hAnsi="宋体" w:eastAsia="宋体" w:cs="宋体"/>
                <w:b w:val="0"/>
                <w:bCs w:val="0"/>
                <w:color w:val="auto"/>
                <w:kern w:val="0"/>
                <w:szCs w:val="21"/>
                <w:highlight w:val="none"/>
                <w:shd w:val="clear" w:color="auto" w:fill="auto"/>
                <w:lang w:val="en-US" w:eastAsia="zh-CN"/>
              </w:rPr>
              <w:t xml:space="preserve">分； </w:t>
            </w:r>
          </w:p>
          <w:p w14:paraId="40F86945">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bCs w:val="0"/>
                <w:color w:val="auto"/>
                <w:kern w:val="0"/>
                <w:szCs w:val="21"/>
                <w:highlight w:val="none"/>
                <w:shd w:val="clear" w:color="auto" w:fill="auto"/>
                <w:lang w:val="en-US" w:eastAsia="zh-CN"/>
              </w:rPr>
            </w:pPr>
            <w:r>
              <w:rPr>
                <w:rFonts w:hint="eastAsia" w:ascii="宋体" w:hAnsi="宋体" w:eastAsia="宋体" w:cs="宋体"/>
                <w:b w:val="0"/>
                <w:bCs w:val="0"/>
                <w:color w:val="auto"/>
                <w:kern w:val="0"/>
                <w:szCs w:val="21"/>
                <w:highlight w:val="none"/>
                <w:shd w:val="clear" w:color="auto" w:fill="auto"/>
                <w:lang w:val="en-US" w:eastAsia="zh-CN"/>
              </w:rPr>
              <w:t>差：</w:t>
            </w:r>
            <w:r>
              <w:rPr>
                <w:rFonts w:hint="eastAsia" w:ascii="宋体" w:hAnsi="宋体" w:eastAsia="宋体" w:cs="宋体"/>
                <w:b w:val="0"/>
                <w:bCs w:val="0"/>
                <w:i w:val="0"/>
                <w:iCs w:val="0"/>
                <w:caps w:val="0"/>
                <w:color w:val="auto"/>
                <w:spacing w:val="0"/>
                <w:kern w:val="0"/>
                <w:sz w:val="21"/>
                <w:szCs w:val="21"/>
                <w:highlight w:val="none"/>
                <w:shd w:val="clear" w:color="auto" w:fill="auto"/>
              </w:rPr>
              <w:t>售后服务机构配置的技术服务人员数量和备品配件数量基本满足项目需求；技术服务</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rPr>
              <w:t>水平、</w:t>
            </w:r>
            <w:r>
              <w:rPr>
                <w:rFonts w:hint="eastAsia" w:ascii="宋体" w:hAnsi="宋体" w:eastAsia="宋体" w:cs="宋体"/>
                <w:b w:val="0"/>
                <w:bCs w:val="0"/>
                <w:i w:val="0"/>
                <w:iCs w:val="0"/>
                <w:caps w:val="0"/>
                <w:color w:val="auto"/>
                <w:spacing w:val="0"/>
                <w:kern w:val="0"/>
                <w:sz w:val="21"/>
                <w:szCs w:val="21"/>
                <w:highlight w:val="none"/>
                <w:shd w:val="clear" w:color="auto" w:fill="auto"/>
              </w:rPr>
              <w:t>保修方式较为基础；售后服务便利性一般，应急处理方式</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rPr>
              <w:t>单一</w:t>
            </w:r>
            <w:r>
              <w:rPr>
                <w:rFonts w:hint="eastAsia" w:ascii="宋体" w:hAnsi="宋体" w:eastAsia="宋体" w:cs="宋体"/>
                <w:b w:val="0"/>
                <w:bCs w:val="0"/>
                <w:i w:val="0"/>
                <w:iCs w:val="0"/>
                <w:caps w:val="0"/>
                <w:color w:val="auto"/>
                <w:spacing w:val="0"/>
                <w:kern w:val="0"/>
                <w:sz w:val="21"/>
                <w:szCs w:val="21"/>
                <w:highlight w:val="none"/>
                <w:shd w:val="clear" w:color="auto" w:fill="auto"/>
              </w:rPr>
              <w:t>；培训计划内容</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rPr>
              <w:t>简单</w:t>
            </w:r>
            <w:r>
              <w:rPr>
                <w:rFonts w:hint="eastAsia" w:ascii="宋体" w:hAnsi="宋体" w:eastAsia="宋体" w:cs="宋体"/>
                <w:b w:val="0"/>
                <w:bCs w:val="0"/>
                <w:i w:val="0"/>
                <w:iCs w:val="0"/>
                <w:caps w:val="0"/>
                <w:color w:val="auto"/>
                <w:spacing w:val="0"/>
                <w:kern w:val="0"/>
                <w:sz w:val="21"/>
                <w:szCs w:val="21"/>
                <w:highlight w:val="none"/>
                <w:shd w:val="clear" w:color="auto" w:fill="auto"/>
              </w:rPr>
              <w:t>，可行性</w:t>
            </w:r>
            <w:r>
              <w:rPr>
                <w:rFonts w:hint="eastAsia" w:ascii="宋体" w:hAnsi="宋体" w:eastAsia="宋体" w:cs="宋体"/>
                <w:b w:val="0"/>
                <w:bCs w:val="0"/>
                <w:i w:val="0"/>
                <w:iCs w:val="0"/>
                <w:caps w:val="0"/>
                <w:color w:val="auto"/>
                <w:spacing w:val="0"/>
                <w:kern w:val="0"/>
                <w:sz w:val="21"/>
                <w:szCs w:val="21"/>
                <w:highlight w:val="none"/>
                <w:shd w:val="clear" w:color="auto" w:fill="auto"/>
                <w:lang w:eastAsia="zh-CN"/>
              </w:rPr>
              <w:t>、</w:t>
            </w:r>
            <w:r>
              <w:rPr>
                <w:rFonts w:hint="eastAsia" w:ascii="宋体" w:hAnsi="宋体" w:eastAsia="宋体" w:cs="宋体"/>
                <w:b w:val="0"/>
                <w:bCs w:val="0"/>
                <w:i w:val="0"/>
                <w:iCs w:val="0"/>
                <w:caps w:val="0"/>
                <w:color w:val="auto"/>
                <w:spacing w:val="0"/>
                <w:kern w:val="0"/>
                <w:sz w:val="21"/>
                <w:szCs w:val="21"/>
                <w:highlight w:val="none"/>
                <w:shd w:val="clear" w:color="auto" w:fill="auto"/>
              </w:rPr>
              <w:t>保障</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rPr>
              <w:t>性和</w:t>
            </w:r>
            <w:r>
              <w:rPr>
                <w:rFonts w:hint="eastAsia" w:ascii="宋体" w:hAnsi="宋体" w:eastAsia="宋体" w:cs="宋体"/>
                <w:b w:val="0"/>
                <w:bCs w:val="0"/>
                <w:i w:val="0"/>
                <w:iCs w:val="0"/>
                <w:caps w:val="0"/>
                <w:color w:val="auto"/>
                <w:spacing w:val="0"/>
                <w:kern w:val="0"/>
                <w:sz w:val="21"/>
                <w:szCs w:val="21"/>
                <w:highlight w:val="none"/>
                <w:shd w:val="clear" w:color="auto" w:fill="auto"/>
              </w:rPr>
              <w:t>及时性存在一定局限，得</w:t>
            </w:r>
            <w:r>
              <w:rPr>
                <w:rFonts w:hint="eastAsia" w:ascii="宋体" w:hAnsi="宋体" w:eastAsia="宋体" w:cs="宋体"/>
                <w:szCs w:val="21"/>
                <w:highlight w:val="none"/>
                <w:lang w:val="en-US" w:eastAsia="zh-CN" w:bidi="ar"/>
              </w:rPr>
              <w:t>（0,1</w:t>
            </w:r>
            <w:r>
              <w:rPr>
                <w:rFonts w:hint="eastAsia" w:ascii="宋体" w:hAnsi="宋体" w:eastAsia="宋体" w:cs="宋体"/>
                <w:szCs w:val="21"/>
                <w:highlight w:val="none"/>
                <w:lang w:bidi="ar"/>
              </w:rPr>
              <w:t>]</w:t>
            </w:r>
            <w:r>
              <w:rPr>
                <w:rFonts w:hint="eastAsia" w:ascii="宋体" w:hAnsi="宋体" w:eastAsia="宋体" w:cs="宋体"/>
                <w:b w:val="0"/>
                <w:bCs w:val="0"/>
                <w:i w:val="0"/>
                <w:iCs w:val="0"/>
                <w:caps w:val="0"/>
                <w:color w:val="auto"/>
                <w:spacing w:val="0"/>
                <w:kern w:val="0"/>
                <w:sz w:val="21"/>
                <w:szCs w:val="21"/>
                <w:highlight w:val="none"/>
                <w:shd w:val="clear" w:color="auto" w:fill="auto"/>
              </w:rPr>
              <w:t>分</w:t>
            </w:r>
            <w:r>
              <w:rPr>
                <w:rFonts w:hint="eastAsia" w:ascii="宋体" w:hAnsi="宋体" w:eastAsia="宋体" w:cs="宋体"/>
                <w:b w:val="0"/>
                <w:bCs w:val="0"/>
                <w:color w:val="auto"/>
                <w:kern w:val="0"/>
                <w:szCs w:val="21"/>
                <w:highlight w:val="none"/>
                <w:shd w:val="clear" w:color="auto" w:fill="auto"/>
                <w:lang w:val="en-US" w:eastAsia="zh-CN"/>
              </w:rPr>
              <w:t>；</w:t>
            </w:r>
          </w:p>
          <w:p w14:paraId="37CDFFF1">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bCs w:val="0"/>
                <w:color w:val="auto"/>
                <w:kern w:val="0"/>
                <w:szCs w:val="21"/>
                <w:highlight w:val="none"/>
                <w:shd w:val="clear" w:color="auto" w:fill="auto"/>
                <w:lang w:val="en-US" w:eastAsia="zh-CN"/>
              </w:rPr>
            </w:pPr>
            <w:r>
              <w:rPr>
                <w:rFonts w:hint="eastAsia" w:ascii="宋体" w:hAnsi="宋体" w:eastAsia="宋体" w:cs="宋体"/>
                <w:b w:val="0"/>
                <w:bCs w:val="0"/>
                <w:color w:val="auto"/>
                <w:kern w:val="0"/>
                <w:szCs w:val="21"/>
                <w:highlight w:val="none"/>
                <w:shd w:val="clear" w:color="auto" w:fill="auto"/>
                <w:lang w:val="en-US" w:eastAsia="zh-CN"/>
              </w:rPr>
              <w:t>未提供售后服务方案的，不得分。</w:t>
            </w:r>
          </w:p>
        </w:tc>
        <w:tc>
          <w:tcPr>
            <w:tcW w:w="907" w:type="dxa"/>
            <w:tcBorders>
              <w:top w:val="single" w:color="auto" w:sz="4" w:space="0"/>
              <w:left w:val="single" w:color="auto" w:sz="4" w:space="0"/>
              <w:bottom w:val="single" w:color="auto" w:sz="4" w:space="0"/>
              <w:right w:val="single" w:color="auto" w:sz="4" w:space="0"/>
            </w:tcBorders>
            <w:vAlign w:val="center"/>
          </w:tcPr>
          <w:p w14:paraId="2627546E">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4分</w:t>
            </w:r>
          </w:p>
        </w:tc>
      </w:tr>
      <w:tr w14:paraId="4D4AC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3" w:type="dxa"/>
            <w:vMerge w:val="continue"/>
            <w:tcBorders>
              <w:left w:val="single" w:color="auto" w:sz="4" w:space="0"/>
              <w:bottom w:val="single" w:color="auto" w:sz="4" w:space="0"/>
              <w:right w:val="single" w:color="auto" w:sz="4" w:space="0"/>
            </w:tcBorders>
            <w:vAlign w:val="center"/>
          </w:tcPr>
          <w:p w14:paraId="33E4458B">
            <w:pPr>
              <w:keepNext w:val="0"/>
              <w:keepLines w:val="0"/>
              <w:pageBreakBefore w:val="0"/>
              <w:widowControl w:val="0"/>
              <w:kinsoku/>
              <w:wordWrap/>
              <w:overflowPunct/>
              <w:topLinePunct w:val="0"/>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rPr>
            </w:pPr>
          </w:p>
        </w:tc>
        <w:tc>
          <w:tcPr>
            <w:tcW w:w="1133" w:type="dxa"/>
            <w:vMerge w:val="continue"/>
            <w:tcBorders>
              <w:left w:val="single" w:color="auto" w:sz="4" w:space="0"/>
              <w:bottom w:val="single" w:color="auto" w:sz="4" w:space="0"/>
              <w:right w:val="single" w:color="auto" w:sz="4" w:space="0"/>
            </w:tcBorders>
            <w:shd w:val="clear" w:color="auto" w:fill="auto"/>
            <w:vAlign w:val="center"/>
          </w:tcPr>
          <w:p w14:paraId="0C0830F7">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p>
        </w:tc>
        <w:tc>
          <w:tcPr>
            <w:tcW w:w="7677" w:type="dxa"/>
            <w:tcBorders>
              <w:top w:val="single" w:color="auto" w:sz="4" w:space="0"/>
              <w:left w:val="single" w:color="auto" w:sz="4" w:space="0"/>
              <w:bottom w:val="single" w:color="auto" w:sz="4" w:space="0"/>
              <w:right w:val="single" w:color="auto" w:sz="4" w:space="0"/>
            </w:tcBorders>
            <w:vAlign w:val="center"/>
          </w:tcPr>
          <w:p w14:paraId="451F96AA">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bCs w:val="0"/>
                <w:color w:val="auto"/>
                <w:kern w:val="0"/>
                <w:szCs w:val="21"/>
                <w:highlight w:val="none"/>
                <w:shd w:val="clear" w:color="auto" w:fill="auto"/>
              </w:rPr>
            </w:pPr>
            <w:r>
              <w:rPr>
                <w:rFonts w:hint="eastAsia" w:ascii="宋体" w:hAnsi="宋体" w:eastAsia="宋体" w:cs="宋体"/>
                <w:b w:val="0"/>
                <w:bCs w:val="0"/>
                <w:color w:val="auto"/>
                <w:kern w:val="0"/>
                <w:szCs w:val="21"/>
                <w:highlight w:val="none"/>
                <w:shd w:val="clear" w:color="auto" w:fill="auto"/>
                <w:lang w:val="en-US" w:eastAsia="zh-CN"/>
              </w:rPr>
              <w:t>2、根据投标人承诺的</w:t>
            </w:r>
            <w:r>
              <w:rPr>
                <w:rFonts w:hint="eastAsia" w:ascii="宋体" w:hAnsi="宋体" w:eastAsia="宋体" w:cs="宋体"/>
                <w:color w:val="auto"/>
                <w:szCs w:val="21"/>
                <w:highlight w:val="none"/>
                <w:lang w:val="en-US" w:eastAsia="zh-CN"/>
              </w:rPr>
              <w:t>售后服务</w:t>
            </w:r>
            <w:r>
              <w:rPr>
                <w:rFonts w:hint="eastAsia" w:ascii="宋体" w:hAnsi="宋体" w:eastAsia="宋体" w:cs="宋体"/>
                <w:b w:val="0"/>
                <w:bCs w:val="0"/>
                <w:color w:val="auto"/>
                <w:kern w:val="0"/>
                <w:szCs w:val="21"/>
                <w:highlight w:val="none"/>
                <w:shd w:val="clear" w:color="auto" w:fill="auto"/>
                <w:lang w:val="en-US" w:eastAsia="zh-CN"/>
              </w:rPr>
              <w:t xml:space="preserve">响应时间进行评审： </w:t>
            </w:r>
          </w:p>
          <w:p w14:paraId="652EA69E">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bCs w:val="0"/>
                <w:color w:val="auto"/>
                <w:kern w:val="0"/>
                <w:szCs w:val="21"/>
                <w:highlight w:val="none"/>
                <w:shd w:val="clear" w:color="auto" w:fill="auto"/>
              </w:rPr>
            </w:pPr>
            <w:r>
              <w:rPr>
                <w:rFonts w:hint="eastAsia" w:ascii="宋体" w:hAnsi="宋体" w:eastAsia="宋体" w:cs="宋体"/>
                <w:b w:val="0"/>
                <w:bCs w:val="0"/>
                <w:color w:val="auto"/>
                <w:kern w:val="0"/>
                <w:szCs w:val="21"/>
                <w:highlight w:val="none"/>
                <w:shd w:val="clear" w:color="auto" w:fill="auto"/>
                <w:lang w:val="en-US" w:eastAsia="zh-CN"/>
              </w:rPr>
              <w:t>①承诺在接到招标人的进行售后维修等服务</w:t>
            </w:r>
            <w:r>
              <w:rPr>
                <w:rFonts w:hint="eastAsia" w:ascii="宋体" w:hAnsi="宋体" w:eastAsia="宋体" w:cs="宋体"/>
                <w:color w:val="auto"/>
                <w:szCs w:val="21"/>
                <w:highlight w:val="none"/>
                <w:lang w:val="en-US" w:eastAsia="zh-CN"/>
              </w:rPr>
              <w:t>通知</w:t>
            </w:r>
            <w:r>
              <w:rPr>
                <w:rFonts w:hint="eastAsia" w:ascii="宋体" w:hAnsi="宋体" w:eastAsia="宋体" w:cs="宋体"/>
                <w:b w:val="0"/>
                <w:bCs w:val="0"/>
                <w:color w:val="auto"/>
                <w:kern w:val="0"/>
                <w:szCs w:val="21"/>
                <w:highlight w:val="none"/>
                <w:shd w:val="clear" w:color="auto" w:fill="auto"/>
                <w:lang w:val="en-US" w:eastAsia="zh-CN"/>
              </w:rPr>
              <w:t>，2小时＜</w:t>
            </w:r>
            <w:r>
              <w:rPr>
                <w:rFonts w:hint="eastAsia" w:ascii="宋体" w:hAnsi="宋体" w:eastAsia="宋体" w:cs="宋体"/>
                <w:color w:val="000000" w:themeColor="text1"/>
                <w:kern w:val="0"/>
                <w:szCs w:val="21"/>
                <w:highlight w:val="none"/>
                <w14:textFill>
                  <w14:solidFill>
                    <w14:schemeClr w14:val="tx1"/>
                  </w14:solidFill>
                </w14:textFill>
              </w:rPr>
              <w:t>响应时间≤</w:t>
            </w:r>
            <w:r>
              <w:rPr>
                <w:rFonts w:hint="eastAsia" w:ascii="宋体" w:hAnsi="宋体" w:eastAsia="宋体" w:cs="宋体"/>
                <w:b w:val="0"/>
                <w:bCs w:val="0"/>
                <w:color w:val="auto"/>
                <w:kern w:val="0"/>
                <w:szCs w:val="21"/>
                <w:highlight w:val="none"/>
                <w:shd w:val="clear" w:color="auto" w:fill="auto"/>
                <w:lang w:val="en-US" w:eastAsia="zh-CN"/>
              </w:rPr>
              <w:t xml:space="preserve">3小时，8小时＜到达项目现场时间≤16小时的，得1分。 </w:t>
            </w:r>
          </w:p>
          <w:p w14:paraId="4BC29D6C">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bCs w:val="0"/>
                <w:color w:val="auto"/>
                <w:kern w:val="0"/>
                <w:szCs w:val="21"/>
                <w:highlight w:val="none"/>
                <w:shd w:val="clear" w:color="auto" w:fill="auto"/>
              </w:rPr>
            </w:pPr>
            <w:r>
              <w:rPr>
                <w:rFonts w:hint="eastAsia" w:ascii="宋体" w:hAnsi="宋体" w:eastAsia="宋体" w:cs="宋体"/>
                <w:b w:val="0"/>
                <w:bCs w:val="0"/>
                <w:color w:val="auto"/>
                <w:kern w:val="0"/>
                <w:szCs w:val="21"/>
                <w:highlight w:val="none"/>
                <w:shd w:val="clear" w:color="auto" w:fill="auto"/>
                <w:lang w:val="en-US" w:eastAsia="zh-CN"/>
              </w:rPr>
              <w:t>②承诺在接到招标人的进行售后维修等服务</w:t>
            </w:r>
            <w:r>
              <w:rPr>
                <w:rFonts w:hint="eastAsia" w:ascii="宋体" w:hAnsi="宋体" w:eastAsia="宋体" w:cs="宋体"/>
                <w:color w:val="auto"/>
                <w:szCs w:val="21"/>
                <w:highlight w:val="none"/>
                <w:lang w:val="en-US" w:eastAsia="zh-CN"/>
              </w:rPr>
              <w:t>通知，</w:t>
            </w:r>
            <w:r>
              <w:rPr>
                <w:rFonts w:hint="eastAsia" w:ascii="宋体" w:hAnsi="宋体" w:eastAsia="宋体" w:cs="宋体"/>
                <w:color w:val="000000" w:themeColor="text1"/>
                <w:kern w:val="0"/>
                <w:szCs w:val="21"/>
                <w:highlight w:val="none"/>
                <w14:textFill>
                  <w14:solidFill>
                    <w14:schemeClr w14:val="tx1"/>
                  </w14:solidFill>
                </w14:textFill>
              </w:rPr>
              <w:t>响应时间≤</w:t>
            </w:r>
            <w:r>
              <w:rPr>
                <w:rFonts w:hint="eastAsia" w:ascii="宋体" w:hAnsi="宋体" w:eastAsia="宋体" w:cs="宋体"/>
                <w:b w:val="0"/>
                <w:bCs w:val="0"/>
                <w:color w:val="auto"/>
                <w:kern w:val="0"/>
                <w:szCs w:val="21"/>
                <w:highlight w:val="none"/>
                <w:shd w:val="clear" w:color="auto" w:fill="auto"/>
                <w:lang w:val="en-US" w:eastAsia="zh-CN"/>
              </w:rPr>
              <w:t xml:space="preserve">2小时，到达项目现场时间≤8小时的，得2分； </w:t>
            </w:r>
          </w:p>
          <w:p w14:paraId="6CB2A351">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kern w:val="0"/>
                <w:szCs w:val="21"/>
                <w:highlight w:val="none"/>
                <w:shd w:val="clear" w:color="auto" w:fill="auto"/>
                <w:lang w:val="en-US" w:eastAsia="zh-CN"/>
              </w:rPr>
              <w:t>备注：根据《</w:t>
            </w:r>
            <w:r>
              <w:rPr>
                <w:rFonts w:hint="eastAsia" w:ascii="宋体" w:hAnsi="宋体" w:eastAsia="宋体" w:cs="宋体"/>
                <w:b/>
                <w:bCs/>
                <w:color w:val="auto"/>
                <w:szCs w:val="21"/>
                <w:highlight w:val="none"/>
                <w:lang w:val="en-US" w:eastAsia="zh-CN"/>
              </w:rPr>
              <w:t>售后服务</w:t>
            </w:r>
            <w:r>
              <w:rPr>
                <w:rFonts w:hint="eastAsia" w:ascii="宋体" w:hAnsi="宋体" w:eastAsia="宋体" w:cs="宋体"/>
                <w:b/>
                <w:bCs/>
                <w:color w:val="auto"/>
                <w:kern w:val="0"/>
                <w:szCs w:val="21"/>
                <w:highlight w:val="none"/>
              </w:rPr>
              <w:t>响应时间承诺表</w:t>
            </w:r>
            <w:r>
              <w:rPr>
                <w:rFonts w:hint="eastAsia" w:ascii="宋体" w:hAnsi="宋体" w:eastAsia="宋体" w:cs="宋体"/>
                <w:b w:val="0"/>
                <w:bCs w:val="0"/>
                <w:color w:val="auto"/>
                <w:kern w:val="0"/>
                <w:szCs w:val="21"/>
                <w:highlight w:val="none"/>
                <w:shd w:val="clear" w:color="auto" w:fill="auto"/>
                <w:lang w:val="en-US" w:eastAsia="zh-CN"/>
              </w:rPr>
              <w:t>》进行评审。</w:t>
            </w:r>
          </w:p>
        </w:tc>
        <w:tc>
          <w:tcPr>
            <w:tcW w:w="907" w:type="dxa"/>
            <w:tcBorders>
              <w:top w:val="single" w:color="auto" w:sz="4" w:space="0"/>
              <w:left w:val="single" w:color="auto" w:sz="4" w:space="0"/>
              <w:bottom w:val="single" w:color="auto" w:sz="4" w:space="0"/>
              <w:right w:val="single" w:color="auto" w:sz="4" w:space="0"/>
            </w:tcBorders>
            <w:vAlign w:val="center"/>
          </w:tcPr>
          <w:p w14:paraId="6641FB3A">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2分</w:t>
            </w:r>
          </w:p>
        </w:tc>
      </w:tr>
      <w:tr w14:paraId="09C8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463" w:type="dxa"/>
            <w:gridSpan w:val="3"/>
            <w:tcBorders>
              <w:top w:val="single" w:color="auto" w:sz="4" w:space="0"/>
              <w:left w:val="single" w:color="auto" w:sz="4" w:space="0"/>
              <w:right w:val="single" w:color="auto" w:sz="4" w:space="0"/>
            </w:tcBorders>
            <w:vAlign w:val="center"/>
          </w:tcPr>
          <w:p w14:paraId="768A3CB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技术总分</w:t>
            </w:r>
          </w:p>
        </w:tc>
        <w:tc>
          <w:tcPr>
            <w:tcW w:w="907" w:type="dxa"/>
            <w:tcBorders>
              <w:top w:val="single" w:color="auto" w:sz="4" w:space="0"/>
              <w:left w:val="single" w:color="auto" w:sz="4" w:space="0"/>
              <w:right w:val="single" w:color="auto" w:sz="4" w:space="0"/>
            </w:tcBorders>
            <w:vAlign w:val="center"/>
          </w:tcPr>
          <w:p w14:paraId="49F691C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40分</w:t>
            </w:r>
          </w:p>
        </w:tc>
      </w:tr>
      <w:bookmarkEnd w:id="863"/>
    </w:tbl>
    <w:p w14:paraId="0979257B">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3CA7A2C3">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①表中“</w:t>
      </w:r>
      <w:r>
        <w:rPr>
          <w:rFonts w:ascii="宋体" w:hAnsi="宋体" w:eastAsia="宋体" w:cs="宋体"/>
          <w:color w:val="000000" w:themeColor="text1"/>
          <w:szCs w:val="24"/>
          <w:highlight w:val="none"/>
          <w:lang w:val="zh-CN"/>
          <w14:textFill>
            <w14:solidFill>
              <w14:schemeClr w14:val="tx1"/>
            </w14:solidFill>
          </w14:textFill>
        </w:rPr>
        <w:t>[”代表闭区间，“]”代表闭区间，如[0，1]代表该分数段范围为大于等</w:t>
      </w:r>
      <w:r>
        <w:rPr>
          <w:rFonts w:hint="eastAsia" w:ascii="宋体" w:hAnsi="宋体" w:eastAsia="宋体" w:cs="宋体"/>
          <w:color w:val="000000" w:themeColor="text1"/>
          <w:szCs w:val="24"/>
          <w:highlight w:val="none"/>
          <w:lang w:val="zh-CN"/>
          <w14:textFill>
            <w14:solidFill>
              <w14:schemeClr w14:val="tx1"/>
            </w14:solidFill>
          </w14:textFill>
        </w:rPr>
        <w:t>于</w:t>
      </w:r>
      <w:r>
        <w:rPr>
          <w:rFonts w:ascii="宋体" w:hAnsi="宋体" w:eastAsia="宋体" w:cs="宋体"/>
          <w:color w:val="000000" w:themeColor="text1"/>
          <w:szCs w:val="24"/>
          <w:highlight w:val="none"/>
          <w:lang w:val="zh-CN"/>
          <w14:textFill>
            <w14:solidFill>
              <w14:schemeClr w14:val="tx1"/>
            </w14:solidFill>
          </w14:textFill>
        </w:rPr>
        <w:t>0且小于等于1。表中“（”代表开区间，“]”代表闭区间，如（1，2]代表该分数段范</w:t>
      </w:r>
      <w:r>
        <w:rPr>
          <w:rFonts w:hint="eastAsia" w:ascii="宋体" w:hAnsi="宋体" w:eastAsia="宋体" w:cs="宋体"/>
          <w:color w:val="000000" w:themeColor="text1"/>
          <w:szCs w:val="24"/>
          <w:highlight w:val="none"/>
          <w:lang w:val="zh-CN"/>
          <w14:textFill>
            <w14:solidFill>
              <w14:schemeClr w14:val="tx1"/>
            </w14:solidFill>
          </w14:textFill>
        </w:rPr>
        <w:t>围为大于</w:t>
      </w:r>
      <w:r>
        <w:rPr>
          <w:rFonts w:ascii="宋体" w:hAnsi="宋体" w:eastAsia="宋体" w:cs="宋体"/>
          <w:color w:val="000000" w:themeColor="text1"/>
          <w:szCs w:val="24"/>
          <w:highlight w:val="none"/>
          <w:lang w:val="zh-CN"/>
          <w14:textFill>
            <w14:solidFill>
              <w14:schemeClr w14:val="tx1"/>
            </w14:solidFill>
          </w14:textFill>
        </w:rPr>
        <w:t>1且小于等于2。</w:t>
      </w:r>
    </w:p>
    <w:p w14:paraId="63DBCEC9">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000000" w:themeColor="text1"/>
          <w:szCs w:val="24"/>
          <w:highlight w:val="none"/>
          <w:lang w:val="zh-CN"/>
          <w14:textFill>
            <w14:solidFill>
              <w14:schemeClr w14:val="tx1"/>
            </w14:solidFill>
          </w14:textFill>
        </w:rPr>
        <w:t>②分数出现小数点，保留小数点后2位，从小数点后第3位四</w:t>
      </w:r>
      <w:r>
        <w:rPr>
          <w:rFonts w:hint="eastAsia" w:ascii="宋体" w:hAnsi="宋体" w:eastAsia="宋体" w:cs="宋体"/>
          <w:color w:val="000000" w:themeColor="text1"/>
          <w:szCs w:val="24"/>
          <w:highlight w:val="none"/>
          <w:lang w:val="zh-CN"/>
          <w14:textFill>
            <w14:solidFill>
              <w14:schemeClr w14:val="tx1"/>
            </w14:solidFill>
          </w14:textFill>
        </w:rPr>
        <w:t>舍五入</w:t>
      </w:r>
      <w:r>
        <w:rPr>
          <w:rFonts w:hint="eastAsia" w:ascii="宋体" w:hAnsi="宋体" w:eastAsia="宋体" w:cs="宋体"/>
          <w:color w:val="auto"/>
          <w:szCs w:val="24"/>
          <w:highlight w:val="none"/>
          <w:lang w:val="zh-CN"/>
        </w:rPr>
        <w:t>。</w:t>
      </w:r>
    </w:p>
    <w:p w14:paraId="7E375E25">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en-US" w:eastAsia="zh-CN"/>
        </w:rPr>
        <w:t>③上述“评分项目”中按“优、良、中、差”区间评审的，若低于该项满分分值60%时，评标专家需详细填写该项低分的充分理由，例如：该项目内容存在违反国家有关标准和规范或与项目实际不符等原则性问题。</w:t>
      </w:r>
    </w:p>
    <w:p w14:paraId="33F891B8">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000000" w:themeColor="text1"/>
          <w:szCs w:val="24"/>
          <w:highlight w:val="none"/>
          <w:lang w:val="en-US" w:eastAsia="zh-CN"/>
          <w14:textFill>
            <w14:solidFill>
              <w14:schemeClr w14:val="tx1"/>
            </w14:solidFill>
          </w14:textFill>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34BB61C7">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323F55E8">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5BF614D0">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2F013646">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w:t>
      </w:r>
      <w:r>
        <w:rPr>
          <w:rFonts w:hint="eastAsia" w:ascii="宋体" w:hAnsi="宋体" w:eastAsia="宋体" w:cs="宋体"/>
          <w:color w:val="auto"/>
          <w:kern w:val="0"/>
          <w:szCs w:val="21"/>
          <w:highlight w:val="none"/>
          <w:lang w:val="en-US" w:eastAsia="zh-CN"/>
        </w:rPr>
        <w:t>所供货物及有关</w:t>
      </w:r>
      <w:r>
        <w:rPr>
          <w:rFonts w:hint="eastAsia" w:ascii="宋体" w:hAnsi="宋体" w:eastAsia="宋体" w:cs="宋体"/>
          <w:color w:val="auto"/>
          <w:kern w:val="0"/>
          <w:szCs w:val="21"/>
          <w:highlight w:val="none"/>
        </w:rPr>
        <w:t>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1DF6DFBB">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0D8B2A7D">
      <w:pPr>
        <w:spacing w:line="360" w:lineRule="auto"/>
        <w:ind w:left="420" w:leftChars="200" w:firstLine="420" w:firstLineChars="200"/>
        <w:rPr>
          <w:rFonts w:ascii="宋体" w:hAnsi="宋体" w:eastAsia="宋体" w:cs="宋体"/>
          <w:color w:val="auto"/>
          <w:kern w:val="0"/>
          <w:szCs w:val="21"/>
          <w:highlight w:val="none"/>
          <w:lang w:val="zh-CN"/>
        </w:rPr>
      </w:pPr>
    </w:p>
    <w:p w14:paraId="6F1927D2">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30</w:t>
      </w:r>
      <w:r>
        <w:rPr>
          <w:rFonts w:hint="eastAsia" w:ascii="宋体" w:hAnsi="宋体" w:eastAsia="宋体" w:cs="宋体"/>
          <w:b/>
          <w:bCs/>
          <w:color w:val="auto"/>
          <w:kern w:val="0"/>
          <w:szCs w:val="21"/>
          <w:highlight w:val="none"/>
          <w:lang w:val="zh-CN"/>
        </w:rPr>
        <w:t>分</w:t>
      </w:r>
    </w:p>
    <w:p w14:paraId="2BA2E233">
      <w:pPr>
        <w:autoSpaceDN w:val="0"/>
        <w:adjustRightInd w:val="0"/>
        <w:snapToGrid w:val="0"/>
        <w:spacing w:line="360" w:lineRule="auto"/>
        <w:ind w:left="420" w:leftChars="100" w:hanging="210" w:hanging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30</w:t>
      </w:r>
    </w:p>
    <w:p w14:paraId="37F19F71">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51E8E6A5">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234FF92C">
      <w:pPr>
        <w:spacing w:line="400" w:lineRule="exact"/>
        <w:ind w:firstLine="848" w:firstLineChars="404"/>
        <w:rPr>
          <w:rFonts w:ascii="宋体" w:hAnsi="宋体" w:eastAsia="宋体" w:cs="宋体"/>
          <w:color w:val="auto"/>
          <w:kern w:val="0"/>
          <w:szCs w:val="28"/>
          <w:highlight w:val="none"/>
          <w:lang w:val="zh-CN"/>
        </w:rPr>
      </w:pPr>
      <w:bookmarkStart w:id="864" w:name="_Toc31624_WPSOffice_Level2"/>
      <w:r>
        <w:rPr>
          <w:rFonts w:hint="eastAsia" w:ascii="宋体" w:hAnsi="宋体" w:eastAsia="宋体" w:cs="宋体"/>
          <w:color w:val="auto"/>
          <w:kern w:val="0"/>
          <w:szCs w:val="28"/>
          <w:highlight w:val="none"/>
          <w:lang w:val="zh-CN"/>
        </w:rPr>
        <w:t>评标总得分=F1＋F2＋……+Fn</w:t>
      </w:r>
      <w:bookmarkEnd w:id="864"/>
    </w:p>
    <w:p w14:paraId="0B97970B">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865" w:name="_Toc13236_WPSOffice_Level2"/>
      <w:r>
        <w:rPr>
          <w:rFonts w:hint="eastAsia" w:ascii="宋体" w:hAnsi="宋体" w:eastAsia="宋体" w:cs="宋体"/>
          <w:color w:val="auto"/>
          <w:kern w:val="0"/>
          <w:szCs w:val="21"/>
          <w:highlight w:val="none"/>
        </w:rPr>
        <w:t>F1、F2、……Fn分别为各项评分因素的得分</w:t>
      </w:r>
      <w:bookmarkEnd w:id="865"/>
      <w:r>
        <w:rPr>
          <w:rFonts w:hint="eastAsia" w:ascii="宋体" w:hAnsi="宋体" w:eastAsia="宋体" w:cs="宋体"/>
          <w:color w:val="auto"/>
          <w:kern w:val="0"/>
          <w:szCs w:val="21"/>
          <w:highlight w:val="none"/>
        </w:rPr>
        <w:t>。</w:t>
      </w:r>
    </w:p>
    <w:p w14:paraId="3BCD6614">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1069341A">
      <w:pPr>
        <w:autoSpaceDE w:val="0"/>
        <w:autoSpaceDN w:val="0"/>
        <w:adjustRightInd w:val="0"/>
        <w:spacing w:line="360" w:lineRule="auto"/>
        <w:jc w:val="center"/>
        <w:rPr>
          <w:rFonts w:ascii="宋体" w:hAnsi="宋体" w:eastAsia="宋体" w:cs="宋体"/>
          <w:b/>
          <w:bCs/>
          <w:color w:val="auto"/>
          <w:sz w:val="28"/>
          <w:szCs w:val="28"/>
          <w:highlight w:val="none"/>
        </w:rPr>
      </w:pPr>
      <w:bookmarkStart w:id="866" w:name="_Toc518_WPSOffice_Level1"/>
      <w:r>
        <w:rPr>
          <w:rFonts w:hint="eastAsia" w:ascii="宋体" w:hAnsi="宋体" w:eastAsia="宋体" w:cs="宋体"/>
          <w:b/>
          <w:bCs/>
          <w:color w:val="auto"/>
          <w:sz w:val="28"/>
          <w:szCs w:val="28"/>
          <w:highlight w:val="none"/>
          <w:lang w:val="zh-CN"/>
        </w:rPr>
        <w:t>五、推荐中标人</w:t>
      </w:r>
      <w:bookmarkEnd w:id="866"/>
    </w:p>
    <w:p w14:paraId="468226E9">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0EB44707">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4D18192F">
      <w:pPr>
        <w:widowControl/>
        <w:spacing w:line="360" w:lineRule="auto"/>
        <w:jc w:val="left"/>
        <w:rPr>
          <w:rFonts w:ascii="宋体" w:hAnsi="宋体" w:eastAsia="宋体" w:cs="宋体"/>
          <w:color w:val="auto"/>
          <w:kern w:val="0"/>
          <w:szCs w:val="21"/>
          <w:highlight w:val="none"/>
        </w:rPr>
      </w:pPr>
    </w:p>
    <w:p w14:paraId="15722799">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867" w:name="_Toc22724_WPSOffice_Level1"/>
      <w:r>
        <w:rPr>
          <w:rFonts w:hint="eastAsia" w:ascii="宋体" w:hAnsi="宋体" w:eastAsia="宋体" w:cs="宋体"/>
          <w:b/>
          <w:bCs/>
          <w:color w:val="auto"/>
          <w:sz w:val="28"/>
          <w:szCs w:val="28"/>
          <w:highlight w:val="none"/>
          <w:lang w:val="zh-CN"/>
        </w:rPr>
        <w:t>六、编写评标报告</w:t>
      </w:r>
      <w:bookmarkEnd w:id="867"/>
    </w:p>
    <w:p w14:paraId="14094E09">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58E7262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3D158E5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3A7DF05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3488912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3B1504D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2E8AE28D">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7CD338F9">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3F8514DB">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868" w:name="_Toc23773_WPSOffice_Level1"/>
      <w:r>
        <w:rPr>
          <w:rFonts w:hint="eastAsia" w:ascii="宋体" w:hAnsi="宋体" w:eastAsia="宋体" w:cs="宋体"/>
          <w:b/>
          <w:bCs/>
          <w:color w:val="auto"/>
          <w:sz w:val="28"/>
          <w:szCs w:val="28"/>
          <w:highlight w:val="none"/>
          <w:lang w:val="zh-CN"/>
        </w:rPr>
        <w:t>七、注意事项</w:t>
      </w:r>
      <w:bookmarkEnd w:id="868"/>
    </w:p>
    <w:p w14:paraId="0776B8BA">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w:t>
      </w:r>
      <w:r>
        <w:rPr>
          <w:rFonts w:hint="eastAsia" w:ascii="宋体" w:hAnsi="宋体" w:eastAsia="宋体" w:cs="宋体"/>
          <w:color w:val="auto"/>
          <w:szCs w:val="24"/>
          <w:highlight w:val="none"/>
          <w:lang w:val="en-US" w:eastAsia="zh-CN"/>
        </w:rPr>
        <w:t>其它</w:t>
      </w:r>
      <w:r>
        <w:rPr>
          <w:rFonts w:hint="eastAsia" w:ascii="宋体" w:hAnsi="宋体" w:eastAsia="宋体" w:cs="宋体"/>
          <w:color w:val="auto"/>
          <w:szCs w:val="24"/>
          <w:highlight w:val="none"/>
          <w:lang w:val="zh-CN"/>
        </w:rPr>
        <w:t>意外而造成的不良后果及影响，凡参加评审工作的人员都必须认真执行本规定：</w:t>
      </w:r>
    </w:p>
    <w:p w14:paraId="76A3908F">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w:t>
      </w:r>
      <w:r>
        <w:rPr>
          <w:rFonts w:hint="eastAsia" w:ascii="宋体" w:hAnsi="宋体" w:eastAsia="宋体" w:cs="宋体"/>
          <w:color w:val="auto"/>
          <w:szCs w:val="24"/>
          <w:highlight w:val="none"/>
          <w:lang w:val="en-US" w:eastAsia="zh-CN"/>
        </w:rPr>
        <w:t>其它</w:t>
      </w:r>
      <w:r>
        <w:rPr>
          <w:rFonts w:hint="eastAsia" w:ascii="宋体" w:hAnsi="宋体" w:eastAsia="宋体" w:cs="宋体"/>
          <w:color w:val="auto"/>
          <w:szCs w:val="24"/>
          <w:highlight w:val="none"/>
          <w:lang w:val="zh-CN"/>
        </w:rPr>
        <w:t>地方，所有的招标文件、投标文件、资料等一律编号登记；</w:t>
      </w:r>
    </w:p>
    <w:p w14:paraId="2EA1E534">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19A03618">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1A20E740">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488BAEC9">
      <w:pPr>
        <w:widowControl/>
        <w:jc w:val="left"/>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821"/>
    <w:bookmarkEnd w:id="842"/>
    <w:bookmarkEnd w:id="843"/>
    <w:bookmarkEnd w:id="844"/>
    <w:p w14:paraId="4CC88179">
      <w:pPr>
        <w:widowControl/>
        <w:jc w:val="left"/>
        <w:rPr>
          <w:rFonts w:ascii="宋体" w:hAnsi="宋体" w:eastAsia="宋体" w:cs="宋体"/>
          <w:color w:val="auto"/>
          <w:szCs w:val="24"/>
          <w:highlight w:val="none"/>
          <w:lang w:val="zh-CN"/>
        </w:rPr>
      </w:pPr>
    </w:p>
    <w:p w14:paraId="0CE87B1E">
      <w:pPr>
        <w:rPr>
          <w:color w:val="auto"/>
          <w:highlight w:val="none"/>
        </w:rPr>
      </w:pPr>
    </w:p>
    <w:p w14:paraId="05AE3321">
      <w:pPr>
        <w:rPr>
          <w:color w:val="auto"/>
          <w:highlight w:val="none"/>
        </w:rPr>
      </w:pPr>
    </w:p>
    <w:sectPr>
      <w:pgSz w:w="12240" w:h="15840"/>
      <w:pgMar w:top="1191" w:right="1043"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83827">
    <w:pPr>
      <w:pStyle w:val="26"/>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42787">
                          <w:pPr>
                            <w:pStyle w:val="26"/>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B442787">
                    <w:pPr>
                      <w:pStyle w:val="26"/>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81FCF">
    <w:pPr>
      <w:pStyle w:val="26"/>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1921D4">
                          <w:pPr>
                            <w:pStyle w:val="26"/>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51921D4">
                    <w:pPr>
                      <w:pStyle w:val="26"/>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6F329">
    <w:pPr>
      <w:pStyle w:val="2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A7BC8">
                          <w:pPr>
                            <w:pStyle w:val="26"/>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F8A7BC8">
                    <w:pPr>
                      <w:pStyle w:val="26"/>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5AABF">
    <w:pPr>
      <w:pStyle w:val="2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9F03C5">
                          <w:pPr>
                            <w:pStyle w:val="26"/>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D9F03C5">
                    <w:pPr>
                      <w:pStyle w:val="26"/>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FA016">
    <w:pPr>
      <w:pStyle w:val="2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378DD">
                          <w:pPr>
                            <w:pStyle w:val="26"/>
                          </w:pPr>
                          <w:r>
                            <w:t xml:space="preserve">第 </w:t>
                          </w:r>
                          <w:r>
                            <w:fldChar w:fldCharType="begin"/>
                          </w:r>
                          <w:r>
                            <w:instrText xml:space="preserve"> PAGE  \* MERGEFORMAT </w:instrText>
                          </w:r>
                          <w:r>
                            <w:fldChar w:fldCharType="separate"/>
                          </w:r>
                          <w:r>
                            <w:t>99</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8E378DD">
                    <w:pPr>
                      <w:pStyle w:val="26"/>
                    </w:pPr>
                    <w:r>
                      <w:t xml:space="preserve">第 </w:t>
                    </w:r>
                    <w:r>
                      <w:fldChar w:fldCharType="begin"/>
                    </w:r>
                    <w:r>
                      <w:instrText xml:space="preserve"> PAGE  \* MERGEFORMAT </w:instrText>
                    </w:r>
                    <w:r>
                      <w:fldChar w:fldCharType="separate"/>
                    </w:r>
                    <w:r>
                      <w:t>99</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F2EE2">
    <w:pPr>
      <w:pStyle w:val="2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5C4BBB">
                          <w:pPr>
                            <w:pStyle w:val="26"/>
                          </w:pPr>
                          <w:r>
                            <w:t xml:space="preserve">第 </w:t>
                          </w:r>
                          <w:r>
                            <w:fldChar w:fldCharType="begin"/>
                          </w:r>
                          <w:r>
                            <w:instrText xml:space="preserve"> PAGE  \* MERGEFORMAT </w:instrText>
                          </w:r>
                          <w:r>
                            <w:fldChar w:fldCharType="separate"/>
                          </w:r>
                          <w:r>
                            <w:t>98</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5C4BBB">
                    <w:pPr>
                      <w:pStyle w:val="26"/>
                    </w:pPr>
                    <w:r>
                      <w:t xml:space="preserve">第 </w:t>
                    </w:r>
                    <w:r>
                      <w:fldChar w:fldCharType="begin"/>
                    </w:r>
                    <w:r>
                      <w:instrText xml:space="preserve"> PAGE  \* MERGEFORMAT </w:instrText>
                    </w:r>
                    <w:r>
                      <w:fldChar w:fldCharType="separate"/>
                    </w:r>
                    <w:r>
                      <w:t>98</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9F616">
    <w:pPr>
      <w:pStyle w:val="26"/>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2A17B8">
                          <w:pPr>
                            <w:pStyle w:val="26"/>
                          </w:pPr>
                          <w:r>
                            <w:t xml:space="preserve">第 </w:t>
                          </w:r>
                          <w:r>
                            <w:fldChar w:fldCharType="begin"/>
                          </w:r>
                          <w:r>
                            <w:instrText xml:space="preserve"> PAGE  \* MERGEFORMAT </w:instrText>
                          </w:r>
                          <w:r>
                            <w:fldChar w:fldCharType="separate"/>
                          </w:r>
                          <w:r>
                            <w:t>103</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E2A17B8">
                    <w:pPr>
                      <w:pStyle w:val="26"/>
                    </w:pPr>
                    <w:r>
                      <w:t xml:space="preserve">第 </w:t>
                    </w:r>
                    <w:r>
                      <w:fldChar w:fldCharType="begin"/>
                    </w:r>
                    <w:r>
                      <w:instrText xml:space="preserve"> PAGE  \* MERGEFORMAT </w:instrText>
                    </w:r>
                    <w:r>
                      <w:fldChar w:fldCharType="separate"/>
                    </w:r>
                    <w:r>
                      <w:t>103</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v:textbox>
            </v:shape>
          </w:pict>
        </mc:Fallback>
      </mc:AlternateContent>
    </w:r>
  </w:p>
  <w:p w14:paraId="5EDC92AC">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17F1F47"/>
    <w:multiLevelType w:val="multilevel"/>
    <w:tmpl w:val="617F1F47"/>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1ZTE4OTAwY2NiYzZlYzZiZTFhNjA1Y2UyYzNjYmY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874D5"/>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50E6"/>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044713"/>
    <w:rsid w:val="023C37B3"/>
    <w:rsid w:val="028642E4"/>
    <w:rsid w:val="02B35D80"/>
    <w:rsid w:val="02FE5AC7"/>
    <w:rsid w:val="03030BB2"/>
    <w:rsid w:val="030D24B4"/>
    <w:rsid w:val="037B6451"/>
    <w:rsid w:val="03C25E33"/>
    <w:rsid w:val="0490200A"/>
    <w:rsid w:val="04DD5D12"/>
    <w:rsid w:val="0539563E"/>
    <w:rsid w:val="058F7720"/>
    <w:rsid w:val="05C40BDE"/>
    <w:rsid w:val="05C8750C"/>
    <w:rsid w:val="05CC15BC"/>
    <w:rsid w:val="05F54978"/>
    <w:rsid w:val="061708DD"/>
    <w:rsid w:val="0639341C"/>
    <w:rsid w:val="0643560B"/>
    <w:rsid w:val="06447858"/>
    <w:rsid w:val="069F4A94"/>
    <w:rsid w:val="06A75D00"/>
    <w:rsid w:val="06BF21B8"/>
    <w:rsid w:val="06F259D1"/>
    <w:rsid w:val="06F4189A"/>
    <w:rsid w:val="07463A70"/>
    <w:rsid w:val="07A744B6"/>
    <w:rsid w:val="07A750B9"/>
    <w:rsid w:val="07B92A66"/>
    <w:rsid w:val="07DB167E"/>
    <w:rsid w:val="07DE0851"/>
    <w:rsid w:val="093F3118"/>
    <w:rsid w:val="097F55EA"/>
    <w:rsid w:val="09A609E3"/>
    <w:rsid w:val="09B259BF"/>
    <w:rsid w:val="09FC6C3A"/>
    <w:rsid w:val="09FE5452"/>
    <w:rsid w:val="0A1F2635"/>
    <w:rsid w:val="0A622F41"/>
    <w:rsid w:val="0A7D3253"/>
    <w:rsid w:val="0B671F13"/>
    <w:rsid w:val="0B7168EE"/>
    <w:rsid w:val="0B93537C"/>
    <w:rsid w:val="0B9F2439"/>
    <w:rsid w:val="0BE470A9"/>
    <w:rsid w:val="0C8353F1"/>
    <w:rsid w:val="0CCB0971"/>
    <w:rsid w:val="0CE20369"/>
    <w:rsid w:val="0CEA60E3"/>
    <w:rsid w:val="0CF103CF"/>
    <w:rsid w:val="0D214E57"/>
    <w:rsid w:val="0D26294C"/>
    <w:rsid w:val="0D295F98"/>
    <w:rsid w:val="0D662D48"/>
    <w:rsid w:val="0D7001DA"/>
    <w:rsid w:val="0DB0061E"/>
    <w:rsid w:val="0E2C2506"/>
    <w:rsid w:val="0E7B0F90"/>
    <w:rsid w:val="0E8C4C06"/>
    <w:rsid w:val="0F241091"/>
    <w:rsid w:val="0F490B74"/>
    <w:rsid w:val="0F5372FC"/>
    <w:rsid w:val="0F96368D"/>
    <w:rsid w:val="10264E6C"/>
    <w:rsid w:val="10343FF3"/>
    <w:rsid w:val="104906FF"/>
    <w:rsid w:val="1053674F"/>
    <w:rsid w:val="12244F80"/>
    <w:rsid w:val="126B7053"/>
    <w:rsid w:val="127F43C7"/>
    <w:rsid w:val="12BD721E"/>
    <w:rsid w:val="12C11E6A"/>
    <w:rsid w:val="130F4A87"/>
    <w:rsid w:val="133A1349"/>
    <w:rsid w:val="1381624B"/>
    <w:rsid w:val="13A56B55"/>
    <w:rsid w:val="13A91BE1"/>
    <w:rsid w:val="13E1581F"/>
    <w:rsid w:val="13F721DF"/>
    <w:rsid w:val="14470AF8"/>
    <w:rsid w:val="147E1E08"/>
    <w:rsid w:val="14951983"/>
    <w:rsid w:val="15071C47"/>
    <w:rsid w:val="156133DF"/>
    <w:rsid w:val="159E495B"/>
    <w:rsid w:val="15EC4007"/>
    <w:rsid w:val="16530015"/>
    <w:rsid w:val="16CF61E0"/>
    <w:rsid w:val="17107188"/>
    <w:rsid w:val="172A2B95"/>
    <w:rsid w:val="17C973B3"/>
    <w:rsid w:val="17E21008"/>
    <w:rsid w:val="18171E8B"/>
    <w:rsid w:val="18200528"/>
    <w:rsid w:val="185B3D13"/>
    <w:rsid w:val="18BA6F89"/>
    <w:rsid w:val="18CF523B"/>
    <w:rsid w:val="19023CDF"/>
    <w:rsid w:val="1928081B"/>
    <w:rsid w:val="193C69A9"/>
    <w:rsid w:val="19B44505"/>
    <w:rsid w:val="1A730089"/>
    <w:rsid w:val="1AA75456"/>
    <w:rsid w:val="1B0940FF"/>
    <w:rsid w:val="1B892C01"/>
    <w:rsid w:val="1BDB0DA5"/>
    <w:rsid w:val="1C161677"/>
    <w:rsid w:val="1CC61A56"/>
    <w:rsid w:val="1D9B4C90"/>
    <w:rsid w:val="1DFC4F05"/>
    <w:rsid w:val="1E2471AC"/>
    <w:rsid w:val="1E4A0464"/>
    <w:rsid w:val="1E533470"/>
    <w:rsid w:val="1E5D0198"/>
    <w:rsid w:val="1F443302"/>
    <w:rsid w:val="1FCC0DB8"/>
    <w:rsid w:val="1FD417EE"/>
    <w:rsid w:val="1FFC6A71"/>
    <w:rsid w:val="20110CBD"/>
    <w:rsid w:val="203B632D"/>
    <w:rsid w:val="207A1985"/>
    <w:rsid w:val="20B72CE7"/>
    <w:rsid w:val="21632106"/>
    <w:rsid w:val="21920158"/>
    <w:rsid w:val="220625B1"/>
    <w:rsid w:val="222334A6"/>
    <w:rsid w:val="22407BB4"/>
    <w:rsid w:val="226F4F56"/>
    <w:rsid w:val="23011CAA"/>
    <w:rsid w:val="234266D3"/>
    <w:rsid w:val="23B665A6"/>
    <w:rsid w:val="23EE5897"/>
    <w:rsid w:val="23EF1892"/>
    <w:rsid w:val="23FD01D9"/>
    <w:rsid w:val="24F45147"/>
    <w:rsid w:val="267F6174"/>
    <w:rsid w:val="26C64400"/>
    <w:rsid w:val="26EA2974"/>
    <w:rsid w:val="276947E2"/>
    <w:rsid w:val="27842B81"/>
    <w:rsid w:val="27E26EA0"/>
    <w:rsid w:val="27FB0AD0"/>
    <w:rsid w:val="281C69CE"/>
    <w:rsid w:val="286E02B3"/>
    <w:rsid w:val="28B33702"/>
    <w:rsid w:val="28CD7B64"/>
    <w:rsid w:val="28DA73F5"/>
    <w:rsid w:val="29665695"/>
    <w:rsid w:val="2996630C"/>
    <w:rsid w:val="29A758A6"/>
    <w:rsid w:val="29E63CF8"/>
    <w:rsid w:val="2A490C09"/>
    <w:rsid w:val="2A515FFE"/>
    <w:rsid w:val="2A6B64D6"/>
    <w:rsid w:val="2A7E571E"/>
    <w:rsid w:val="2AAD5E79"/>
    <w:rsid w:val="2ABB774C"/>
    <w:rsid w:val="2AC03215"/>
    <w:rsid w:val="2B5453C7"/>
    <w:rsid w:val="2C5A747A"/>
    <w:rsid w:val="2C6F395B"/>
    <w:rsid w:val="2C85114F"/>
    <w:rsid w:val="2CCB46DD"/>
    <w:rsid w:val="2CDD2E15"/>
    <w:rsid w:val="2CFC2BFE"/>
    <w:rsid w:val="2D1F59ED"/>
    <w:rsid w:val="2D3A6CF2"/>
    <w:rsid w:val="2DB11966"/>
    <w:rsid w:val="2DC0362C"/>
    <w:rsid w:val="2DEB3A4C"/>
    <w:rsid w:val="2E3D039E"/>
    <w:rsid w:val="2E444588"/>
    <w:rsid w:val="2E460521"/>
    <w:rsid w:val="2E5B4832"/>
    <w:rsid w:val="2EBF58E2"/>
    <w:rsid w:val="2F5E2A08"/>
    <w:rsid w:val="2F9432ED"/>
    <w:rsid w:val="2FAC4D55"/>
    <w:rsid w:val="308F348B"/>
    <w:rsid w:val="30AC28B9"/>
    <w:rsid w:val="30D836AE"/>
    <w:rsid w:val="314D028A"/>
    <w:rsid w:val="31722022"/>
    <w:rsid w:val="31726538"/>
    <w:rsid w:val="31750988"/>
    <w:rsid w:val="31E84412"/>
    <w:rsid w:val="31FC479D"/>
    <w:rsid w:val="32270D81"/>
    <w:rsid w:val="32454D73"/>
    <w:rsid w:val="328C22B5"/>
    <w:rsid w:val="32C1784B"/>
    <w:rsid w:val="331A44A4"/>
    <w:rsid w:val="3350577D"/>
    <w:rsid w:val="33CA5530"/>
    <w:rsid w:val="33FA3DE9"/>
    <w:rsid w:val="34006A3F"/>
    <w:rsid w:val="3425709A"/>
    <w:rsid w:val="34E41523"/>
    <w:rsid w:val="351965A5"/>
    <w:rsid w:val="352E1AEE"/>
    <w:rsid w:val="355530AA"/>
    <w:rsid w:val="359B2A95"/>
    <w:rsid w:val="364631D7"/>
    <w:rsid w:val="36471BC4"/>
    <w:rsid w:val="368928C2"/>
    <w:rsid w:val="38635F53"/>
    <w:rsid w:val="389C3799"/>
    <w:rsid w:val="38E43446"/>
    <w:rsid w:val="397A6507"/>
    <w:rsid w:val="39EA4BD6"/>
    <w:rsid w:val="3A2F188D"/>
    <w:rsid w:val="3B1F29B6"/>
    <w:rsid w:val="3B8E088C"/>
    <w:rsid w:val="3B9971A7"/>
    <w:rsid w:val="3C6A262C"/>
    <w:rsid w:val="3C7B33BE"/>
    <w:rsid w:val="3CBD2CEE"/>
    <w:rsid w:val="3CC11A94"/>
    <w:rsid w:val="3CF63839"/>
    <w:rsid w:val="3D022F30"/>
    <w:rsid w:val="3D2A17AE"/>
    <w:rsid w:val="3D502128"/>
    <w:rsid w:val="3F1507CD"/>
    <w:rsid w:val="3F4E4BB7"/>
    <w:rsid w:val="3F5B255F"/>
    <w:rsid w:val="3F635161"/>
    <w:rsid w:val="3FA96189"/>
    <w:rsid w:val="3FF25C5F"/>
    <w:rsid w:val="40380B94"/>
    <w:rsid w:val="40B530C4"/>
    <w:rsid w:val="40C8729B"/>
    <w:rsid w:val="41166258"/>
    <w:rsid w:val="41325A95"/>
    <w:rsid w:val="4178464C"/>
    <w:rsid w:val="41984EBF"/>
    <w:rsid w:val="41AD5556"/>
    <w:rsid w:val="41C731CB"/>
    <w:rsid w:val="42065753"/>
    <w:rsid w:val="432B1D63"/>
    <w:rsid w:val="43641046"/>
    <w:rsid w:val="43795002"/>
    <w:rsid w:val="43B50E83"/>
    <w:rsid w:val="43C24475"/>
    <w:rsid w:val="43F60D08"/>
    <w:rsid w:val="44095C00"/>
    <w:rsid w:val="444805A0"/>
    <w:rsid w:val="44A02DC8"/>
    <w:rsid w:val="44E55806"/>
    <w:rsid w:val="45FA35DE"/>
    <w:rsid w:val="460D3842"/>
    <w:rsid w:val="4689164E"/>
    <w:rsid w:val="471C20EE"/>
    <w:rsid w:val="47394CDD"/>
    <w:rsid w:val="47676826"/>
    <w:rsid w:val="47BC11DC"/>
    <w:rsid w:val="47E853ED"/>
    <w:rsid w:val="480037BE"/>
    <w:rsid w:val="487D6BBD"/>
    <w:rsid w:val="48C2463F"/>
    <w:rsid w:val="493545EF"/>
    <w:rsid w:val="4A3E412A"/>
    <w:rsid w:val="4A435BF5"/>
    <w:rsid w:val="4AD706E7"/>
    <w:rsid w:val="4B434B4F"/>
    <w:rsid w:val="4B673B0D"/>
    <w:rsid w:val="4B904E59"/>
    <w:rsid w:val="4BAB637D"/>
    <w:rsid w:val="4BB86E3D"/>
    <w:rsid w:val="4BC2393C"/>
    <w:rsid w:val="4BC76F58"/>
    <w:rsid w:val="4BE11211"/>
    <w:rsid w:val="4D53613E"/>
    <w:rsid w:val="4D980E69"/>
    <w:rsid w:val="4DEE6E44"/>
    <w:rsid w:val="4DF41031"/>
    <w:rsid w:val="4E946A0E"/>
    <w:rsid w:val="4F063B7D"/>
    <w:rsid w:val="4F0A4599"/>
    <w:rsid w:val="4F3558FD"/>
    <w:rsid w:val="4F5A1578"/>
    <w:rsid w:val="4FCD1AFA"/>
    <w:rsid w:val="50526B81"/>
    <w:rsid w:val="508C2093"/>
    <w:rsid w:val="50D15CF8"/>
    <w:rsid w:val="512E7B91"/>
    <w:rsid w:val="51695CCD"/>
    <w:rsid w:val="51AA0CDA"/>
    <w:rsid w:val="51D95361"/>
    <w:rsid w:val="520E08A3"/>
    <w:rsid w:val="52F80915"/>
    <w:rsid w:val="53B1278D"/>
    <w:rsid w:val="54B113CD"/>
    <w:rsid w:val="54B4693D"/>
    <w:rsid w:val="54C47921"/>
    <w:rsid w:val="54FC5843"/>
    <w:rsid w:val="5528619D"/>
    <w:rsid w:val="55464928"/>
    <w:rsid w:val="562B0474"/>
    <w:rsid w:val="568802DB"/>
    <w:rsid w:val="56B37004"/>
    <w:rsid w:val="56F75BBB"/>
    <w:rsid w:val="574B60D8"/>
    <w:rsid w:val="57A672CB"/>
    <w:rsid w:val="57B87AC7"/>
    <w:rsid w:val="57B9743E"/>
    <w:rsid w:val="588D0DD8"/>
    <w:rsid w:val="58DE5456"/>
    <w:rsid w:val="59633BAD"/>
    <w:rsid w:val="59CA7788"/>
    <w:rsid w:val="5A0A0398"/>
    <w:rsid w:val="5A1522A3"/>
    <w:rsid w:val="5AF80E46"/>
    <w:rsid w:val="5B0647F0"/>
    <w:rsid w:val="5B5E5095"/>
    <w:rsid w:val="5B9C7D19"/>
    <w:rsid w:val="5BB33B2B"/>
    <w:rsid w:val="5BE12FA3"/>
    <w:rsid w:val="5C213498"/>
    <w:rsid w:val="5C2F7D76"/>
    <w:rsid w:val="5C3E7B0B"/>
    <w:rsid w:val="5C5236FE"/>
    <w:rsid w:val="5CE83505"/>
    <w:rsid w:val="5D663C6C"/>
    <w:rsid w:val="5D8866EC"/>
    <w:rsid w:val="5D9E1593"/>
    <w:rsid w:val="5DE16AE2"/>
    <w:rsid w:val="5EBF421E"/>
    <w:rsid w:val="5EC4703C"/>
    <w:rsid w:val="5F553F98"/>
    <w:rsid w:val="5FF26C90"/>
    <w:rsid w:val="5FFB6C0F"/>
    <w:rsid w:val="60970ACB"/>
    <w:rsid w:val="60A305BA"/>
    <w:rsid w:val="61354081"/>
    <w:rsid w:val="61573A30"/>
    <w:rsid w:val="61D00235"/>
    <w:rsid w:val="623C4F9B"/>
    <w:rsid w:val="62B13874"/>
    <w:rsid w:val="63092EF6"/>
    <w:rsid w:val="63495780"/>
    <w:rsid w:val="63672753"/>
    <w:rsid w:val="63B86436"/>
    <w:rsid w:val="640847DE"/>
    <w:rsid w:val="64560BA5"/>
    <w:rsid w:val="645779AB"/>
    <w:rsid w:val="64E060B2"/>
    <w:rsid w:val="650225FA"/>
    <w:rsid w:val="65395875"/>
    <w:rsid w:val="653A1C66"/>
    <w:rsid w:val="65444757"/>
    <w:rsid w:val="65D218F7"/>
    <w:rsid w:val="65E62E7A"/>
    <w:rsid w:val="66007604"/>
    <w:rsid w:val="66081D64"/>
    <w:rsid w:val="67167698"/>
    <w:rsid w:val="67BB5990"/>
    <w:rsid w:val="68607E3D"/>
    <w:rsid w:val="68822DC9"/>
    <w:rsid w:val="697C3B7E"/>
    <w:rsid w:val="699658D9"/>
    <w:rsid w:val="69CF5E41"/>
    <w:rsid w:val="69D32689"/>
    <w:rsid w:val="6A3A04F9"/>
    <w:rsid w:val="6A7F223B"/>
    <w:rsid w:val="6A8E3D35"/>
    <w:rsid w:val="6AAD178D"/>
    <w:rsid w:val="6AE606B8"/>
    <w:rsid w:val="6B2805C9"/>
    <w:rsid w:val="6B8A209B"/>
    <w:rsid w:val="6C1B20C5"/>
    <w:rsid w:val="6C1B3E73"/>
    <w:rsid w:val="6CB2741C"/>
    <w:rsid w:val="6CC649E7"/>
    <w:rsid w:val="6D321474"/>
    <w:rsid w:val="6D6B4986"/>
    <w:rsid w:val="6D9B0DCA"/>
    <w:rsid w:val="6DA45ED8"/>
    <w:rsid w:val="6E4234CA"/>
    <w:rsid w:val="6E5518BE"/>
    <w:rsid w:val="6E582A1A"/>
    <w:rsid w:val="6E7206C2"/>
    <w:rsid w:val="6E7656C8"/>
    <w:rsid w:val="6E8263E6"/>
    <w:rsid w:val="6E8B1784"/>
    <w:rsid w:val="6F1654F2"/>
    <w:rsid w:val="6F5F71DE"/>
    <w:rsid w:val="6F6F261D"/>
    <w:rsid w:val="6FAD1EDF"/>
    <w:rsid w:val="6FBF064E"/>
    <w:rsid w:val="6FC50CC6"/>
    <w:rsid w:val="70826EAE"/>
    <w:rsid w:val="70E47206"/>
    <w:rsid w:val="70F52EE5"/>
    <w:rsid w:val="70F85707"/>
    <w:rsid w:val="71222860"/>
    <w:rsid w:val="72A03F09"/>
    <w:rsid w:val="730B69EF"/>
    <w:rsid w:val="734D525A"/>
    <w:rsid w:val="73C36922"/>
    <w:rsid w:val="740C6EC3"/>
    <w:rsid w:val="743D7CF2"/>
    <w:rsid w:val="7503531D"/>
    <w:rsid w:val="75096F5F"/>
    <w:rsid w:val="7516167C"/>
    <w:rsid w:val="763627BA"/>
    <w:rsid w:val="7648689B"/>
    <w:rsid w:val="76BE1FCB"/>
    <w:rsid w:val="76DF534A"/>
    <w:rsid w:val="779B0A09"/>
    <w:rsid w:val="786C377E"/>
    <w:rsid w:val="78A9381D"/>
    <w:rsid w:val="78DD11C9"/>
    <w:rsid w:val="7904127D"/>
    <w:rsid w:val="791F5A5A"/>
    <w:rsid w:val="79420BD7"/>
    <w:rsid w:val="795B4373"/>
    <w:rsid w:val="79C97A09"/>
    <w:rsid w:val="7A34315B"/>
    <w:rsid w:val="7A4A774A"/>
    <w:rsid w:val="7B42141C"/>
    <w:rsid w:val="7B6A0D0F"/>
    <w:rsid w:val="7B842D4C"/>
    <w:rsid w:val="7BA16C85"/>
    <w:rsid w:val="7BAD6D4E"/>
    <w:rsid w:val="7C203ED4"/>
    <w:rsid w:val="7C2C50CE"/>
    <w:rsid w:val="7CA83501"/>
    <w:rsid w:val="7D6457E7"/>
    <w:rsid w:val="7D695875"/>
    <w:rsid w:val="7DD23729"/>
    <w:rsid w:val="7EC81D47"/>
    <w:rsid w:val="7EDF3D6D"/>
    <w:rsid w:val="7F170842"/>
    <w:rsid w:val="7F4A3E6A"/>
    <w:rsid w:val="7F871C4A"/>
    <w:rsid w:val="7FDF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1"/>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2">
    <w:name w:val="heading 2"/>
    <w:basedOn w:val="1"/>
    <w:next w:val="1"/>
    <w:link w:val="49"/>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45"/>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1"/>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3"/>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3"/>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4"/>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5"/>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6"/>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5"/>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4"/>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7"/>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4"/>
    <w:unhideWhenUsed/>
    <w:qFormat/>
    <w:uiPriority w:val="99"/>
    <w:pPr>
      <w:jc w:val="left"/>
    </w:pPr>
  </w:style>
  <w:style w:type="paragraph" w:styleId="17">
    <w:name w:val="Body Text 3"/>
    <w:basedOn w:val="1"/>
    <w:link w:val="157"/>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119"/>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2"/>
    <w:basedOn w:val="1"/>
    <w:link w:val="144"/>
    <w:qFormat/>
    <w:uiPriority w:val="0"/>
    <w:pPr>
      <w:tabs>
        <w:tab w:val="left" w:pos="0"/>
      </w:tabs>
      <w:spacing w:line="400" w:lineRule="atLeast"/>
    </w:pPr>
    <w:rPr>
      <w:rFonts w:ascii="Arial" w:hAnsi="Arial" w:eastAsia="宋体" w:cs="Times New Roman"/>
      <w:color w:val="000000"/>
      <w:szCs w:val="24"/>
    </w:rPr>
  </w:style>
  <w:style w:type="paragraph" w:styleId="20">
    <w:name w:val="Body Text Indent"/>
    <w:basedOn w:val="1"/>
    <w:next w:val="1"/>
    <w:link w:val="93"/>
    <w:qFormat/>
    <w:uiPriority w:val="0"/>
    <w:pPr>
      <w:ind w:left="567" w:leftChars="270"/>
    </w:pPr>
    <w:rPr>
      <w:rFonts w:ascii="Times New Roman" w:hAnsi="Times New Roman" w:eastAsia="宋体" w:cs="Times New Roman"/>
      <w:szCs w:val="20"/>
    </w:rPr>
  </w:style>
  <w:style w:type="paragraph" w:styleId="21">
    <w:name w:val="toc 3"/>
    <w:basedOn w:val="1"/>
    <w:next w:val="1"/>
    <w:unhideWhenUsed/>
    <w:qFormat/>
    <w:uiPriority w:val="39"/>
    <w:pPr>
      <w:tabs>
        <w:tab w:val="right" w:leader="dot" w:pos="10144"/>
      </w:tabs>
      <w:ind w:left="840" w:leftChars="400"/>
    </w:pPr>
  </w:style>
  <w:style w:type="paragraph" w:styleId="22">
    <w:name w:val="Plain Text"/>
    <w:basedOn w:val="1"/>
    <w:link w:val="101"/>
    <w:qFormat/>
    <w:uiPriority w:val="0"/>
    <w:rPr>
      <w:rFonts w:ascii="宋体" w:hAnsi="Courier New" w:eastAsia="宋体"/>
    </w:rPr>
  </w:style>
  <w:style w:type="paragraph" w:styleId="23">
    <w:name w:val="Date"/>
    <w:basedOn w:val="1"/>
    <w:next w:val="1"/>
    <w:link w:val="109"/>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102"/>
    <w:qFormat/>
    <w:uiPriority w:val="0"/>
    <w:pPr>
      <w:tabs>
        <w:tab w:val="left" w:pos="8640"/>
      </w:tabs>
      <w:ind w:left="1260"/>
    </w:pPr>
    <w:rPr>
      <w:rFonts w:ascii="宋体" w:hAnsi="Times New Roman" w:eastAsia="宋体" w:cs="Times New Roman"/>
      <w:szCs w:val="20"/>
    </w:rPr>
  </w:style>
  <w:style w:type="paragraph" w:styleId="25">
    <w:name w:val="Balloon Text"/>
    <w:basedOn w:val="1"/>
    <w:link w:val="75"/>
    <w:qFormat/>
    <w:uiPriority w:val="0"/>
    <w:rPr>
      <w:rFonts w:ascii="Times New Roman" w:hAnsi="Times New Roman" w:eastAsia="宋体" w:cs="Times New Roman"/>
      <w:sz w:val="18"/>
      <w:szCs w:val="18"/>
    </w:rPr>
  </w:style>
  <w:style w:type="paragraph" w:styleId="26">
    <w:name w:val="footer"/>
    <w:basedOn w:val="1"/>
    <w:link w:val="79"/>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21"/>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unhideWhenUsed/>
    <w:qFormat/>
    <w:uiPriority w:val="39"/>
  </w:style>
  <w:style w:type="paragraph" w:styleId="29">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30">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1">
    <w:name w:val="Body Text Indent 3"/>
    <w:basedOn w:val="1"/>
    <w:link w:val="155"/>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2">
    <w:name w:val="toc 2"/>
    <w:basedOn w:val="1"/>
    <w:next w:val="1"/>
    <w:semiHidden/>
    <w:unhideWhenUsed/>
    <w:qFormat/>
    <w:uiPriority w:val="39"/>
    <w:pPr>
      <w:ind w:left="420" w:leftChars="200"/>
    </w:pPr>
  </w:style>
  <w:style w:type="paragraph" w:styleId="33">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4">
    <w:name w:val="Normal (Web)"/>
    <w:basedOn w:val="1"/>
    <w:link w:val="94"/>
    <w:qFormat/>
    <w:uiPriority w:val="0"/>
    <w:pPr>
      <w:widowControl/>
      <w:spacing w:before="100" w:beforeAutospacing="1" w:after="100" w:afterAutospacing="1"/>
      <w:jc w:val="left"/>
    </w:pPr>
    <w:rPr>
      <w:rFonts w:ascii="宋体" w:hAnsi="宋体"/>
      <w:sz w:val="15"/>
      <w:szCs w:val="15"/>
    </w:rPr>
  </w:style>
  <w:style w:type="paragraph" w:styleId="35">
    <w:name w:val="Title"/>
    <w:basedOn w:val="1"/>
    <w:next w:val="1"/>
    <w:link w:val="59"/>
    <w:qFormat/>
    <w:uiPriority w:val="10"/>
    <w:pPr>
      <w:spacing w:before="120" w:after="60" w:line="300" w:lineRule="auto"/>
      <w:jc w:val="left"/>
      <w:outlineLvl w:val="0"/>
    </w:pPr>
    <w:rPr>
      <w:rFonts w:ascii="等线 Light" w:hAnsi="等线 Light" w:eastAsia="仿宋"/>
      <w:b/>
      <w:bCs/>
      <w:sz w:val="28"/>
      <w:szCs w:val="32"/>
    </w:rPr>
  </w:style>
  <w:style w:type="paragraph" w:styleId="36">
    <w:name w:val="annotation subject"/>
    <w:basedOn w:val="16"/>
    <w:next w:val="16"/>
    <w:link w:val="111"/>
    <w:qFormat/>
    <w:uiPriority w:val="99"/>
    <w:pPr>
      <w:autoSpaceDE w:val="0"/>
      <w:autoSpaceDN w:val="0"/>
      <w:adjustRightInd w:val="0"/>
    </w:pPr>
    <w:rPr>
      <w:rFonts w:ascii="宋体" w:hAnsi="Times New Roman" w:eastAsia="宋体" w:cs="Times New Roman"/>
      <w:b/>
      <w:bCs/>
      <w:kern w:val="0"/>
      <w:sz w:val="24"/>
      <w:szCs w:val="24"/>
    </w:rPr>
  </w:style>
  <w:style w:type="paragraph" w:styleId="37">
    <w:name w:val="Body Text First Indent"/>
    <w:basedOn w:val="18"/>
    <w:next w:val="38"/>
    <w:link w:val="202"/>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38">
    <w:name w:val="Body Text First Indent 2"/>
    <w:basedOn w:val="20"/>
    <w:next w:val="12"/>
    <w:qFormat/>
    <w:uiPriority w:val="0"/>
    <w:pPr>
      <w:ind w:firstLine="420" w:firstLineChars="200"/>
    </w:pPr>
    <w:rPr>
      <w:szCs w:val="24"/>
    </w:rPr>
  </w:style>
  <w:style w:type="table" w:styleId="40">
    <w:name w:val="Table Grid"/>
    <w:basedOn w:val="39"/>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FollowedHyperlink"/>
    <w:unhideWhenUsed/>
    <w:qFormat/>
    <w:uiPriority w:val="99"/>
    <w:rPr>
      <w:color w:val="954F72"/>
      <w:u w:val="single"/>
    </w:rPr>
  </w:style>
  <w:style w:type="character" w:styleId="44">
    <w:name w:val="Emphasis"/>
    <w:qFormat/>
    <w:uiPriority w:val="0"/>
    <w:rPr>
      <w:i/>
      <w:iCs/>
    </w:rPr>
  </w:style>
  <w:style w:type="character" w:styleId="45">
    <w:name w:val="Hyperlink"/>
    <w:qFormat/>
    <w:uiPriority w:val="99"/>
    <w:rPr>
      <w:rFonts w:hint="default" w:ascii="Arial" w:hAnsi="Arial" w:cs="Arial"/>
      <w:color w:val="000000"/>
      <w:sz w:val="20"/>
      <w:szCs w:val="20"/>
      <w:u w:val="none"/>
    </w:rPr>
  </w:style>
  <w:style w:type="character" w:styleId="46">
    <w:name w:val="annotation reference"/>
    <w:qFormat/>
    <w:uiPriority w:val="99"/>
    <w:rPr>
      <w:sz w:val="21"/>
      <w:szCs w:val="21"/>
    </w:rPr>
  </w:style>
  <w:style w:type="paragraph" w:customStyle="1" w:styleId="47">
    <w:name w:val="首行缩进"/>
    <w:basedOn w:val="1"/>
    <w:qFormat/>
    <w:uiPriority w:val="0"/>
    <w:pPr>
      <w:ind w:firstLine="480" w:firstLineChars="200"/>
    </w:pPr>
    <w:rPr>
      <w:lang w:val="zh-CN"/>
    </w:rPr>
  </w:style>
  <w:style w:type="character" w:customStyle="1" w:styleId="48">
    <w:name w:val="标题 1 字符"/>
    <w:basedOn w:val="41"/>
    <w:qFormat/>
    <w:uiPriority w:val="0"/>
    <w:rPr>
      <w:b/>
      <w:bCs/>
      <w:kern w:val="44"/>
      <w:sz w:val="44"/>
      <w:szCs w:val="44"/>
    </w:rPr>
  </w:style>
  <w:style w:type="character" w:customStyle="1" w:styleId="49">
    <w:name w:val="标题 2 Char"/>
    <w:basedOn w:val="41"/>
    <w:link w:val="2"/>
    <w:qFormat/>
    <w:uiPriority w:val="0"/>
    <w:rPr>
      <w:rFonts w:ascii="宋体" w:hAnsi="Calibri" w:eastAsia="宋体" w:cs="Times New Roman"/>
      <w:kern w:val="0"/>
      <w:sz w:val="24"/>
      <w:szCs w:val="24"/>
    </w:rPr>
  </w:style>
  <w:style w:type="character" w:customStyle="1" w:styleId="50">
    <w:name w:val="标题 3 字符"/>
    <w:basedOn w:val="41"/>
    <w:qFormat/>
    <w:uiPriority w:val="0"/>
    <w:rPr>
      <w:b/>
      <w:bCs/>
      <w:sz w:val="32"/>
      <w:szCs w:val="32"/>
    </w:rPr>
  </w:style>
  <w:style w:type="character" w:customStyle="1" w:styleId="51">
    <w:name w:val="标题 4 Char1"/>
    <w:basedOn w:val="41"/>
    <w:link w:val="5"/>
    <w:qFormat/>
    <w:uiPriority w:val="9"/>
    <w:rPr>
      <w:rFonts w:ascii="Arial" w:hAnsi="Arial" w:eastAsia="黑体" w:cs="Times New Roman"/>
      <w:b/>
      <w:bCs/>
      <w:kern w:val="0"/>
      <w:sz w:val="28"/>
      <w:szCs w:val="28"/>
    </w:rPr>
  </w:style>
  <w:style w:type="character" w:customStyle="1" w:styleId="52">
    <w:name w:val="标题 5 字符"/>
    <w:basedOn w:val="41"/>
    <w:qFormat/>
    <w:uiPriority w:val="9"/>
    <w:rPr>
      <w:b/>
      <w:bCs/>
      <w:sz w:val="28"/>
      <w:szCs w:val="28"/>
    </w:rPr>
  </w:style>
  <w:style w:type="character" w:customStyle="1" w:styleId="53">
    <w:name w:val="标题 6 字符"/>
    <w:basedOn w:val="41"/>
    <w:qFormat/>
    <w:uiPriority w:val="0"/>
    <w:rPr>
      <w:rFonts w:asciiTheme="majorHAnsi" w:hAnsiTheme="majorHAnsi" w:eastAsiaTheme="majorEastAsia" w:cstheme="majorBidi"/>
      <w:b/>
      <w:bCs/>
      <w:sz w:val="24"/>
      <w:szCs w:val="24"/>
    </w:rPr>
  </w:style>
  <w:style w:type="character" w:customStyle="1" w:styleId="54">
    <w:name w:val="标题 7 Char"/>
    <w:basedOn w:val="41"/>
    <w:link w:val="9"/>
    <w:qFormat/>
    <w:uiPriority w:val="9"/>
    <w:rPr>
      <w:rFonts w:ascii="Times New Roman" w:hAnsi="Calibri" w:eastAsia="黑体" w:cs="Times New Roman"/>
      <w:b/>
      <w:bCs/>
      <w:kern w:val="0"/>
      <w:sz w:val="28"/>
      <w:szCs w:val="24"/>
    </w:rPr>
  </w:style>
  <w:style w:type="character" w:customStyle="1" w:styleId="55">
    <w:name w:val="标题 8 Char"/>
    <w:basedOn w:val="41"/>
    <w:link w:val="10"/>
    <w:qFormat/>
    <w:uiPriority w:val="9"/>
    <w:rPr>
      <w:rFonts w:ascii="Times New Roman" w:hAnsi="Calibri" w:eastAsia="黑体" w:cs="Times New Roman"/>
      <w:b/>
      <w:kern w:val="0"/>
      <w:sz w:val="28"/>
      <w:szCs w:val="24"/>
    </w:rPr>
  </w:style>
  <w:style w:type="character" w:customStyle="1" w:styleId="56">
    <w:name w:val="标题 9 Char"/>
    <w:basedOn w:val="41"/>
    <w:link w:val="11"/>
    <w:qFormat/>
    <w:uiPriority w:val="9"/>
    <w:rPr>
      <w:rFonts w:ascii="Times New Roman" w:hAnsi="Calibri" w:eastAsia="黑体" w:cs="Times New Roman"/>
      <w:b/>
      <w:kern w:val="0"/>
      <w:sz w:val="28"/>
      <w:szCs w:val="24"/>
    </w:rPr>
  </w:style>
  <w:style w:type="character" w:customStyle="1" w:styleId="57">
    <w:name w:val="正文文本缩进 字符"/>
    <w:qFormat/>
    <w:uiPriority w:val="0"/>
    <w:rPr>
      <w:rFonts w:ascii="Times New Roman" w:hAnsi="Times New Roman" w:eastAsia="宋体" w:cs="Times New Roman"/>
      <w:szCs w:val="20"/>
    </w:rPr>
  </w:style>
  <w:style w:type="character" w:customStyle="1" w:styleId="58">
    <w:name w:val="普通(网站) Char"/>
    <w:qFormat/>
    <w:locked/>
    <w:uiPriority w:val="0"/>
    <w:rPr>
      <w:rFonts w:ascii="宋体" w:hAnsi="宋体"/>
      <w:sz w:val="15"/>
      <w:szCs w:val="15"/>
    </w:rPr>
  </w:style>
  <w:style w:type="character" w:customStyle="1" w:styleId="59">
    <w:name w:val="标题 Char"/>
    <w:link w:val="35"/>
    <w:qFormat/>
    <w:uiPriority w:val="10"/>
    <w:rPr>
      <w:rFonts w:ascii="等线 Light" w:hAnsi="等线 Light" w:eastAsia="仿宋"/>
      <w:b/>
      <w:bCs/>
      <w:sz w:val="28"/>
      <w:szCs w:val="32"/>
    </w:rPr>
  </w:style>
  <w:style w:type="character" w:customStyle="1" w:styleId="60">
    <w:name w:val="日期 Char"/>
    <w:semiHidden/>
    <w:qFormat/>
    <w:uiPriority w:val="99"/>
    <w:rPr>
      <w:kern w:val="2"/>
      <w:sz w:val="21"/>
    </w:rPr>
  </w:style>
  <w:style w:type="character" w:customStyle="1" w:styleId="61">
    <w:name w:val="文档结构图 字符1"/>
    <w:semiHidden/>
    <w:qFormat/>
    <w:uiPriority w:val="99"/>
    <w:rPr>
      <w:rFonts w:ascii="Microsoft YaHei UI" w:hAnsi="Calibri" w:eastAsia="Microsoft YaHei UI" w:cs="Times New Roman"/>
      <w:kern w:val="0"/>
      <w:sz w:val="18"/>
      <w:szCs w:val="18"/>
    </w:rPr>
  </w:style>
  <w:style w:type="character" w:customStyle="1" w:styleId="62">
    <w:name w:val="批注文字 Char"/>
    <w:semiHidden/>
    <w:qFormat/>
    <w:uiPriority w:val="99"/>
    <w:rPr>
      <w:kern w:val="2"/>
      <w:sz w:val="21"/>
    </w:rPr>
  </w:style>
  <w:style w:type="character" w:customStyle="1" w:styleId="63">
    <w:name w:val="正文缩进2格 Char"/>
    <w:link w:val="64"/>
    <w:qFormat/>
    <w:uiPriority w:val="0"/>
    <w:rPr>
      <w:rFonts w:ascii="仿宋_GB2312" w:hAnsi="宋体" w:eastAsia="仿宋_GB2312"/>
      <w:sz w:val="31"/>
      <w:szCs w:val="28"/>
    </w:rPr>
  </w:style>
  <w:style w:type="paragraph" w:customStyle="1" w:styleId="64">
    <w:name w:val="正文缩进2格"/>
    <w:basedOn w:val="1"/>
    <w:link w:val="63"/>
    <w:qFormat/>
    <w:uiPriority w:val="0"/>
    <w:pPr>
      <w:spacing w:line="600" w:lineRule="exact"/>
      <w:ind w:firstLine="639" w:firstLineChars="206"/>
    </w:pPr>
    <w:rPr>
      <w:rFonts w:ascii="仿宋_GB2312" w:hAnsi="宋体" w:eastAsia="仿宋_GB2312"/>
      <w:sz w:val="31"/>
      <w:szCs w:val="28"/>
    </w:rPr>
  </w:style>
  <w:style w:type="character" w:customStyle="1" w:styleId="65">
    <w:name w:val="批注文字 字符"/>
    <w:semiHidden/>
    <w:qFormat/>
    <w:uiPriority w:val="99"/>
    <w:rPr>
      <w:rFonts w:ascii="Times New Roman" w:hAnsi="Times New Roman"/>
      <w:kern w:val="2"/>
      <w:sz w:val="24"/>
      <w:szCs w:val="24"/>
    </w:rPr>
  </w:style>
  <w:style w:type="character" w:customStyle="1" w:styleId="66">
    <w:name w:val="正文文本缩进 Char"/>
    <w:qFormat/>
    <w:uiPriority w:val="0"/>
    <w:rPr>
      <w:rFonts w:ascii="Times New Roman" w:hAnsi="Times New Roman" w:eastAsia="宋体" w:cs="Times New Roman"/>
      <w:szCs w:val="20"/>
      <w:lang w:val="en-US" w:eastAsia="zh-CN"/>
    </w:rPr>
  </w:style>
  <w:style w:type="character" w:customStyle="1" w:styleId="67">
    <w:name w:val="批注框文本 字符1"/>
    <w:semiHidden/>
    <w:qFormat/>
    <w:uiPriority w:val="99"/>
    <w:rPr>
      <w:rFonts w:ascii="宋体" w:hAnsi="Calibri" w:eastAsia="宋体" w:cs="Times New Roman"/>
      <w:kern w:val="0"/>
      <w:sz w:val="18"/>
      <w:szCs w:val="18"/>
    </w:rPr>
  </w:style>
  <w:style w:type="character" w:customStyle="1" w:styleId="68">
    <w:name w:val="List Paragraph Char"/>
    <w:link w:val="69"/>
    <w:qFormat/>
    <w:uiPriority w:val="34"/>
    <w:rPr>
      <w:rFonts w:ascii="Calibri" w:hAnsi="Calibri"/>
    </w:rPr>
  </w:style>
  <w:style w:type="paragraph" w:customStyle="1" w:styleId="69">
    <w:name w:val="列出段落1"/>
    <w:basedOn w:val="1"/>
    <w:link w:val="68"/>
    <w:qFormat/>
    <w:uiPriority w:val="34"/>
    <w:pPr>
      <w:ind w:firstLine="420" w:firstLineChars="200"/>
    </w:pPr>
    <w:rPr>
      <w:rFonts w:ascii="Calibri" w:hAnsi="Calibri"/>
    </w:rPr>
  </w:style>
  <w:style w:type="character" w:customStyle="1" w:styleId="70">
    <w:name w:val="标书正文 字符"/>
    <w:link w:val="71"/>
    <w:qFormat/>
    <w:uiPriority w:val="0"/>
    <w:rPr>
      <w:rFonts w:ascii="Calibri" w:hAnsi="Calibri" w:eastAsia="仿宋"/>
      <w:sz w:val="24"/>
      <w:szCs w:val="21"/>
    </w:rPr>
  </w:style>
  <w:style w:type="paragraph" w:customStyle="1" w:styleId="71">
    <w:name w:val="标书正文"/>
    <w:basedOn w:val="1"/>
    <w:link w:val="70"/>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2">
    <w:name w:val="正文文本 字符"/>
    <w:semiHidden/>
    <w:qFormat/>
    <w:uiPriority w:val="99"/>
    <w:rPr>
      <w:rFonts w:ascii="Times New Roman" w:hAnsi="Times New Roman"/>
      <w:kern w:val="2"/>
      <w:sz w:val="24"/>
      <w:szCs w:val="24"/>
    </w:rPr>
  </w:style>
  <w:style w:type="character" w:customStyle="1" w:styleId="73">
    <w:name w:val="页脚 Char"/>
    <w:qFormat/>
    <w:uiPriority w:val="0"/>
    <w:rPr>
      <w:kern w:val="2"/>
      <w:sz w:val="18"/>
      <w:szCs w:val="18"/>
    </w:rPr>
  </w:style>
  <w:style w:type="character" w:customStyle="1" w:styleId="74">
    <w:name w:val="neir1"/>
    <w:qFormat/>
    <w:uiPriority w:val="0"/>
    <w:rPr>
      <w:rFonts w:hint="default" w:ascii="ˎ̥" w:hAnsi="ˎ̥"/>
      <w:color w:val="333333"/>
      <w:sz w:val="21"/>
      <w:szCs w:val="21"/>
      <w:u w:val="none"/>
    </w:rPr>
  </w:style>
  <w:style w:type="character" w:customStyle="1" w:styleId="75">
    <w:name w:val="批注框文本 Char1"/>
    <w:link w:val="25"/>
    <w:qFormat/>
    <w:uiPriority w:val="0"/>
    <w:rPr>
      <w:rFonts w:ascii="Times New Roman" w:hAnsi="Times New Roman" w:eastAsia="宋体" w:cs="Times New Roman"/>
      <w:sz w:val="18"/>
      <w:szCs w:val="18"/>
    </w:rPr>
  </w:style>
  <w:style w:type="character" w:customStyle="1" w:styleId="76">
    <w:name w:val="正文文本 3 字符1"/>
    <w:semiHidden/>
    <w:qFormat/>
    <w:uiPriority w:val="99"/>
    <w:rPr>
      <w:rFonts w:ascii="宋体" w:hAnsi="Calibri" w:eastAsia="宋体" w:cs="Times New Roman"/>
      <w:kern w:val="0"/>
      <w:sz w:val="16"/>
      <w:szCs w:val="16"/>
    </w:rPr>
  </w:style>
  <w:style w:type="character" w:customStyle="1" w:styleId="77">
    <w:name w:val="正文文本 字符3"/>
    <w:semiHidden/>
    <w:qFormat/>
    <w:uiPriority w:val="99"/>
    <w:rPr>
      <w:rFonts w:ascii="宋体" w:hAnsi="Calibri" w:eastAsia="宋体" w:cs="Times New Roman"/>
      <w:kern w:val="0"/>
      <w:sz w:val="24"/>
      <w:szCs w:val="24"/>
    </w:rPr>
  </w:style>
  <w:style w:type="character" w:customStyle="1" w:styleId="78">
    <w:name w:val="日期 字符1"/>
    <w:semiHidden/>
    <w:qFormat/>
    <w:uiPriority w:val="99"/>
    <w:rPr>
      <w:rFonts w:ascii="宋体" w:hAnsi="Calibri" w:eastAsia="宋体" w:cs="Times New Roman"/>
      <w:kern w:val="0"/>
      <w:sz w:val="24"/>
      <w:szCs w:val="24"/>
    </w:rPr>
  </w:style>
  <w:style w:type="character" w:customStyle="1" w:styleId="79">
    <w:name w:val="页脚 Char2"/>
    <w:link w:val="26"/>
    <w:qFormat/>
    <w:uiPriority w:val="99"/>
    <w:rPr>
      <w:rFonts w:ascii="宋体" w:eastAsia="宋体"/>
      <w:sz w:val="18"/>
      <w:szCs w:val="18"/>
    </w:rPr>
  </w:style>
  <w:style w:type="character" w:customStyle="1" w:styleId="80">
    <w:name w:val="吉奥正文 Char"/>
    <w:link w:val="81"/>
    <w:qFormat/>
    <w:locked/>
    <w:uiPriority w:val="0"/>
    <w:rPr>
      <w:rFonts w:eastAsia="仿宋_GB2312"/>
      <w:sz w:val="28"/>
    </w:rPr>
  </w:style>
  <w:style w:type="paragraph" w:customStyle="1" w:styleId="81">
    <w:name w:val="吉奥正文"/>
    <w:basedOn w:val="1"/>
    <w:link w:val="80"/>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2">
    <w:name w:val="页脚 Char1"/>
    <w:qFormat/>
    <w:uiPriority w:val="99"/>
    <w:rPr>
      <w:rFonts w:ascii="宋体" w:hAnsi="Times New Roman" w:eastAsia="宋体" w:cs="Times New Roman"/>
      <w:kern w:val="0"/>
      <w:sz w:val="18"/>
      <w:szCs w:val="18"/>
    </w:rPr>
  </w:style>
  <w:style w:type="character" w:customStyle="1" w:styleId="83">
    <w:name w:val="标题 字符"/>
    <w:qFormat/>
    <w:uiPriority w:val="10"/>
    <w:rPr>
      <w:rFonts w:ascii="Cambria" w:hAnsi="Cambria" w:eastAsia="宋体" w:cs="Times New Roman"/>
      <w:b/>
      <w:bCs/>
      <w:kern w:val="0"/>
      <w:sz w:val="32"/>
      <w:szCs w:val="32"/>
      <w:lang w:val="en-US" w:eastAsia="zh-CN"/>
    </w:rPr>
  </w:style>
  <w:style w:type="character" w:customStyle="1" w:styleId="84">
    <w:name w:val="题注 Char"/>
    <w:link w:val="13"/>
    <w:qFormat/>
    <w:uiPriority w:val="0"/>
    <w:rPr>
      <w:rFonts w:ascii="Arial" w:hAnsi="Arial" w:eastAsia="黑体" w:cs="Arial"/>
    </w:rPr>
  </w:style>
  <w:style w:type="character" w:customStyle="1" w:styleId="85">
    <w:name w:val="批注文字 字符2"/>
    <w:qFormat/>
    <w:uiPriority w:val="99"/>
    <w:rPr>
      <w:rFonts w:ascii="宋体" w:hAnsi="Times New Roman" w:eastAsia="宋体" w:cs="Times New Roman"/>
      <w:kern w:val="0"/>
      <w:sz w:val="24"/>
      <w:szCs w:val="24"/>
    </w:rPr>
  </w:style>
  <w:style w:type="character" w:customStyle="1" w:styleId="86">
    <w:name w:val="批注主题 字符1"/>
    <w:semiHidden/>
    <w:qFormat/>
    <w:uiPriority w:val="99"/>
    <w:rPr>
      <w:rFonts w:ascii="宋体" w:hAnsi="Calibri" w:eastAsia="宋体" w:cs="Times New Roman"/>
      <w:b/>
      <w:bCs/>
      <w:kern w:val="0"/>
      <w:sz w:val="24"/>
      <w:szCs w:val="24"/>
    </w:rPr>
  </w:style>
  <w:style w:type="character" w:customStyle="1" w:styleId="87">
    <w:name w:val="HTML 预设格式 Char"/>
    <w:link w:val="33"/>
    <w:qFormat/>
    <w:uiPriority w:val="99"/>
    <w:rPr>
      <w:rFonts w:ascii="Arial" w:hAnsi="Arial" w:eastAsia="宋体" w:cs="Arial"/>
      <w:szCs w:val="21"/>
    </w:rPr>
  </w:style>
  <w:style w:type="character" w:customStyle="1" w:styleId="88">
    <w:name w:val="标题 3.1 Char"/>
    <w:link w:val="89"/>
    <w:qFormat/>
    <w:uiPriority w:val="0"/>
    <w:rPr>
      <w:rFonts w:ascii="宋体" w:hAnsi="宋体"/>
      <w:b/>
      <w:bCs/>
      <w:sz w:val="32"/>
      <w:szCs w:val="32"/>
    </w:rPr>
  </w:style>
  <w:style w:type="paragraph" w:customStyle="1" w:styleId="89">
    <w:name w:val="标题 3.1"/>
    <w:basedOn w:val="4"/>
    <w:link w:val="88"/>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0">
    <w:name w:val="HTML 预设格式 Char1"/>
    <w:semiHidden/>
    <w:qFormat/>
    <w:uiPriority w:val="99"/>
    <w:rPr>
      <w:rFonts w:ascii="Courier New" w:hAnsi="Courier New" w:eastAsia="宋体" w:cs="Courier New"/>
      <w:kern w:val="0"/>
      <w:sz w:val="20"/>
      <w:szCs w:val="20"/>
    </w:rPr>
  </w:style>
  <w:style w:type="character" w:customStyle="1" w:styleId="91">
    <w:name w:val="批注文字 字符1"/>
    <w:qFormat/>
    <w:uiPriority w:val="0"/>
    <w:rPr>
      <w:rFonts w:eastAsia="宋体"/>
      <w:kern w:val="2"/>
      <w:sz w:val="24"/>
      <w:szCs w:val="24"/>
      <w:lang w:val="en-US" w:eastAsia="zh-CN" w:bidi="ar-SA"/>
    </w:rPr>
  </w:style>
  <w:style w:type="character" w:customStyle="1" w:styleId="92">
    <w:name w:val="正文文本缩进 字符2"/>
    <w:semiHidden/>
    <w:qFormat/>
    <w:uiPriority w:val="99"/>
    <w:rPr>
      <w:rFonts w:ascii="宋体" w:hAnsi="Calibri" w:eastAsia="宋体" w:cs="Times New Roman"/>
      <w:kern w:val="0"/>
      <w:sz w:val="24"/>
      <w:szCs w:val="24"/>
    </w:rPr>
  </w:style>
  <w:style w:type="character" w:customStyle="1" w:styleId="93">
    <w:name w:val="正文文本缩进 Char1"/>
    <w:link w:val="20"/>
    <w:qFormat/>
    <w:uiPriority w:val="0"/>
    <w:rPr>
      <w:rFonts w:ascii="Times New Roman" w:hAnsi="Times New Roman" w:eastAsia="宋体" w:cs="Times New Roman"/>
      <w:szCs w:val="20"/>
    </w:rPr>
  </w:style>
  <w:style w:type="character" w:customStyle="1" w:styleId="94">
    <w:name w:val="普通(网站) Char1"/>
    <w:link w:val="34"/>
    <w:qFormat/>
    <w:locked/>
    <w:uiPriority w:val="0"/>
    <w:rPr>
      <w:rFonts w:ascii="宋体" w:hAnsi="宋体"/>
      <w:sz w:val="15"/>
      <w:szCs w:val="15"/>
    </w:rPr>
  </w:style>
  <w:style w:type="character" w:customStyle="1" w:styleId="95">
    <w:name w:val="模板正文 Char"/>
    <w:link w:val="8"/>
    <w:qFormat/>
    <w:uiPriority w:val="0"/>
    <w:rPr>
      <w:rFonts w:ascii="宋体" w:eastAsia="仿宋"/>
      <w:sz w:val="24"/>
      <w:szCs w:val="21"/>
    </w:rPr>
  </w:style>
  <w:style w:type="character" w:customStyle="1" w:styleId="96">
    <w:name w:val="批注主题 Char"/>
    <w:semiHidden/>
    <w:qFormat/>
    <w:uiPriority w:val="99"/>
    <w:rPr>
      <w:b/>
      <w:bCs/>
      <w:kern w:val="2"/>
      <w:sz w:val="21"/>
    </w:rPr>
  </w:style>
  <w:style w:type="character" w:customStyle="1" w:styleId="97">
    <w:name w:val="正文文本 Char1"/>
    <w:qFormat/>
    <w:uiPriority w:val="0"/>
    <w:rPr>
      <w:rFonts w:ascii="宋体" w:hAnsi="Times New Roman" w:eastAsia="宋体" w:cs="Times New Roman"/>
      <w:kern w:val="0"/>
      <w:sz w:val="24"/>
      <w:szCs w:val="24"/>
    </w:rPr>
  </w:style>
  <w:style w:type="character" w:customStyle="1" w:styleId="98">
    <w:name w:val="正文文本 字符1"/>
    <w:qFormat/>
    <w:uiPriority w:val="99"/>
    <w:rPr>
      <w:rFonts w:ascii="宋体" w:eastAsia="宋体"/>
      <w:b/>
      <w:bCs/>
      <w:sz w:val="84"/>
      <w:szCs w:val="84"/>
      <w:lang w:val="zh-CN"/>
    </w:rPr>
  </w:style>
  <w:style w:type="character" w:customStyle="1" w:styleId="99">
    <w:name w:val="标题 1 Char"/>
    <w:qFormat/>
    <w:uiPriority w:val="9"/>
    <w:rPr>
      <w:rFonts w:ascii="宋体" w:hAnsi="Times New Roman" w:eastAsia="宋体" w:cs="Times New Roman"/>
      <w:kern w:val="0"/>
      <w:sz w:val="24"/>
      <w:szCs w:val="24"/>
    </w:rPr>
  </w:style>
  <w:style w:type="character" w:customStyle="1" w:styleId="100">
    <w:name w:val="正文文本 Char2"/>
    <w:qFormat/>
    <w:uiPriority w:val="99"/>
    <w:rPr>
      <w:rFonts w:ascii="宋体" w:eastAsia="宋体"/>
      <w:b/>
      <w:bCs/>
      <w:sz w:val="84"/>
      <w:szCs w:val="84"/>
      <w:lang w:val="zh-CN"/>
    </w:rPr>
  </w:style>
  <w:style w:type="character" w:customStyle="1" w:styleId="101">
    <w:name w:val="纯文本 Char2"/>
    <w:link w:val="22"/>
    <w:qFormat/>
    <w:uiPriority w:val="0"/>
    <w:rPr>
      <w:rFonts w:ascii="宋体" w:hAnsi="Courier New" w:eastAsia="宋体"/>
    </w:rPr>
  </w:style>
  <w:style w:type="character" w:customStyle="1" w:styleId="102">
    <w:name w:val="正文文本缩进 2 Char"/>
    <w:link w:val="24"/>
    <w:qFormat/>
    <w:uiPriority w:val="0"/>
    <w:rPr>
      <w:rFonts w:ascii="宋体" w:hAnsi="Times New Roman" w:eastAsia="宋体" w:cs="Times New Roman"/>
      <w:szCs w:val="20"/>
    </w:rPr>
  </w:style>
  <w:style w:type="character" w:customStyle="1" w:styleId="103">
    <w:name w:val="HTML Markup"/>
    <w:qFormat/>
    <w:uiPriority w:val="0"/>
    <w:rPr>
      <w:vanish/>
      <w:color w:val="FF0000"/>
    </w:rPr>
  </w:style>
  <w:style w:type="character" w:customStyle="1" w:styleId="104">
    <w:name w:val="页眉 Char1"/>
    <w:qFormat/>
    <w:uiPriority w:val="0"/>
    <w:rPr>
      <w:rFonts w:ascii="宋体" w:hAnsi="Times New Roman" w:eastAsia="宋体" w:cs="Times New Roman"/>
      <w:kern w:val="0"/>
      <w:sz w:val="18"/>
      <w:szCs w:val="18"/>
    </w:rPr>
  </w:style>
  <w:style w:type="character" w:customStyle="1" w:styleId="105">
    <w:name w:val="font11"/>
    <w:qFormat/>
    <w:uiPriority w:val="0"/>
    <w:rPr>
      <w:rFonts w:hint="eastAsia" w:ascii="宋体" w:hAnsi="宋体" w:eastAsia="宋体" w:cs="宋体"/>
      <w:color w:val="FF0000"/>
      <w:sz w:val="22"/>
      <w:szCs w:val="22"/>
      <w:u w:val="none"/>
    </w:rPr>
  </w:style>
  <w:style w:type="character" w:customStyle="1" w:styleId="106">
    <w:name w:val="style61"/>
    <w:qFormat/>
    <w:uiPriority w:val="0"/>
    <w:rPr>
      <w:b/>
      <w:bCs/>
    </w:rPr>
  </w:style>
  <w:style w:type="character" w:customStyle="1" w:styleId="107">
    <w:name w:val="表头文字 Char"/>
    <w:link w:val="108"/>
    <w:qFormat/>
    <w:uiPriority w:val="0"/>
    <w:rPr>
      <w:rFonts w:eastAsia="仿宋_GB2312"/>
      <w:b/>
      <w:sz w:val="28"/>
      <w:szCs w:val="21"/>
    </w:rPr>
  </w:style>
  <w:style w:type="paragraph" w:customStyle="1" w:styleId="108">
    <w:name w:val="表头文字"/>
    <w:basedOn w:val="1"/>
    <w:link w:val="107"/>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9">
    <w:name w:val="日期 Char1"/>
    <w:link w:val="23"/>
    <w:qFormat/>
    <w:uiPriority w:val="99"/>
    <w:rPr>
      <w:rFonts w:ascii="宋体" w:hAnsi="Times New Roman" w:eastAsia="宋体" w:cs="Times New Roman"/>
      <w:b/>
      <w:bCs/>
      <w:szCs w:val="21"/>
      <w:lang w:val="zh-CN"/>
    </w:rPr>
  </w:style>
  <w:style w:type="character" w:customStyle="1" w:styleId="110">
    <w:name w:val="纯文本 Char1"/>
    <w:qFormat/>
    <w:uiPriority w:val="0"/>
    <w:rPr>
      <w:rFonts w:ascii="宋体" w:hAnsi="Courier New" w:eastAsia="宋体" w:cs="Courier New"/>
      <w:kern w:val="0"/>
      <w:szCs w:val="21"/>
    </w:rPr>
  </w:style>
  <w:style w:type="character" w:customStyle="1" w:styleId="111">
    <w:name w:val="批注主题 Char1"/>
    <w:link w:val="36"/>
    <w:qFormat/>
    <w:uiPriority w:val="99"/>
    <w:rPr>
      <w:rFonts w:ascii="宋体" w:hAnsi="Times New Roman" w:eastAsia="宋体" w:cs="Times New Roman"/>
      <w:b/>
      <w:bCs/>
      <w:kern w:val="0"/>
      <w:sz w:val="24"/>
      <w:szCs w:val="24"/>
    </w:rPr>
  </w:style>
  <w:style w:type="character" w:customStyle="1" w:styleId="112">
    <w:name w:val="纯文本 字符"/>
    <w:qFormat/>
    <w:uiPriority w:val="99"/>
    <w:rPr>
      <w:rFonts w:ascii="宋体" w:hAnsi="Courier New" w:eastAsia="宋体" w:cs="Times New Roman"/>
      <w:szCs w:val="20"/>
      <w:lang w:val="en-US" w:eastAsia="zh-CN"/>
    </w:rPr>
  </w:style>
  <w:style w:type="character" w:customStyle="1" w:styleId="113">
    <w:name w:val="font71"/>
    <w:qFormat/>
    <w:uiPriority w:val="0"/>
    <w:rPr>
      <w:rFonts w:hint="eastAsia" w:ascii="宋体" w:hAnsi="宋体" w:eastAsia="宋体" w:cs="宋体"/>
      <w:color w:val="FF0000"/>
      <w:sz w:val="18"/>
      <w:szCs w:val="18"/>
      <w:u w:val="none"/>
    </w:rPr>
  </w:style>
  <w:style w:type="character" w:customStyle="1" w:styleId="114">
    <w:name w:val="font21"/>
    <w:qFormat/>
    <w:uiPriority w:val="0"/>
    <w:rPr>
      <w:rFonts w:hint="eastAsia" w:ascii="宋体" w:hAnsi="宋体" w:eastAsia="宋体" w:cs="宋体"/>
      <w:b/>
      <w:color w:val="000000"/>
      <w:sz w:val="21"/>
      <w:szCs w:val="21"/>
      <w:u w:val="none"/>
    </w:rPr>
  </w:style>
  <w:style w:type="character" w:customStyle="1" w:styleId="115">
    <w:name w:val="纯文本 字符3"/>
    <w:semiHidden/>
    <w:qFormat/>
    <w:uiPriority w:val="99"/>
    <w:rPr>
      <w:rFonts w:ascii="等线" w:hAnsi="Courier New" w:cs="Courier New"/>
      <w:kern w:val="0"/>
      <w:sz w:val="24"/>
      <w:szCs w:val="24"/>
    </w:rPr>
  </w:style>
  <w:style w:type="character" w:customStyle="1" w:styleId="116">
    <w:name w:val="font31"/>
    <w:qFormat/>
    <w:uiPriority w:val="0"/>
    <w:rPr>
      <w:rFonts w:hint="eastAsia" w:ascii="宋体" w:hAnsi="宋体" w:eastAsia="宋体" w:cs="宋体"/>
      <w:color w:val="000000"/>
      <w:sz w:val="18"/>
      <w:szCs w:val="18"/>
      <w:u w:val="none"/>
    </w:rPr>
  </w:style>
  <w:style w:type="character" w:customStyle="1" w:styleId="117">
    <w:name w:val="文档结构图 Char"/>
    <w:link w:val="14"/>
    <w:semiHidden/>
    <w:qFormat/>
    <w:uiPriority w:val="99"/>
    <w:rPr>
      <w:rFonts w:ascii="宋体" w:hAnsi="Times New Roman" w:eastAsia="宋体" w:cs="Times New Roman"/>
      <w:kern w:val="0"/>
      <w:sz w:val="24"/>
      <w:szCs w:val="24"/>
      <w:shd w:val="clear" w:color="auto" w:fill="000080"/>
    </w:rPr>
  </w:style>
  <w:style w:type="character" w:customStyle="1" w:styleId="118">
    <w:name w:val="普通(网站) 字符1"/>
    <w:qFormat/>
    <w:locked/>
    <w:uiPriority w:val="0"/>
    <w:rPr>
      <w:rFonts w:ascii="宋体" w:hAnsi="宋体"/>
      <w:sz w:val="15"/>
      <w:szCs w:val="15"/>
    </w:rPr>
  </w:style>
  <w:style w:type="character" w:customStyle="1" w:styleId="119">
    <w:name w:val="正文文本 Char3"/>
    <w:link w:val="18"/>
    <w:qFormat/>
    <w:uiPriority w:val="99"/>
    <w:rPr>
      <w:rFonts w:ascii="宋体" w:eastAsia="宋体"/>
      <w:b/>
      <w:bCs/>
      <w:sz w:val="84"/>
      <w:szCs w:val="84"/>
      <w:lang w:val="zh-CN"/>
    </w:rPr>
  </w:style>
  <w:style w:type="character" w:customStyle="1" w:styleId="120">
    <w:name w:val="标题 5 Char"/>
    <w:semiHidden/>
    <w:qFormat/>
    <w:uiPriority w:val="9"/>
    <w:rPr>
      <w:b/>
      <w:bCs/>
      <w:kern w:val="2"/>
      <w:sz w:val="28"/>
      <w:szCs w:val="28"/>
    </w:rPr>
  </w:style>
  <w:style w:type="character" w:customStyle="1" w:styleId="121">
    <w:name w:val="页眉 Char2"/>
    <w:link w:val="27"/>
    <w:qFormat/>
    <w:uiPriority w:val="99"/>
    <w:rPr>
      <w:rFonts w:ascii="宋体" w:eastAsia="宋体"/>
      <w:sz w:val="18"/>
      <w:szCs w:val="18"/>
    </w:rPr>
  </w:style>
  <w:style w:type="character" w:customStyle="1" w:styleId="122">
    <w:name w:val="表格文字 Char"/>
    <w:link w:val="123"/>
    <w:qFormat/>
    <w:uiPriority w:val="0"/>
    <w:rPr>
      <w:rFonts w:eastAsia="仿宋_GB2312"/>
      <w:sz w:val="28"/>
      <w:szCs w:val="24"/>
    </w:rPr>
  </w:style>
  <w:style w:type="paragraph" w:customStyle="1" w:styleId="123">
    <w:name w:val="表格文字"/>
    <w:basedOn w:val="1"/>
    <w:link w:val="122"/>
    <w:qFormat/>
    <w:uiPriority w:val="0"/>
    <w:rPr>
      <w:rFonts w:eastAsia="仿宋_GB2312"/>
      <w:sz w:val="28"/>
      <w:szCs w:val="24"/>
    </w:rPr>
  </w:style>
  <w:style w:type="character" w:customStyle="1" w:styleId="124">
    <w:name w:val="标题 字符2"/>
    <w:qFormat/>
    <w:uiPriority w:val="10"/>
    <w:rPr>
      <w:rFonts w:ascii="等线 Light" w:hAnsi="等线 Light" w:eastAsia="等线 Light" w:cs="Times New Roman"/>
      <w:b/>
      <w:bCs/>
      <w:kern w:val="0"/>
      <w:sz w:val="32"/>
      <w:szCs w:val="32"/>
    </w:rPr>
  </w:style>
  <w:style w:type="character" w:customStyle="1" w:styleId="125">
    <w:name w:val="正文缩进2格 Char Char"/>
    <w:qFormat/>
    <w:uiPriority w:val="0"/>
    <w:rPr>
      <w:rFonts w:ascii="仿宋_GB2312" w:hAnsi="宋体" w:eastAsia="仿宋_GB2312"/>
      <w:kern w:val="2"/>
      <w:sz w:val="31"/>
      <w:szCs w:val="28"/>
      <w:lang w:val="en-US" w:eastAsia="zh-CN" w:bidi="ar-SA"/>
    </w:rPr>
  </w:style>
  <w:style w:type="character" w:customStyle="1" w:styleId="126">
    <w:name w:val="小 Char"/>
    <w:qFormat/>
    <w:uiPriority w:val="0"/>
    <w:rPr>
      <w:rFonts w:ascii="宋体" w:hAnsi="Courier New" w:eastAsia="宋体"/>
      <w:kern w:val="2"/>
      <w:sz w:val="21"/>
      <w:lang w:val="en-US" w:eastAsia="zh-CN" w:bidi="ar-SA"/>
    </w:rPr>
  </w:style>
  <w:style w:type="character" w:customStyle="1" w:styleId="127">
    <w:name w:val="themebody1"/>
    <w:qFormat/>
    <w:uiPriority w:val="0"/>
    <w:rPr>
      <w:color w:val="FFFFFF"/>
    </w:rPr>
  </w:style>
  <w:style w:type="character" w:customStyle="1" w:styleId="128">
    <w:name w:val="页脚 字符1"/>
    <w:semiHidden/>
    <w:qFormat/>
    <w:uiPriority w:val="99"/>
    <w:rPr>
      <w:rFonts w:ascii="宋体" w:hAnsi="Calibri" w:eastAsia="宋体" w:cs="Times New Roman"/>
      <w:kern w:val="0"/>
      <w:sz w:val="18"/>
      <w:szCs w:val="18"/>
    </w:rPr>
  </w:style>
  <w:style w:type="character" w:customStyle="1" w:styleId="129">
    <w:name w:val="列出段落 Char"/>
    <w:link w:val="130"/>
    <w:qFormat/>
    <w:uiPriority w:val="34"/>
    <w:rPr>
      <w:kern w:val="2"/>
      <w:sz w:val="21"/>
      <w:szCs w:val="22"/>
    </w:rPr>
  </w:style>
  <w:style w:type="paragraph" w:styleId="130">
    <w:name w:val="List Paragraph"/>
    <w:basedOn w:val="1"/>
    <w:link w:val="129"/>
    <w:qFormat/>
    <w:uiPriority w:val="34"/>
    <w:pPr>
      <w:ind w:firstLine="420" w:firstLineChars="200"/>
    </w:pPr>
  </w:style>
  <w:style w:type="character" w:customStyle="1" w:styleId="131">
    <w:name w:val="正文文本 Char"/>
    <w:qFormat/>
    <w:uiPriority w:val="99"/>
    <w:rPr>
      <w:rFonts w:ascii="宋体" w:eastAsia="宋体"/>
      <w:b/>
      <w:bCs/>
      <w:sz w:val="84"/>
      <w:szCs w:val="84"/>
      <w:lang w:val="zh-CN"/>
    </w:rPr>
  </w:style>
  <w:style w:type="character" w:customStyle="1" w:styleId="132">
    <w:name w:val="页眉 字符1"/>
    <w:semiHidden/>
    <w:qFormat/>
    <w:uiPriority w:val="99"/>
    <w:rPr>
      <w:rFonts w:ascii="宋体" w:hAnsi="Calibri" w:eastAsia="宋体" w:cs="Times New Roman"/>
      <w:kern w:val="0"/>
      <w:sz w:val="18"/>
      <w:szCs w:val="18"/>
    </w:rPr>
  </w:style>
  <w:style w:type="character" w:customStyle="1" w:styleId="133">
    <w:name w:val="标题 5 Char1"/>
    <w:link w:val="6"/>
    <w:qFormat/>
    <w:uiPriority w:val="9"/>
    <w:rPr>
      <w:rFonts w:ascii="宋体" w:hAnsi="Calibri" w:eastAsia="宋体" w:cs="Times New Roman"/>
      <w:b/>
      <w:bCs/>
      <w:kern w:val="0"/>
      <w:sz w:val="28"/>
      <w:szCs w:val="28"/>
    </w:rPr>
  </w:style>
  <w:style w:type="character" w:customStyle="1" w:styleId="134">
    <w:name w:val="keyfeatures1"/>
    <w:qFormat/>
    <w:uiPriority w:val="0"/>
    <w:rPr>
      <w:rFonts w:hint="default" w:ascii="Arial" w:hAnsi="Arial" w:cs="Arial"/>
      <w:color w:val="003366"/>
      <w:sz w:val="17"/>
      <w:szCs w:val="17"/>
      <w:u w:val="none"/>
    </w:rPr>
  </w:style>
  <w:style w:type="character" w:customStyle="1" w:styleId="135">
    <w:name w:val="题注 字符"/>
    <w:qFormat/>
    <w:uiPriority w:val="0"/>
    <w:rPr>
      <w:rFonts w:ascii="宋体" w:hAnsi="宋体" w:eastAsia="黑体" w:cs="Times New Roman"/>
      <w:b/>
      <w:szCs w:val="21"/>
    </w:rPr>
  </w:style>
  <w:style w:type="character" w:customStyle="1" w:styleId="136">
    <w:name w:val="标题 4 Char"/>
    <w:qFormat/>
    <w:uiPriority w:val="0"/>
    <w:rPr>
      <w:rFonts w:ascii="宋体" w:hAnsi="宋体" w:eastAsia="宋体"/>
      <w:b/>
      <w:kern w:val="2"/>
      <w:sz w:val="21"/>
      <w:szCs w:val="24"/>
      <w:lang w:val="en-US" w:eastAsia="zh-CN" w:bidi="ar-SA"/>
    </w:rPr>
  </w:style>
  <w:style w:type="character" w:customStyle="1" w:styleId="137">
    <w:name w:val="批注文字 字符3"/>
    <w:semiHidden/>
    <w:qFormat/>
    <w:uiPriority w:val="99"/>
    <w:rPr>
      <w:rFonts w:ascii="宋体" w:hAnsi="Calibri" w:eastAsia="宋体" w:cs="Times New Roman"/>
      <w:kern w:val="0"/>
      <w:sz w:val="24"/>
      <w:szCs w:val="24"/>
    </w:rPr>
  </w:style>
  <w:style w:type="character" w:customStyle="1" w:styleId="138">
    <w:name w:val="纯文本 字符1"/>
    <w:qFormat/>
    <w:uiPriority w:val="0"/>
    <w:rPr>
      <w:rFonts w:ascii="宋体" w:hAnsi="Courier New" w:eastAsia="宋体"/>
      <w:kern w:val="2"/>
      <w:sz w:val="21"/>
      <w:szCs w:val="24"/>
      <w:lang w:val="en-US" w:eastAsia="zh-CN" w:bidi="ar-SA"/>
    </w:rPr>
  </w:style>
  <w:style w:type="character" w:customStyle="1" w:styleId="139">
    <w:name w:val="列出段落 Char1"/>
    <w:qFormat/>
    <w:uiPriority w:val="34"/>
    <w:rPr>
      <w:rFonts w:ascii="宋体"/>
      <w:sz w:val="24"/>
      <w:szCs w:val="24"/>
    </w:rPr>
  </w:style>
  <w:style w:type="character" w:customStyle="1" w:styleId="140">
    <w:name w:val="彩色列表 - 着色 1 字符"/>
    <w:link w:val="141"/>
    <w:qFormat/>
    <w:uiPriority w:val="0"/>
    <w:rPr>
      <w:rFonts w:ascii="Calibri" w:hAnsi="Calibri"/>
    </w:rPr>
  </w:style>
  <w:style w:type="paragraph" w:customStyle="1" w:styleId="141">
    <w:name w:val="彩色列表 - 着色 11"/>
    <w:basedOn w:val="1"/>
    <w:link w:val="140"/>
    <w:qFormat/>
    <w:uiPriority w:val="0"/>
    <w:pPr>
      <w:ind w:firstLine="420" w:firstLineChars="200"/>
    </w:pPr>
    <w:rPr>
      <w:rFonts w:ascii="Calibri" w:hAnsi="Calibri"/>
    </w:rPr>
  </w:style>
  <w:style w:type="character" w:customStyle="1" w:styleId="142">
    <w:name w:val="纯文本 Char"/>
    <w:qFormat/>
    <w:uiPriority w:val="0"/>
    <w:rPr>
      <w:rFonts w:ascii="宋体" w:hAnsi="Courier New" w:eastAsia="宋体" w:cs="Times New Roman"/>
      <w:szCs w:val="20"/>
    </w:rPr>
  </w:style>
  <w:style w:type="character" w:customStyle="1" w:styleId="143">
    <w:name w:val="标题 6 Char"/>
    <w:link w:val="7"/>
    <w:qFormat/>
    <w:uiPriority w:val="9"/>
    <w:rPr>
      <w:rFonts w:ascii="Times New Roman" w:hAnsi="Calibri" w:eastAsia="黑体" w:cs="Times New Roman"/>
      <w:b/>
      <w:bCs/>
      <w:kern w:val="0"/>
      <w:sz w:val="28"/>
      <w:szCs w:val="24"/>
    </w:rPr>
  </w:style>
  <w:style w:type="character" w:customStyle="1" w:styleId="144">
    <w:name w:val="正文文本 2 Char"/>
    <w:link w:val="19"/>
    <w:qFormat/>
    <w:uiPriority w:val="0"/>
    <w:rPr>
      <w:rFonts w:ascii="Arial" w:hAnsi="Arial" w:eastAsia="宋体" w:cs="Times New Roman"/>
      <w:color w:val="000000"/>
      <w:szCs w:val="24"/>
    </w:rPr>
  </w:style>
  <w:style w:type="character" w:customStyle="1" w:styleId="145">
    <w:name w:val="标题 3 Char"/>
    <w:link w:val="4"/>
    <w:qFormat/>
    <w:uiPriority w:val="0"/>
    <w:rPr>
      <w:rFonts w:ascii="宋体" w:hAnsi="Calibri" w:eastAsia="宋体" w:cs="Times New Roman"/>
      <w:kern w:val="0"/>
      <w:sz w:val="24"/>
      <w:szCs w:val="24"/>
    </w:rPr>
  </w:style>
  <w:style w:type="character" w:customStyle="1" w:styleId="146">
    <w:name w:val="正文文本缩进 2 字符1"/>
    <w:semiHidden/>
    <w:qFormat/>
    <w:uiPriority w:val="99"/>
    <w:rPr>
      <w:rFonts w:ascii="宋体" w:hAnsi="Calibri" w:eastAsia="宋体" w:cs="Times New Roman"/>
      <w:kern w:val="0"/>
      <w:sz w:val="24"/>
      <w:szCs w:val="24"/>
    </w:rPr>
  </w:style>
  <w:style w:type="character" w:customStyle="1" w:styleId="147">
    <w:name w:val="正文文本缩进 3 字符1"/>
    <w:semiHidden/>
    <w:qFormat/>
    <w:uiPriority w:val="99"/>
    <w:rPr>
      <w:rFonts w:ascii="宋体" w:hAnsi="Calibri" w:eastAsia="宋体" w:cs="Times New Roman"/>
      <w:kern w:val="0"/>
      <w:sz w:val="16"/>
      <w:szCs w:val="16"/>
    </w:rPr>
  </w:style>
  <w:style w:type="character" w:customStyle="1" w:styleId="148">
    <w:name w:val="正文文本 2 字符1"/>
    <w:semiHidden/>
    <w:qFormat/>
    <w:uiPriority w:val="99"/>
    <w:rPr>
      <w:rFonts w:ascii="宋体" w:hAnsi="Calibri" w:eastAsia="宋体" w:cs="Times New Roman"/>
      <w:kern w:val="0"/>
      <w:sz w:val="24"/>
      <w:szCs w:val="24"/>
    </w:rPr>
  </w:style>
  <w:style w:type="character" w:customStyle="1" w:styleId="149">
    <w:name w:val="eschoolnr"/>
    <w:qFormat/>
    <w:uiPriority w:val="0"/>
    <w:rPr>
      <w:sz w:val="23"/>
      <w:szCs w:val="23"/>
    </w:rPr>
  </w:style>
  <w:style w:type="character" w:customStyle="1" w:styleId="150">
    <w:name w:val="访问过的超链接1"/>
    <w:qFormat/>
    <w:uiPriority w:val="0"/>
    <w:rPr>
      <w:rFonts w:ascii="Arial" w:hAnsi="Arial" w:cs="Arial"/>
      <w:color w:val="000000"/>
      <w:sz w:val="20"/>
      <w:szCs w:val="20"/>
      <w:u w:val="none"/>
    </w:rPr>
  </w:style>
  <w:style w:type="character" w:customStyle="1" w:styleId="151">
    <w:name w:val="标题 1 Char1"/>
    <w:link w:val="3"/>
    <w:qFormat/>
    <w:uiPriority w:val="0"/>
    <w:rPr>
      <w:rFonts w:ascii="宋体" w:hAnsi="Calibri" w:eastAsia="宋体" w:cs="Times New Roman"/>
      <w:kern w:val="0"/>
      <w:sz w:val="24"/>
      <w:szCs w:val="24"/>
    </w:rPr>
  </w:style>
  <w:style w:type="character" w:customStyle="1" w:styleId="152">
    <w:name w:val="批注文字 Char1"/>
    <w:qFormat/>
    <w:uiPriority w:val="0"/>
    <w:rPr>
      <w:kern w:val="2"/>
      <w:sz w:val="21"/>
      <w:szCs w:val="24"/>
    </w:rPr>
  </w:style>
  <w:style w:type="character" w:customStyle="1" w:styleId="153">
    <w:name w:val="批注框文本 Char"/>
    <w:semiHidden/>
    <w:qFormat/>
    <w:uiPriority w:val="99"/>
    <w:rPr>
      <w:kern w:val="2"/>
      <w:sz w:val="18"/>
      <w:szCs w:val="18"/>
    </w:rPr>
  </w:style>
  <w:style w:type="character" w:customStyle="1" w:styleId="154">
    <w:name w:val="DAS正文 Char"/>
    <w:qFormat/>
    <w:uiPriority w:val="0"/>
    <w:rPr>
      <w:rFonts w:ascii="Verdana" w:hAnsi="Verdana" w:eastAsia="宋体"/>
      <w:kern w:val="2"/>
      <w:sz w:val="21"/>
      <w:szCs w:val="21"/>
      <w:lang w:val="en-US" w:eastAsia="zh-CN" w:bidi="ar-SA"/>
    </w:rPr>
  </w:style>
  <w:style w:type="character" w:customStyle="1" w:styleId="155">
    <w:name w:val="正文文本缩进 3 Char"/>
    <w:link w:val="31"/>
    <w:qFormat/>
    <w:uiPriority w:val="0"/>
    <w:rPr>
      <w:rFonts w:ascii="宋体" w:hAnsi="Times New Roman" w:eastAsia="宋体" w:cs="Times New Roman"/>
      <w:kern w:val="0"/>
      <w:sz w:val="24"/>
      <w:szCs w:val="24"/>
    </w:rPr>
  </w:style>
  <w:style w:type="character" w:customStyle="1" w:styleId="156">
    <w:name w:val="页眉 Char"/>
    <w:qFormat/>
    <w:uiPriority w:val="99"/>
    <w:rPr>
      <w:kern w:val="2"/>
      <w:sz w:val="18"/>
      <w:szCs w:val="18"/>
    </w:rPr>
  </w:style>
  <w:style w:type="character" w:customStyle="1" w:styleId="157">
    <w:name w:val="正文文本 3 Char"/>
    <w:link w:val="17"/>
    <w:qFormat/>
    <w:uiPriority w:val="0"/>
    <w:rPr>
      <w:rFonts w:ascii="宋体" w:hAnsi="Times New Roman" w:eastAsia="宋体" w:cs="Times New Roman"/>
      <w:b/>
      <w:bCs/>
      <w:color w:val="3366FF"/>
      <w:sz w:val="52"/>
      <w:szCs w:val="52"/>
      <w:lang w:val="zh-CN"/>
    </w:rPr>
  </w:style>
  <w:style w:type="character" w:customStyle="1" w:styleId="158">
    <w:name w:val="HTML 预设格式 字符1"/>
    <w:semiHidden/>
    <w:qFormat/>
    <w:uiPriority w:val="99"/>
    <w:rPr>
      <w:rFonts w:ascii="Courier New" w:hAnsi="Courier New" w:eastAsia="宋体" w:cs="Courier New"/>
      <w:kern w:val="0"/>
      <w:sz w:val="20"/>
      <w:szCs w:val="20"/>
    </w:rPr>
  </w:style>
  <w:style w:type="character" w:customStyle="1" w:styleId="159">
    <w:name w:val="彩色列表 - 强调文字颜色 1 Char"/>
    <w:link w:val="160"/>
    <w:qFormat/>
    <w:uiPriority w:val="0"/>
    <w:rPr>
      <w:rFonts w:ascii="宋体"/>
      <w:sz w:val="24"/>
      <w:szCs w:val="24"/>
    </w:rPr>
  </w:style>
  <w:style w:type="paragraph" w:customStyle="1" w:styleId="160">
    <w:name w:val="彩色列表 - 强调文字颜色 11"/>
    <w:basedOn w:val="1"/>
    <w:link w:val="159"/>
    <w:qFormat/>
    <w:uiPriority w:val="0"/>
    <w:pPr>
      <w:autoSpaceDE w:val="0"/>
      <w:autoSpaceDN w:val="0"/>
      <w:adjustRightInd w:val="0"/>
      <w:ind w:firstLine="420" w:firstLineChars="200"/>
      <w:jc w:val="left"/>
    </w:pPr>
    <w:rPr>
      <w:rFonts w:ascii="宋体"/>
      <w:sz w:val="24"/>
      <w:szCs w:val="24"/>
    </w:rPr>
  </w:style>
  <w:style w:type="character" w:customStyle="1" w:styleId="161">
    <w:name w:val="普通(网站) 字符"/>
    <w:qFormat/>
    <w:locked/>
    <w:uiPriority w:val="99"/>
    <w:rPr>
      <w:rFonts w:ascii="宋体" w:hAnsi="宋体" w:eastAsia="宋体" w:cs="Times New Roman"/>
      <w:kern w:val="0"/>
      <w:sz w:val="15"/>
      <w:szCs w:val="15"/>
      <w:lang w:val="en-US" w:eastAsia="zh-CN"/>
    </w:rPr>
  </w:style>
  <w:style w:type="paragraph" w:customStyle="1" w:styleId="162">
    <w:name w:val="_Style 123"/>
    <w:basedOn w:val="1"/>
    <w:next w:val="130"/>
    <w:qFormat/>
    <w:uiPriority w:val="34"/>
    <w:pPr>
      <w:spacing w:line="360" w:lineRule="auto"/>
      <w:ind w:firstLine="420" w:firstLineChars="200"/>
    </w:pPr>
    <w:rPr>
      <w:rFonts w:ascii="Calibri" w:hAnsi="Calibri" w:eastAsia="宋体" w:cs="Times New Roman"/>
    </w:rPr>
  </w:style>
  <w:style w:type="character" w:customStyle="1" w:styleId="163">
    <w:name w:val="纯文本 字符4"/>
    <w:basedOn w:val="41"/>
    <w:semiHidden/>
    <w:qFormat/>
    <w:uiPriority w:val="99"/>
    <w:rPr>
      <w:rFonts w:hAnsi="Courier New" w:cs="Courier New" w:asciiTheme="minorEastAsia"/>
    </w:rPr>
  </w:style>
  <w:style w:type="character" w:customStyle="1" w:styleId="164">
    <w:name w:val="批注文字 Char2"/>
    <w:basedOn w:val="41"/>
    <w:link w:val="16"/>
    <w:semiHidden/>
    <w:qFormat/>
    <w:uiPriority w:val="99"/>
  </w:style>
  <w:style w:type="character" w:customStyle="1" w:styleId="165">
    <w:name w:val="批注主题 字符2"/>
    <w:basedOn w:val="164"/>
    <w:semiHidden/>
    <w:qFormat/>
    <w:uiPriority w:val="99"/>
    <w:rPr>
      <w:b/>
      <w:bCs/>
    </w:rPr>
  </w:style>
  <w:style w:type="character" w:customStyle="1" w:styleId="166">
    <w:name w:val="标题 字符3"/>
    <w:basedOn w:val="41"/>
    <w:qFormat/>
    <w:uiPriority w:val="10"/>
    <w:rPr>
      <w:rFonts w:asciiTheme="majorHAnsi" w:hAnsiTheme="majorHAnsi" w:eastAsiaTheme="majorEastAsia" w:cstheme="majorBidi"/>
      <w:b/>
      <w:bCs/>
      <w:sz w:val="32"/>
      <w:szCs w:val="32"/>
    </w:rPr>
  </w:style>
  <w:style w:type="character" w:customStyle="1" w:styleId="167">
    <w:name w:val="正文文本缩进 字符3"/>
    <w:basedOn w:val="41"/>
    <w:semiHidden/>
    <w:qFormat/>
    <w:uiPriority w:val="99"/>
  </w:style>
  <w:style w:type="character" w:customStyle="1" w:styleId="168">
    <w:name w:val="正文文本 字符4"/>
    <w:basedOn w:val="41"/>
    <w:semiHidden/>
    <w:qFormat/>
    <w:uiPriority w:val="99"/>
  </w:style>
  <w:style w:type="character" w:customStyle="1" w:styleId="169">
    <w:name w:val="正文文本缩进 3 字符2"/>
    <w:basedOn w:val="41"/>
    <w:semiHidden/>
    <w:qFormat/>
    <w:uiPriority w:val="99"/>
    <w:rPr>
      <w:sz w:val="16"/>
      <w:szCs w:val="16"/>
    </w:rPr>
  </w:style>
  <w:style w:type="character" w:customStyle="1" w:styleId="170">
    <w:name w:val="页眉 字符2"/>
    <w:basedOn w:val="41"/>
    <w:semiHidden/>
    <w:qFormat/>
    <w:uiPriority w:val="99"/>
    <w:rPr>
      <w:sz w:val="18"/>
      <w:szCs w:val="18"/>
    </w:rPr>
  </w:style>
  <w:style w:type="character" w:customStyle="1" w:styleId="171">
    <w:name w:val="批注框文本 字符2"/>
    <w:basedOn w:val="41"/>
    <w:semiHidden/>
    <w:qFormat/>
    <w:uiPriority w:val="99"/>
    <w:rPr>
      <w:sz w:val="18"/>
      <w:szCs w:val="18"/>
    </w:rPr>
  </w:style>
  <w:style w:type="character" w:customStyle="1" w:styleId="172">
    <w:name w:val="HTML 预设格式 字符2"/>
    <w:basedOn w:val="41"/>
    <w:semiHidden/>
    <w:qFormat/>
    <w:uiPriority w:val="99"/>
    <w:rPr>
      <w:rFonts w:ascii="Courier New" w:hAnsi="Courier New" w:cs="Courier New"/>
      <w:sz w:val="20"/>
      <w:szCs w:val="20"/>
    </w:rPr>
  </w:style>
  <w:style w:type="character" w:customStyle="1" w:styleId="173">
    <w:name w:val="页脚 字符2"/>
    <w:basedOn w:val="41"/>
    <w:semiHidden/>
    <w:qFormat/>
    <w:uiPriority w:val="99"/>
    <w:rPr>
      <w:sz w:val="18"/>
      <w:szCs w:val="18"/>
    </w:rPr>
  </w:style>
  <w:style w:type="character" w:customStyle="1" w:styleId="174">
    <w:name w:val="正文文本缩进 2 字符2"/>
    <w:basedOn w:val="41"/>
    <w:semiHidden/>
    <w:qFormat/>
    <w:uiPriority w:val="99"/>
  </w:style>
  <w:style w:type="character" w:customStyle="1" w:styleId="175">
    <w:name w:val="正文文本 3 字符2"/>
    <w:basedOn w:val="41"/>
    <w:semiHidden/>
    <w:qFormat/>
    <w:uiPriority w:val="99"/>
    <w:rPr>
      <w:sz w:val="16"/>
      <w:szCs w:val="16"/>
    </w:rPr>
  </w:style>
  <w:style w:type="character" w:customStyle="1" w:styleId="176">
    <w:name w:val="正文文本 2 字符2"/>
    <w:basedOn w:val="41"/>
    <w:semiHidden/>
    <w:qFormat/>
    <w:uiPriority w:val="99"/>
  </w:style>
  <w:style w:type="paragraph" w:customStyle="1" w:styleId="177">
    <w:name w:val="WPSOffice手动目录 3"/>
    <w:qFormat/>
    <w:uiPriority w:val="0"/>
    <w:pPr>
      <w:ind w:left="400" w:leftChars="400"/>
    </w:pPr>
    <w:rPr>
      <w:rFonts w:ascii="Calibri" w:hAnsi="Calibri" w:eastAsia="宋体" w:cs="Times New Roman"/>
      <w:lang w:val="en-US" w:eastAsia="zh-CN" w:bidi="ar-SA"/>
    </w:rPr>
  </w:style>
  <w:style w:type="paragraph" w:customStyle="1" w:styleId="178">
    <w:name w:val="列表段落1"/>
    <w:basedOn w:val="1"/>
    <w:qFormat/>
    <w:uiPriority w:val="0"/>
    <w:pPr>
      <w:ind w:firstLine="420" w:firstLineChars="200"/>
    </w:pPr>
    <w:rPr>
      <w:rFonts w:ascii="Times New Roman" w:hAnsi="Times New Roman" w:eastAsia="宋体" w:cs="Times New Roman"/>
      <w:szCs w:val="20"/>
    </w:rPr>
  </w:style>
  <w:style w:type="character" w:customStyle="1" w:styleId="179">
    <w:name w:val="文档结构图 字符2"/>
    <w:basedOn w:val="41"/>
    <w:semiHidden/>
    <w:qFormat/>
    <w:uiPriority w:val="99"/>
    <w:rPr>
      <w:rFonts w:ascii="Microsoft YaHei UI" w:eastAsia="Microsoft YaHei UI"/>
      <w:sz w:val="18"/>
      <w:szCs w:val="18"/>
    </w:rPr>
  </w:style>
  <w:style w:type="character" w:customStyle="1" w:styleId="180">
    <w:name w:val="日期 字符2"/>
    <w:basedOn w:val="41"/>
    <w:semiHidden/>
    <w:qFormat/>
    <w:uiPriority w:val="99"/>
  </w:style>
  <w:style w:type="paragraph" w:customStyle="1" w:styleId="181">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2">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3">
    <w:name w:val="修订1"/>
    <w:semiHidden/>
    <w:qFormat/>
    <w:uiPriority w:val="99"/>
    <w:rPr>
      <w:rFonts w:ascii="宋体" w:hAnsi="Calibri" w:eastAsia="宋体" w:cs="Times New Roman"/>
      <w:sz w:val="24"/>
      <w:szCs w:val="24"/>
      <w:lang w:val="en-US" w:eastAsia="zh-CN" w:bidi="ar-SA"/>
    </w:rPr>
  </w:style>
  <w:style w:type="paragraph" w:customStyle="1" w:styleId="184">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6">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7">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8">
    <w:name w:val="p0"/>
    <w:basedOn w:val="1"/>
    <w:qFormat/>
    <w:uiPriority w:val="0"/>
    <w:pPr>
      <w:widowControl/>
    </w:pPr>
    <w:rPr>
      <w:rFonts w:ascii="Times New Roman" w:hAnsi="Calibri" w:eastAsia="宋体" w:cs="Times New Roman"/>
      <w:kern w:val="0"/>
      <w:szCs w:val="20"/>
    </w:rPr>
  </w:style>
  <w:style w:type="paragraph" w:customStyle="1" w:styleId="189">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1">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2">
    <w:name w:val="WPSOffice手动目录 1"/>
    <w:qFormat/>
    <w:uiPriority w:val="0"/>
    <w:rPr>
      <w:rFonts w:ascii="Calibri" w:hAnsi="Calibri" w:eastAsia="宋体" w:cs="Times New Roman"/>
      <w:lang w:val="en-US" w:eastAsia="zh-CN" w:bidi="ar-SA"/>
    </w:rPr>
  </w:style>
  <w:style w:type="paragraph" w:customStyle="1" w:styleId="193">
    <w:name w:val="_Style 69"/>
    <w:basedOn w:val="1"/>
    <w:next w:val="130"/>
    <w:qFormat/>
    <w:uiPriority w:val="34"/>
    <w:pPr>
      <w:spacing w:line="360" w:lineRule="auto"/>
      <w:ind w:firstLine="420" w:firstLineChars="200"/>
    </w:pPr>
    <w:rPr>
      <w:rFonts w:ascii="Calibri" w:hAnsi="Calibri" w:eastAsia="宋体" w:cs="Times New Roman"/>
    </w:rPr>
  </w:style>
  <w:style w:type="paragraph" w:customStyle="1" w:styleId="194">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5">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6">
    <w:name w:val="彩色底纹 - 着色 11"/>
    <w:semiHidden/>
    <w:qFormat/>
    <w:uiPriority w:val="99"/>
    <w:rPr>
      <w:rFonts w:ascii="宋体" w:hAnsi="Calibri" w:eastAsia="宋体" w:cs="Times New Roman"/>
      <w:sz w:val="24"/>
      <w:szCs w:val="24"/>
      <w:lang w:val="en-US" w:eastAsia="zh-CN" w:bidi="ar-SA"/>
    </w:rPr>
  </w:style>
  <w:style w:type="paragraph" w:customStyle="1" w:styleId="197">
    <w:name w:val="WPSOffice手动目录 2"/>
    <w:qFormat/>
    <w:uiPriority w:val="0"/>
    <w:pPr>
      <w:ind w:left="200" w:leftChars="200"/>
    </w:pPr>
    <w:rPr>
      <w:rFonts w:ascii="Calibri" w:hAnsi="Calibri" w:eastAsia="宋体" w:cs="Times New Roman"/>
      <w:lang w:val="en-US" w:eastAsia="zh-CN" w:bidi="ar-SA"/>
    </w:rPr>
  </w:style>
  <w:style w:type="paragraph" w:customStyle="1" w:styleId="198">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9">
    <w:name w:val="表格文字居中"/>
    <w:basedOn w:val="123"/>
    <w:qFormat/>
    <w:uiPriority w:val="0"/>
    <w:pPr>
      <w:jc w:val="center"/>
    </w:pPr>
    <w:rPr>
      <w:rFonts w:cs="宋体"/>
      <w:szCs w:val="20"/>
    </w:rPr>
  </w:style>
  <w:style w:type="paragraph" w:customStyle="1" w:styleId="200">
    <w:name w:val="正文缩进4格"/>
    <w:basedOn w:val="64"/>
    <w:qFormat/>
    <w:uiPriority w:val="0"/>
    <w:pPr>
      <w:spacing w:line="360" w:lineRule="auto"/>
      <w:ind w:left="964" w:leftChars="314" w:hanging="210" w:hangingChars="100"/>
    </w:pPr>
    <w:rPr>
      <w:rFonts w:ascii="宋体" w:eastAsia="宋体"/>
      <w:sz w:val="21"/>
      <w:szCs w:val="21"/>
      <w:lang w:val="zh-CN"/>
    </w:rPr>
  </w:style>
  <w:style w:type="paragraph" w:customStyle="1" w:styleId="201">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2">
    <w:name w:val="正文首行缩进 Char"/>
    <w:basedOn w:val="119"/>
    <w:link w:val="37"/>
    <w:semiHidden/>
    <w:qFormat/>
    <w:uiPriority w:val="99"/>
    <w:rPr>
      <w:rFonts w:ascii="宋体" w:eastAsia="宋体"/>
      <w:b w:val="0"/>
      <w:bCs w:val="0"/>
      <w:sz w:val="84"/>
      <w:szCs w:val="84"/>
      <w:lang w:val="zh-CN"/>
    </w:rPr>
  </w:style>
  <w:style w:type="paragraph" w:customStyle="1" w:styleId="203">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4">
    <w:name w:val="Table Paragraph"/>
    <w:basedOn w:val="1"/>
    <w:qFormat/>
    <w:uiPriority w:val="1"/>
    <w:pPr>
      <w:jc w:val="center"/>
    </w:pPr>
    <w:rPr>
      <w:rFonts w:ascii="宋体" w:hAnsi="宋体" w:eastAsia="宋体" w:cs="宋体"/>
      <w:lang w:val="zh-CN" w:eastAsia="zh-CN" w:bidi="zh-CN"/>
    </w:rPr>
  </w:style>
  <w:style w:type="character" w:customStyle="1" w:styleId="205">
    <w:name w:val="font51"/>
    <w:basedOn w:val="41"/>
    <w:qFormat/>
    <w:uiPriority w:val="0"/>
    <w:rPr>
      <w:rFonts w:hint="eastAsia" w:ascii="宋体" w:hAnsi="宋体" w:eastAsia="宋体" w:cs="宋体"/>
      <w:color w:val="000000"/>
      <w:sz w:val="36"/>
      <w:szCs w:val="36"/>
      <w:u w:val="none"/>
    </w:rPr>
  </w:style>
  <w:style w:type="character" w:customStyle="1" w:styleId="206">
    <w:name w:val="font41"/>
    <w:basedOn w:val="41"/>
    <w:qFormat/>
    <w:uiPriority w:val="0"/>
    <w:rPr>
      <w:rFonts w:hint="eastAsia" w:ascii="宋体" w:hAnsi="宋体" w:eastAsia="宋体" w:cs="宋体"/>
      <w:color w:val="000000"/>
      <w:sz w:val="20"/>
      <w:szCs w:val="20"/>
      <w:u w:val="none"/>
    </w:rPr>
  </w:style>
  <w:style w:type="paragraph" w:customStyle="1" w:styleId="207">
    <w:name w:val="Table Text"/>
    <w:basedOn w:val="1"/>
    <w:semiHidden/>
    <w:qFormat/>
    <w:uiPriority w:val="0"/>
    <w:rPr>
      <w:rFonts w:ascii="宋体" w:hAnsi="宋体" w:eastAsia="宋体" w:cs="宋体"/>
      <w:sz w:val="16"/>
      <w:szCs w:val="16"/>
      <w:lang w:val="en-US" w:eastAsia="en-US" w:bidi="ar-SA"/>
    </w:rPr>
  </w:style>
  <w:style w:type="table" w:customStyle="1" w:styleId="208">
    <w:name w:val="Table Normal"/>
    <w:semiHidden/>
    <w:unhideWhenUsed/>
    <w:qFormat/>
    <w:uiPriority w:val="0"/>
    <w:tblPr>
      <w:tblCellMar>
        <w:top w:w="0" w:type="dxa"/>
        <w:left w:w="0" w:type="dxa"/>
        <w:bottom w:w="0" w:type="dxa"/>
        <w:right w:w="0" w:type="dxa"/>
      </w:tblCellMar>
    </w:tblPr>
  </w:style>
  <w:style w:type="paragraph" w:customStyle="1" w:styleId="209">
    <w:name w:val="列出段落2"/>
    <w:basedOn w:val="1"/>
    <w:qFormat/>
    <w:uiPriority w:val="0"/>
    <w:pPr>
      <w:autoSpaceDE w:val="0"/>
      <w:autoSpaceDN w:val="0"/>
      <w:adjustRightInd w:val="0"/>
      <w:ind w:firstLine="420" w:firstLineChars="200"/>
      <w:jc w:val="left"/>
    </w:pPr>
    <w:rPr>
      <w:rFonts w:hint="eastAsia" w:ascii="宋体" w:hAnsi="宋体" w:eastAsia="宋体" w:cs="Times New Roman"/>
      <w:kern w:val="0"/>
      <w:sz w:val="24"/>
      <w:szCs w:val="24"/>
    </w:rPr>
  </w:style>
  <w:style w:type="paragraph" w:customStyle="1" w:styleId="210">
    <w:name w:val="Body Text First Indent1"/>
    <w:basedOn w:val="1"/>
    <w:qFormat/>
    <w:uiPriority w:val="0"/>
    <w:pPr>
      <w:ind w:firstLine="420" w:firstLineChars="100"/>
    </w:pPr>
  </w:style>
  <w:style w:type="paragraph" w:customStyle="1" w:styleId="211">
    <w:name w:val="_附录编号标题"/>
    <w:basedOn w:val="1"/>
    <w:next w:val="212"/>
    <w:qFormat/>
    <w:uiPriority w:val="0"/>
    <w:pPr>
      <w:snapToGrid w:val="0"/>
      <w:spacing w:before="567"/>
      <w:jc w:val="center"/>
    </w:pPr>
    <w:rPr>
      <w:rFonts w:eastAsia="黑体"/>
      <w:color w:val="000000"/>
    </w:rPr>
  </w:style>
  <w:style w:type="paragraph" w:customStyle="1" w:styleId="212">
    <w:name w:val="附录标题1"/>
    <w:basedOn w:val="3"/>
    <w:next w:val="213"/>
    <w:qFormat/>
    <w:uiPriority w:val="0"/>
    <w:pPr>
      <w:tabs>
        <w:tab w:val="left" w:pos="300"/>
        <w:tab w:val="left" w:pos="700"/>
      </w:tabs>
      <w:ind w:left="300" w:hanging="300"/>
    </w:pPr>
    <w:rPr>
      <w:color w:val="FFFFFF"/>
      <w:sz w:val="18"/>
    </w:rPr>
  </w:style>
  <w:style w:type="paragraph" w:customStyle="1" w:styleId="213">
    <w:name w:val="附录标题2"/>
    <w:basedOn w:val="2"/>
    <w:next w:val="37"/>
    <w:qFormat/>
    <w:uiPriority w:val="0"/>
    <w:pPr>
      <w:tabs>
        <w:tab w:val="left" w:pos="500"/>
      </w:tabs>
      <w:ind w:left="500" w:hanging="500"/>
    </w:pPr>
    <w:rPr>
      <w:rFonts w:eastAsia="黑体"/>
    </w:rPr>
  </w:style>
  <w:style w:type="paragraph" w:customStyle="1" w:styleId="214">
    <w:name w:val="样式 宋体 行距: 1.5 倍行距"/>
    <w:basedOn w:val="1"/>
    <w:qFormat/>
    <w:uiPriority w:val="0"/>
    <w:pPr>
      <w:jc w:val="center"/>
    </w:pPr>
    <w:rPr>
      <w:rFonts w:ascii="Times New Roman" w:hAnsi="Times New Roman"/>
      <w:b/>
    </w:rPr>
  </w:style>
  <w:style w:type="paragraph" w:customStyle="1" w:styleId="215">
    <w:name w:val="_标准条文"/>
    <w:basedOn w:val="1"/>
    <w:qFormat/>
    <w:uiPriority w:val="0"/>
    <w:pPr>
      <w:overflowPunct w:val="0"/>
      <w:snapToGrid w:val="0"/>
      <w:spacing w:line="276" w:lineRule="auto"/>
      <w:ind w:firstLine="420" w:firstLineChars="200"/>
    </w:pPr>
    <w:rPr>
      <w:rFonts w:cs="宋体"/>
      <w:szCs w:val="20"/>
    </w:rPr>
  </w:style>
  <w:style w:type="paragraph" w:customStyle="1" w:styleId="216">
    <w:name w:val="_表格条文"/>
    <w:basedOn w:val="1"/>
    <w:qFormat/>
    <w:uiPriority w:val="0"/>
    <w:pPr>
      <w:spacing w:line="276" w:lineRule="auto"/>
    </w:pPr>
    <w:rPr>
      <w:color w:val="000000"/>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122</Pages>
  <Words>14592</Words>
  <Characters>15473</Characters>
  <Lines>314</Lines>
  <Paragraphs>88</Paragraphs>
  <TotalTime>14</TotalTime>
  <ScaleCrop>false</ScaleCrop>
  <LinksUpToDate>false</LinksUpToDate>
  <CharactersWithSpaces>15930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何明珠</cp:lastModifiedBy>
  <dcterms:modified xsi:type="dcterms:W3CDTF">2026-02-06T00:57:42Z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A5B2CD92F16746BE9E1EF10AF1DAC842_13</vt:lpwstr>
  </property>
  <property fmtid="{D5CDD505-2E9C-101B-9397-08002B2CF9AE}" pid="4" name="KSOTemplateDocerSaveRecord">
    <vt:lpwstr>eyJoZGlkIjoiNzg0OGM4Y2I0YTVmZTBkZWRlMjA0YTcwNDAyNTg3YjYiLCJ1c2VySWQiOiI0Mzc0NDE1OTIifQ==</vt:lpwstr>
  </property>
</Properties>
</file>