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w:t>
      </w:r>
      <w:r>
        <w:rPr>
          <w:rFonts w:hint="eastAsia" w:ascii="宋体" w:hAnsi="宋体" w:eastAsia="宋体" w:cs="宋体"/>
          <w:b/>
          <w:bCs/>
          <w:color w:val="auto"/>
          <w:kern w:val="0"/>
          <w:sz w:val="60"/>
          <w:szCs w:val="60"/>
          <w:highlight w:val="none"/>
          <w:lang w:val="en-US" w:eastAsia="zh-CN"/>
        </w:rPr>
        <w:t>6</w:t>
      </w:r>
      <w:r>
        <w:rPr>
          <w:rFonts w:hint="eastAsia" w:ascii="宋体" w:hAnsi="宋体" w:eastAsia="宋体" w:cs="宋体"/>
          <w:b/>
          <w:bCs/>
          <w:color w:val="auto"/>
          <w:kern w:val="0"/>
          <w:sz w:val="60"/>
          <w:szCs w:val="60"/>
          <w:highlight w:val="none"/>
          <w:lang w:val="zh-CN"/>
        </w:rPr>
        <w:t>年</w:t>
      </w:r>
      <w:r>
        <w:rPr>
          <w:rFonts w:hint="eastAsia" w:ascii="宋体" w:hAnsi="宋体" w:eastAsia="宋体" w:cs="宋体"/>
          <w:b/>
          <w:bCs/>
          <w:color w:val="auto"/>
          <w:kern w:val="0"/>
          <w:sz w:val="60"/>
          <w:szCs w:val="60"/>
          <w:highlight w:val="none"/>
          <w:lang w:val="en-US" w:eastAsia="zh-CN"/>
        </w:rPr>
        <w:t>自卸汽车</w:t>
      </w:r>
      <w:r>
        <w:rPr>
          <w:rFonts w:hint="eastAsia" w:ascii="宋体" w:hAnsi="宋体" w:eastAsia="宋体" w:cs="宋体"/>
          <w:b/>
          <w:bCs/>
          <w:color w:val="auto"/>
          <w:kern w:val="0"/>
          <w:sz w:val="60"/>
          <w:szCs w:val="60"/>
          <w:highlight w:val="none"/>
          <w:lang w:val="zh-CN"/>
        </w:rPr>
        <w:t>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both"/>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 xml:space="preserve">GXTZ-ZB-2026第（40）号 </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pPr>
        <w:autoSpaceDE w:val="0"/>
        <w:autoSpaceDN w:val="0"/>
        <w:adjustRightInd w:val="0"/>
        <w:spacing w:line="480" w:lineRule="auto"/>
        <w:ind w:left="1842" w:leftChars="877" w:right="0" w:rightChars="0" w:firstLine="19" w:firstLineChars="6"/>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zh-CN"/>
        </w:rPr>
        <w:t>招标代理机构：广西同泽工程项目管理股份有限公司</w:t>
      </w:r>
      <w:r>
        <w:rPr>
          <w:rFonts w:hint="eastAsia" w:ascii="宋体" w:hAnsi="宋体" w:eastAsia="宋体" w:cs="宋体"/>
          <w:b/>
          <w:bCs/>
          <w:color w:val="auto"/>
          <w:sz w:val="32"/>
          <w:szCs w:val="32"/>
          <w:highlight w:val="none"/>
          <w:lang w:val="en-US" w:eastAsia="zh-CN"/>
        </w:rPr>
        <w:t xml:space="preserve"> </w:t>
      </w: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2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5 </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rPr>
              <w:color w:val="auto"/>
              <w:highlight w:val="none"/>
            </w:rPr>
          </w:pPr>
          <w:r>
            <w:rPr>
              <w:color w:val="auto"/>
              <w:highlight w:val="none"/>
            </w:rPr>
            <w:fldChar w:fldCharType="end"/>
          </w:r>
        </w:p>
      </w:sdtContent>
    </w:sdt>
    <w:p>
      <w:pPr>
        <w:rPr>
          <w:color w:val="auto"/>
          <w:highlight w:val="none"/>
        </w:rPr>
      </w:pPr>
      <w:r>
        <w:rPr>
          <w:color w:val="auto"/>
          <w:highlight w:val="none"/>
        </w:rPr>
        <w:br w:type="page"/>
      </w:r>
    </w:p>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pPr>
        <w:rPr>
          <w:color w:val="auto"/>
          <w:highlight w:val="none"/>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eastAsia="zh-CN"/>
        </w:rPr>
        <w:t>年</w:t>
      </w:r>
      <w:r>
        <w:rPr>
          <w:rFonts w:hint="eastAsia" w:ascii="宋体" w:hAnsi="宋体" w:eastAsia="宋体" w:cs="Times New Roman"/>
          <w:color w:val="auto"/>
          <w:kern w:val="0"/>
          <w:szCs w:val="21"/>
          <w:highlight w:val="none"/>
          <w:lang w:val="en-US" w:eastAsia="zh-CN"/>
        </w:rPr>
        <w:t>自卸汽车</w:t>
      </w:r>
      <w:r>
        <w:rPr>
          <w:rFonts w:hint="eastAsia" w:ascii="宋体" w:hAnsi="宋体" w:eastAsia="宋体" w:cs="Times New Roman"/>
          <w:color w:val="auto"/>
          <w:kern w:val="0"/>
          <w:szCs w:val="21"/>
          <w:highlight w:val="none"/>
          <w:lang w:eastAsia="zh-CN"/>
        </w:rPr>
        <w:t>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GXTZ-ZB-2026第（40）号</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2"/>
        <w:tblW w:w="10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kern w:val="0"/>
                <w:szCs w:val="21"/>
                <w:highlight w:val="none"/>
                <w:lang w:val="en-US" w:eastAsia="zh-CN" w:bidi="ar"/>
              </w:rPr>
              <w:t>自卸汽车</w:t>
            </w:r>
          </w:p>
        </w:tc>
        <w:tc>
          <w:tcPr>
            <w:tcW w:w="715" w:type="dxa"/>
            <w:tcBorders>
              <w:top w:val="single" w:color="auto" w:sz="4" w:space="0"/>
              <w:left w:val="nil"/>
              <w:right w:val="single" w:color="auto" w:sz="4" w:space="0"/>
            </w:tcBorders>
            <w:shd w:val="clear" w:color="auto" w:fill="auto"/>
            <w:vAlign w:val="center"/>
          </w:tcPr>
          <w:p>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辆</w:t>
            </w:r>
          </w:p>
        </w:tc>
        <w:tc>
          <w:tcPr>
            <w:tcW w:w="5100" w:type="dxa"/>
            <w:tcBorders>
              <w:top w:val="single" w:color="auto" w:sz="4" w:space="0"/>
              <w:left w:val="nil"/>
              <w:right w:val="single" w:color="auto" w:sz="4" w:space="0"/>
            </w:tcBorders>
            <w:shd w:val="clear" w:color="auto" w:fill="auto"/>
            <w:vAlign w:val="center"/>
          </w:tcPr>
          <w:p>
            <w:pPr>
              <w:widowControl/>
              <w:overflowPunct w:val="0"/>
              <w:autoSpaceDE w:val="0"/>
              <w:autoSpaceDN w:val="0"/>
              <w:adjustRightInd w:val="0"/>
              <w:snapToGrid w:val="0"/>
              <w:spacing w:line="360" w:lineRule="auto"/>
              <w:ind w:firstLine="0" w:firstLineChars="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内完成车辆供货及查验（不得超过中标通知书发出之日起80个自然日）</w:t>
            </w:r>
            <w:r>
              <w:rPr>
                <w:rFonts w:hint="eastAsia" w:ascii="宋体" w:hAnsi="宋体" w:eastAsia="宋体" w:cs="宋体"/>
                <w:b w:val="0"/>
                <w:bCs w:val="0"/>
                <w:color w:val="auto"/>
                <w:kern w:val="0"/>
                <w:sz w:val="21"/>
                <w:szCs w:val="21"/>
                <w:highlight w:val="none"/>
                <w:lang w:eastAsia="zh-CN" w:bidi="ar"/>
              </w:rPr>
              <w:t>。</w:t>
            </w:r>
          </w:p>
          <w:p>
            <w:pPr>
              <w:widowControl/>
              <w:kinsoku w:val="0"/>
              <w:autoSpaceDE w:val="0"/>
              <w:autoSpaceDN w:val="0"/>
              <w:adjustRightInd w:val="0"/>
              <w:snapToGrid w:val="0"/>
              <w:spacing w:line="360" w:lineRule="auto"/>
              <w:jc w:val="left"/>
              <w:textAlignment w:val="baseline"/>
              <w:rPr>
                <w:rFonts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tc>
        <w:tc>
          <w:tcPr>
            <w:tcW w:w="1454" w:type="dxa"/>
            <w:tcBorders>
              <w:top w:val="single" w:color="auto" w:sz="4" w:space="0"/>
              <w:left w:val="nil"/>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2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26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2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26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 xml:space="preserve"> 曹美玲    </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 xml:space="preserve"> 0769-22001352</w:t>
      </w:r>
      <w:bookmarkStart w:id="733" w:name="_GoBack"/>
      <w:bookmarkEnd w:id="733"/>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50662847"/>
      <w:bookmarkStart w:id="4" w:name="_Toc31764_WPSOffice_Level1"/>
      <w:bookmarkStart w:id="5" w:name="_Toc486167661"/>
      <w:r>
        <w:rPr>
          <w:rFonts w:hint="eastAsia" w:ascii="宋体" w:hAnsi="宋体" w:eastAsia="宋体" w:cs="宋体"/>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广西同泽工程项目管理股份有限公司</w:t>
      </w:r>
      <w:r>
        <w:rPr>
          <w:rFonts w:hint="eastAsia" w:ascii="宋体" w:hAnsi="宋体" w:eastAsia="宋体" w:cs="宋体"/>
          <w:color w:val="auto"/>
          <w:kern w:val="0"/>
          <w:szCs w:val="21"/>
          <w:highlight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宋体"/>
          <w:color w:val="auto"/>
          <w:kern w:val="0"/>
          <w:szCs w:val="21"/>
          <w:highlight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 xml:space="preserve">张晓彬  </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 xml:space="preserve">0769-21688191 </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3533"/>
      <w:bookmarkStart w:id="8" w:name="_Toc12475"/>
      <w:bookmarkStart w:id="9" w:name="_Toc2473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486167662"/>
      <w:bookmarkStart w:id="11" w:name="_Toc16098"/>
      <w:bookmarkStart w:id="12" w:name="_Toc18164"/>
      <w:bookmarkStart w:id="13" w:name="_Toc142508312"/>
      <w:bookmarkStart w:id="14" w:name="_Toc30360"/>
      <w:bookmarkStart w:id="15" w:name="_Toc140596871"/>
      <w:bookmarkStart w:id="16" w:name="_Toc15366_WPSOffice_Level2"/>
      <w:bookmarkStart w:id="17" w:name="_Toc45066284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86167663"/>
      <w:bookmarkStart w:id="19" w:name="_Toc142508313"/>
      <w:bookmarkStart w:id="20" w:name="_Toc17369"/>
      <w:bookmarkStart w:id="21" w:name="_Toc16700"/>
      <w:bookmarkStart w:id="22" w:name="_Toc450662849"/>
      <w:bookmarkStart w:id="23" w:name="_Toc21710_WPSOffice_Level3"/>
      <w:bookmarkStart w:id="24" w:name="_Toc2213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5550"/>
      <w:bookmarkStart w:id="26" w:name="_Toc450662850"/>
      <w:bookmarkStart w:id="27" w:name="_Toc27011"/>
      <w:bookmarkStart w:id="28" w:name="_Toc486167664"/>
      <w:bookmarkStart w:id="29" w:name="_Toc80_WPSOffice_Level3"/>
      <w:bookmarkStart w:id="30" w:name="_Toc142508314"/>
      <w:bookmarkStart w:id="31" w:name="_Toc134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8199"/>
      <w:bookmarkStart w:id="33" w:name="_Toc4257"/>
      <w:bookmarkStart w:id="34" w:name="_Toc23847_WPSOffice_Level3"/>
      <w:bookmarkStart w:id="35" w:name="_Toc26948"/>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23394"/>
      <w:bookmarkStart w:id="53" w:name="_Toc20936"/>
      <w:bookmarkStart w:id="54" w:name="_Toc16122"/>
      <w:bookmarkStart w:id="55"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0596876"/>
      <w:bookmarkStart w:id="65" w:name="_Toc1482"/>
      <w:bookmarkStart w:id="66" w:name="_Toc450662853"/>
      <w:bookmarkStart w:id="67" w:name="_Toc30507_WPSOffice_Level2"/>
      <w:bookmarkStart w:id="68" w:name="_Toc142508317"/>
      <w:bookmarkStart w:id="69" w:name="_Toc486167667"/>
      <w:bookmarkStart w:id="70" w:name="_Toc2394"/>
      <w:bookmarkStart w:id="71" w:name="_Toc9339"/>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50662854"/>
      <w:bookmarkStart w:id="73" w:name="_Toc28179"/>
      <w:bookmarkStart w:id="74" w:name="_Toc486167668"/>
      <w:bookmarkStart w:id="75" w:name="_Toc31963"/>
      <w:bookmarkStart w:id="76" w:name="_Toc142508318"/>
      <w:bookmarkStart w:id="77" w:name="_Toc5028"/>
      <w:bookmarkStart w:id="78"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eastAsia="zh-CN"/>
        </w:rPr>
        <w:t>年</w:t>
      </w:r>
      <w:r>
        <w:rPr>
          <w:rFonts w:hint="eastAsia" w:ascii="宋体" w:hAnsi="宋体" w:eastAsia="宋体" w:cs="Times New Roman"/>
          <w:color w:val="auto"/>
          <w:kern w:val="0"/>
          <w:szCs w:val="21"/>
          <w:highlight w:val="none"/>
          <w:lang w:val="en-US" w:eastAsia="zh-CN"/>
        </w:rPr>
        <w:t>自卸汽车</w:t>
      </w:r>
      <w:r>
        <w:rPr>
          <w:rFonts w:hint="eastAsia" w:ascii="宋体" w:hAnsi="宋体" w:eastAsia="宋体" w:cs="Times New Roman"/>
          <w:color w:val="auto"/>
          <w:kern w:val="0"/>
          <w:szCs w:val="21"/>
          <w:highlight w:val="none"/>
          <w:lang w:eastAsia="zh-CN"/>
        </w:rPr>
        <w:t>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486167669"/>
      <w:bookmarkStart w:id="80" w:name="_Toc29125_WPSOffice_Level3"/>
      <w:bookmarkStart w:id="81" w:name="_Toc18407"/>
      <w:bookmarkStart w:id="82" w:name="_Toc142508319"/>
      <w:bookmarkStart w:id="83" w:name="_Toc450662855"/>
      <w:bookmarkStart w:id="84" w:name="_Toc2435"/>
      <w:bookmarkStart w:id="85" w:name="_Toc530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42508320"/>
      <w:bookmarkStart w:id="87" w:name="_Toc450662856"/>
      <w:bookmarkStart w:id="88" w:name="_Toc19618"/>
      <w:bookmarkStart w:id="89" w:name="_Toc23818"/>
      <w:bookmarkStart w:id="90" w:name="_Toc26320"/>
      <w:bookmarkStart w:id="91" w:name="_Toc486167670"/>
      <w:bookmarkStart w:id="9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0"/>
          <w:rFonts w:ascii="宋体" w:hAnsi="宋体" w:eastAsia="宋体" w:cs="Times New Roman"/>
          <w:color w:val="auto"/>
          <w:sz w:val="21"/>
          <w:szCs w:val="21"/>
          <w:highlight w:val="none"/>
          <w:lang w:val="zh-CN"/>
        </w:rPr>
        <w:t>、</w:t>
      </w:r>
      <w:r>
        <w:rPr>
          <w:rStyle w:val="40"/>
          <w:rFonts w:hint="eastAsia" w:ascii="宋体" w:hAnsi="宋体" w:eastAsia="宋体" w:cs="Times New Roman"/>
          <w:bCs/>
          <w:color w:val="auto"/>
          <w:kern w:val="0"/>
          <w:sz w:val="21"/>
          <w:szCs w:val="21"/>
          <w:highlight w:val="none"/>
        </w:rPr>
        <w:t>招标代理</w:t>
      </w:r>
      <w:r>
        <w:rPr>
          <w:rStyle w:val="40"/>
          <w:rFonts w:hint="eastAsia" w:ascii="宋体" w:hAnsi="宋体" w:eastAsia="宋体" w:cs="Times New Roman"/>
          <w:bCs/>
          <w:color w:val="auto"/>
          <w:kern w:val="0"/>
          <w:sz w:val="21"/>
          <w:szCs w:val="21"/>
          <w:highlight w:val="none"/>
          <w:lang w:val="en-US" w:eastAsia="zh-CN"/>
        </w:rPr>
        <w:t>机构</w:t>
      </w:r>
      <w:r>
        <w:rPr>
          <w:rStyle w:val="40"/>
          <w:rFonts w:hint="eastAsia" w:ascii="宋体" w:hAnsi="宋体" w:eastAsia="宋体" w:cs="Times New Roman"/>
          <w:bCs/>
          <w:color w:val="auto"/>
          <w:kern w:val="0"/>
          <w:sz w:val="21"/>
          <w:szCs w:val="21"/>
          <w:highlight w:val="none"/>
        </w:rPr>
        <w:t>网站（http://www.gxtzfz.cn/</w:t>
      </w:r>
      <w:r>
        <w:rPr>
          <w:rStyle w:val="40"/>
          <w:rFonts w:ascii="宋体" w:hAnsi="宋体" w:eastAsia="宋体" w:cs="Times New Roman"/>
          <w:bCs/>
          <w:color w:val="auto"/>
          <w:kern w:val="0"/>
          <w:sz w:val="21"/>
          <w:szCs w:val="21"/>
          <w:highlight w:val="none"/>
        </w:rPr>
        <w:t>）</w:t>
      </w:r>
      <w:r>
        <w:rPr>
          <w:rStyle w:val="40"/>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4335"/>
      <w:bookmarkStart w:id="94" w:name="_Toc140596880"/>
      <w:bookmarkStart w:id="95" w:name="_Toc142508321"/>
      <w:bookmarkStart w:id="96" w:name="_Toc450662857"/>
      <w:bookmarkStart w:id="97" w:name="_Toc2222"/>
      <w:bookmarkStart w:id="98" w:name="_Toc486167671"/>
      <w:bookmarkStart w:id="99" w:name="_Toc29659_WPSOffice_Level2"/>
      <w:bookmarkStart w:id="100" w:name="_Toc6039"/>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0015_WPSOffice_Level3"/>
      <w:bookmarkStart w:id="102" w:name="_Toc25773"/>
      <w:bookmarkStart w:id="103" w:name="_Toc486167672"/>
      <w:bookmarkStart w:id="104" w:name="_Toc450662858"/>
      <w:bookmarkStart w:id="105" w:name="_Toc20240"/>
      <w:bookmarkStart w:id="106" w:name="_Toc16966"/>
      <w:bookmarkStart w:id="107"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24916_WPSOffice_Level3"/>
      <w:bookmarkStart w:id="109" w:name="_Toc142508323"/>
      <w:bookmarkStart w:id="110" w:name="_Toc486167673"/>
      <w:bookmarkStart w:id="111" w:name="_Toc450662859"/>
      <w:bookmarkStart w:id="112" w:name="_Toc18442"/>
      <w:bookmarkStart w:id="113" w:name="_Toc1879"/>
      <w:bookmarkStart w:id="114"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所投车辆性能；</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42508324"/>
      <w:bookmarkStart w:id="116" w:name="_Toc16534"/>
      <w:bookmarkStart w:id="117" w:name="_Toc18697"/>
      <w:bookmarkStart w:id="118" w:name="_Toc450662860"/>
      <w:bookmarkStart w:id="119" w:name="_Toc486167674"/>
      <w:bookmarkStart w:id="120" w:name="_Toc6234"/>
      <w:bookmarkStart w:id="121"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142508325"/>
      <w:bookmarkStart w:id="123" w:name="_Toc486167675"/>
      <w:bookmarkStart w:id="124" w:name="_Toc450662861"/>
      <w:bookmarkStart w:id="125" w:name="_Toc6905"/>
      <w:bookmarkStart w:id="126" w:name="_Toc4385_WPSOffice_Level3"/>
      <w:bookmarkStart w:id="127" w:name="_Toc12598"/>
      <w:bookmarkStart w:id="128"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核定座位数*10万元/座</w:t>
      </w:r>
      <w:r>
        <w:rPr>
          <w:rFonts w:hint="eastAsia" w:ascii="宋体" w:hAnsi="宋体" w:eastAsia="宋体" w:cs="宋体"/>
          <w:color w:val="auto"/>
          <w:szCs w:val="21"/>
          <w:highlight w:val="none"/>
          <w:lang w:val="zh-CN"/>
        </w:rPr>
        <w:t>保额）责任保险】、车身喷涂（按招标人要求）、检测及验收合格之前及质保期内维修维护、售后服务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拖车费</w:t>
      </w:r>
      <w:r>
        <w:rPr>
          <w:rFonts w:hint="eastAsia" w:ascii="宋体" w:hAnsi="宋体" w:eastAsia="宋体" w:cs="宋体"/>
          <w:color w:val="auto"/>
          <w:szCs w:val="21"/>
          <w:highlight w:val="none"/>
          <w:lang w:val="zh-CN"/>
        </w:rPr>
        <w:t>等全部费用；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宋体"/>
          <w:b/>
          <w:bCs/>
          <w:color w:val="auto"/>
          <w:szCs w:val="21"/>
          <w:highlight w:val="none"/>
          <w:lang w:val="zh-CN"/>
        </w:rPr>
        <w:t>含税单价采购限价为：</w:t>
      </w:r>
      <w:r>
        <w:rPr>
          <w:rFonts w:hint="eastAsia" w:ascii="宋体" w:hAnsi="宋体" w:eastAsia="宋体" w:cs="Times New Roman"/>
          <w:b/>
          <w:bCs/>
          <w:color w:val="auto"/>
          <w:sz w:val="21"/>
          <w:szCs w:val="21"/>
          <w:highlight w:val="none"/>
          <w:lang w:val="en-US" w:eastAsia="zh-CN"/>
        </w:rPr>
        <w:t>129771.43</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壹拾贰万玖仟柒佰柒拾壹元肆角叁分</w:t>
      </w:r>
      <w:r>
        <w:rPr>
          <w:rFonts w:hint="eastAsia" w:ascii="宋体" w:hAnsi="宋体" w:eastAsia="宋体" w:cs="Times New Roman"/>
          <w:b/>
          <w:bCs/>
          <w:color w:val="auto"/>
          <w:szCs w:val="21"/>
          <w:highlight w:val="none"/>
          <w:lang w:val="en-US"/>
        </w:rPr>
        <w:t>）；</w:t>
      </w:r>
    </w:p>
    <w:p>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Times New Roman"/>
          <w:b/>
          <w:bCs/>
          <w:color w:val="auto"/>
          <w:szCs w:val="21"/>
          <w:highlight w:val="none"/>
          <w:lang w:val="en-US"/>
        </w:rPr>
        <w:t>含税总</w:t>
      </w:r>
      <w:r>
        <w:rPr>
          <w:rFonts w:hint="eastAsia" w:ascii="宋体" w:hAnsi="宋体" w:eastAsia="宋体" w:cs="Times New Roman"/>
          <w:b/>
          <w:bCs/>
          <w:color w:val="auto"/>
          <w:szCs w:val="21"/>
          <w:highlight w:val="none"/>
          <w:lang w:val="en-US" w:eastAsia="zh-CN"/>
        </w:rPr>
        <w:t>价</w:t>
      </w:r>
      <w:r>
        <w:rPr>
          <w:rFonts w:hint="eastAsia" w:ascii="宋体" w:hAnsi="宋体" w:eastAsia="宋体" w:cs="Times New Roman"/>
          <w:b/>
          <w:bCs/>
          <w:color w:val="auto"/>
          <w:szCs w:val="21"/>
          <w:highlight w:val="none"/>
          <w:lang w:val="en-US"/>
        </w:rPr>
        <w:t>采购限价为：</w:t>
      </w:r>
      <w:r>
        <w:rPr>
          <w:rFonts w:hint="eastAsia" w:ascii="宋体" w:hAnsi="宋体" w:eastAsia="宋体" w:cs="Times New Roman"/>
          <w:b/>
          <w:bCs/>
          <w:color w:val="auto"/>
          <w:sz w:val="21"/>
          <w:szCs w:val="21"/>
          <w:highlight w:val="none"/>
          <w:lang w:val="en-US" w:eastAsia="zh-CN"/>
        </w:rPr>
        <w:t>908400.01</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玖拾万捌仟肆佰元零壹分</w:t>
      </w:r>
      <w:r>
        <w:rPr>
          <w:rFonts w:hint="eastAsia" w:ascii="宋体" w:hAnsi="宋体" w:eastAsia="宋体" w:cs="Times New Roman"/>
          <w:b/>
          <w:bCs/>
          <w:color w:val="auto"/>
          <w:szCs w:val="21"/>
          <w:highlight w:val="none"/>
          <w:lang w:val="en-US"/>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30042_WPSOffice_Level3"/>
      <w:bookmarkStart w:id="130" w:name="_Toc486167676"/>
      <w:bookmarkStart w:id="131" w:name="_Toc450662862"/>
      <w:bookmarkStart w:id="132" w:name="_Toc12103"/>
      <w:bookmarkStart w:id="133" w:name="_Toc635"/>
      <w:bookmarkStart w:id="134" w:name="_Toc142508326"/>
      <w:bookmarkStart w:id="135"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50662863"/>
      <w:bookmarkStart w:id="137" w:name="_Toc486167677"/>
      <w:bookmarkStart w:id="138" w:name="_Toc9411_WPSOffice_Level3"/>
      <w:bookmarkStart w:id="139" w:name="_Toc20334"/>
      <w:bookmarkStart w:id="140" w:name="_Toc25596"/>
      <w:bookmarkStart w:id="141" w:name="_Toc21258"/>
      <w:bookmarkStart w:id="142"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6154"/>
      <w:bookmarkStart w:id="144" w:name="_Toc450662864"/>
      <w:bookmarkStart w:id="145" w:name="_Toc142508328"/>
      <w:bookmarkStart w:id="146" w:name="_Toc30441"/>
      <w:bookmarkStart w:id="147" w:name="_Toc27771_WPSOffice_Level3"/>
      <w:bookmarkStart w:id="148" w:name="_Toc26559"/>
      <w:bookmarkStart w:id="149"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5356_WPSOffice_Level3"/>
      <w:bookmarkStart w:id="151" w:name="_Toc4163"/>
      <w:bookmarkStart w:id="152" w:name="_Toc486167679"/>
      <w:bookmarkStart w:id="153" w:name="_Toc24774"/>
      <w:bookmarkStart w:id="154" w:name="_Toc142508329"/>
      <w:bookmarkStart w:id="155" w:name="_Toc742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18000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22649_WPSOffice_Level3"/>
      <w:bookmarkStart w:id="157" w:name="_Toc142508330"/>
      <w:bookmarkStart w:id="158" w:name="_Toc486167680"/>
      <w:bookmarkStart w:id="159" w:name="_Toc2942"/>
      <w:bookmarkStart w:id="160" w:name="_Toc450662865"/>
      <w:bookmarkStart w:id="161" w:name="_Toc10550"/>
      <w:bookmarkStart w:id="162" w:name="_Toc203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50662866"/>
      <w:bookmarkStart w:id="164" w:name="_Toc25637_WPSOffice_Level3"/>
      <w:bookmarkStart w:id="165" w:name="_Toc486167681"/>
      <w:bookmarkStart w:id="166" w:name="_Toc142508331"/>
      <w:bookmarkStart w:id="167" w:name="_Toc13311"/>
      <w:bookmarkStart w:id="168" w:name="_Toc6565"/>
      <w:bookmarkStart w:id="169" w:name="_Toc35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22356_WPSOffice_Level2"/>
      <w:bookmarkStart w:id="172" w:name="_Toc11345"/>
      <w:bookmarkStart w:id="173" w:name="_Toc140596891"/>
      <w:bookmarkStart w:id="174" w:name="_Toc486167682"/>
      <w:bookmarkStart w:id="175" w:name="_Toc17608"/>
      <w:bookmarkStart w:id="176" w:name="_Toc142508332"/>
      <w:bookmarkStart w:id="177" w:name="_Toc18968"/>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2342"/>
      <w:bookmarkStart w:id="179" w:name="_Toc31579"/>
      <w:bookmarkStart w:id="180" w:name="_Toc486167683"/>
      <w:bookmarkStart w:id="181" w:name="_Toc142508333"/>
      <w:bookmarkStart w:id="182" w:name="_Toc12192_WPSOffice_Level3"/>
      <w:bookmarkStart w:id="183" w:name="_Toc450662868"/>
      <w:bookmarkStart w:id="184"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50662869"/>
      <w:bookmarkStart w:id="186" w:name="_Toc3384"/>
      <w:bookmarkStart w:id="187" w:name="_Toc29665_WPSOffice_Level3"/>
      <w:bookmarkStart w:id="188" w:name="_Toc32205"/>
      <w:bookmarkStart w:id="189" w:name="_Toc28525"/>
      <w:bookmarkStart w:id="190" w:name="_Toc486167684"/>
      <w:bookmarkStart w:id="191"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6684"/>
      <w:bookmarkStart w:id="193" w:name="_Toc142508335"/>
      <w:bookmarkStart w:id="194" w:name="_Toc22431_WPSOffice_Level3"/>
      <w:bookmarkStart w:id="195" w:name="_Toc19193"/>
      <w:bookmarkStart w:id="196" w:name="_Toc450662870"/>
      <w:bookmarkStart w:id="197" w:name="_Toc486167685"/>
      <w:bookmarkStart w:id="198" w:name="_Toc5446"/>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269"/>
      <w:bookmarkStart w:id="200" w:name="_Toc142508336"/>
      <w:bookmarkStart w:id="201" w:name="_Toc450662871"/>
      <w:bookmarkStart w:id="202" w:name="_Toc486167686"/>
      <w:bookmarkStart w:id="203" w:name="_Toc15452"/>
      <w:bookmarkStart w:id="204" w:name="_Toc4883_WPSOffice_Level3"/>
      <w:bookmarkStart w:id="205"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2508337"/>
      <w:bookmarkStart w:id="207" w:name="_Toc27648"/>
      <w:bookmarkStart w:id="208" w:name="_Toc6702"/>
      <w:bookmarkStart w:id="209" w:name="_Toc140596896"/>
      <w:bookmarkStart w:id="210" w:name="_Toc450662872"/>
      <w:bookmarkStart w:id="211" w:name="_Toc1049_WPSOffice_Level2"/>
      <w:bookmarkStart w:id="212" w:name="_Toc20817"/>
      <w:bookmarkStart w:id="213" w:name="_Toc48616768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86167688"/>
      <w:bookmarkStart w:id="215" w:name="_Toc18892"/>
      <w:bookmarkStart w:id="216" w:name="_Toc144_WPSOffice_Level3"/>
      <w:bookmarkStart w:id="217" w:name="_Toc29881"/>
      <w:bookmarkStart w:id="218" w:name="_Toc450662873"/>
      <w:bookmarkStart w:id="219" w:name="_Toc142508338"/>
      <w:bookmarkStart w:id="220"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30804"/>
      <w:bookmarkStart w:id="222" w:name="_Toc12165_WPSOffice_Level3"/>
      <w:bookmarkStart w:id="223" w:name="_Toc486167689"/>
      <w:bookmarkStart w:id="224" w:name="_Toc142508339"/>
      <w:bookmarkStart w:id="225" w:name="_Toc2038"/>
      <w:bookmarkStart w:id="226" w:name="_Toc450662874"/>
      <w:bookmarkStart w:id="227" w:name="_Toc11072"/>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6167690"/>
      <w:bookmarkStart w:id="229" w:name="_Toc15565_WPSOffice_Level3"/>
      <w:bookmarkStart w:id="230" w:name="_Toc833"/>
      <w:bookmarkStart w:id="231" w:name="_Toc3908"/>
      <w:bookmarkStart w:id="232" w:name="_Toc142508340"/>
      <w:bookmarkStart w:id="233" w:name="_Toc3748"/>
      <w:bookmarkStart w:id="234"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28910_WPSOffice_Level3"/>
      <w:bookmarkStart w:id="236" w:name="_Toc450662876"/>
      <w:bookmarkStart w:id="237" w:name="_Toc25484"/>
      <w:bookmarkStart w:id="238" w:name="_Toc31399"/>
      <w:bookmarkStart w:id="239" w:name="_Toc142508341"/>
      <w:bookmarkStart w:id="240" w:name="_Toc486167691"/>
      <w:bookmarkStart w:id="241"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86167692"/>
      <w:bookmarkStart w:id="243" w:name="_Toc142508342"/>
      <w:bookmarkStart w:id="244" w:name="_Toc22879"/>
      <w:bookmarkStart w:id="245" w:name="_Toc9436"/>
      <w:bookmarkStart w:id="246" w:name="_Toc338_WPSOffice_Level3"/>
      <w:bookmarkStart w:id="247" w:name="_Toc450662877"/>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8368_WPSOffice_Level3"/>
      <w:bookmarkStart w:id="251" w:name="_Toc142508343"/>
      <w:bookmarkStart w:id="252" w:name="_Toc522047355"/>
      <w:bookmarkStart w:id="253" w:name="_Toc521918096"/>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15022"/>
      <w:bookmarkStart w:id="255" w:name="_Toc9746"/>
      <w:bookmarkStart w:id="256"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31279"/>
      <w:bookmarkStart w:id="260" w:name="_Toc25314"/>
      <w:bookmarkStart w:id="261" w:name="_Toc18255"/>
      <w:bookmarkStart w:id="262" w:name="_Toc142508344"/>
      <w:bookmarkStart w:id="263"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1588"/>
      <w:bookmarkStart w:id="265" w:name="_Toc32498_WPSOffice_Level3"/>
      <w:bookmarkStart w:id="266" w:name="_Toc142508345"/>
      <w:bookmarkStart w:id="267" w:name="_Toc15841"/>
      <w:bookmarkStart w:id="268" w:name="_Toc465358969"/>
      <w:bookmarkStart w:id="269" w:name="_Toc25047"/>
      <w:bookmarkStart w:id="270" w:name="_Toc466882017"/>
      <w:bookmarkStart w:id="271"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66882018"/>
      <w:bookmarkStart w:id="273" w:name="_Toc142508346"/>
      <w:bookmarkStart w:id="274" w:name="_Toc1848_WPSOffice_Level3"/>
      <w:bookmarkStart w:id="275" w:name="_Toc465358970"/>
      <w:bookmarkStart w:id="276" w:name="_Toc486167695"/>
      <w:bookmarkStart w:id="277" w:name="_Toc24057"/>
      <w:bookmarkStart w:id="278" w:name="_Toc4325"/>
      <w:bookmarkStart w:id="279"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26035"/>
      <w:bookmarkStart w:id="283" w:name="_Toc142508347"/>
      <w:bookmarkStart w:id="284" w:name="_Toc14140"/>
      <w:bookmarkStart w:id="285" w:name="_Toc10009"/>
      <w:bookmarkStart w:id="286" w:name="_Toc486167696"/>
      <w:bookmarkStart w:id="287"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2508348"/>
      <w:bookmarkStart w:id="290" w:name="_Toc18316"/>
      <w:bookmarkStart w:id="291" w:name="_Toc486167697"/>
      <w:bookmarkStart w:id="292" w:name="_Toc16848_WPSOffice_Level2"/>
      <w:bookmarkStart w:id="293" w:name="_Toc23395"/>
      <w:bookmarkStart w:id="294" w:name="_Toc22929"/>
      <w:bookmarkStart w:id="295" w:name="_Toc14059690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50662881"/>
      <w:bookmarkStart w:id="297" w:name="_Toc142508349"/>
      <w:bookmarkStart w:id="298" w:name="_Toc6401_WPSOffice_Level3"/>
      <w:bookmarkStart w:id="299" w:name="_Toc21588"/>
      <w:bookmarkStart w:id="300" w:name="_Toc14160"/>
      <w:bookmarkStart w:id="301" w:name="_Toc25540"/>
      <w:bookmarkStart w:id="302"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24266"/>
      <w:bookmarkStart w:id="305" w:name="_Toc6726_WPSOffice_Level3"/>
      <w:bookmarkStart w:id="306" w:name="_Toc8842"/>
      <w:bookmarkStart w:id="307" w:name="_Toc142508350"/>
      <w:bookmarkStart w:id="308" w:name="_Toc486167699"/>
      <w:bookmarkStart w:id="309" w:name="_Toc3084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9694_WPSOffice_Level3"/>
      <w:bookmarkStart w:id="312" w:name="_Toc142508351"/>
      <w:bookmarkStart w:id="313" w:name="_Toc32732"/>
      <w:bookmarkStart w:id="314" w:name="_Toc24946"/>
      <w:bookmarkStart w:id="315" w:name="_Toc486167700"/>
      <w:bookmarkStart w:id="316" w:name="_Toc26535"/>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86167701"/>
      <w:bookmarkStart w:id="319" w:name="_Toc10513_WPSOffice_Level3"/>
      <w:bookmarkStart w:id="320" w:name="_Toc450662887"/>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1889"/>
      <w:bookmarkStart w:id="323"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21389"/>
      <w:bookmarkStart w:id="327" w:name="_Toc486167702"/>
      <w:bookmarkStart w:id="328" w:name="_Toc4271"/>
      <w:bookmarkStart w:id="329" w:name="_Toc13033"/>
      <w:bookmarkStart w:id="330"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372"/>
      <w:bookmarkStart w:id="333" w:name="_Toc486167703"/>
      <w:bookmarkStart w:id="334" w:name="_Toc28921_WPSOffice_Level3"/>
      <w:bookmarkStart w:id="335" w:name="_Toc11444"/>
      <w:bookmarkStart w:id="336" w:name="_Toc142508354"/>
      <w:bookmarkStart w:id="337" w:name="_Toc2310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pPr>
        <w:tabs>
          <w:tab w:val="left" w:pos="567"/>
        </w:tabs>
        <w:autoSpaceDE w:val="0"/>
        <w:autoSpaceDN w:val="0"/>
        <w:adjustRightInd w:val="0"/>
        <w:spacing w:line="360" w:lineRule="auto"/>
        <w:ind w:left="358" w:leftChars="0" w:hanging="358" w:hangingChars="17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参照</w:t>
      </w:r>
      <w:r>
        <w:rPr>
          <w:rFonts w:hint="eastAsia" w:ascii="宋体" w:hAnsi="宋体" w:eastAsia="宋体" w:cs="宋体"/>
          <w:b/>
          <w:color w:val="auto"/>
          <w:szCs w:val="21"/>
          <w:highlight w:val="none"/>
          <w:lang w:val="en-US" w:eastAsia="zh-CN"/>
        </w:rPr>
        <w:t>以下标准按差额定率累进法计算：</w:t>
      </w:r>
    </w:p>
    <w:tbl>
      <w:tblPr>
        <w:tblStyle w:val="42"/>
        <w:tblW w:w="1000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498"/>
        <w:gridCol w:w="2498"/>
        <w:gridCol w:w="2498"/>
        <w:gridCol w:w="2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restart"/>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06"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pStyle w:val="2"/>
        <w:rPr>
          <w:rFonts w:hint="eastAsia" w:ascii="宋体" w:hAnsi="宋体" w:eastAsia="宋体" w:cs="宋体"/>
          <w:color w:val="auto"/>
          <w:highlight w:val="none"/>
        </w:rPr>
      </w:pPr>
      <w:r>
        <w:rPr>
          <w:rFonts w:hint="eastAsia" w:ascii="宋体" w:hAnsi="宋体" w:eastAsia="宋体" w:cs="宋体"/>
          <w:color w:val="auto"/>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例子：某项目招标代理业务中标金额为2000万元（货物类），计算代理服务费额如下：</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0-100万元部分：100万元×1.5%=15000元</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100-500万元部分：400万元×1.1%=44000元</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500-1000万元部分：500万元×0.8%=40000元</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1000-2000万元部分：1000万元×0.5%=50000元</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各部分累计得出服务费基价：149000.00元</w:t>
      </w:r>
    </w:p>
    <w:p>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按70%计算得出代理服务费：149000元×70%=104300元</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中标人收到中标通知后，须在15日内向招标代理机构交纳中标服务费用及领取《中标通知书》原件，否则视为放弃中标权利和义务。</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中标服务费汇入账号（特别提醒，本账户非投标保证金汇入账户)：</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开户名称：广西同泽工程项目管理股份有限公司东莞分公司</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银行账号：2010045209100165935</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开户银行：中国工商银行股份有限公司东莞会展支行            </w:t>
      </w:r>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.1款、第3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.2款规定办理，将不予退还其投标保证金。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26292"/>
      <w:bookmarkStart w:id="340" w:name="_Toc6764_WPSOffice_Level3"/>
      <w:bookmarkStart w:id="341" w:name="_Toc142508355"/>
      <w:bookmarkStart w:id="342" w:name="_Toc16761"/>
      <w:bookmarkStart w:id="343" w:name="_Toc12346"/>
      <w:bookmarkStart w:id="344"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6304"/>
      <w:bookmarkStart w:id="348" w:name="_Toc4658"/>
      <w:bookmarkStart w:id="349" w:name="_Toc11437"/>
      <w:bookmarkStart w:id="350" w:name="_Toc142508356"/>
      <w:r>
        <w:rPr>
          <w:rFonts w:ascii="宋体" w:hAnsi="宋体" w:eastAsia="宋体" w:cs="宋体"/>
          <w:b/>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51" w:name="_Toc25568"/>
      <w:bookmarkStart w:id="352" w:name="_Toc14591"/>
      <w:bookmarkStart w:id="353" w:name="_Toc26725"/>
      <w:bookmarkStart w:id="35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color w:val="auto"/>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color w:val="auto"/>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color w:val="auto"/>
          <w:szCs w:val="21"/>
          <w:highlight w:val="none"/>
          <w:lang w:val="zh-CN"/>
        </w:rPr>
      </w:pPr>
      <w:bookmarkStart w:id="355" w:name="_Toc22779"/>
      <w:bookmarkStart w:id="356" w:name="_Toc27939_WPSOffice_Level1"/>
      <w:bookmarkStart w:id="357" w:name="_Toc4217"/>
      <w:bookmarkStart w:id="358" w:name="_Toc142508358"/>
      <w:bookmarkStart w:id="359" w:name="_Toc28218"/>
      <w:bookmarkStart w:id="360" w:name="_Toc450662891"/>
      <w:bookmarkStart w:id="361"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pPr>
        <w:widowControl w:val="0"/>
        <w:numPr>
          <w:ilvl w:val="-1"/>
          <w:numId w:val="0"/>
        </w:numPr>
        <w:tabs>
          <w:tab w:val="left" w:pos="540"/>
        </w:tabs>
        <w:autoSpaceDE/>
        <w:autoSpaceDN/>
        <w:adjustRightInd w:val="0"/>
        <w:snapToGrid w:val="0"/>
        <w:spacing w:before="0" w:after="0" w:line="360" w:lineRule="auto"/>
        <w:ind w:left="0" w:leftChars="0" w:firstLine="0" w:firstLineChars="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一、采购内容</w:t>
      </w:r>
    </w:p>
    <w:tbl>
      <w:tblPr>
        <w:tblStyle w:val="42"/>
        <w:tblW w:w="10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266"/>
        <w:gridCol w:w="2122"/>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3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设备名称</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数量（辆）</w:t>
            </w:r>
          </w:p>
        </w:tc>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配置标准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3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bidi="ar"/>
              </w:rPr>
              <w:t>自卸汽车</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p>
        </w:tc>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配置标准详见技术参数要求</w:t>
            </w:r>
          </w:p>
        </w:tc>
      </w:tr>
    </w:tbl>
    <w:p>
      <w:pPr>
        <w:pStyle w:val="16"/>
        <w:keepNext w:val="0"/>
        <w:keepLines w:val="0"/>
        <w:pageBreakBefore w:val="0"/>
        <w:widowControl w:val="0"/>
        <w:numPr>
          <w:ilvl w:val="0"/>
          <w:numId w:val="0"/>
        </w:numPr>
        <w:kinsoku/>
        <w:wordWrap/>
        <w:overflowPunct/>
        <w:topLinePunct w:val="0"/>
        <w:autoSpaceDE/>
        <w:autoSpaceDN/>
        <w:bidi w:val="0"/>
        <w:adjustRightInd w:val="0"/>
        <w:spacing w:line="360" w:lineRule="auto"/>
        <w:ind w:right="-26" w:rightChars="0" w:firstLine="0" w:firstLineChars="0"/>
        <w:jc w:val="both"/>
        <w:textAlignment w:val="auto"/>
        <w:rPr>
          <w:rFonts w:hint="eastAsia" w:ascii="宋体" w:hAnsi="宋体" w:eastAsia="宋体" w:cs="宋体"/>
          <w:b/>
          <w:bCs/>
          <w:i w:val="0"/>
          <w:iCs w:val="0"/>
          <w:color w:val="auto"/>
          <w:sz w:val="21"/>
          <w:szCs w:val="21"/>
          <w:highlight w:val="none"/>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val="0"/>
        <w:spacing w:line="360" w:lineRule="auto"/>
        <w:ind w:right="-26" w:righ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二、总体要求</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（一）</w:t>
      </w:r>
      <w:r>
        <w:rPr>
          <w:rFonts w:hint="default" w:ascii="宋体" w:hAnsi="宋体" w:eastAsia="宋体" w:cs="宋体"/>
          <w:b/>
          <w:bCs/>
          <w:color w:val="auto"/>
          <w:kern w:val="2"/>
          <w:sz w:val="21"/>
          <w:szCs w:val="21"/>
          <w:highlight w:val="none"/>
          <w:lang w:val="en-US" w:eastAsia="zh-CN" w:bidi="ar-SA"/>
        </w:rPr>
        <w:t>投标人投标车辆的生产企业及投标车辆产品型号已列入国家工业和信息化部发布的有效的《道路机动车辆生产企业及产品公告》（或《车辆生产企业及产品公告》）。</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（二）</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中标人所交付车辆整车改装须符合现行国家规定，且符合东莞市上牌要求，并完成车辆上东莞市牌照的所有工作。因不能上牌导致未能按期交货，所造成的损失由中标人承担。</w:t>
      </w:r>
    </w:p>
    <w:p>
      <w:pPr>
        <w:widowControl/>
        <w:kinsoku w:val="0"/>
        <w:autoSpaceDE w:val="0"/>
        <w:autoSpaceDN w:val="0"/>
        <w:adjustRightInd w:val="0"/>
        <w:snapToGrid w:val="0"/>
        <w:spacing w:before="120" w:beforeLines="50" w:line="360"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bidi="ar"/>
        </w:rPr>
        <w:t>三、</w:t>
      </w:r>
      <w:r>
        <w:rPr>
          <w:rFonts w:hint="eastAsia" w:ascii="宋体" w:hAnsi="宋体" w:eastAsia="宋体" w:cs="宋体"/>
          <w:b/>
          <w:bCs/>
          <w:color w:val="auto"/>
          <w:kern w:val="0"/>
          <w:szCs w:val="21"/>
          <w:highlight w:val="none"/>
          <w:lang w:bidi="ar"/>
        </w:rPr>
        <w:t>技术参数要求</w:t>
      </w:r>
    </w:p>
    <w:tbl>
      <w:tblPr>
        <w:tblStyle w:val="42"/>
        <w:tblW w:w="9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
        <w:gridCol w:w="937"/>
        <w:gridCol w:w="3314"/>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blHeade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分类</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技术参数</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ascii="宋体" w:hAnsi="宋体" w:eastAsia="宋体" w:cs="宋体"/>
                <w:color w:val="auto"/>
                <w:szCs w:val="21"/>
                <w:highlight w:val="none"/>
                <w:lang w:bidi="ar"/>
              </w:rPr>
              <w:t>1</w:t>
            </w:r>
          </w:p>
        </w:tc>
        <w:tc>
          <w:tcPr>
            <w:tcW w:w="937" w:type="dxa"/>
            <w:vMerge w:val="restart"/>
            <w:tcBorders>
              <w:top w:val="nil"/>
              <w:left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基本配置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自卸汽车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937" w:type="dxa"/>
            <w:vMerge w:val="continue"/>
            <w:tcBorders>
              <w:left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能源类型</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环保标准</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国六或以上</w:t>
            </w:r>
            <w:r>
              <w:rPr>
                <w:rFonts w:hint="eastAsia" w:ascii="宋体" w:hAnsi="宋体" w:eastAsia="宋体" w:cs="宋体"/>
                <w:color w:val="auto"/>
                <w:kern w:val="0"/>
                <w:szCs w:val="21"/>
                <w:highlight w:val="none"/>
              </w:rPr>
              <w:t>，须满足东莞合法上牌要求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最大功率（KW）</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最大扭矩（N·m）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发动机（ml）</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变速箱</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bidi="ar"/>
              </w:rPr>
              <w:t>手动挡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驱动方式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前置后驱或四驱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额定载客人数（含驾驶员）</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最高车速(Km/h)</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接近角/离去角（°）</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bidi="ar"/>
              </w:rPr>
              <w:t>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车身长（mm）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车身宽（mm）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车身高（mm）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货厢长（mm）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货厢宽（mm）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货厢高（mm）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额定载重量（kg）</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弹簧片数</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自卸装置起重方式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液压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倾卸方式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后倾斜式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货厢上升高度（m）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货厢升起角度（°）</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货厢防护材料</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937"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货厢底板厚度（mm）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26</w:t>
            </w:r>
          </w:p>
        </w:tc>
        <w:tc>
          <w:tcPr>
            <w:tcW w:w="937"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货厢侧/后板厚度（mm）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27</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安全性配置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ABS 防抱死</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28</w:t>
            </w:r>
          </w:p>
        </w:tc>
        <w:tc>
          <w:tcPr>
            <w:tcW w:w="937" w:type="dxa"/>
            <w:vMerge w:val="restart"/>
            <w:tcBorders>
              <w:top w:val="nil"/>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功能性配置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电动车窗</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四门电动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29</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门锁</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四门遥控锁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30</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座椅材质</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皮质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31</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空调</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32</w:t>
            </w:r>
          </w:p>
        </w:tc>
        <w:tc>
          <w:tcPr>
            <w:tcW w:w="937" w:type="dxa"/>
            <w:vMerge w:val="restart"/>
            <w:tcBorders>
              <w:top w:val="nil"/>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需求配置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作业指示灯</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33</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三角木止退器</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34</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全车车膜</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配置，品牌等同或优于龙膜，3M,威固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35</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灭火器及支架</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36</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行车记录仪</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分辨率:1080P以上</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光圈：F小于等于1.8</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SD（TF）内存卡：64G及以上</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品牌等同或优于360、小米、海康威视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37</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脚垫</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38</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汽车车用搭火线</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39</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车载充气泵</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配置（含2.6M以上延长线或无线充气泵）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40</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倒车雷达</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41</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360全景</w:t>
            </w:r>
            <w:r>
              <w:rPr>
                <w:rFonts w:hint="eastAsia" w:ascii="宋体" w:hAnsi="宋体" w:eastAsia="宋体" w:cs="宋体"/>
                <w:color w:val="auto"/>
                <w:szCs w:val="21"/>
                <w:highlight w:val="none"/>
                <w:lang w:bidi="ar"/>
              </w:rPr>
              <w:t>影像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中控大屏尺寸≥10</w:t>
            </w:r>
            <w:r>
              <w:rPr>
                <w:rFonts w:hint="eastAsia" w:ascii="宋体" w:hAnsi="宋体" w:eastAsia="宋体" w:cs="宋体"/>
                <w:color w:val="auto"/>
                <w:szCs w:val="21"/>
                <w:highlight w:val="none"/>
                <w:lang w:val="en-US" w:eastAsia="zh-CN" w:bidi="ar"/>
              </w:rPr>
              <w:t>英</w:t>
            </w:r>
            <w:r>
              <w:rPr>
                <w:rFonts w:hint="eastAsia" w:ascii="宋体" w:hAnsi="宋体" w:eastAsia="宋体" w:cs="宋体"/>
                <w:color w:val="auto"/>
                <w:szCs w:val="21"/>
                <w:highlight w:val="none"/>
                <w:lang w:bidi="ar"/>
              </w:rPr>
              <w:t>寸</w:t>
            </w:r>
          </w:p>
        </w:tc>
      </w:tr>
    </w:tbl>
    <w:p>
      <w:pPr>
        <w:widowControl/>
        <w:numPr>
          <w:ilvl w:val="0"/>
          <w:numId w:val="0"/>
        </w:numPr>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p>
    <w:p>
      <w:pPr>
        <w:widowControl/>
        <w:numPr>
          <w:ilvl w:val="0"/>
          <w:numId w:val="0"/>
        </w:numPr>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四、供货要求</w:t>
      </w:r>
    </w:p>
    <w:p>
      <w:pPr>
        <w:spacing w:line="360" w:lineRule="auto"/>
        <w:ind w:firstLine="420" w:firstLineChars="200"/>
        <w:rPr>
          <w:rFonts w:hint="default"/>
          <w:b w:val="0"/>
          <w:bCs w:val="0"/>
          <w:color w:val="auto"/>
          <w:highlight w:val="none"/>
          <w:lang w:val="en-US"/>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）中标人应在合同签订之日起5个工作日内向招标人以书面形式报备车辆生产计划（含生产地址准确定位、生产时间节点等）。</w:t>
      </w:r>
    </w:p>
    <w:p>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sz w:val="21"/>
          <w:szCs w:val="21"/>
          <w:highlight w:val="none"/>
        </w:rPr>
        <w:t>中标人应保证供货车辆</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rPr>
        <w:t>全新、未曾使用过的，其质量、规格及技术</w:t>
      </w:r>
      <w:r>
        <w:rPr>
          <w:rFonts w:hint="eastAsia" w:ascii="宋体" w:hAnsi="宋体" w:eastAsia="宋体" w:cs="宋体"/>
          <w:b w:val="0"/>
          <w:bCs w:val="0"/>
          <w:color w:val="auto"/>
          <w:sz w:val="21"/>
          <w:szCs w:val="21"/>
          <w:highlight w:val="none"/>
          <w:lang w:val="en-US" w:eastAsia="zh-CN"/>
        </w:rPr>
        <w:t>参数</w:t>
      </w:r>
      <w:r>
        <w:rPr>
          <w:rFonts w:hint="eastAsia" w:ascii="宋体" w:hAnsi="宋体" w:eastAsia="宋体" w:cs="宋体"/>
          <w:b w:val="0"/>
          <w:bCs w:val="0"/>
          <w:color w:val="auto"/>
          <w:sz w:val="21"/>
          <w:szCs w:val="21"/>
          <w:highlight w:val="none"/>
        </w:rPr>
        <w:t>符合国家标准、规范及采购需求书、合同的要求。供货车型须为投标文件所约定车辆品牌、型号、配置。</w:t>
      </w:r>
    </w:p>
    <w:p>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（四）</w:t>
      </w:r>
      <w:r>
        <w:rPr>
          <w:rFonts w:hint="eastAsia" w:ascii="宋体" w:hAnsi="宋体" w:eastAsia="宋体" w:cs="宋体"/>
          <w:b w:val="0"/>
          <w:bCs w:val="0"/>
          <w:color w:val="auto"/>
          <w:kern w:val="0"/>
          <w:sz w:val="21"/>
          <w:szCs w:val="21"/>
          <w:highlight w:val="none"/>
          <w:lang w:bidi="ar"/>
        </w:rPr>
        <w:t>本项目采购文件中如有出现的品牌规格等，仅为方便描述参考，不具有任何指定性及唯一性，投标人原则上应提供不低于该品牌档次的产品。</w:t>
      </w:r>
    </w:p>
    <w:p>
      <w:pPr>
        <w:widowControl/>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五、交货</w:t>
      </w:r>
      <w:r>
        <w:rPr>
          <w:rFonts w:hint="eastAsia" w:ascii="宋体" w:hAnsi="宋体" w:eastAsia="宋体" w:cs="宋体"/>
          <w:b/>
          <w:bCs/>
          <w:color w:val="auto"/>
          <w:kern w:val="0"/>
          <w:sz w:val="21"/>
          <w:szCs w:val="21"/>
          <w:highlight w:val="none"/>
          <w:lang w:bidi="ar"/>
        </w:rPr>
        <w:t>要求</w:t>
      </w:r>
    </w:p>
    <w:p>
      <w:pPr>
        <w:widowControl/>
        <w:overflowPunct w:val="0"/>
        <w:autoSpaceDE w:val="0"/>
        <w:autoSpaceDN w:val="0"/>
        <w:adjustRightInd w:val="0"/>
        <w:snapToGrid w:val="0"/>
        <w:spacing w:line="360" w:lineRule="auto"/>
        <w:ind w:firstLine="422" w:firstLineChars="200"/>
        <w:jc w:val="left"/>
        <w:textAlignment w:val="baseline"/>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（一）时间要求</w:t>
      </w:r>
    </w:p>
    <w:p>
      <w:pPr>
        <w:widowControl/>
        <w:overflowPunct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内完成车辆供货及查验（不得超过中标通知书发出之日起80个自然日）</w:t>
      </w:r>
      <w:r>
        <w:rPr>
          <w:rFonts w:hint="eastAsia" w:ascii="宋体" w:hAnsi="宋体" w:eastAsia="宋体" w:cs="宋体"/>
          <w:b w:val="0"/>
          <w:bCs w:val="0"/>
          <w:color w:val="auto"/>
          <w:kern w:val="0"/>
          <w:sz w:val="21"/>
          <w:szCs w:val="21"/>
          <w:highlight w:val="none"/>
          <w:lang w:eastAsia="zh-CN" w:bidi="ar"/>
        </w:rPr>
        <w:t>。</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p>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喷涂要求</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宋体"/>
          <w:color w:val="auto"/>
          <w:kern w:val="0"/>
          <w:sz w:val="21"/>
          <w:szCs w:val="21"/>
          <w:highlight w:val="none"/>
          <w:lang w:bidi="ar"/>
        </w:rPr>
        <w:t>招标人审核同意，</w:t>
      </w:r>
      <w:r>
        <w:rPr>
          <w:rFonts w:hint="eastAsia" w:ascii="宋体" w:hAnsi="宋体" w:eastAsia="宋体" w:cs="宋体"/>
          <w:color w:val="auto"/>
          <w:kern w:val="0"/>
          <w:sz w:val="21"/>
          <w:szCs w:val="21"/>
          <w:highlight w:val="none"/>
          <w:lang w:val="en-US" w:eastAsia="zh-CN" w:bidi="ar"/>
        </w:rPr>
        <w:t>在车辆查验合格</w:t>
      </w:r>
      <w:r>
        <w:rPr>
          <w:rFonts w:hint="eastAsia" w:ascii="宋体" w:hAnsi="宋体" w:eastAsia="宋体" w:cs="宋体"/>
          <w:color w:val="auto"/>
          <w:kern w:val="0"/>
          <w:sz w:val="21"/>
          <w:szCs w:val="21"/>
          <w:highlight w:val="none"/>
          <w:lang w:bidi="ar"/>
        </w:rPr>
        <w:t>后</w:t>
      </w:r>
      <w:r>
        <w:rPr>
          <w:rFonts w:hint="eastAsia" w:ascii="宋体" w:hAnsi="宋体" w:eastAsia="宋体" w:cs="宋体"/>
          <w:color w:val="auto"/>
          <w:kern w:val="0"/>
          <w:szCs w:val="21"/>
          <w:highlight w:val="none"/>
          <w:lang w:val="en-US" w:eastAsia="zh-CN" w:bidi="ar"/>
        </w:rPr>
        <w:t>由中标人</w:t>
      </w:r>
      <w:r>
        <w:rPr>
          <w:rFonts w:hint="eastAsia" w:ascii="宋体" w:hAnsi="宋体" w:eastAsia="宋体" w:cs="宋体"/>
          <w:color w:val="auto"/>
          <w:kern w:val="0"/>
          <w:sz w:val="21"/>
          <w:szCs w:val="21"/>
          <w:highlight w:val="none"/>
          <w:lang w:bidi="ar"/>
        </w:rPr>
        <w:t>依据图纸对车辆</w:t>
      </w:r>
      <w:r>
        <w:rPr>
          <w:rFonts w:hint="eastAsia" w:ascii="宋体" w:hAnsi="宋体" w:eastAsia="宋体" w:cs="宋体"/>
          <w:color w:val="auto"/>
          <w:kern w:val="0"/>
          <w:sz w:val="21"/>
          <w:szCs w:val="21"/>
          <w:highlight w:val="none"/>
          <w:lang w:val="en-US" w:eastAsia="zh-CN" w:bidi="ar"/>
        </w:rPr>
        <w:t>外观</w:t>
      </w:r>
      <w:r>
        <w:rPr>
          <w:rFonts w:hint="eastAsia" w:ascii="宋体" w:hAnsi="宋体" w:eastAsia="宋体" w:cs="宋体"/>
          <w:color w:val="auto"/>
          <w:kern w:val="0"/>
          <w:sz w:val="21"/>
          <w:szCs w:val="21"/>
          <w:highlight w:val="none"/>
          <w:lang w:bidi="ar"/>
        </w:rPr>
        <w:t>进行喷涂。</w:t>
      </w:r>
    </w:p>
    <w:p>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验收要求</w:t>
      </w:r>
    </w:p>
    <w:p>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车辆查验</w:t>
      </w:r>
    </w:p>
    <w:p>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在供货后上牌前需进行第一次查验，查验车辆应当在招标人指定地点（东莞市内）进行，中标人应提供完整的产品技术资料（包括车辆合格证，产品说明书、用户手册、制造厂质量合格证书及其他相关文件资料），与合同的各项技术规格、指标和性能要求对比开展查验工作</w:t>
      </w:r>
      <w:r>
        <w:rPr>
          <w:rFonts w:hint="eastAsia" w:eastAsia="宋体" w:cs="宋体"/>
          <w:color w:val="auto"/>
          <w:sz w:val="21"/>
          <w:szCs w:val="21"/>
          <w:highlight w:val="none"/>
        </w:rPr>
        <w:t>（详见附件</w:t>
      </w:r>
      <w:r>
        <w:rPr>
          <w:rFonts w:hint="eastAsia" w:ascii="宋体" w:hAnsi="宋体" w:eastAsia="宋体" w:cs="宋体"/>
          <w:color w:val="auto"/>
          <w:sz w:val="21"/>
          <w:szCs w:val="21"/>
          <w:highlight w:val="none"/>
        </w:rPr>
        <w:t>1</w:t>
      </w:r>
      <w:r>
        <w:rPr>
          <w:rFonts w:hint="eastAsia" w:eastAsia="宋体" w:cs="宋体"/>
          <w:color w:val="auto"/>
          <w:sz w:val="21"/>
          <w:szCs w:val="21"/>
          <w:highlight w:val="none"/>
        </w:rPr>
        <w:t>《查验单》）</w:t>
      </w:r>
      <w:r>
        <w:rPr>
          <w:rFonts w:hint="eastAsia" w:ascii="宋体" w:hAnsi="宋体" w:eastAsia="宋体" w:cs="宋体"/>
          <w:color w:val="auto"/>
          <w:kern w:val="0"/>
          <w:sz w:val="21"/>
          <w:szCs w:val="21"/>
          <w:highlight w:val="none"/>
          <w:lang w:eastAsia="zh-CN" w:bidi="ar"/>
        </w:rPr>
        <w:t>；</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招标人自行委托的</w:t>
      </w:r>
      <w:r>
        <w:rPr>
          <w:rFonts w:hint="eastAsia" w:ascii="宋体" w:hAnsi="宋体" w:eastAsia="宋体" w:cs="宋体"/>
          <w:color w:val="auto"/>
          <w:kern w:val="0"/>
          <w:sz w:val="21"/>
          <w:szCs w:val="21"/>
          <w:highlight w:val="none"/>
          <w:lang w:bidi="ar"/>
        </w:rPr>
        <w:t>第三方机构的查验服务费由中标人承担；</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车辆的查验、试驾完成后，若查验合格，各方在查验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上签字；若查验不合格，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上写明不合格内容及整改时限要求，因查验不合格或未在整改时限内整改完成导致逾期供货的，按</w:t>
      </w:r>
      <w:r>
        <w:rPr>
          <w:rFonts w:hint="eastAsia" w:eastAsia="宋体" w:cs="宋体"/>
          <w:color w:val="auto"/>
          <w:sz w:val="21"/>
          <w:szCs w:val="21"/>
          <w:highlight w:val="none"/>
        </w:rPr>
        <w:t>下文</w:t>
      </w:r>
      <w:r>
        <w:rPr>
          <w:rFonts w:hint="eastAsia"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九</w:t>
      </w:r>
      <w:r>
        <w:rPr>
          <w:rFonts w:hint="eastAsia" w:ascii="宋体" w:hAnsi="宋体" w:eastAsia="宋体" w:cs="宋体"/>
          <w:color w:val="auto"/>
          <w:kern w:val="0"/>
          <w:sz w:val="21"/>
          <w:szCs w:val="21"/>
          <w:highlight w:val="none"/>
          <w:lang w:eastAsia="zh-CN" w:bidi="ar"/>
        </w:rPr>
        <w:t>、</w:t>
      </w:r>
      <w:r>
        <w:rPr>
          <w:rFonts w:hint="eastAsia" w:eastAsia="宋体" w:cs="宋体"/>
          <w:color w:val="auto"/>
          <w:sz w:val="21"/>
          <w:szCs w:val="21"/>
          <w:highlight w:val="none"/>
        </w:rPr>
        <w:t>违约责任</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rPr>
        <w:t>第（一）点”</w:t>
      </w:r>
      <w:r>
        <w:rPr>
          <w:rFonts w:hint="eastAsia" w:ascii="宋体" w:hAnsi="宋体" w:eastAsia="宋体" w:cs="宋体"/>
          <w:color w:val="auto"/>
          <w:kern w:val="0"/>
          <w:sz w:val="21"/>
          <w:szCs w:val="21"/>
          <w:highlight w:val="none"/>
          <w:lang w:bidi="ar"/>
        </w:rPr>
        <w:t>逾期供货条款执行；</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查验过程中，招标人有权根据需要开展现场操作试验，如试验发现技术参数不符合投标文件的，中标人不得以车辆已试验为由拒绝退货、换货或整改，不得以此为由向招标人索取任何赔偿或费用</w:t>
      </w:r>
      <w:r>
        <w:rPr>
          <w:rFonts w:hint="eastAsia" w:ascii="宋体" w:hAnsi="宋体" w:eastAsia="宋体" w:cs="宋体"/>
          <w:color w:val="auto"/>
          <w:kern w:val="0"/>
          <w:sz w:val="21"/>
          <w:szCs w:val="21"/>
          <w:highlight w:val="none"/>
          <w:lang w:bidi="ar"/>
        </w:rPr>
        <w:t>。</w:t>
      </w:r>
    </w:p>
    <w:p>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车辆验收</w:t>
      </w:r>
    </w:p>
    <w:p>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车辆查验合格后，中标人需完成车辆上牌及配件安装（包括喷涂、安装行车记录仪、贴膜等）相关工作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并将车辆移交至招标人指定地点（东莞市内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上签字并进行车辆交付；若验收不合格，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标人需在验收证明上写明不合格内容及整改时限要求，因验收不合格或未在整改时限内整改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导致逾期供货的，按</w:t>
      </w:r>
      <w:r>
        <w:rPr>
          <w:rFonts w:hint="eastAsia" w:ascii="宋体" w:hAnsi="宋体" w:eastAsia="宋体" w:cs="宋体"/>
          <w:color w:val="auto"/>
          <w:szCs w:val="21"/>
          <w:highlight w:val="none"/>
        </w:rPr>
        <w:t>下文“</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kern w:val="0"/>
          <w:sz w:val="21"/>
          <w:szCs w:val="21"/>
          <w:highlight w:val="none"/>
          <w:lang w:bidi="ar"/>
        </w:rPr>
        <w:t>逾期供货条款执行</w:t>
      </w:r>
      <w:r>
        <w:rPr>
          <w:rFonts w:hint="eastAsia" w:ascii="宋体" w:hAnsi="宋体" w:eastAsia="宋体" w:cs="宋体"/>
          <w:color w:val="auto"/>
          <w:szCs w:val="21"/>
          <w:highlight w:val="none"/>
        </w:rPr>
        <w:t>（详见附件2《验收单》）。</w:t>
      </w:r>
    </w:p>
    <w:p>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车辆交付</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车辆合格证复印件；</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质量服务卡或保修手册；</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车辆使用说明书或用户使用手册（中文）；</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随车工具及备件清单；</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三包凭证；</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按招标人要求开具）</w:t>
      </w:r>
      <w:r>
        <w:rPr>
          <w:rFonts w:hint="eastAsia" w:ascii="宋体" w:hAnsi="宋体" w:eastAsia="宋体" w:cs="宋体"/>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保险单；</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车辆一致性证书；</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机动车登记证书；</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新车交付确认表；</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pPr>
        <w:widowControl/>
        <w:kinsoku/>
        <w:autoSpaceDE/>
        <w:autoSpaceDN/>
        <w:adjustRightInd/>
        <w:snapToGrid/>
        <w:spacing w:line="360" w:lineRule="auto"/>
        <w:ind w:firstLine="420" w:firstLineChars="200"/>
        <w:contextualSpacing/>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、价款要求</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w:t>
      </w:r>
      <w:r>
        <w:rPr>
          <w:rFonts w:hint="eastAsia" w:ascii="宋体" w:hAnsi="宋体" w:eastAsia="宋体" w:cs="宋体"/>
          <w:color w:val="auto"/>
          <w:sz w:val="21"/>
          <w:szCs w:val="21"/>
          <w:highlight w:val="none"/>
          <w:lang w:eastAsia="zh-CN"/>
        </w:rPr>
        <w:t>首年车船税</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书面同意，</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不得向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主张前述费用以外的任何其它费用或补偿。</w:t>
      </w:r>
    </w:p>
    <w:p>
      <w:pPr>
        <w:autoSpaceDE/>
        <w:autoSpaceDN/>
        <w:spacing w:line="360" w:lineRule="auto"/>
        <w:ind w:firstLine="420" w:firstLineChars="20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（二）费用支付</w:t>
      </w:r>
    </w:p>
    <w:p>
      <w:pPr>
        <w:autoSpaceDE/>
        <w:autoSpaceDN/>
        <w:spacing w:line="360" w:lineRule="auto"/>
        <w:ind w:firstLine="422" w:firstLineChars="200"/>
        <w:contextualSpacing/>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1.预付款</w:t>
      </w:r>
    </w:p>
    <w:p>
      <w:pPr>
        <w:autoSpaceDE/>
        <w:autoSpaceDN/>
        <w:snapToGrid w:val="0"/>
        <w:spacing w:line="360" w:lineRule="auto"/>
        <w:ind w:firstLine="420" w:firstLineChars="200"/>
        <w:contextualSpacing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w:t>
      </w:r>
      <w:r>
        <w:rPr>
          <w:rFonts w:hint="eastAsia" w:ascii="宋体" w:hAnsi="宋体" w:eastAsia="宋体" w:cs="宋体"/>
          <w:bCs/>
          <w:color w:val="auto"/>
          <w:kern w:val="0"/>
          <w:szCs w:val="21"/>
          <w:highlight w:val="none"/>
          <w:lang w:eastAsia="zh-CN" w:bidi="ar"/>
        </w:rPr>
        <w:t>招标人</w:t>
      </w:r>
      <w:r>
        <w:rPr>
          <w:rFonts w:hint="eastAsia" w:ascii="宋体" w:hAnsi="宋体" w:eastAsia="宋体" w:cs="宋体"/>
          <w:bCs/>
          <w:color w:val="auto"/>
          <w:kern w:val="0"/>
          <w:szCs w:val="21"/>
          <w:highlight w:val="none"/>
          <w:lang w:bidi="ar"/>
        </w:rPr>
        <w:t>决定</w:t>
      </w:r>
      <w:r>
        <w:rPr>
          <w:rFonts w:hint="eastAsia" w:ascii="宋体" w:hAnsi="宋体" w:eastAsia="宋体" w:cs="Times New Roman"/>
          <w:bCs/>
          <w:color w:val="auto"/>
          <w:kern w:val="0"/>
          <w:szCs w:val="21"/>
          <w:highlight w:val="none"/>
          <w:lang w:val="en-US" w:eastAsia="zh-CN"/>
        </w:rPr>
        <w:t>。</w:t>
      </w:r>
    </w:p>
    <w:p>
      <w:pPr>
        <w:autoSpaceDE/>
        <w:autoSpaceDN/>
        <w:spacing w:line="360" w:lineRule="auto"/>
        <w:ind w:firstLine="420" w:firstLineChars="200"/>
        <w:contextualSpacing/>
        <w:jc w:val="both"/>
        <w:rPr>
          <w:rFonts w:hint="eastAsia" w:ascii="宋体" w:hAnsi="宋体" w:eastAsia="宋体" w:cs="宋体"/>
          <w:bCs/>
          <w:color w:val="auto"/>
          <w:kern w:val="0"/>
          <w:szCs w:val="21"/>
          <w:highlight w:val="none"/>
          <w:lang w:bidi="ar"/>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预付款</w:t>
      </w:r>
      <w:r>
        <w:rPr>
          <w:rFonts w:hint="eastAsia" w:ascii="宋体" w:hAnsi="宋体" w:eastAsia="宋体" w:cs="宋体"/>
          <w:b w:val="0"/>
          <w:bCs w:val="0"/>
          <w:color w:val="auto"/>
          <w:sz w:val="21"/>
          <w:szCs w:val="21"/>
          <w:highlight w:val="none"/>
          <w:lang w:val="en-US" w:eastAsia="zh-CN"/>
        </w:rPr>
        <w:t>支付。在</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w:t>
      </w:r>
      <w:r>
        <w:rPr>
          <w:rFonts w:hint="eastAsia" w:ascii="宋体" w:hAnsi="宋体" w:eastAsia="宋体" w:cs="宋体"/>
          <w:bCs/>
          <w:color w:val="auto"/>
          <w:kern w:val="0"/>
          <w:szCs w:val="21"/>
          <w:highlight w:val="none"/>
          <w:lang w:val="en-US" w:eastAsia="zh-CN" w:bidi="ar"/>
        </w:rPr>
        <w:t>中标人</w:t>
      </w:r>
      <w:r>
        <w:rPr>
          <w:rFonts w:hint="eastAsia" w:ascii="宋体" w:hAnsi="宋体" w:eastAsia="宋体" w:cs="宋体"/>
          <w:bCs/>
          <w:color w:val="auto"/>
          <w:kern w:val="0"/>
          <w:szCs w:val="21"/>
          <w:highlight w:val="none"/>
          <w:lang w:bidi="ar"/>
        </w:rPr>
        <w:t>按</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要求向</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提交请款报告及请款金额等额、合法、有效的收款收据，</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在收到前述材料并确认无误后10个工作日内，支付预付款</w:t>
      </w:r>
      <w:r>
        <w:rPr>
          <w:rFonts w:hint="eastAsia" w:ascii="宋体" w:hAnsi="宋体" w:eastAsia="宋体" w:cs="宋体"/>
          <w:bCs/>
          <w:color w:val="auto"/>
          <w:kern w:val="0"/>
          <w:szCs w:val="21"/>
          <w:highlight w:val="none"/>
          <w:lang w:val="en-US" w:eastAsia="zh-CN" w:bidi="ar"/>
        </w:rPr>
        <w:t>给中标人</w:t>
      </w:r>
      <w:r>
        <w:rPr>
          <w:rFonts w:hint="eastAsia" w:ascii="宋体" w:hAnsi="宋体" w:eastAsia="宋体" w:cs="宋体"/>
          <w:bCs/>
          <w:color w:val="auto"/>
          <w:kern w:val="0"/>
          <w:szCs w:val="21"/>
          <w:highlight w:val="none"/>
          <w:lang w:bidi="ar"/>
        </w:rPr>
        <w:t>。</w:t>
      </w:r>
    </w:p>
    <w:p>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，中标人须按招标人要求开设预付款监管账户或向招标人提供与预付款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宋体"/>
          <w:bCs/>
          <w:color w:val="auto"/>
          <w:kern w:val="0"/>
          <w:szCs w:val="21"/>
          <w:highlight w:val="none"/>
          <w:lang w:bidi="ar"/>
        </w:rPr>
        <w:t>决定</w:t>
      </w:r>
      <w:r>
        <w:rPr>
          <w:rFonts w:hint="eastAsia" w:ascii="宋体" w:hAnsi="宋体" w:eastAsia="宋体" w:cs="宋体"/>
          <w:bCs/>
          <w:color w:val="auto"/>
          <w:kern w:val="0"/>
          <w:szCs w:val="21"/>
          <w:highlight w:val="none"/>
          <w:lang w:eastAsia="zh-CN" w:bidi="ar"/>
        </w:rPr>
        <w:t>。</w:t>
      </w:r>
    </w:p>
    <w:p>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
          <w:color w:val="auto"/>
          <w:kern w:val="0"/>
          <w:szCs w:val="21"/>
          <w:highlight w:val="none"/>
        </w:rPr>
        <w:t>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w:t>
      </w:r>
      <w:r>
        <w:rPr>
          <w:rFonts w:hint="eastAsia" w:ascii="宋体" w:hAnsi="宋体" w:eastAsia="宋体" w:cs="宋体"/>
          <w:b/>
          <w:bCs/>
          <w:color w:val="auto"/>
          <w:kern w:val="0"/>
          <w:szCs w:val="21"/>
          <w:highlight w:val="none"/>
          <w:lang w:val="en-US" w:eastAsia="zh-CN"/>
        </w:rPr>
        <w:t>若中标人未按要求开设监管账户的，招标人有权取消中标人中标资格，并要求中标人按按合同总价的5%支付违约金。</w:t>
      </w:r>
    </w:p>
    <w:p>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
          <w:color w:val="auto"/>
          <w:kern w:val="0"/>
          <w:szCs w:val="21"/>
          <w:highlight w:val="none"/>
        </w:rPr>
        <w:t>采取预付款银行保函方式：</w:t>
      </w:r>
      <w:r>
        <w:rPr>
          <w:rFonts w:hint="eastAsia" w:ascii="宋体" w:hAnsi="宋体" w:eastAsia="宋体" w:cs="Times New Roman"/>
          <w:bCs/>
          <w:color w:val="auto"/>
          <w:kern w:val="0"/>
          <w:szCs w:val="21"/>
          <w:highlight w:val="none"/>
          <w:lang w:val="en-US" w:eastAsia="zh-CN"/>
        </w:rPr>
        <w:t>中标人须于合同签订后28个自然日内向招标人提供与预付款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有效期限不少于6个月）。</w:t>
      </w:r>
      <w:r>
        <w:rPr>
          <w:rFonts w:hint="eastAsia" w:ascii="宋体" w:hAnsi="宋体" w:eastAsia="宋体" w:cs="Times New Roman"/>
          <w:bCs/>
          <w:color w:val="auto"/>
          <w:kern w:val="0"/>
          <w:szCs w:val="21"/>
          <w:highlight w:val="none"/>
        </w:rPr>
        <w:t>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中标人</w:t>
      </w:r>
      <w:r>
        <w:rPr>
          <w:rFonts w:hint="eastAsia" w:ascii="宋体" w:hAnsi="宋体" w:eastAsia="宋体" w:cs="Times New Roman"/>
          <w:bCs/>
          <w:color w:val="auto"/>
          <w:kern w:val="0"/>
          <w:szCs w:val="21"/>
          <w:highlight w:val="none"/>
        </w:rPr>
        <w:t>可向</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bCs/>
          <w:color w:val="auto"/>
          <w:kern w:val="0"/>
          <w:szCs w:val="21"/>
          <w:highlight w:val="none"/>
        </w:rPr>
        <w:t>提交退回</w:t>
      </w:r>
      <w:r>
        <w:rPr>
          <w:rFonts w:hint="eastAsia" w:ascii="宋体" w:hAnsi="宋体" w:eastAsia="宋体" w:cs="Times New Roman"/>
          <w:bCs/>
          <w:color w:val="auto"/>
          <w:kern w:val="0"/>
          <w:szCs w:val="21"/>
          <w:highlight w:val="none"/>
          <w:lang w:val="en-US" w:eastAsia="zh-CN"/>
        </w:rPr>
        <w:t>预付款保函</w:t>
      </w:r>
      <w:r>
        <w:rPr>
          <w:rFonts w:hint="eastAsia" w:ascii="宋体" w:hAnsi="宋体" w:eastAsia="宋体" w:cs="Times New Roman"/>
          <w:bCs/>
          <w:color w:val="auto"/>
          <w:kern w:val="0"/>
          <w:szCs w:val="21"/>
          <w:highlight w:val="none"/>
        </w:rPr>
        <w:t>的申请</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bCs/>
          <w:color w:val="auto"/>
          <w:kern w:val="0"/>
          <w:szCs w:val="21"/>
          <w:highlight w:val="none"/>
        </w:rPr>
        <w:t>审核无异议后，</w:t>
      </w:r>
      <w:r>
        <w:rPr>
          <w:rFonts w:hint="eastAsia" w:ascii="宋体" w:hAnsi="宋体" w:eastAsia="宋体" w:cs="Times New Roman"/>
          <w:bCs/>
          <w:color w:val="auto"/>
          <w:kern w:val="0"/>
          <w:szCs w:val="21"/>
          <w:highlight w:val="none"/>
          <w:lang w:val="en-US" w:eastAsia="zh-CN"/>
        </w:rPr>
        <w:t>可</w:t>
      </w:r>
      <w:r>
        <w:rPr>
          <w:rFonts w:hint="eastAsia" w:ascii="宋体" w:hAnsi="宋体" w:eastAsia="宋体" w:cs="Times New Roman"/>
          <w:bCs/>
          <w:color w:val="auto"/>
          <w:kern w:val="0"/>
          <w:szCs w:val="21"/>
          <w:highlight w:val="none"/>
        </w:rPr>
        <w:t>办理</w:t>
      </w:r>
      <w:r>
        <w:rPr>
          <w:rFonts w:hint="eastAsia" w:ascii="宋体" w:hAnsi="宋体" w:eastAsia="宋体" w:cs="宋体"/>
          <w:color w:val="auto"/>
          <w:kern w:val="0"/>
          <w:szCs w:val="21"/>
          <w:highlight w:val="none"/>
          <w:lang w:bidi="ar"/>
        </w:rPr>
        <w:t>预付款银行保函</w:t>
      </w:r>
      <w:r>
        <w:rPr>
          <w:rFonts w:hint="eastAsia" w:ascii="宋体" w:hAnsi="宋体" w:eastAsia="宋体" w:cs="Times New Roman"/>
          <w:bCs/>
          <w:color w:val="auto"/>
          <w:kern w:val="0"/>
          <w:szCs w:val="21"/>
          <w:highlight w:val="none"/>
        </w:rPr>
        <w:t>退还手续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若中标人未按要求提交预付款银行保函的，</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有权要求中标人在5个自然日内全额退还</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已支付的预付款，并全额</w:t>
      </w:r>
      <w:r>
        <w:rPr>
          <w:rFonts w:hint="eastAsia" w:ascii="宋体" w:hAnsi="宋体" w:eastAsia="宋体" w:cs="Times New Roman"/>
          <w:bCs/>
          <w:color w:val="auto"/>
          <w:kern w:val="0"/>
          <w:szCs w:val="21"/>
          <w:highlight w:val="none"/>
          <w:lang w:val="en-US" w:eastAsia="zh-CN"/>
        </w:rPr>
        <w:t>提取中标人</w:t>
      </w:r>
      <w:r>
        <w:rPr>
          <w:rFonts w:hint="eastAsia" w:ascii="宋体" w:hAnsi="宋体" w:eastAsia="宋体" w:cs="Times New Roman"/>
          <w:bCs/>
          <w:color w:val="auto"/>
          <w:kern w:val="0"/>
          <w:szCs w:val="21"/>
          <w:highlight w:val="none"/>
        </w:rPr>
        <w:t>的履约担保</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有权单方解除合同。</w:t>
      </w:r>
    </w:p>
    <w:p>
      <w:pPr>
        <w:autoSpaceDE/>
        <w:autoSpaceDN/>
        <w:snapToGrid w:val="0"/>
        <w:spacing w:line="360" w:lineRule="auto"/>
        <w:ind w:firstLine="422" w:firstLineChars="200"/>
        <w:contextualSpacing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，中标人无需开设预付款监管账户或提供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验收款</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100%结算价的等额有效的增值税专用发票原件，招标人在收到发票后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个工作日内支付至结算价的95％，剩余结算价的5％用作质保金。</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Times New Roman"/>
          <w:bCs/>
          <w:color w:val="auto"/>
          <w:kern w:val="0"/>
          <w:szCs w:val="21"/>
          <w:highlight w:val="none"/>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个工作日内，招标人向中标人支付至结算价的100％价款。</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质保</w:t>
      </w:r>
      <w:r>
        <w:rPr>
          <w:rFonts w:hint="eastAsia" w:ascii="宋体" w:hAnsi="宋体" w:eastAsia="宋体" w:cs="宋体"/>
          <w:b/>
          <w:bCs/>
          <w:color w:val="auto"/>
          <w:sz w:val="21"/>
          <w:szCs w:val="21"/>
          <w:highlight w:val="none"/>
          <w:lang w:val="en-US" w:eastAsia="zh-CN"/>
        </w:rPr>
        <w:t>款</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采取预留质保金方式的，所有车辆质保期满后，经招标人审核确认中标人提供的</w:t>
      </w:r>
      <w:r>
        <w:rPr>
          <w:rFonts w:hint="default" w:ascii="宋体" w:hAnsi="宋体" w:eastAsia="宋体" w:cs="宋体"/>
          <w:color w:val="auto"/>
          <w:sz w:val="21"/>
          <w:szCs w:val="21"/>
          <w:highlight w:val="none"/>
          <w:lang w:val="en-US"/>
        </w:rPr>
        <w:t>车辆</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个工作日内，招标人向中标人支付</w:t>
      </w:r>
      <w:r>
        <w:rPr>
          <w:rFonts w:hint="eastAsia" w:ascii="宋体" w:hAnsi="宋体" w:eastAsia="宋体" w:cs="宋体"/>
          <w:color w:val="auto"/>
          <w:sz w:val="21"/>
          <w:szCs w:val="21"/>
          <w:highlight w:val="none"/>
          <w:lang w:val="en-US" w:eastAsia="zh-CN"/>
        </w:rPr>
        <w:t>质保金。</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采取不可撤销质量保函方式的，车辆质保期满后，由中标人提出退回不可撤销质量保函申请，经招标人审核确认中标人车辆无质量问题且中标人无违约行为</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，由招标人退回不可撤销质量保函。</w:t>
      </w:r>
    </w:p>
    <w:p>
      <w:pPr>
        <w:pStyle w:val="16"/>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培训及</w:t>
      </w:r>
      <w:r>
        <w:rPr>
          <w:rFonts w:hint="eastAsia" w:ascii="宋体" w:hAnsi="宋体" w:eastAsia="宋体" w:cs="宋体"/>
          <w:b/>
          <w:bCs/>
          <w:color w:val="auto"/>
          <w:sz w:val="21"/>
          <w:szCs w:val="21"/>
          <w:highlight w:val="none"/>
        </w:rPr>
        <w:t>质保、售后服务要求</w:t>
      </w:r>
    </w:p>
    <w:p>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中标人</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招标人</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培训时间由招标人决定，跟班总时长每车不少于1个工作日，每日跟班时长不少于6小时，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应为受训人员解难答疑直至其充分理解。培训内容包括但不限于：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补偿。</w:t>
      </w:r>
    </w:p>
    <w:p>
      <w:pPr>
        <w:autoSpaceDE/>
        <w:autoSpaceDN/>
        <w:spacing w:line="360" w:lineRule="auto"/>
        <w:ind w:firstLine="420"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）质保</w:t>
      </w:r>
    </w:p>
    <w:p>
      <w:pPr>
        <w:numPr>
          <w:ilvl w:val="255"/>
          <w:numId w:val="0"/>
        </w:numPr>
        <w:snapToGrid w:val="0"/>
        <w:spacing w:line="360" w:lineRule="auto"/>
        <w:ind w:firstLine="42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整车</w:t>
      </w:r>
      <w:r>
        <w:rPr>
          <w:rFonts w:hint="eastAsia" w:ascii="宋体" w:hAnsi="宋体" w:eastAsia="宋体" w:cs="宋体"/>
          <w:color w:val="auto"/>
          <w:sz w:val="21"/>
          <w:szCs w:val="21"/>
          <w:highlight w:val="none"/>
        </w:rPr>
        <w:t>质保期为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个月（若投标人承诺质保期优于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个月的，则以投标人承诺质保期为准）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质保期限自车辆及随车设备经招标人在验收上签字确认验收合格之日起计算</w:t>
      </w:r>
      <w:r>
        <w:rPr>
          <w:rFonts w:hint="eastAsia" w:ascii="宋体" w:hAnsi="宋体" w:eastAsia="宋体" w:cs="宋体"/>
          <w:color w:val="auto"/>
          <w:sz w:val="21"/>
          <w:szCs w:val="21"/>
          <w:highlight w:val="none"/>
          <w:lang w:eastAsia="zh-CN"/>
        </w:rPr>
        <w:t>。</w:t>
      </w:r>
    </w:p>
    <w:p>
      <w:pPr>
        <w:pStyle w:val="34"/>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lang w:eastAsia="zh-CN"/>
        </w:rPr>
        <w:t>2</w:t>
      </w:r>
      <w:r>
        <w:rPr>
          <w:rFonts w:hint="eastAsia" w:eastAsia="宋体" w:cs="宋体"/>
          <w:color w:val="auto"/>
          <w:sz w:val="21"/>
          <w:szCs w:val="21"/>
          <w:highlight w:val="none"/>
          <w:lang w:val="en-US" w:eastAsia="zh-CN"/>
        </w:rPr>
        <w:t>.</w:t>
      </w:r>
      <w:r>
        <w:rPr>
          <w:rFonts w:hint="eastAsia" w:eastAsia="宋体" w:cs="宋体"/>
          <w:color w:val="auto"/>
          <w:sz w:val="21"/>
          <w:szCs w:val="21"/>
          <w:highlight w:val="none"/>
        </w:rPr>
        <w:t>质保责任：</w:t>
      </w:r>
      <w:r>
        <w:rPr>
          <w:rFonts w:hint="eastAsia" w:ascii="宋体" w:hAnsi="宋体" w:eastAsia="宋体" w:cs="宋体"/>
          <w:color w:val="auto"/>
          <w:kern w:val="0"/>
          <w:sz w:val="21"/>
          <w:szCs w:val="21"/>
          <w:highlight w:val="none"/>
        </w:rPr>
        <w:t>按照国家规定的要求，</w:t>
      </w:r>
      <w:r>
        <w:rPr>
          <w:rFonts w:hint="eastAsia" w:eastAsia="宋体" w:cs="宋体"/>
          <w:color w:val="auto"/>
          <w:sz w:val="21"/>
          <w:szCs w:val="21"/>
          <w:highlight w:val="none"/>
        </w:rPr>
        <w:t>在质保期内免费</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包括但不限于为完成质保产生的</w:t>
      </w:r>
      <w:r>
        <w:rPr>
          <w:rFonts w:hint="eastAsia"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配件</w:t>
      </w:r>
      <w:r>
        <w:rPr>
          <w:rFonts w:hint="eastAsia" w:ascii="宋体" w:hAnsi="宋体" w:eastAsia="宋体" w:cs="宋体"/>
          <w:color w:val="auto"/>
          <w:sz w:val="21"/>
          <w:szCs w:val="21"/>
          <w:highlight w:val="none"/>
        </w:rPr>
        <w:t>购置费、测试费、人工等各项费用</w:t>
      </w:r>
      <w:r>
        <w:rPr>
          <w:rFonts w:hint="eastAsia" w:eastAsia="宋体" w:cs="宋体"/>
          <w:color w:val="auto"/>
          <w:sz w:val="21"/>
          <w:szCs w:val="21"/>
          <w:highlight w:val="none"/>
          <w:lang w:eastAsia="zh-CN"/>
        </w:rPr>
        <w:t>）</w:t>
      </w:r>
      <w:r>
        <w:rPr>
          <w:rFonts w:hint="eastAsia" w:eastAsia="宋体" w:cs="宋体"/>
          <w:color w:val="auto"/>
          <w:sz w:val="21"/>
          <w:szCs w:val="21"/>
          <w:highlight w:val="none"/>
        </w:rPr>
        <w:t>解决非招标人原因造成的质量问题</w:t>
      </w:r>
      <w:r>
        <w:rPr>
          <w:rFonts w:hint="eastAsia" w:ascii="宋体" w:hAnsi="宋体" w:eastAsia="宋体" w:cs="宋体"/>
          <w:color w:val="auto"/>
          <w:sz w:val="21"/>
          <w:szCs w:val="21"/>
          <w:highlight w:val="none"/>
        </w:rPr>
        <w:t>。</w:t>
      </w:r>
      <w:r>
        <w:rPr>
          <w:rFonts w:hint="eastAsia" w:eastAsia="宋体" w:cs="宋体"/>
          <w:color w:val="auto"/>
          <w:sz w:val="21"/>
          <w:szCs w:val="21"/>
          <w:highlight w:val="none"/>
        </w:rPr>
        <w:t>中标人需参照国家相关法律（包括但不限于</w:t>
      </w:r>
      <w:r>
        <w:rPr>
          <w:rFonts w:hint="eastAsia" w:eastAsia="宋体" w:cs="宋体"/>
          <w:color w:val="auto"/>
          <w:sz w:val="21"/>
          <w:szCs w:val="21"/>
          <w:highlight w:val="none"/>
          <w:lang w:val="en-US" w:eastAsia="zh-CN"/>
        </w:rPr>
        <w:t>家用</w:t>
      </w:r>
      <w:r>
        <w:rPr>
          <w:rFonts w:hint="eastAsia" w:eastAsia="宋体" w:cs="宋体"/>
          <w:color w:val="auto"/>
          <w:sz w:val="21"/>
          <w:szCs w:val="21"/>
          <w:highlight w:val="none"/>
        </w:rPr>
        <w:t>汽车产品修理更换退货责任规定）等规定承担三包责任。质保期内，对设备出现的不符合合同要求的、有问题的，中标人应进行免费维</w:t>
      </w:r>
      <w:r>
        <w:rPr>
          <w:rFonts w:hint="eastAsia" w:eastAsia="宋体" w:cs="宋体"/>
          <w:color w:val="auto"/>
          <w:sz w:val="21"/>
          <w:szCs w:val="21"/>
          <w:highlight w:val="none"/>
          <w:lang w:val="en-US" w:eastAsia="zh-CN"/>
        </w:rPr>
        <w:t>护</w:t>
      </w:r>
      <w:r>
        <w:rPr>
          <w:rFonts w:hint="eastAsia" w:eastAsia="宋体" w:cs="宋体"/>
          <w:color w:val="auto"/>
          <w:sz w:val="21"/>
          <w:szCs w:val="21"/>
          <w:highlight w:val="none"/>
        </w:rPr>
        <w:t>、</w:t>
      </w:r>
      <w:r>
        <w:rPr>
          <w:rFonts w:hint="eastAsia" w:eastAsia="宋体" w:cs="宋体"/>
          <w:color w:val="auto"/>
          <w:sz w:val="21"/>
          <w:szCs w:val="21"/>
          <w:highlight w:val="none"/>
          <w:lang w:val="en-US" w:eastAsia="zh-CN"/>
        </w:rPr>
        <w:t>维</w:t>
      </w:r>
      <w:r>
        <w:rPr>
          <w:rFonts w:hint="eastAsia" w:eastAsia="宋体" w:cs="宋体"/>
          <w:color w:val="auto"/>
          <w:sz w:val="21"/>
          <w:szCs w:val="21"/>
          <w:highlight w:val="none"/>
        </w:rPr>
        <w:t>修</w:t>
      </w:r>
      <w:r>
        <w:rPr>
          <w:rFonts w:hint="eastAsia" w:eastAsia="宋体" w:cs="宋体"/>
          <w:color w:val="auto"/>
          <w:sz w:val="21"/>
          <w:szCs w:val="21"/>
          <w:highlight w:val="none"/>
          <w:lang w:eastAsia="zh-CN"/>
        </w:rPr>
        <w:t>、</w:t>
      </w:r>
      <w:r>
        <w:rPr>
          <w:rFonts w:hint="eastAsia" w:eastAsia="宋体" w:cs="宋体"/>
          <w:color w:val="auto"/>
          <w:sz w:val="21"/>
          <w:szCs w:val="21"/>
          <w:highlight w:val="none"/>
        </w:rPr>
        <w:t>更换配件以及</w:t>
      </w:r>
      <w:r>
        <w:rPr>
          <w:rFonts w:hint="eastAsia" w:eastAsia="宋体" w:cs="宋体"/>
          <w:color w:val="auto"/>
          <w:sz w:val="21"/>
          <w:szCs w:val="21"/>
          <w:highlight w:val="none"/>
          <w:lang w:val="en-US" w:eastAsia="zh-CN"/>
        </w:rPr>
        <w:t>免费提供</w:t>
      </w:r>
      <w:r>
        <w:rPr>
          <w:rFonts w:hint="eastAsia" w:eastAsia="宋体" w:cs="宋体"/>
          <w:color w:val="auto"/>
          <w:sz w:val="21"/>
          <w:szCs w:val="21"/>
          <w:highlight w:val="none"/>
        </w:rPr>
        <w:t>其它售后服务，不再收取任何费用。</w:t>
      </w:r>
    </w:p>
    <w:p>
      <w:pPr>
        <w:numPr>
          <w:ilvl w:val="255"/>
          <w:numId w:val="0"/>
        </w:numPr>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sz w:val="21"/>
          <w:szCs w:val="21"/>
          <w:highlight w:val="none"/>
          <w:lang w:val="en-US" w:eastAsia="zh-CN"/>
        </w:rPr>
        <w:t>零部件保修以车辆零部件保修期限表保修手册约定为准，</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szCs w:val="21"/>
          <w:highlight w:val="none"/>
        </w:rPr>
        <w:t>须在投标文件上提供产品用户使用说明书中的零部件保修期限表，并明确各零部件的质保期限，</w:t>
      </w:r>
      <w:r>
        <w:rPr>
          <w:rFonts w:hint="eastAsia" w:ascii="宋体" w:hAnsi="宋体" w:eastAsia="宋体" w:cs="宋体"/>
          <w:color w:val="auto"/>
          <w:sz w:val="21"/>
          <w:szCs w:val="21"/>
          <w:highlight w:val="none"/>
          <w:lang w:val="en-US" w:eastAsia="zh-CN"/>
        </w:rPr>
        <w:t>提供的零部件保修期限不得低于汽车配件质保期国家标准</w:t>
      </w:r>
      <w:r>
        <w:rPr>
          <w:rFonts w:hint="eastAsia" w:ascii="宋体" w:hAnsi="宋体" w:eastAsia="宋体" w:cs="宋体"/>
          <w:color w:val="auto"/>
          <w:szCs w:val="21"/>
          <w:highlight w:val="none"/>
        </w:rPr>
        <w:t>。</w:t>
      </w:r>
    </w:p>
    <w:p>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售后及</w:t>
      </w:r>
      <w:r>
        <w:rPr>
          <w:rFonts w:hint="eastAsia" w:ascii="宋体" w:hAnsi="宋体" w:eastAsia="宋体" w:cs="宋体"/>
          <w:b/>
          <w:bCs/>
          <w:color w:val="auto"/>
          <w:sz w:val="21"/>
          <w:szCs w:val="21"/>
          <w:highlight w:val="none"/>
        </w:rPr>
        <w:t>保养</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w:t>
      </w:r>
      <w:r>
        <w:rPr>
          <w:rFonts w:hint="eastAsia" w:ascii="宋体" w:hAnsi="宋体" w:eastAsia="宋体" w:cs="宋体"/>
          <w:b/>
          <w:bCs/>
          <w:color w:val="auto"/>
          <w:kern w:val="0"/>
          <w:sz w:val="21"/>
          <w:szCs w:val="21"/>
          <w:highlight w:val="none"/>
          <w:lang w:bidi="ar"/>
        </w:rPr>
        <w:t>机油、冷却液、刹车油等耗材均免费</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pPr>
        <w:autoSpaceDE/>
        <w:autoSpaceDN/>
        <w:spacing w:line="360" w:lineRule="auto"/>
        <w:ind w:firstLine="420" w:firstLineChars="200"/>
        <w:contextualSpacing/>
        <w:jc w:val="both"/>
        <w:rPr>
          <w:rFonts w:hint="eastAsia"/>
          <w:color w:val="auto"/>
          <w:highlight w:val="none"/>
        </w:rPr>
      </w:pPr>
      <w:r>
        <w:rPr>
          <w:rFonts w:hint="eastAsia" w:ascii="宋体" w:hAnsi="宋体" w:eastAsia="宋体" w:cs="宋体"/>
          <w:color w:val="auto"/>
          <w:sz w:val="21"/>
          <w:szCs w:val="21"/>
          <w:highlight w:val="none"/>
          <w:lang w:val="en-US" w:eastAsia="zh-CN"/>
        </w:rPr>
        <w:t>5.中标人</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要求，在东莞市范围内提供不少于一个售后服务点，且须满足提供全部售后服务</w:t>
      </w:r>
      <w:r>
        <w:rPr>
          <w:rFonts w:hint="eastAsia" w:ascii="宋体" w:hAnsi="宋体" w:eastAsia="宋体" w:cs="宋体"/>
          <w:color w:val="auto"/>
          <w:sz w:val="21"/>
          <w:szCs w:val="21"/>
          <w:highlight w:val="none"/>
          <w:lang w:eastAsia="zh-CN"/>
        </w:rPr>
        <w:t>。</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、知识产权</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w:t>
      </w:r>
      <w:r>
        <w:rPr>
          <w:rFonts w:hint="eastAsia" w:ascii="宋体" w:hAnsi="宋体" w:eastAsia="宋体" w:cs="Times New Roman"/>
          <w:color w:val="auto"/>
          <w:kern w:val="0"/>
          <w:szCs w:val="21"/>
          <w:highlight w:val="none"/>
        </w:rPr>
        <w:t>而需要向其他方支付</w:t>
      </w:r>
      <w:r>
        <w:rPr>
          <w:rFonts w:hint="eastAsia" w:ascii="宋体" w:hAnsi="宋体" w:eastAsia="宋体" w:cs="宋体"/>
          <w:color w:val="auto"/>
          <w:sz w:val="21"/>
          <w:szCs w:val="21"/>
          <w:highlight w:val="none"/>
        </w:rPr>
        <w:t>的</w:t>
      </w:r>
      <w:r>
        <w:rPr>
          <w:rFonts w:hint="eastAsia" w:ascii="宋体" w:hAnsi="宋体" w:eastAsia="宋体" w:cs="Times New Roman"/>
          <w:color w:val="auto"/>
          <w:kern w:val="0"/>
          <w:szCs w:val="21"/>
          <w:highlight w:val="none"/>
        </w:rPr>
        <w:t>专利技术</w:t>
      </w:r>
      <w:r>
        <w:rPr>
          <w:rFonts w:hint="eastAsia" w:ascii="宋体" w:hAnsi="宋体" w:eastAsia="宋体" w:cs="宋体"/>
          <w:color w:val="auto"/>
          <w:sz w:val="21"/>
          <w:szCs w:val="21"/>
          <w:highlight w:val="none"/>
        </w:rPr>
        <w:t>使用费和版税。如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未依法向第三方支付应缴版税和使用费等相关费用的，造成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任何经济损失的，由中标人承担全部赔偿责任。</w:t>
      </w:r>
    </w:p>
    <w:p>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一</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有权要求</w:t>
      </w:r>
      <w:r>
        <w:rPr>
          <w:rFonts w:hint="eastAsia" w:ascii="宋体" w:hAnsi="宋体" w:eastAsia="宋体" w:cs="Times New Roman"/>
          <w:color w:val="auto"/>
          <w:kern w:val="0"/>
          <w:szCs w:val="21"/>
          <w:highlight w:val="none"/>
          <w:lang w:val="en-US" w:eastAsia="zh-CN" w:bidi="ar"/>
        </w:rPr>
        <w:t>中标人限期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除支付上述违约金外，</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有权直接解除合同，同时要求</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未按</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要求对车辆进行喷涂的，经</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1次书面警告后，5个自然日内无法完成整改的，</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有权要求</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支付违约金3000元/辆，并有权直接委托第三方对车辆进行喷涂，相关喷涂费用由</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承担。</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中标人按照合同约定承担违约责任，</w:t>
      </w:r>
      <w:r>
        <w:rPr>
          <w:rFonts w:hint="eastAsia" w:ascii="宋体" w:hAnsi="宋体" w:eastAsia="宋体" w:cs="宋体"/>
          <w:color w:val="auto"/>
          <w:kern w:val="0"/>
          <w:szCs w:val="21"/>
          <w:highlight w:val="none"/>
          <w:lang w:bidi="ar"/>
        </w:rPr>
        <w:t>所造成的损失由</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承担。</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未按</w:t>
      </w:r>
      <w:r>
        <w:rPr>
          <w:rFonts w:hint="eastAsia" w:ascii="宋体" w:hAnsi="宋体" w:eastAsia="宋体" w:cs="宋体"/>
          <w:color w:val="auto"/>
          <w:kern w:val="0"/>
          <w:szCs w:val="21"/>
          <w:highlight w:val="none"/>
          <w:lang w:val="en-US" w:eastAsia="zh-CN" w:bidi="ar"/>
        </w:rPr>
        <w:t>合同约定</w:t>
      </w:r>
      <w:r>
        <w:rPr>
          <w:rFonts w:hint="eastAsia" w:ascii="宋体" w:hAnsi="宋体" w:eastAsia="宋体" w:cs="宋体"/>
          <w:color w:val="auto"/>
          <w:kern w:val="0"/>
          <w:szCs w:val="21"/>
          <w:highlight w:val="none"/>
          <w:lang w:bidi="ar"/>
        </w:rPr>
        <w:t>配合完成车辆查验或验收的，经</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1次书面警告后，5个自然日内无法完成整改的，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有权要求</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支付违约金20000元/次（最高不超过合同含税总价的5%）。逾期超过10个自然日未按要求完成整改的，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有权单方解除合同。</w:t>
      </w:r>
    </w:p>
    <w:p>
      <w:pPr>
        <w:widowControl/>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bidi="ar"/>
        </w:rPr>
        <w:t>质保期内，若</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售后服务态度恶劣、持续响应不及时的，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有权按照合同约定追究违约责任。对于</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质保期内售后服务响应不及时的，第一、二次</w:t>
      </w:r>
      <w:r>
        <w:rPr>
          <w:rFonts w:hint="eastAsia" w:ascii="宋体" w:hAnsi="宋体" w:eastAsia="宋体" w:cs="宋体"/>
          <w:color w:val="auto"/>
          <w:kern w:val="0"/>
          <w:szCs w:val="21"/>
          <w:highlight w:val="none"/>
          <w:lang w:val="en-US" w:eastAsia="zh-CN" w:bidi="ar"/>
        </w:rPr>
        <w:t>由招标人向中标人</w:t>
      </w:r>
      <w:r>
        <w:rPr>
          <w:rFonts w:hint="eastAsia" w:ascii="宋体" w:hAnsi="宋体" w:eastAsia="宋体" w:cs="宋体"/>
          <w:color w:val="auto"/>
          <w:kern w:val="0"/>
          <w:szCs w:val="21"/>
          <w:highlight w:val="none"/>
          <w:lang w:bidi="ar"/>
        </w:rPr>
        <w:t>发警告函，第三次（含第三次）以后，</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中标人应自接到</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lang w:val="en-US" w:eastAsia="zh-CN"/>
        </w:rPr>
        <w:t>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lang w:val="en-US" w:eastAsia="zh-CN"/>
        </w:rPr>
        <w:t>有权收取违约金10000元/次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履约阶段若发现中标人存在虚假承诺的，中标人需严格按照招标文件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要求，如中标人5个</w:t>
      </w:r>
      <w:r>
        <w:rPr>
          <w:rFonts w:hint="eastAsia" w:ascii="宋体" w:hAnsi="宋体" w:eastAsia="宋体" w:cs="宋体"/>
          <w:color w:val="auto"/>
          <w:sz w:val="21"/>
          <w:szCs w:val="21"/>
          <w:highlight w:val="none"/>
          <w:lang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，中标人应每日按</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lang w:val="en-US" w:eastAsia="zh-CN"/>
        </w:rPr>
        <w:t>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支付违约金（最高不超过合同含税总价的5%），同时中标人应当承担由此给</w:t>
      </w:r>
      <w:r>
        <w:rPr>
          <w:rFonts w:hint="eastAsia" w:ascii="宋体" w:hAnsi="宋体" w:eastAsia="宋体" w:cs="Times New Roman"/>
          <w:color w:val="auto"/>
          <w:kern w:val="0"/>
          <w:szCs w:val="21"/>
          <w:highlight w:val="none"/>
          <w:lang w:val="en-US" w:eastAsia="zh-CN"/>
        </w:rPr>
        <w:t>投标人</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pPr>
        <w:widowControl/>
        <w:numPr>
          <w:ilvl w:val="-1"/>
          <w:numId w:val="0"/>
        </w:numPr>
        <w:kinsoku/>
        <w:autoSpaceDE/>
        <w:adjustRightInd/>
        <w:snapToGrid/>
        <w:spacing w:line="360" w:lineRule="auto"/>
        <w:ind w:firstLine="0" w:firstLineChars="0"/>
        <w:contextualSpacing/>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附件1：</w:t>
      </w:r>
    </w:p>
    <w:tbl>
      <w:tblPr>
        <w:tblStyle w:val="42"/>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99"/>
        <w:gridCol w:w="6065"/>
        <w:gridCol w:w="1221"/>
        <w:gridCol w:w="705"/>
      </w:tblGrid>
      <w:tr>
        <w:tblPrEx>
          <w:shd w:val="clear" w:color="auto" w:fill="auto"/>
          <w:tblLayout w:type="fixed"/>
          <w:tblCellMar>
            <w:top w:w="0" w:type="dxa"/>
            <w:left w:w="108" w:type="dxa"/>
            <w:bottom w:w="0" w:type="dxa"/>
            <w:right w:w="108" w:type="dxa"/>
          </w:tblCellMar>
        </w:tblPrEx>
        <w:trPr>
          <w:trHeight w:val="60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pStyle w:val="2"/>
        <w:rPr>
          <w:rFonts w:hint="eastAsia"/>
          <w:color w:val="auto"/>
          <w:highlight w:val="none"/>
          <w:lang w:val="en-US" w:eastAsia="zh-CN"/>
        </w:rPr>
      </w:pPr>
    </w:p>
    <w:p>
      <w:pPr>
        <w:rPr>
          <w:color w:val="auto"/>
          <w:highlight w:val="none"/>
          <w:lang w:val="zh-CN"/>
        </w:rPr>
      </w:pPr>
      <w:r>
        <w:rPr>
          <w:color w:val="auto"/>
          <w:highlight w:val="none"/>
          <w:lang w:val="zh-CN"/>
        </w:rPr>
        <w:br w:type="page"/>
      </w:r>
    </w:p>
    <w:p>
      <w:pPr>
        <w:widowControl/>
        <w:numPr>
          <w:ilvl w:val="-1"/>
          <w:numId w:val="0"/>
        </w:numPr>
        <w:kinsoku/>
        <w:autoSpaceDE/>
        <w:adjustRightInd/>
        <w:snapToGrid/>
        <w:spacing w:line="360" w:lineRule="auto"/>
        <w:ind w:firstLine="0" w:firstLineChars="0"/>
        <w:contextualSpacing/>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附件2：</w:t>
      </w:r>
    </w:p>
    <w:tbl>
      <w:tblPr>
        <w:tblStyle w:val="42"/>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99"/>
        <w:gridCol w:w="6067"/>
        <w:gridCol w:w="1221"/>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rFonts w:hint="default"/>
          <w:color w:val="auto"/>
          <w:highlight w:val="none"/>
          <w:lang w:val="en-US" w:eastAsia="zh-CN"/>
        </w:rPr>
      </w:pPr>
    </w:p>
    <w:p>
      <w:pPr>
        <w:rPr>
          <w:rFonts w:ascii="宋体" w:hAnsi="宋体" w:eastAsia="宋体" w:cs="Times New Roman"/>
          <w:b/>
          <w:color w:val="auto"/>
          <w:szCs w:val="21"/>
          <w:highlight w:val="none"/>
        </w:rPr>
      </w:pPr>
      <w:r>
        <w:rPr>
          <w:rFonts w:hint="default" w:eastAsiaTheme="minorEastAsia"/>
          <w:color w:val="auto"/>
          <w:highlight w:val="none"/>
          <w:lang w:val="en-US" w:eastAsia="zh-CN"/>
        </w:rPr>
        <w:br w:type="page"/>
      </w: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3166"/>
      <w:bookmarkStart w:id="363" w:name="_Toc142508359"/>
      <w:bookmarkStart w:id="364" w:name="_Toc19477"/>
      <w:bookmarkStart w:id="365" w:name="_Toc7731"/>
      <w:bookmarkStart w:id="366" w:name="_Toc486167707"/>
      <w:bookmarkStart w:id="367" w:name="_Toc11281_WPSOffice_Level1"/>
      <w:bookmarkStart w:id="368"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pPr>
        <w:autoSpaceDE w:val="0"/>
        <w:autoSpaceDN w:val="0"/>
        <w:adjustRightInd w:val="0"/>
        <w:spacing w:line="360" w:lineRule="auto"/>
        <w:jc w:val="center"/>
        <w:rPr>
          <w:rFonts w:ascii="宋体" w:hAnsi="宋体" w:eastAsia="宋体" w:cs="宋体"/>
          <w:b/>
          <w:color w:val="auto"/>
          <w:kern w:val="0"/>
          <w:sz w:val="52"/>
          <w:szCs w:val="52"/>
          <w:highlight w:val="none"/>
        </w:rPr>
      </w:pPr>
    </w:p>
    <w:p>
      <w:pPr>
        <w:autoSpaceDE w:val="0"/>
        <w:autoSpaceDN w:val="0"/>
        <w:adjustRightInd w:val="0"/>
        <w:spacing w:line="360" w:lineRule="auto"/>
        <w:jc w:val="center"/>
        <w:rPr>
          <w:rFonts w:ascii="宋体" w:hAnsi="宋体" w:eastAsia="宋体" w:cs="宋体"/>
          <w:b/>
          <w:color w:val="auto"/>
          <w:kern w:val="0"/>
          <w:sz w:val="56"/>
          <w:szCs w:val="56"/>
          <w:highlight w:val="none"/>
        </w:rPr>
      </w:pPr>
    </w:p>
    <w:p>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w:t>
      </w:r>
      <w:r>
        <w:rPr>
          <w:rFonts w:hint="eastAsia" w:ascii="宋体" w:hAnsi="宋体" w:eastAsia="宋体" w:cs="宋体"/>
          <w:b/>
          <w:color w:val="auto"/>
          <w:kern w:val="0"/>
          <w:sz w:val="52"/>
          <w:szCs w:val="52"/>
          <w:highlight w:val="none"/>
        </w:rPr>
        <w:t>年</w:t>
      </w:r>
      <w:r>
        <w:rPr>
          <w:rFonts w:hint="eastAsia" w:ascii="宋体" w:hAnsi="宋体" w:eastAsia="宋体" w:cs="宋体"/>
          <w:b/>
          <w:color w:val="auto"/>
          <w:kern w:val="0"/>
          <w:sz w:val="52"/>
          <w:szCs w:val="52"/>
          <w:highlight w:val="none"/>
          <w:lang w:val="en-US" w:eastAsia="zh-CN"/>
        </w:rPr>
        <w:t>自卸汽车</w:t>
      </w:r>
      <w:r>
        <w:rPr>
          <w:rFonts w:hint="eastAsia" w:ascii="宋体" w:hAnsi="宋体" w:eastAsia="宋体" w:cs="宋体"/>
          <w:b/>
          <w:color w:val="auto"/>
          <w:kern w:val="0"/>
          <w:sz w:val="52"/>
          <w:szCs w:val="52"/>
          <w:highlight w:val="none"/>
        </w:rPr>
        <w:t>采购项目合同</w:t>
      </w:r>
    </w:p>
    <w:p>
      <w:pPr>
        <w:autoSpaceDE w:val="0"/>
        <w:autoSpaceDN w:val="0"/>
        <w:adjustRightInd w:val="0"/>
        <w:spacing w:line="360" w:lineRule="auto"/>
        <w:jc w:val="left"/>
        <w:rPr>
          <w:rFonts w:ascii="宋体" w:hAnsi="宋体" w:eastAsia="宋体" w:cs="宋体"/>
          <w:color w:val="auto"/>
          <w:kern w:val="0"/>
          <w:sz w:val="48"/>
          <w:szCs w:val="48"/>
          <w:highlight w:val="none"/>
        </w:rPr>
      </w:pPr>
    </w:p>
    <w:p>
      <w:pPr>
        <w:autoSpaceDE w:val="0"/>
        <w:autoSpaceDN w:val="0"/>
        <w:adjustRightInd w:val="0"/>
        <w:spacing w:line="360" w:lineRule="auto"/>
        <w:jc w:val="left"/>
        <w:rPr>
          <w:rFonts w:ascii="宋体" w:hAnsi="宋体" w:eastAsia="宋体" w:cs="宋体"/>
          <w:color w:val="auto"/>
          <w:kern w:val="0"/>
          <w:sz w:val="32"/>
          <w:szCs w:val="32"/>
          <w:highlight w:val="none"/>
          <w:u w:val="singl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甲方：东莞市水务环境投资控股集团管网有限公司</w:t>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42"/>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1"/>
        <w:gridCol w:w="1331"/>
        <w:gridCol w:w="2331"/>
        <w:gridCol w:w="998"/>
        <w:gridCol w:w="189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796"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1331"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名称</w:t>
            </w:r>
          </w:p>
        </w:tc>
        <w:tc>
          <w:tcPr>
            <w:tcW w:w="1331"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品牌</w:t>
            </w:r>
          </w:p>
        </w:tc>
        <w:tc>
          <w:tcPr>
            <w:tcW w:w="2331"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车型</w:t>
            </w:r>
          </w:p>
        </w:tc>
        <w:tc>
          <w:tcPr>
            <w:tcW w:w="998"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数量</w:t>
            </w:r>
          </w:p>
        </w:tc>
        <w:tc>
          <w:tcPr>
            <w:tcW w:w="1899" w:type="dxa"/>
            <w:vAlign w:val="center"/>
          </w:tcPr>
          <w:p>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含税单价（元）</w:t>
            </w:r>
          </w:p>
        </w:tc>
        <w:tc>
          <w:tcPr>
            <w:tcW w:w="1502" w:type="dxa"/>
            <w:vAlign w:val="center"/>
          </w:tcPr>
          <w:p>
            <w:pPr>
              <w:widowControl/>
              <w:autoSpaceDE w:val="0"/>
              <w:autoSpaceDN w:val="0"/>
              <w:adjustRightInd w:val="0"/>
              <w:spacing w:line="24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96" w:type="dxa"/>
            <w:vAlign w:val="center"/>
          </w:tcPr>
          <w:p>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331" w:type="dxa"/>
            <w:vAlign w:val="center"/>
          </w:tcPr>
          <w:p>
            <w:pPr>
              <w:widowControl/>
              <w:autoSpaceDE w:val="0"/>
              <w:autoSpaceDN w:val="0"/>
              <w:adjustRightInd w:val="0"/>
              <w:spacing w:line="240" w:lineRule="auto"/>
              <w:jc w:val="center"/>
              <w:rPr>
                <w:rFonts w:hint="default" w:ascii="宋体" w:hAnsi="宋体" w:cs="Times New Roman" w:eastAsiaTheme="minorEastAsia"/>
                <w:color w:val="auto"/>
                <w:kern w:val="0"/>
                <w:szCs w:val="21"/>
                <w:highlight w:val="none"/>
                <w:lang w:val="en-US" w:eastAsia="zh-CN"/>
              </w:rPr>
            </w:pPr>
            <w:r>
              <w:rPr>
                <w:rFonts w:hint="eastAsia" w:hAnsi="宋体" w:cs="宋体"/>
                <w:color w:val="auto"/>
                <w:sz w:val="21"/>
                <w:szCs w:val="21"/>
                <w:highlight w:val="none"/>
                <w:lang w:val="en-US" w:eastAsia="zh-CN"/>
              </w:rPr>
              <w:t>自卸汽车</w:t>
            </w:r>
          </w:p>
        </w:tc>
        <w:tc>
          <w:tcPr>
            <w:tcW w:w="1331" w:type="dxa"/>
            <w:vAlign w:val="center"/>
          </w:tcPr>
          <w:p>
            <w:pPr>
              <w:widowControl/>
              <w:autoSpaceDE w:val="0"/>
              <w:autoSpaceDN w:val="0"/>
              <w:adjustRightInd w:val="0"/>
              <w:spacing w:line="240" w:lineRule="auto"/>
              <w:jc w:val="center"/>
              <w:rPr>
                <w:rFonts w:hint="eastAsia" w:hAnsi="宋体" w:cs="宋体"/>
                <w:color w:val="auto"/>
                <w:sz w:val="21"/>
                <w:szCs w:val="21"/>
                <w:highlight w:val="none"/>
              </w:rPr>
            </w:pPr>
          </w:p>
        </w:tc>
        <w:tc>
          <w:tcPr>
            <w:tcW w:w="2331" w:type="dxa"/>
            <w:vAlign w:val="center"/>
          </w:tcPr>
          <w:p>
            <w:pPr>
              <w:widowControl/>
              <w:autoSpaceDE w:val="0"/>
              <w:autoSpaceDN w:val="0"/>
              <w:adjustRightInd w:val="0"/>
              <w:spacing w:line="240" w:lineRule="auto"/>
              <w:jc w:val="center"/>
              <w:rPr>
                <w:rFonts w:hint="eastAsia" w:hAnsi="宋体" w:cs="宋体"/>
                <w:color w:val="auto"/>
                <w:sz w:val="21"/>
                <w:szCs w:val="21"/>
                <w:highlight w:val="none"/>
              </w:rPr>
            </w:pPr>
          </w:p>
        </w:tc>
        <w:tc>
          <w:tcPr>
            <w:tcW w:w="998" w:type="dxa"/>
            <w:vAlign w:val="center"/>
          </w:tcPr>
          <w:p>
            <w:pPr>
              <w:widowControl/>
              <w:autoSpaceDE w:val="0"/>
              <w:autoSpaceDN w:val="0"/>
              <w:adjustRightInd w:val="0"/>
              <w:spacing w:line="240" w:lineRule="auto"/>
              <w:jc w:val="center"/>
              <w:rPr>
                <w:rFonts w:hint="eastAsia" w:hAnsi="宋体" w:cs="宋体"/>
                <w:color w:val="auto"/>
                <w:sz w:val="21"/>
                <w:szCs w:val="21"/>
                <w:highlight w:val="none"/>
              </w:rPr>
            </w:pPr>
            <w:r>
              <w:rPr>
                <w:rFonts w:hint="eastAsia" w:hAnsi="宋体" w:cs="宋体"/>
                <w:color w:val="auto"/>
                <w:sz w:val="21"/>
                <w:szCs w:val="21"/>
                <w:highlight w:val="none"/>
                <w:lang w:val="en-US" w:eastAsia="zh-CN"/>
              </w:rPr>
              <w:t>7</w:t>
            </w:r>
            <w:r>
              <w:rPr>
                <w:rFonts w:hint="eastAsia" w:hAnsi="宋体" w:cs="宋体"/>
                <w:color w:val="auto"/>
                <w:sz w:val="21"/>
                <w:szCs w:val="21"/>
                <w:highlight w:val="none"/>
              </w:rPr>
              <w:t>辆</w:t>
            </w:r>
          </w:p>
        </w:tc>
        <w:tc>
          <w:tcPr>
            <w:tcW w:w="1899" w:type="dxa"/>
            <w:vAlign w:val="center"/>
          </w:tcPr>
          <w:p>
            <w:pPr>
              <w:widowControl/>
              <w:autoSpaceDE w:val="0"/>
              <w:autoSpaceDN w:val="0"/>
              <w:adjustRightInd w:val="0"/>
              <w:spacing w:line="240" w:lineRule="auto"/>
              <w:jc w:val="center"/>
              <w:rPr>
                <w:rFonts w:hint="eastAsia" w:hAnsi="宋体" w:cs="宋体"/>
                <w:color w:val="auto"/>
                <w:sz w:val="21"/>
                <w:szCs w:val="21"/>
                <w:highlight w:val="none"/>
              </w:rPr>
            </w:pPr>
          </w:p>
        </w:tc>
        <w:tc>
          <w:tcPr>
            <w:tcW w:w="1502" w:type="dxa"/>
            <w:vAlign w:val="center"/>
          </w:tcPr>
          <w:p>
            <w:pPr>
              <w:widowControl/>
              <w:autoSpaceDE w:val="0"/>
              <w:autoSpaceDN w:val="0"/>
              <w:adjustRightInd w:val="0"/>
              <w:spacing w:line="240" w:lineRule="auto"/>
              <w:jc w:val="center"/>
              <w:rPr>
                <w:rFonts w:hint="eastAsia" w:hAnsi="宋体" w:cs="宋体"/>
                <w:color w:val="auto"/>
                <w:sz w:val="21"/>
                <w:szCs w:val="21"/>
                <w:highlight w:val="none"/>
              </w:rPr>
            </w:pPr>
          </w:p>
        </w:tc>
      </w:tr>
    </w:tbl>
    <w:p>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Times New Roman" w:hAnsi="宋体" w:eastAsia="宋体" w:cs="Times New Roman"/>
          <w:b/>
          <w:bCs/>
          <w:color w:val="auto"/>
          <w:kern w:val="0"/>
          <w:szCs w:val="21"/>
          <w:highlight w:val="none"/>
          <w:lang w:val="en-US" w:eastAsia="zh-CN"/>
        </w:rPr>
        <w:t>自卸汽车</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p>
    <w:p>
      <w:pPr>
        <w:rPr>
          <w:color w:val="auto"/>
          <w:highlight w:val="none"/>
        </w:rPr>
      </w:pPr>
    </w:p>
    <w:p>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1、合同含税总价：（人民币）</w:t>
      </w:r>
      <w:r>
        <w:rPr>
          <w:rFonts w:hint="eastAsia" w:ascii="宋体" w:hAnsi="宋体" w:eastAsia="宋体" w:cs="Times New Roman"/>
          <w:color w:val="auto"/>
          <w:kern w:val="0"/>
          <w:szCs w:val="21"/>
          <w:highlight w:val="none"/>
          <w:u w:val="single"/>
        </w:rPr>
        <w:t>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（小写：¥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u w:val="single"/>
          <w:lang w:eastAsia="zh-CN"/>
        </w:rPr>
        <w:t>）</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w:t>
      </w:r>
      <w:r>
        <w:rPr>
          <w:rFonts w:hint="eastAsia" w:ascii="宋体" w:hAnsi="宋体" w:eastAsia="宋体" w:cs="宋体"/>
          <w:color w:val="auto"/>
          <w:sz w:val="21"/>
          <w:szCs w:val="21"/>
          <w:highlight w:val="none"/>
          <w:lang w:eastAsia="zh-CN"/>
        </w:rPr>
        <w:t>首年车船税</w:t>
      </w:r>
      <w:r>
        <w:rPr>
          <w:rFonts w:hint="eastAsia" w:ascii="宋体" w:hAnsi="宋体" w:eastAsia="宋体" w:cs="宋体"/>
          <w:color w:val="auto"/>
          <w:sz w:val="21"/>
          <w:szCs w:val="21"/>
          <w:highlight w:val="none"/>
        </w:rPr>
        <w:t>、增值税、首年交强险、首年商业保险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总价为固定价格，在本合同有效期内固定不变，不因材料、劳务成本、运输成本、安装成本、货物的行业标准或国家标准的变动或其他任何理由予以变更。</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工具等)，表面无划伤、无碰撞的痕迹。</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工具等交付给甲方。</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pPr>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eastAsia="zh-CN"/>
        </w:rPr>
        <w:t>8</w:t>
      </w:r>
      <w:r>
        <w:rPr>
          <w:rFonts w:hint="eastAsia" w:ascii="宋体" w:hAnsi="宋体" w:eastAsia="宋体" w:cs="Times New Roman"/>
          <w:b w:val="0"/>
          <w:bCs w:val="0"/>
          <w:color w:val="auto"/>
          <w:kern w:val="0"/>
          <w:szCs w:val="21"/>
          <w:highlight w:val="none"/>
        </w:rPr>
        <w:t>、乙方保证其对交付</w:t>
      </w:r>
      <w:r>
        <w:rPr>
          <w:rFonts w:hint="eastAsia" w:ascii="宋体" w:hAnsi="宋体" w:eastAsia="宋体" w:cs="Times New Roman"/>
          <w:b w:val="0"/>
          <w:bCs w:val="0"/>
          <w:color w:val="auto"/>
          <w:kern w:val="0"/>
          <w:szCs w:val="21"/>
          <w:highlight w:val="none"/>
          <w:lang w:val="en-US" w:eastAsia="zh-CN"/>
        </w:rPr>
        <w:t>车辆和</w:t>
      </w:r>
      <w:r>
        <w:rPr>
          <w:rFonts w:hint="eastAsia" w:ascii="宋体" w:hAnsi="宋体" w:eastAsia="宋体" w:cs="Times New Roman"/>
          <w:b w:val="0"/>
          <w:bCs w:val="0"/>
          <w:color w:val="auto"/>
          <w:kern w:val="0"/>
          <w:szCs w:val="21"/>
          <w:highlight w:val="none"/>
        </w:rPr>
        <w:t>货物享有完整、合法的处分权，</w:t>
      </w:r>
      <w:r>
        <w:rPr>
          <w:rFonts w:hint="eastAsia" w:ascii="宋体" w:hAnsi="宋体" w:eastAsia="宋体" w:cs="Times New Roman"/>
          <w:bCs w:val="0"/>
          <w:color w:val="auto"/>
          <w:kern w:val="0"/>
          <w:szCs w:val="21"/>
          <w:highlight w:val="none"/>
        </w:rPr>
        <w:t>车辆和货物</w:t>
      </w:r>
      <w:r>
        <w:rPr>
          <w:rFonts w:hint="eastAsia" w:ascii="宋体" w:hAnsi="宋体" w:eastAsia="宋体" w:cs="Times New Roman"/>
          <w:b w:val="0"/>
          <w:bCs w:val="0"/>
          <w:color w:val="auto"/>
          <w:kern w:val="0"/>
          <w:szCs w:val="21"/>
          <w:highlight w:val="none"/>
        </w:rPr>
        <w:t>不存在抵押、质押、留置、所有权保留等第三人权利或纠纷，并保证第三人对标的物不享有任何权利</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b w:val="0"/>
          <w:bCs w:val="0"/>
          <w:color w:val="auto"/>
          <w:kern w:val="0"/>
          <w:szCs w:val="21"/>
          <w:highlight w:val="none"/>
        </w:rPr>
        <w:t>若第三人主张权利，乙方应在接到通知后【3】</w:t>
      </w:r>
      <w:r>
        <w:rPr>
          <w:rFonts w:hint="eastAsia" w:ascii="宋体" w:hAnsi="宋体" w:eastAsia="宋体" w:cs="Times New Roman"/>
          <w:b w:val="0"/>
          <w:bCs w:val="0"/>
          <w:color w:val="auto"/>
          <w:kern w:val="0"/>
          <w:szCs w:val="21"/>
          <w:highlight w:val="none"/>
          <w:lang w:val="en-US" w:eastAsia="zh-CN"/>
        </w:rPr>
        <w:t>个自然</w:t>
      </w:r>
      <w:r>
        <w:rPr>
          <w:rFonts w:hint="eastAsia" w:ascii="宋体" w:hAnsi="宋体" w:eastAsia="宋体" w:cs="Times New Roman"/>
          <w:b w:val="0"/>
          <w:bCs w:val="0"/>
          <w:color w:val="auto"/>
          <w:kern w:val="0"/>
          <w:szCs w:val="21"/>
          <w:highlight w:val="none"/>
        </w:rPr>
        <w:t>日内予以排除并承担全部费用与责任，造成甲方损失的，乙方应赔偿全部损失。</w:t>
      </w:r>
    </w:p>
    <w:p>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日前应通知甲方预计到达时间和货物的装运情况。</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w:t>
      </w:r>
      <w:r>
        <w:rPr>
          <w:rFonts w:hint="eastAsia" w:ascii="宋体" w:hAnsi="宋体" w:eastAsia="宋体" w:cs="Times New Roman"/>
          <w:color w:val="auto"/>
          <w:kern w:val="0"/>
          <w:szCs w:val="21"/>
          <w:highlight w:val="none"/>
          <w:lang w:val="en-US" w:eastAsia="zh-CN"/>
        </w:rPr>
        <w:t>最终</w:t>
      </w:r>
      <w:r>
        <w:rPr>
          <w:rFonts w:hint="eastAsia" w:ascii="宋体" w:hAnsi="宋体" w:eastAsia="宋体" w:cs="Times New Roman"/>
          <w:color w:val="auto"/>
          <w:kern w:val="0"/>
          <w:szCs w:val="21"/>
          <w:highlight w:val="none"/>
        </w:rPr>
        <w:t>验收合格之前所产生的所有</w:t>
      </w:r>
      <w:r>
        <w:rPr>
          <w:rFonts w:hint="eastAsia" w:ascii="宋体" w:hAnsi="宋体" w:eastAsia="宋体" w:cs="Times New Roman"/>
          <w:color w:val="auto"/>
          <w:kern w:val="0"/>
          <w:szCs w:val="21"/>
          <w:highlight w:val="none"/>
          <w:lang w:val="en-US" w:eastAsia="zh-CN"/>
        </w:rPr>
        <w:t>费用（</w:t>
      </w:r>
      <w:r>
        <w:rPr>
          <w:rFonts w:hint="eastAsia" w:ascii="宋体" w:hAnsi="宋体" w:eastAsia="宋体" w:cs="Times New Roman"/>
          <w:color w:val="auto"/>
          <w:kern w:val="0"/>
          <w:szCs w:val="21"/>
          <w:highlight w:val="none"/>
        </w:rPr>
        <w:t>包括但不限于购买车辆购置税、车船税、机动车交通事故责任强制保险、商业保险、上牌照及相关费用等</w:t>
      </w:r>
      <w:r>
        <w:rPr>
          <w:rFonts w:hint="eastAsia" w:ascii="宋体" w:hAnsi="宋体" w:eastAsia="宋体" w:cs="Times New Roman"/>
          <w:color w:val="auto"/>
          <w:kern w:val="0"/>
          <w:szCs w:val="21"/>
          <w:highlight w:val="none"/>
          <w:lang w:val="en-US" w:eastAsia="zh-CN"/>
        </w:rPr>
        <w:t>）、</w:t>
      </w:r>
      <w:r>
        <w:rPr>
          <w:rFonts w:hint="eastAsia" w:ascii="宋体" w:hAnsi="宋体" w:eastAsia="宋体" w:cs="Times New Roman"/>
          <w:color w:val="auto"/>
          <w:kern w:val="0"/>
          <w:szCs w:val="21"/>
          <w:highlight w:val="none"/>
        </w:rPr>
        <w:t>风险和责任。</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6、货物运输、保险和包装相关费用已包含在合同总价中，甲方不另行支付或给予乙方补偿。</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应在结果公示之日起5个工作日内向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本项目采购文件提出的是最低限度的要求，并未对一切细节作出规定，也未充分引述全部有关标准和规范的条文，</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提供的所有货物都应符合招标时已颁布的现行中国国家或国家认可的（部颁、行业）标准和国内外标准化组织以及等效或更优的其他国家的权威性标准和规范的有关条文。如无前述标准的，则采用货物来源适用的且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认可的官方标准。这些标准必须是有关机构发布的最新版本的标准。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保证所供应的本合同货物符合质量标准，不存在任何缺陷。</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过</w:t>
      </w:r>
      <w:r>
        <w:rPr>
          <w:rFonts w:hint="eastAsia" w:ascii="宋体" w:hAnsi="宋体" w:eastAsia="宋体" w:cs="Times New Roman"/>
          <w:color w:val="auto"/>
          <w:kern w:val="0"/>
          <w:szCs w:val="21"/>
          <w:highlight w:val="none"/>
        </w:rPr>
        <w:t>甲方同意即送货或</w:t>
      </w:r>
      <w:r>
        <w:rPr>
          <w:rFonts w:hint="eastAsia" w:ascii="宋体" w:hAnsi="宋体" w:eastAsia="宋体" w:cs="Times New Roman"/>
          <w:color w:val="auto"/>
          <w:kern w:val="0"/>
          <w:szCs w:val="21"/>
          <w:highlight w:val="none"/>
          <w:lang w:val="en-US" w:eastAsia="zh-CN"/>
        </w:rPr>
        <w:t>未将</w:t>
      </w:r>
      <w:r>
        <w:rPr>
          <w:rFonts w:hint="eastAsia" w:ascii="宋体" w:hAnsi="宋体" w:eastAsia="宋体" w:cs="Times New Roman"/>
          <w:color w:val="auto"/>
          <w:kern w:val="0"/>
          <w:szCs w:val="21"/>
          <w:highlight w:val="none"/>
        </w:rPr>
        <w:t>货</w:t>
      </w:r>
      <w:r>
        <w:rPr>
          <w:rFonts w:hint="eastAsia" w:ascii="宋体" w:hAnsi="宋体" w:eastAsia="宋体" w:cs="Times New Roman"/>
          <w:color w:val="auto"/>
          <w:kern w:val="0"/>
          <w:szCs w:val="21"/>
          <w:highlight w:val="none"/>
          <w:lang w:val="en-US" w:eastAsia="zh-CN"/>
        </w:rPr>
        <w:t>物</w:t>
      </w:r>
      <w:r>
        <w:rPr>
          <w:rFonts w:hint="eastAsia" w:ascii="宋体" w:hAnsi="宋体" w:eastAsia="宋体" w:cs="Times New Roman"/>
          <w:color w:val="auto"/>
          <w:kern w:val="0"/>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Times New Roman"/>
          <w:color w:val="auto"/>
          <w:kern w:val="0"/>
          <w:szCs w:val="21"/>
          <w:highlight w:val="none"/>
        </w:rPr>
        <w:t>日通知乙方，方便乙方变更运输计划，乙方需予以配合，相关费用由乙方负责。</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bookmarkStart w:id="371" w:name="_Toc86481562"/>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w:t>
      </w:r>
      <w:r>
        <w:rPr>
          <w:rFonts w:hint="eastAsia" w:ascii="宋体" w:hAnsi="宋体" w:eastAsia="宋体" w:cs="宋体"/>
          <w:color w:val="auto"/>
          <w:kern w:val="0"/>
          <w:szCs w:val="21"/>
          <w:highlight w:val="none"/>
          <w:lang w:val="en-US" w:eastAsia="zh-CN" w:bidi="ar"/>
        </w:rPr>
        <w:t>供货</w:t>
      </w:r>
      <w:r>
        <w:rPr>
          <w:rFonts w:hint="eastAsia" w:ascii="宋体" w:hAnsi="宋体" w:eastAsia="宋体" w:cs="宋体"/>
          <w:color w:val="auto"/>
          <w:kern w:val="0"/>
          <w:szCs w:val="21"/>
          <w:highlight w:val="none"/>
          <w:lang w:bidi="ar"/>
        </w:rPr>
        <w:t>时车身颜色为工程黄</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在车辆查验合格后由乙方</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bookmarkStart w:id="372" w:name="_Hlk133244080"/>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、质量标准:乙方保证合同车辆是全新、未曾使用过的，其质量、规格及技术特征符合国家标准、规范及用户需求书及合同的要求。</w:t>
      </w:r>
    </w:p>
    <w:p>
      <w:pPr>
        <w:pStyle w:val="2"/>
        <w:ind w:firstLine="420" w:firstLineChars="200"/>
        <w:rPr>
          <w:color w:val="auto"/>
          <w:highlight w:val="none"/>
        </w:rPr>
      </w:pPr>
      <w:r>
        <w:rPr>
          <w:rFonts w:hint="eastAsia"/>
          <w:color w:val="auto"/>
          <w:highlight w:val="none"/>
          <w:lang w:val="en-US" w:eastAsia="zh-CN"/>
        </w:rPr>
        <w:t>8</w:t>
      </w:r>
      <w:r>
        <w:rPr>
          <w:rFonts w:hint="eastAsia"/>
          <w:color w:val="auto"/>
          <w:highlight w:val="none"/>
        </w:rPr>
        <w:t>、</w:t>
      </w:r>
      <w:r>
        <w:rPr>
          <w:rFonts w:hint="eastAsia" w:ascii="宋体" w:hAnsi="宋体" w:eastAsia="宋体" w:cs="宋体"/>
          <w:color w:val="auto"/>
          <w:szCs w:val="21"/>
          <w:highlight w:val="none"/>
        </w:rPr>
        <w:t>本项目采购文件中如有出现的品牌规格等，仅为方便描述参考，不具有任何指定性及唯一性，乙方原则上应提供不低于该品牌档次的产品。</w:t>
      </w:r>
    </w:p>
    <w:p>
      <w:pPr>
        <w:pStyle w:val="2"/>
        <w:ind w:firstLine="420" w:firstLineChars="200"/>
        <w:rPr>
          <w:color w:val="auto"/>
          <w:highlight w:val="none"/>
        </w:rPr>
      </w:pPr>
      <w:r>
        <w:rPr>
          <w:rFonts w:hint="eastAsia"/>
          <w:color w:val="auto"/>
          <w:highlight w:val="none"/>
          <w:lang w:val="en-US" w:eastAsia="zh-CN"/>
        </w:rPr>
        <w:t>9</w:t>
      </w:r>
      <w:r>
        <w:rPr>
          <w:rFonts w:hint="eastAsia"/>
          <w:color w:val="auto"/>
          <w:highlight w:val="none"/>
        </w:rPr>
        <w:t>、</w:t>
      </w:r>
      <w:r>
        <w:rPr>
          <w:rFonts w:hint="eastAsia" w:ascii="宋体" w:hAnsi="宋体" w:eastAsia="宋体" w:cs="宋体"/>
          <w:color w:val="auto"/>
          <w:szCs w:val="21"/>
          <w:highlight w:val="none"/>
        </w:rPr>
        <w:t>乙方须配合甲方办理车辆通行证等相关手续。</w:t>
      </w:r>
    </w:p>
    <w:bookmarkEnd w:id="372"/>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pPr>
        <w:pStyle w:val="16"/>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（4）查验过程中，甲方有权根据需要开展现场操作试验，如试验发现技术参数不符合投标文件的，乙方不得以车辆已试验为由拒绝退货、换货或整改，不得以此为由向甲方索取任何赔偿或费用。</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保险单；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bookmarkStart w:id="373" w:name="OLE_LINK4"/>
    </w:p>
    <w:p>
      <w:pPr>
        <w:snapToGrid w:val="0"/>
        <w:spacing w:line="360" w:lineRule="auto"/>
        <w:ind w:firstLine="420" w:firstLineChars="200"/>
        <w:rPr>
          <w:rFonts w:hint="default"/>
          <w:color w:val="auto"/>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1）预付款金额为</w:t>
      </w:r>
      <w:r>
        <w:rPr>
          <w:rFonts w:hint="eastAsia" w:ascii="宋体" w:hAnsi="宋体" w:eastAsia="宋体" w:cs="Times New Roman"/>
          <w:bCs/>
          <w:strike w:val="0"/>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lang w:val="en-US" w:eastAsia="zh-CN"/>
        </w:rPr>
        <w:t>万元（</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具体支付比例由甲方决定）</w:t>
      </w:r>
      <w:r>
        <w:rPr>
          <w:rFonts w:hint="eastAsia" w:ascii="宋体" w:hAnsi="宋体" w:eastAsia="宋体" w:cs="Times New Roman"/>
          <w:bCs/>
          <w:color w:val="auto"/>
          <w:kern w:val="0"/>
          <w:szCs w:val="21"/>
          <w:highlight w:val="none"/>
          <w:lang w:val="en-US" w:eastAsia="zh-CN"/>
        </w:rPr>
        <w:t>。</w:t>
      </w:r>
    </w:p>
    <w:p>
      <w:pPr>
        <w:snapToGrid w:val="0"/>
        <w:spacing w:line="360" w:lineRule="auto"/>
        <w:ind w:firstLine="420" w:firstLineChars="200"/>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（2）预付款支付。在</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日内，乙方按甲方要求向甲方提交请款报告及请款金额等额、合法、有效的收款收据，甲方在收到前述材料并确认无误后10个工作日内，支付预付款</w:t>
      </w:r>
      <w:r>
        <w:rPr>
          <w:rFonts w:hint="eastAsia" w:ascii="宋体" w:hAnsi="宋体" w:eastAsia="宋体" w:cs="宋体"/>
          <w:bCs/>
          <w:color w:val="auto"/>
          <w:kern w:val="0"/>
          <w:szCs w:val="21"/>
          <w:highlight w:val="none"/>
          <w:lang w:val="en-US" w:eastAsia="zh-CN" w:bidi="ar"/>
        </w:rPr>
        <w:t>给乙方</w:t>
      </w:r>
      <w:r>
        <w:rPr>
          <w:rFonts w:hint="eastAsia" w:ascii="宋体" w:hAnsi="宋体" w:eastAsia="宋体" w:cs="宋体"/>
          <w:bCs/>
          <w:color w:val="auto"/>
          <w:kern w:val="0"/>
          <w:szCs w:val="21"/>
          <w:highlight w:val="none"/>
          <w:lang w:bidi="ar"/>
        </w:rPr>
        <w:t>。</w:t>
      </w:r>
    </w:p>
    <w:bookmarkEnd w:id="373"/>
    <w:p>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，乙方须按甲方要求开设预付款监管账户或向甲方提供与预付款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由甲方决定</w:t>
      </w:r>
      <w:r>
        <w:rPr>
          <w:rFonts w:hint="eastAsia" w:ascii="宋体" w:hAnsi="宋体" w:eastAsia="宋体" w:cs="宋体"/>
          <w:bCs/>
          <w:color w:val="auto"/>
          <w:kern w:val="0"/>
          <w:szCs w:val="21"/>
          <w:highlight w:val="none"/>
          <w:lang w:eastAsia="zh-CN" w:bidi="ar"/>
        </w:rPr>
        <w:t>。</w:t>
      </w:r>
    </w:p>
    <w:p>
      <w:pPr>
        <w:autoSpaceDE/>
        <w:autoSpaceDN/>
        <w:adjustRightInd/>
        <w:snapToGrid w:val="0"/>
        <w:spacing w:line="360" w:lineRule="auto"/>
        <w:ind w:firstLine="422"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乙方须于中标通知书发出后7个自然日内按甲方要求完成监管账户开设，并按要求完成乙方、甲方、银行三方资金监管协议（以下统称“三方监管协议”）签订工作。监管账户的终止监管条件及手续按三方监管协议约定执行。</w:t>
      </w:r>
      <w:r>
        <w:rPr>
          <w:rFonts w:hint="eastAsia" w:ascii="宋体" w:hAnsi="宋体" w:eastAsia="宋体" w:cs="Times New Roman"/>
          <w:color w:val="auto"/>
          <w:kern w:val="0"/>
          <w:szCs w:val="21"/>
          <w:highlight w:val="none"/>
          <w:lang w:val="en-US" w:eastAsia="zh-CN"/>
        </w:rPr>
        <w:t>若乙方未按要求开设监管账户的，若乙方未按要求开设监管账户的，甲方有权取消乙方中标资格，并要求乙方按合同总价的5%支付违约金。</w:t>
      </w:r>
    </w:p>
    <w:p>
      <w:pPr>
        <w:autoSpaceDE/>
        <w:autoSpaceDN/>
        <w:adjustRightInd/>
        <w:snapToGri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采取预付款银行保函方式：</w:t>
      </w:r>
      <w:r>
        <w:rPr>
          <w:rFonts w:hint="eastAsia" w:ascii="宋体" w:hAnsi="宋体" w:eastAsia="宋体" w:cs="Times New Roman"/>
          <w:bCs/>
          <w:color w:val="auto"/>
          <w:kern w:val="0"/>
          <w:szCs w:val="21"/>
          <w:highlight w:val="none"/>
          <w:lang w:val="en-US" w:eastAsia="zh-CN"/>
        </w:rPr>
        <w:t>乙方须于合同签订后28个自然日内向甲方提供与预付款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有效期限不少于6个月）。</w:t>
      </w:r>
      <w:r>
        <w:rPr>
          <w:rFonts w:hint="eastAsia" w:ascii="宋体" w:hAnsi="宋体" w:eastAsia="宋体" w:cs="Times New Roman"/>
          <w:bCs/>
          <w:color w:val="auto"/>
          <w:kern w:val="0"/>
          <w:szCs w:val="21"/>
          <w:highlight w:val="none"/>
        </w:rPr>
        <w:t>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w:t>
      </w:r>
      <w:r>
        <w:rPr>
          <w:rFonts w:hint="eastAsia" w:ascii="宋体" w:hAnsi="宋体" w:eastAsia="宋体" w:cs="Times New Roman"/>
          <w:bCs/>
          <w:color w:val="auto"/>
          <w:kern w:val="0"/>
          <w:szCs w:val="21"/>
          <w:highlight w:val="none"/>
          <w:lang w:val="en-US" w:eastAsia="zh-CN"/>
        </w:rPr>
        <w:t>预付款保函</w:t>
      </w:r>
      <w:r>
        <w:rPr>
          <w:rFonts w:hint="eastAsia" w:ascii="宋体" w:hAnsi="宋体" w:eastAsia="宋体" w:cs="Times New Roman"/>
          <w:bCs/>
          <w:color w:val="auto"/>
          <w:kern w:val="0"/>
          <w:szCs w:val="21"/>
          <w:highlight w:val="none"/>
        </w:rPr>
        <w:t>的申请</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w:t>
      </w:r>
      <w:r>
        <w:rPr>
          <w:rFonts w:hint="eastAsia" w:ascii="宋体" w:hAnsi="宋体" w:eastAsia="宋体" w:cs="Times New Roman"/>
          <w:bCs/>
          <w:color w:val="auto"/>
          <w:kern w:val="0"/>
          <w:szCs w:val="21"/>
          <w:highlight w:val="none"/>
          <w:lang w:val="en-US" w:eastAsia="zh-CN"/>
        </w:rPr>
        <w:t>可</w:t>
      </w:r>
      <w:r>
        <w:rPr>
          <w:rFonts w:hint="eastAsia" w:ascii="宋体" w:hAnsi="宋体" w:eastAsia="宋体" w:cs="Times New Roman"/>
          <w:bCs/>
          <w:color w:val="auto"/>
          <w:kern w:val="0"/>
          <w:szCs w:val="21"/>
          <w:highlight w:val="none"/>
        </w:rPr>
        <w:t>办理</w:t>
      </w:r>
      <w:r>
        <w:rPr>
          <w:rFonts w:hint="eastAsia" w:ascii="宋体" w:hAnsi="宋体" w:eastAsia="宋体" w:cs="宋体"/>
          <w:color w:val="auto"/>
          <w:kern w:val="0"/>
          <w:szCs w:val="21"/>
          <w:highlight w:val="none"/>
          <w:lang w:bidi="ar"/>
        </w:rPr>
        <w:t>预付款银行保函</w:t>
      </w:r>
      <w:r>
        <w:rPr>
          <w:rFonts w:hint="eastAsia" w:ascii="宋体" w:hAnsi="宋体" w:eastAsia="宋体" w:cs="Times New Roman"/>
          <w:bCs/>
          <w:color w:val="auto"/>
          <w:kern w:val="0"/>
          <w:szCs w:val="21"/>
          <w:highlight w:val="none"/>
        </w:rPr>
        <w:t>退还手续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若乙方未按要求提交预付款银行保函的，甲方有权要求乙方在5个自然日内全额退还甲方已支付的预付款，并全额</w:t>
      </w:r>
      <w:r>
        <w:rPr>
          <w:rFonts w:hint="eastAsia" w:ascii="宋体" w:hAnsi="宋体" w:eastAsia="宋体" w:cs="Times New Roman"/>
          <w:bCs/>
          <w:color w:val="auto"/>
          <w:kern w:val="0"/>
          <w:szCs w:val="21"/>
          <w:highlight w:val="none"/>
          <w:lang w:val="en-US" w:eastAsia="zh-CN"/>
        </w:rPr>
        <w:t>提取乙方</w:t>
      </w:r>
      <w:r>
        <w:rPr>
          <w:rFonts w:hint="eastAsia" w:ascii="宋体" w:hAnsi="宋体" w:eastAsia="宋体" w:cs="Times New Roman"/>
          <w:bCs/>
          <w:color w:val="auto"/>
          <w:kern w:val="0"/>
          <w:szCs w:val="21"/>
          <w:highlight w:val="none"/>
        </w:rPr>
        <w:t>的履约担保</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同时甲方有权单方解除合同。</w:t>
      </w:r>
    </w:p>
    <w:p>
      <w:pPr>
        <w:autoSpaceDE/>
        <w:autoSpaceDN/>
        <w:adjustRightInd/>
        <w:snapToGri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，乙方无需开设预付款监管账户或提供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到货并安装调试完毕、验收合格并上牌交付后，乙方提交符合甲方要求的请款报告并出具100%结算价的等额有效的增值税专用发票原件，甲方在收到发票后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个工作日内支付至结算价的95％，剩余结算价的5％用作质保金。</w:t>
      </w:r>
    </w:p>
    <w:p>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Times New Roman"/>
          <w:bCs/>
          <w:color w:val="auto"/>
          <w:kern w:val="0"/>
          <w:szCs w:val="21"/>
          <w:highlight w:val="none"/>
        </w:rPr>
        <w:t>工作日内，甲方向乙方支付至结算价的100％价款。</w:t>
      </w:r>
    </w:p>
    <w:p>
      <w:pPr>
        <w:numPr>
          <w:ilvl w:val="0"/>
          <w:numId w:val="2"/>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个工作日内，甲方向乙方支付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Times New Roman"/>
          <w:bCs/>
          <w:color w:val="auto"/>
          <w:kern w:val="0"/>
          <w:szCs w:val="21"/>
          <w:highlight w:val="none"/>
        </w:rPr>
        <w:t>。</w:t>
      </w:r>
    </w:p>
    <w:p>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w:t>
      </w:r>
      <w:r>
        <w:rPr>
          <w:rFonts w:hint="eastAsia" w:ascii="宋体" w:hAnsi="宋体" w:eastAsia="宋体" w:cs="Times New Roman"/>
          <w:color w:val="auto"/>
          <w:kern w:val="0"/>
          <w:szCs w:val="21"/>
          <w:highlight w:val="none"/>
        </w:rPr>
        <w:t>保函申请，经甲方审核确认乙方车辆无质量问题且乙方无违约行为</w:t>
      </w:r>
      <w:r>
        <w:rPr>
          <w:rFonts w:hint="eastAsia" w:ascii="宋体" w:hAnsi="宋体" w:eastAsia="宋体" w:cs="Times New Roman"/>
          <w:color w:val="auto"/>
          <w:kern w:val="0"/>
          <w:szCs w:val="21"/>
          <w:highlight w:val="none"/>
          <w:lang w:val="en-US" w:eastAsia="zh-CN"/>
        </w:rPr>
        <w:t>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w:t>
      </w:r>
      <w:r>
        <w:rPr>
          <w:rFonts w:hint="eastAsia" w:ascii="宋体" w:hAnsi="宋体" w:eastAsia="宋体" w:cs="Times New Roman"/>
          <w:color w:val="auto"/>
          <w:kern w:val="0"/>
          <w:szCs w:val="21"/>
          <w:highlight w:val="none"/>
          <w:lang w:val="en-US" w:eastAsia="zh-CN"/>
        </w:rPr>
        <w:t>提交</w:t>
      </w:r>
      <w:r>
        <w:rPr>
          <w:rFonts w:hint="eastAsia" w:ascii="宋体" w:hAnsi="宋体" w:eastAsia="宋体" w:cs="Times New Roman"/>
          <w:color w:val="auto"/>
          <w:kern w:val="0"/>
          <w:szCs w:val="21"/>
          <w:highlight w:val="none"/>
        </w:rPr>
        <w:t>前述票据以及请款材料或票据和请款材料不符合</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要求的，甲方有权顺延支付时间而无须承担任何违约责任，且乙方不得以此为由迟延履行或拒绝履行合同义务。</w:t>
      </w:r>
    </w:p>
    <w:p>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w:t>
      </w:r>
      <w:r>
        <w:rPr>
          <w:rFonts w:hint="eastAsia" w:ascii="宋体" w:hAnsi="宋体" w:eastAsia="宋体" w:cs="宋体"/>
          <w:color w:val="auto"/>
          <w:kern w:val="0"/>
          <w:szCs w:val="21"/>
          <w:highlight w:val="none"/>
          <w:lang w:val="en-US" w:eastAsia="zh-CN"/>
        </w:rPr>
        <w:t>先</w:t>
      </w:r>
      <w:r>
        <w:rPr>
          <w:rFonts w:hint="eastAsia" w:ascii="宋体" w:hAnsi="宋体" w:eastAsia="宋体" w:cs="宋体"/>
          <w:color w:val="auto"/>
          <w:kern w:val="0"/>
          <w:szCs w:val="21"/>
          <w:highlight w:val="none"/>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pPr>
        <w:tabs>
          <w:tab w:val="left" w:pos="1080"/>
        </w:tabs>
        <w:autoSpaceDE w:val="0"/>
        <w:autoSpaceDN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甲方开票信息及银行账户</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r>
        <w:rPr>
          <w:rFonts w:hint="eastAsia" w:ascii="宋体" w:hAnsi="宋体" w:eastAsia="宋体" w:cs="宋体"/>
          <w:bCs/>
          <w:color w:val="auto"/>
          <w:szCs w:val="21"/>
          <w:highlight w:val="none"/>
          <w:lang w:val="en-US" w:eastAsia="zh-CN"/>
        </w:rPr>
        <w:t>2010021309900059537</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en-US" w:eastAsia="zh-CN"/>
        </w:rPr>
        <w:t>中国工商银行东莞分行</w:t>
      </w:r>
    </w:p>
    <w:p>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乙方确认的银行账户</w:t>
      </w:r>
    </w:p>
    <w:p>
      <w:pPr>
        <w:autoSpaceDE w:val="0"/>
        <w:autoSpaceDN w:val="0"/>
        <w:adjustRightInd w:val="0"/>
        <w:snapToGrid/>
        <w:spacing w:line="360" w:lineRule="auto"/>
        <w:ind w:firstLine="420" w:firstLineChars="200"/>
        <w:jc w:val="left"/>
        <w:rPr>
          <w:rFonts w:hint="eastAsia" w:ascii="宋体" w:hAnsi="宋体" w:eastAsia="宋体" w:cs="Times New Roman"/>
          <w:bCs w:val="0"/>
          <w:color w:val="auto"/>
          <w:kern w:val="0"/>
          <w:szCs w:val="21"/>
          <w:highlight w:val="none"/>
          <w:lang w:val="en-US" w:eastAsia="zh-CN"/>
        </w:rPr>
      </w:pPr>
      <w:r>
        <w:rPr>
          <w:rFonts w:hint="eastAsia" w:ascii="宋体" w:hAnsi="宋体" w:eastAsia="宋体" w:cs="Times New Roman"/>
          <w:bCs w:val="0"/>
          <w:color w:val="auto"/>
          <w:kern w:val="0"/>
          <w:szCs w:val="21"/>
          <w:highlight w:val="none"/>
          <w:lang w:val="en-US" w:eastAsia="zh-CN"/>
        </w:rPr>
        <w:t>①预付款：（如需设置监管账户，则填写监管账户信息）</w:t>
      </w:r>
    </w:p>
    <w:p>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val="en-US" w:eastAsia="zh-CN"/>
        </w:rPr>
        <w:t>②验收款及质保款（如与预付款账户不一致，则补充）：</w:t>
      </w:r>
    </w:p>
    <w:p>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w:t>
      </w:r>
      <w:r>
        <w:rPr>
          <w:rFonts w:hint="eastAsia" w:ascii="宋体" w:hAnsi="宋体" w:eastAsia="宋体" w:cs="宋体"/>
          <w:color w:val="auto"/>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培训时间由甲方决定，跟班总时长每车不少于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应为受训人员解难答疑直至其充分理解。培训内容包括但不限于：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中，甲方不另行支付或给予乙方补偿。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自车辆及随车设备</w:t>
      </w:r>
      <w:r>
        <w:rPr>
          <w:rFonts w:hint="eastAsia" w:ascii="宋体" w:hAnsi="宋体" w:eastAsia="宋体" w:cs="宋体"/>
          <w:color w:val="auto"/>
          <w:sz w:val="21"/>
          <w:szCs w:val="21"/>
          <w:highlight w:val="none"/>
          <w:lang w:val="en-US" w:eastAsia="zh-CN"/>
        </w:rPr>
        <w:t>经甲乙双方在</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上签字确认验收合格之日</w:t>
      </w:r>
      <w:r>
        <w:rPr>
          <w:rFonts w:hint="eastAsia" w:ascii="宋体" w:hAnsi="宋体" w:eastAsia="宋体" w:cs="宋体"/>
          <w:color w:val="auto"/>
          <w:kern w:val="0"/>
          <w:szCs w:val="21"/>
          <w:highlight w:val="none"/>
          <w:lang w:bidi="ar"/>
        </w:rPr>
        <w:t>起</w:t>
      </w:r>
      <w:r>
        <w:rPr>
          <w:rFonts w:hint="default"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Times New Roman"/>
          <w:color w:val="auto"/>
          <w:kern w:val="0"/>
          <w:szCs w:val="21"/>
          <w:highlight w:val="none"/>
        </w:rPr>
        <w:t>。</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sz w:val="21"/>
          <w:szCs w:val="21"/>
          <w:highlight w:val="none"/>
          <w:lang w:val="en-US" w:eastAsia="zh-CN"/>
        </w:rPr>
        <w:t>零部件保修以车辆零部件保修期限表保修手册约定为准，</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须在投标文件上提供产品用户使用说明书中的零部件保修期限表，并明确各零部件的质保期限，</w:t>
      </w:r>
      <w:r>
        <w:rPr>
          <w:rFonts w:hint="eastAsia" w:ascii="宋体" w:hAnsi="宋体" w:eastAsia="宋体" w:cs="宋体"/>
          <w:color w:val="auto"/>
          <w:sz w:val="21"/>
          <w:szCs w:val="21"/>
          <w:highlight w:val="none"/>
          <w:lang w:val="en-US" w:eastAsia="zh-CN"/>
        </w:rPr>
        <w:t>提供的零部件保修期限不得低于汽车配件质保期国家标准</w:t>
      </w:r>
      <w:r>
        <w:rPr>
          <w:rFonts w:hint="eastAsia" w:ascii="宋体" w:hAnsi="宋体" w:eastAsia="宋体" w:cs="宋体"/>
          <w:color w:val="auto"/>
          <w:szCs w:val="21"/>
          <w:highlight w:val="none"/>
        </w:rPr>
        <w:t>。</w:t>
      </w:r>
    </w:p>
    <w:p>
      <w:pPr>
        <w:pStyle w:val="14"/>
        <w:spacing w:line="360" w:lineRule="auto"/>
        <w:ind w:firstLine="422" w:firstLineChars="200"/>
        <w:jc w:val="left"/>
        <w:rPr>
          <w:rFonts w:hint="eastAsia" w:ascii="宋体" w:hAnsi="宋体" w:eastAsia="宋体" w:cs="宋体"/>
          <w:b/>
          <w:bCs/>
          <w:color w:val="auto"/>
          <w:sz w:val="21"/>
          <w:szCs w:val="21"/>
          <w:highlight w:val="none"/>
        </w:rPr>
      </w:pPr>
      <w:r>
        <w:rPr>
          <w:rFonts w:hint="default"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承担。在合同的质保期外，乙方承诺增加的免费与用户需求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次。</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小时内提供解决方案。</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1、乙方应在签订合同前且中标通知书发出之日起30</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内，按招标文件规定金额及形式要求</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的5%，采用不可撤销银行履约保函（履约保证保险）形式的金额为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的8%，采用担保公司履约担保书形式的金额为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的10%。履约担保形式及金额由乙方从以下方式中任选一种：</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元</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w:t>
      </w:r>
      <w:r>
        <w:rPr>
          <w:rFonts w:hint="eastAsia" w:ascii="宋体" w:hAnsi="宋体" w:eastAsia="宋体" w:cs="Times New Roman"/>
          <w:color w:val="auto"/>
          <w:kern w:val="0"/>
          <w:szCs w:val="21"/>
          <w:highlight w:val="none"/>
        </w:rPr>
        <w:t>合同含税总价</w:t>
      </w:r>
      <w:r>
        <w:rPr>
          <w:rFonts w:hint="eastAsia" w:ascii="宋体" w:hAnsi="宋体" w:eastAsia="宋体" w:cs="宋体"/>
          <w:bCs/>
          <w:color w:val="auto"/>
          <w:kern w:val="0"/>
          <w:szCs w:val="21"/>
          <w:highlight w:val="none"/>
          <w:lang w:bidi="ar"/>
        </w:rPr>
        <w:t>的8%】为人民币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Times New Roman"/>
          <w:bCs/>
          <w:color w:val="auto"/>
          <w:kern w:val="0"/>
          <w:szCs w:val="21"/>
          <w:highlight w:val="none"/>
          <w:u w:val="single"/>
          <w:lang w:val="en-US" w:eastAsia="zh-CN" w:bidi="ar"/>
        </w:rPr>
        <w:t>元</w:t>
      </w:r>
      <w:r>
        <w:rPr>
          <w:rFonts w:hint="eastAsia" w:ascii="宋体" w:hAnsi="宋体" w:eastAsia="宋体" w:cs="宋体"/>
          <w:bCs/>
          <w:color w:val="auto"/>
          <w:kern w:val="0"/>
          <w:szCs w:val="21"/>
          <w:highlight w:val="none"/>
          <w:lang w:bidi="ar"/>
        </w:rPr>
        <w:t>；</w:t>
      </w:r>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担保公司履约担保书金额【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pPr>
        <w:spacing w:line="360" w:lineRule="auto"/>
        <w:ind w:right="-4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w:t>
      </w:r>
      <w:r>
        <w:rPr>
          <w:rFonts w:hint="eastAsia" w:ascii="宋体" w:hAnsi="宋体" w:eastAsia="宋体" w:cs="宋体"/>
          <w:color w:val="auto"/>
          <w:szCs w:val="24"/>
          <w:highlight w:val="none"/>
          <w:lang w:val="en-US" w:eastAsia="zh-CN"/>
        </w:rPr>
        <w:t>还有权</w:t>
      </w:r>
      <w:r>
        <w:rPr>
          <w:rFonts w:hint="eastAsia" w:ascii="宋体" w:hAnsi="宋体" w:eastAsia="宋体" w:cs="宋体"/>
          <w:color w:val="auto"/>
          <w:szCs w:val="24"/>
          <w:highlight w:val="none"/>
        </w:rPr>
        <w:t>依法追究乙方的相应责任。</w:t>
      </w:r>
    </w:p>
    <w:p>
      <w:pPr>
        <w:spacing w:line="360" w:lineRule="auto"/>
        <w:ind w:right="-483" w:firstLine="630" w:firstLineChars="300"/>
        <w:rPr>
          <w:rFonts w:ascii="宋体" w:hAnsi="宋体" w:eastAsia="宋体" w:cs="宋体"/>
          <w:color w:val="auto"/>
          <w:szCs w:val="24"/>
          <w:highlight w:val="none"/>
        </w:rPr>
      </w:pPr>
      <w:r>
        <w:rPr>
          <w:rFonts w:hint="eastAsia" w:ascii="宋体" w:hAnsi="宋体" w:eastAsia="宋体" w:cs="宋体"/>
          <w:bCs/>
          <w:color w:val="auto"/>
          <w:szCs w:val="21"/>
          <w:highlight w:val="none"/>
          <w:lang w:val="en-US" w:eastAsia="zh-CN"/>
        </w:rPr>
        <w:t>东莞市水务环境投资控股集团管网有限公司</w:t>
      </w:r>
      <w:r>
        <w:rPr>
          <w:rFonts w:hint="eastAsia" w:ascii="宋体" w:hAnsi="宋体" w:eastAsia="宋体" w:cs="宋体"/>
          <w:color w:val="auto"/>
          <w:szCs w:val="24"/>
          <w:highlight w:val="none"/>
        </w:rPr>
        <w:t>履约保证金收款账号为：</w:t>
      </w:r>
    </w:p>
    <w:p>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（1）乙方将合同项下乙方的权利义务全部转让给第三方，或未经甲方书面同意将部分权利义务转让给第三方的，甲方可扣除其10%的履约担保。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（2）在合同履行期间，乙方怠于履行合同义务，经甲方通知或要求承担违约金后仍拒不改正的，甲方可扣除其10%的履约担保。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4" w:name="_Hlk82591848"/>
      <w:r>
        <w:rPr>
          <w:rFonts w:hint="eastAsia" w:ascii="宋体" w:hAnsi="宋体" w:eastAsia="宋体" w:cs="Times New Roman"/>
          <w:bCs/>
          <w:color w:val="auto"/>
          <w:kern w:val="0"/>
          <w:szCs w:val="21"/>
          <w:highlight w:val="none"/>
        </w:rPr>
        <w:t>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bookmarkEnd w:id="374"/>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审核无异议后，办理履约担保退还手续，甲方将履约担保余额退还乙方，履约保证金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形式提交的履约担保余额退回时一律以银行转账的形式无息退回到乙方的帐户。</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5" w:name="_Hlk82591869"/>
      <w:r>
        <w:rPr>
          <w:rFonts w:hint="eastAsia" w:ascii="宋体" w:hAnsi="宋体" w:eastAsia="宋体" w:cs="Times New Roman"/>
          <w:bCs/>
          <w:color w:val="auto"/>
          <w:kern w:val="0"/>
          <w:szCs w:val="21"/>
          <w:highlight w:val="none"/>
        </w:rPr>
        <w:t>供货（含最终验收合格）</w:t>
      </w:r>
      <w:bookmarkEnd w:id="375"/>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r>
        <w:rPr>
          <w:rFonts w:hint="eastAsia" w:ascii="宋体" w:hAnsi="宋体" w:eastAsia="宋体" w:cs="Times New Roman"/>
          <w:bCs/>
          <w:color w:val="auto"/>
          <w:kern w:val="0"/>
          <w:szCs w:val="21"/>
          <w:highlight w:val="none"/>
          <w:lang w:eastAsia="zh-CN"/>
        </w:rPr>
        <w:t>，违约金可直接从未付货款中扣除</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自然日</w:t>
      </w:r>
      <w:r>
        <w:rPr>
          <w:rFonts w:hint="eastAsia" w:ascii="宋体" w:hAnsi="宋体" w:eastAsia="宋体" w:cs="Times New Roman"/>
          <w:bCs/>
          <w:color w:val="auto"/>
          <w:kern w:val="0"/>
          <w:szCs w:val="21"/>
          <w:highlight w:val="none"/>
        </w:rPr>
        <w:t>内提供；</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w:t>
      </w:r>
      <w:r>
        <w:rPr>
          <w:rFonts w:hint="eastAsia" w:ascii="宋体" w:hAnsi="宋体" w:eastAsia="宋体" w:cs="Times New Roman"/>
          <w:bCs/>
          <w:color w:val="auto"/>
          <w:kern w:val="0"/>
          <w:szCs w:val="21"/>
          <w:highlight w:val="none"/>
          <w:lang w:val="en-US" w:eastAsia="zh-CN"/>
        </w:rPr>
        <w:t>前</w:t>
      </w:r>
      <w:r>
        <w:rPr>
          <w:rFonts w:hint="eastAsia" w:ascii="宋体" w:hAnsi="宋体" w:eastAsia="宋体" w:cs="Times New Roman"/>
          <w:bCs/>
          <w:color w:val="auto"/>
          <w:kern w:val="0"/>
          <w:szCs w:val="21"/>
          <w:highlight w:val="none"/>
        </w:rPr>
        <w:t>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pPr>
        <w:autoSpaceDE w:val="0"/>
        <w:autoSpaceDN w:val="0"/>
        <w:adjustRightInd w:val="0"/>
        <w:spacing w:line="360" w:lineRule="auto"/>
        <w:ind w:firstLine="420" w:firstLineChars="200"/>
        <w:jc w:val="left"/>
        <w:rPr>
          <w:rFonts w:hint="default" w:ascii="宋体" w:hAnsi="宋体" w:eastAsia="宋体" w:cs="Times New Roman"/>
          <w:b w:val="0"/>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bookmarkStart w:id="376" w:name="_Toc86481565"/>
    </w:p>
    <w:p>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6"/>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，甲方有权要求乙方</w:t>
      </w:r>
      <w:r>
        <w:rPr>
          <w:rFonts w:hint="eastAsia" w:ascii="宋体" w:hAnsi="宋体" w:eastAsia="宋体" w:cs="Times New Roman"/>
          <w:color w:val="auto"/>
          <w:kern w:val="0"/>
          <w:szCs w:val="21"/>
          <w:highlight w:val="none"/>
          <w:lang w:val="en-US" w:eastAsia="zh-CN" w:bidi="ar"/>
        </w:rPr>
        <w:t>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w:t>
      </w:r>
      <w:r>
        <w:rPr>
          <w:rFonts w:hint="eastAsia" w:ascii="宋体" w:hAnsi="宋体" w:eastAsia="宋体" w:cs="Times New Roman"/>
          <w:color w:val="auto"/>
          <w:kern w:val="0"/>
          <w:szCs w:val="21"/>
          <w:highlight w:val="none"/>
          <w:lang w:bidi="ar"/>
        </w:rPr>
        <w:t>除支付上述违约金外，甲方有权直接解除合同，同时要求乙方支付合同总价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所造成的损失由乙方承担。逾期超过10个自然日未按要求交货的，甲方有权单方解除合同。</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w:t>
      </w:r>
      <w:r>
        <w:rPr>
          <w:rFonts w:hint="eastAsia" w:ascii="宋体" w:hAnsi="宋体" w:eastAsia="宋体" w:cs="Times New Roman"/>
          <w:color w:val="auto"/>
          <w:kern w:val="0"/>
          <w:szCs w:val="21"/>
          <w:highlight w:val="none"/>
          <w:lang w:val="en-US" w:eastAsia="zh-CN" w:bidi="ar"/>
        </w:rPr>
        <w:t>合同约定</w:t>
      </w:r>
      <w:r>
        <w:rPr>
          <w:rFonts w:hint="eastAsia" w:ascii="宋体" w:hAnsi="宋体" w:eastAsia="宋体" w:cs="Times New Roman"/>
          <w:color w:val="auto"/>
          <w:kern w:val="0"/>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w:t>
      </w:r>
      <w:r>
        <w:rPr>
          <w:rFonts w:hint="eastAsia" w:ascii="宋体" w:hAnsi="宋体" w:eastAsia="宋体" w:cs="宋体"/>
          <w:color w:val="auto"/>
          <w:kern w:val="0"/>
          <w:szCs w:val="21"/>
          <w:highlight w:val="none"/>
          <w:lang w:bidi="ar"/>
        </w:rPr>
        <w:t>甲方有权单方解除合同。</w:t>
      </w:r>
    </w:p>
    <w:p>
      <w:pPr>
        <w:widowControl/>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宋体"/>
          <w:color w:val="auto"/>
          <w:kern w:val="0"/>
          <w:szCs w:val="21"/>
          <w:highlight w:val="none"/>
          <w:lang w:val="en-US" w:eastAsia="zh-CN" w:bidi="ar"/>
        </w:rPr>
        <w:t>由甲方向</w:t>
      </w:r>
      <w:r>
        <w:rPr>
          <w:rFonts w:hint="eastAsia" w:ascii="宋体" w:hAnsi="宋体" w:eastAsia="宋体" w:cs="宋体"/>
          <w:color w:val="auto"/>
          <w:kern w:val="0"/>
          <w:szCs w:val="21"/>
          <w:highlight w:val="none"/>
          <w:lang w:bidi="ar"/>
        </w:rPr>
        <w:t>乙方发警告函，第三次（含第三次）以后，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0" w:firstLineChars="200"/>
        <w:jc w:val="left"/>
        <w:rPr>
          <w:color w:val="auto"/>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、乙方有其他不符合本合同约定的情况的，如本合同已约定相关违约责任，则应从其约定</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。若由此给甲方造成损失的，乙方还应当承担全部赔偿责任。甲方损失无法计算的，乙方同意按合同总价的5%计算违约金并支付给甲方。</w:t>
      </w:r>
    </w:p>
    <w:p>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日内</w:t>
      </w:r>
      <w:r>
        <w:rPr>
          <w:rFonts w:hint="eastAsia" w:ascii="宋体" w:hAnsi="宋体" w:eastAsia="宋体" w:cs="宋体"/>
          <w:color w:val="auto"/>
          <w:spacing w:val="-3"/>
          <w:kern w:val="0"/>
          <w:szCs w:val="21"/>
          <w:highlight w:val="none"/>
        </w:rPr>
        <w:t>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付违约金（最高不超过合同含税总价的5%）。</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rPr>
        <w:t>的5%），直至全部付清。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11、在合同履行过程中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无论何种原因导致履约担保</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质保金/保函数额不符合</w:t>
      </w:r>
      <w:r>
        <w:rPr>
          <w:rFonts w:hint="eastAsia" w:ascii="宋体" w:hAnsi="宋体" w:eastAsia="宋体" w:cs="Times New Roman"/>
          <w:color w:val="auto"/>
          <w:kern w:val="0"/>
          <w:szCs w:val="21"/>
          <w:highlight w:val="none"/>
          <w:lang w:val="en-US" w:eastAsia="zh-CN"/>
        </w:rPr>
        <w:t>招标文件、合同文件等</w:t>
      </w:r>
      <w:r>
        <w:rPr>
          <w:rFonts w:hint="eastAsia" w:ascii="宋体" w:hAnsi="宋体" w:eastAsia="宋体" w:cs="Times New Roman"/>
          <w:color w:val="auto"/>
          <w:kern w:val="0"/>
          <w:szCs w:val="21"/>
          <w:highlight w:val="none"/>
        </w:rPr>
        <w:t>要求的，乙方应当在5个</w:t>
      </w:r>
      <w:r>
        <w:rPr>
          <w:rFonts w:hint="eastAsia" w:ascii="宋体" w:hAnsi="宋体" w:eastAsia="宋体" w:cs="Times New Roman"/>
          <w:color w:val="auto"/>
          <w:kern w:val="0"/>
          <w:szCs w:val="21"/>
          <w:highlight w:val="none"/>
          <w:lang w:val="en-US" w:eastAsia="zh-CN"/>
        </w:rPr>
        <w:t>自然</w:t>
      </w:r>
      <w:r>
        <w:rPr>
          <w:rFonts w:hint="eastAsia" w:ascii="宋体" w:hAnsi="宋体" w:eastAsia="宋体" w:cs="Times New Roman"/>
          <w:color w:val="auto"/>
          <w:kern w:val="0"/>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color w:val="auto"/>
          <w:kern w:val="0"/>
          <w:szCs w:val="21"/>
          <w:highlight w:val="none"/>
        </w:rPr>
        <w:t>有权要求乙方按照合同总价5%承担违约金，违约金可直接从未付合同款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履约担保</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质保金/保函中扣除。</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pPr>
        <w:spacing w:line="360" w:lineRule="auto"/>
        <w:ind w:firstLine="422" w:firstLineChars="200"/>
        <w:jc w:val="left"/>
        <w:rPr>
          <w:rFonts w:ascii="宋体" w:hAnsi="宋体" w:eastAsia="宋体" w:cs="Times New Roman"/>
          <w:b/>
          <w:color w:val="auto"/>
          <w:kern w:val="0"/>
          <w:szCs w:val="21"/>
          <w:highlight w:val="none"/>
        </w:rPr>
      </w:pPr>
      <w:bookmarkStart w:id="377" w:name="_Toc86481566"/>
      <w:r>
        <w:rPr>
          <w:rFonts w:hint="eastAsia" w:ascii="宋体" w:hAnsi="宋体" w:eastAsia="宋体" w:cs="Times New Roman"/>
          <w:b/>
          <w:color w:val="auto"/>
          <w:kern w:val="0"/>
          <w:szCs w:val="21"/>
          <w:highlight w:val="none"/>
        </w:rPr>
        <w:t>十三、虚假承诺</w:t>
      </w:r>
    </w:p>
    <w:p>
      <w:pPr>
        <w:snapToGrid w:val="0"/>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w:t>
      </w:r>
      <w:r>
        <w:rPr>
          <w:rFonts w:hint="eastAsia" w:ascii="宋体" w:hAnsi="宋体" w:eastAsia="宋体" w:cs="Times New Roman"/>
          <w:color w:val="auto"/>
          <w:kern w:val="0"/>
          <w:szCs w:val="21"/>
          <w:highlight w:val="none"/>
          <w:lang w:val="en-US" w:eastAsia="zh-CN"/>
        </w:rPr>
        <w:t>存在</w:t>
      </w:r>
      <w:r>
        <w:rPr>
          <w:rFonts w:hint="eastAsia" w:ascii="宋体" w:hAnsi="宋体" w:eastAsia="宋体" w:cs="Times New Roman"/>
          <w:color w:val="auto"/>
          <w:kern w:val="0"/>
          <w:szCs w:val="21"/>
          <w:highlight w:val="none"/>
        </w:rPr>
        <w:t>虚假承诺的，乙方需严格按照甲方要求进行整改直至满足本合同及甲方要求，如乙方</w:t>
      </w:r>
      <w:r>
        <w:rPr>
          <w:rFonts w:hint="eastAsia" w:ascii="宋体" w:hAnsi="宋体" w:eastAsia="宋体" w:cs="宋体"/>
          <w:color w:val="auto"/>
          <w:kern w:val="0"/>
          <w:szCs w:val="21"/>
          <w:highlight w:val="none"/>
          <w:lang w:val="en-US" w:eastAsia="zh-CN" w:bidi="ar"/>
        </w:rPr>
        <w:t>5个自然日</w:t>
      </w:r>
      <w:r>
        <w:rPr>
          <w:rFonts w:hint="eastAsia" w:ascii="宋体" w:hAnsi="宋体" w:eastAsia="宋体" w:cs="宋体"/>
          <w:color w:val="auto"/>
          <w:kern w:val="0"/>
          <w:szCs w:val="21"/>
          <w:highlight w:val="none"/>
          <w:lang w:bidi="ar"/>
        </w:rPr>
        <w:t>内</w:t>
      </w:r>
      <w:r>
        <w:rPr>
          <w:rFonts w:hint="eastAsia" w:ascii="宋体" w:hAnsi="宋体" w:eastAsia="宋体" w:cs="Times New Roman"/>
          <w:color w:val="auto"/>
          <w:kern w:val="0"/>
          <w:szCs w:val="21"/>
          <w:highlight w:val="none"/>
        </w:rPr>
        <w:t>未完成整改工作，乙方应每日按合同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‰向甲方支付违约金（最高不超过合同含税总价的5%）</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同时</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应当承担由此给</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Times New Roman"/>
          <w:color w:val="auto"/>
          <w:kern w:val="0"/>
          <w:szCs w:val="21"/>
          <w:highlight w:val="none"/>
          <w:lang w:val="en-US" w:eastAsia="zh-CN"/>
        </w:rPr>
        <w:t>可</w:t>
      </w:r>
      <w:r>
        <w:rPr>
          <w:rFonts w:hint="eastAsia" w:ascii="宋体" w:hAnsi="宋体" w:eastAsia="宋体" w:cs="Times New Roman"/>
          <w:color w:val="auto"/>
          <w:kern w:val="0"/>
          <w:szCs w:val="21"/>
          <w:highlight w:val="none"/>
        </w:rPr>
        <w:t>从乙方的质量保函或质保金中扣除。</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7"/>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7"/>
      <w:r>
        <w:rPr>
          <w:rFonts w:hint="eastAsia" w:ascii="宋体" w:hAnsi="宋体" w:eastAsia="宋体" w:cs="Times New Roman"/>
          <w:b/>
          <w:color w:val="auto"/>
          <w:kern w:val="0"/>
          <w:szCs w:val="21"/>
          <w:highlight w:val="none"/>
        </w:rPr>
        <w:t>十五、知识产权</w:t>
      </w:r>
      <w:bookmarkEnd w:id="378"/>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合法权益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8"/>
      <w:r>
        <w:rPr>
          <w:rFonts w:hint="eastAsia" w:ascii="宋体" w:hAnsi="宋体" w:eastAsia="宋体" w:cs="Times New Roman"/>
          <w:b/>
          <w:color w:val="auto"/>
          <w:kern w:val="0"/>
          <w:szCs w:val="21"/>
          <w:highlight w:val="none"/>
        </w:rPr>
        <w:t>十六、税和关税</w:t>
      </w:r>
      <w:bookmarkEnd w:id="379"/>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69"/>
      <w:r>
        <w:rPr>
          <w:rFonts w:hint="eastAsia" w:ascii="宋体" w:hAnsi="宋体" w:eastAsia="宋体" w:cs="Times New Roman"/>
          <w:b/>
          <w:color w:val="auto"/>
          <w:kern w:val="0"/>
          <w:szCs w:val="21"/>
          <w:highlight w:val="none"/>
        </w:rPr>
        <w:t>十七、不可抗力</w:t>
      </w:r>
      <w:bookmarkEnd w:id="380"/>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甲方确认其有效的送达地址为【东莞市东城街道</w:t>
      </w:r>
      <w:r>
        <w:rPr>
          <w:rFonts w:hint="eastAsia" w:ascii="宋体" w:hAnsi="宋体" w:eastAsia="宋体" w:cs="Times New Roman"/>
          <w:color w:val="auto"/>
          <w:kern w:val="0"/>
          <w:szCs w:val="21"/>
          <w:highlight w:val="none"/>
          <w:lang w:val="en-US" w:eastAsia="zh-CN"/>
        </w:rPr>
        <w:t>东城</w:t>
      </w:r>
      <w:r>
        <w:rPr>
          <w:rFonts w:hint="eastAsia" w:ascii="宋体" w:hAnsi="宋体" w:eastAsia="宋体" w:cs="Times New Roman"/>
          <w:color w:val="auto"/>
          <w:kern w:val="0"/>
          <w:szCs w:val="21"/>
          <w:highlight w:val="none"/>
        </w:rPr>
        <w:t>运河路5号</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1" w:name="_Toc86481570"/>
      <w:r>
        <w:rPr>
          <w:rFonts w:hint="eastAsia" w:ascii="宋体" w:hAnsi="宋体" w:eastAsia="宋体" w:cs="Times New Roman"/>
          <w:b/>
          <w:color w:val="auto"/>
          <w:kern w:val="0"/>
          <w:szCs w:val="21"/>
          <w:highlight w:val="none"/>
        </w:rPr>
        <w:t>十九、其它</w:t>
      </w:r>
      <w:bookmarkEnd w:id="381"/>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pPr>
        <w:autoSpaceDE w:val="0"/>
        <w:autoSpaceDN w:val="0"/>
        <w:adjustRightInd w:val="0"/>
        <w:spacing w:before="120" w:beforeLines="50" w:after="120" w:afterLines="50"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rFonts w:hint="eastAsia" w:ascii="宋体" w:hAnsi="宋体" w:eastAsia="宋体" w:cs="Times New Roman"/>
          <w:b/>
          <w:color w:val="auto"/>
          <w:kern w:val="0"/>
          <w:szCs w:val="21"/>
          <w:highlight w:val="none"/>
        </w:rPr>
      </w:pPr>
    </w:p>
    <w:p>
      <w:pPr>
        <w:rPr>
          <w:rFonts w:hint="eastAsia" w:ascii="宋体" w:hAnsi="宋体" w:eastAsia="宋体" w:cs="Times New Roman"/>
          <w:b/>
          <w:color w:val="auto"/>
          <w:kern w:val="0"/>
          <w:szCs w:val="21"/>
          <w:highlight w:val="none"/>
        </w:rPr>
      </w:pPr>
    </w:p>
    <w:p>
      <w:pPr>
        <w:pStyle w:val="2"/>
        <w:rPr>
          <w:color w:val="auto"/>
        </w:rPr>
      </w:pPr>
      <w:r>
        <w:rPr>
          <w:rFonts w:hint="eastAsia"/>
          <w:color w:val="auto"/>
        </w:rPr>
        <w:t>以下无正文内容为签字盖</w:t>
      </w:r>
      <w:r>
        <w:rPr>
          <w:rFonts w:hint="eastAsia"/>
          <w:color w:val="auto"/>
          <w:lang w:val="en-US" w:eastAsia="zh-CN"/>
        </w:rPr>
        <w:t>章</w:t>
      </w:r>
      <w:r>
        <w:rPr>
          <w:rFonts w:hint="eastAsia"/>
          <w:color w:val="auto"/>
        </w:rPr>
        <w:t>页</w:t>
      </w:r>
    </w:p>
    <w:tbl>
      <w:tblPr>
        <w:tblStyle w:val="42"/>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950" w:hRule="atLeast"/>
        </w:trPr>
        <w:tc>
          <w:tcPr>
            <w:tcW w:w="10188" w:type="dxa"/>
          </w:tcPr>
          <w:p>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tblPrEx>
          <w:tblLayout w:type="fixed"/>
          <w:tblCellMar>
            <w:top w:w="0" w:type="dxa"/>
            <w:left w:w="108" w:type="dxa"/>
            <w:bottom w:w="0" w:type="dxa"/>
            <w:right w:w="108" w:type="dxa"/>
          </w:tblCellMar>
        </w:tblPrEx>
        <w:trPr>
          <w:trHeight w:val="580" w:hRule="atLeast"/>
        </w:trPr>
        <w:tc>
          <w:tcPr>
            <w:tcW w:w="10188" w:type="dxa"/>
          </w:tcPr>
          <w:p>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pPr>
        <w:autoSpaceDE w:val="0"/>
        <w:autoSpaceDN w:val="0"/>
        <w:adjustRightInd w:val="0"/>
        <w:ind w:right="-26"/>
        <w:rPr>
          <w:rFonts w:ascii="宋体" w:hAnsi="宋体" w:eastAsia="宋体" w:cs="Times New Roman"/>
          <w:b/>
          <w:bCs/>
          <w:color w:val="auto"/>
          <w:kern w:val="0"/>
          <w:szCs w:val="21"/>
          <w:highlight w:val="none"/>
          <w:lang w:val="zh-CN"/>
        </w:rPr>
      </w:pPr>
    </w:p>
    <w:p>
      <w:pPr>
        <w:widowControl/>
        <w:jc w:val="left"/>
        <w:rPr>
          <w:rFonts w:ascii="宋体" w:hAnsi="宋体" w:eastAsia="宋体" w:cs="Times New Roman"/>
          <w:b/>
          <w:bCs/>
          <w:color w:val="auto"/>
          <w:szCs w:val="21"/>
          <w:highlight w:val="none"/>
        </w:rPr>
      </w:pPr>
    </w:p>
    <w:tbl>
      <w:tblPr>
        <w:tblStyle w:val="42"/>
        <w:tblpPr w:leftFromText="180" w:rightFromText="180" w:vertAnchor="text" w:horzAnchor="page" w:tblpX="1167" w:tblpY="157"/>
        <w:tblOverlap w:val="never"/>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附件1：廉洁协议书</w:t>
      </w:r>
    </w:p>
    <w:p>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自卸汽车</w:t>
      </w:r>
      <w:r>
        <w:rPr>
          <w:rFonts w:hint="eastAsia" w:ascii="宋体" w:hAnsi="宋体" w:eastAsia="宋体" w:cs="宋体"/>
          <w:color w:val="auto"/>
          <w:kern w:val="0"/>
          <w:sz w:val="21"/>
          <w:szCs w:val="21"/>
          <w:highlight w:val="none"/>
        </w:rPr>
        <w:t>采购项目</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pPr>
        <w:autoSpaceDE w:val="0"/>
        <w:autoSpaceDN w:val="0"/>
        <w:adjustRightInd w:val="0"/>
        <w:jc w:val="left"/>
        <w:rPr>
          <w:rFonts w:ascii="宋体" w:hAnsi="宋体" w:eastAsia="宋体" w:cs="Times New Roman"/>
          <w:b/>
          <w:color w:val="auto"/>
          <w:kern w:val="0"/>
          <w:sz w:val="21"/>
          <w:szCs w:val="21"/>
          <w:highlight w:val="none"/>
        </w:rPr>
      </w:pPr>
    </w:p>
    <w:p>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pPr>
        <w:autoSpaceDE w:val="0"/>
        <w:autoSpaceDN w:val="0"/>
        <w:adjustRightInd w:val="0"/>
        <w:jc w:val="left"/>
        <w:rPr>
          <w:rFonts w:hint="eastAsia" w:ascii="宋体" w:hAnsi="宋体" w:eastAsia="宋体" w:cs="Times New Roman"/>
          <w:b/>
          <w:color w:val="auto"/>
          <w:kern w:val="0"/>
          <w:szCs w:val="21"/>
          <w:highlight w:val="none"/>
        </w:rPr>
      </w:pPr>
    </w:p>
    <w:p>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2098" w:right="1134" w:bottom="1984" w:left="1134" w:header="720" w:footer="720" w:gutter="0"/>
          <w:pgNumType w:fmt="decimal" w:start="1"/>
          <w:cols w:space="720" w:num="1"/>
          <w:titlePg/>
          <w:docGrid w:linePitch="326" w:charSpace="0"/>
        </w:sectPr>
      </w:pPr>
    </w:p>
    <w:p>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自卸汽车</w:t>
      </w:r>
      <w:r>
        <w:rPr>
          <w:rFonts w:hint="eastAsia" w:ascii="宋体" w:hAnsi="宋体" w:eastAsia="宋体" w:cs="宋体"/>
          <w:color w:val="auto"/>
          <w:kern w:val="0"/>
          <w:szCs w:val="21"/>
          <w:highlight w:val="none"/>
        </w:rPr>
        <w:t>采购项目合同》相关条款全力配合贵公司工作，并自愿做出如下承诺：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若我方在投标或履行本合同过程中存在提供虚假材料、虚假响应招标文件要求等弄虚作假行为，或未能根据招标文件投标人须知约定按时提供原件核查的，因此导致我方无法参与东莞市水务环境投资</w:t>
      </w:r>
      <w:r>
        <w:rPr>
          <w:rFonts w:hint="eastAsia" w:ascii="宋体" w:hAnsi="宋体" w:eastAsia="宋体" w:cs="宋体"/>
          <w:color w:val="auto"/>
          <w:kern w:val="0"/>
          <w:szCs w:val="21"/>
          <w:highlight w:val="none"/>
          <w:lang w:val="en-US" w:eastAsia="zh-CN"/>
        </w:rPr>
        <w:t>控股</w:t>
      </w:r>
      <w:r>
        <w:rPr>
          <w:rFonts w:hint="eastAsia" w:ascii="宋体" w:hAnsi="宋体" w:eastAsia="宋体" w:cs="宋体"/>
          <w:color w:val="auto"/>
          <w:kern w:val="0"/>
          <w:szCs w:val="21"/>
          <w:highlight w:val="none"/>
        </w:rPr>
        <w:t>集团有限公司相关招标采购活动的，由我方自行承担全部后果。</w:t>
      </w:r>
    </w:p>
    <w:p>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pPr>
        <w:autoSpaceDE w:val="0"/>
        <w:autoSpaceDN w:val="0"/>
        <w:adjustRightInd w:val="0"/>
        <w:spacing w:line="480" w:lineRule="auto"/>
        <w:ind w:left="4759" w:leftChars="166" w:right="960" w:hanging="4410" w:hangingChars="2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pPr>
        <w:pStyle w:val="2"/>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2"/>
        <w:rPr>
          <w:color w:val="auto"/>
          <w:highlight w:val="none"/>
        </w:rPr>
      </w:pPr>
    </w:p>
    <w:p>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pPr>
        <w:spacing w:after="120"/>
        <w:rPr>
          <w:rFonts w:ascii="宋体" w:hAnsi="宋体" w:eastAsia="宋体" w:cs="宋体"/>
          <w:b/>
          <w:bCs/>
          <w:color w:val="auto"/>
          <w:szCs w:val="21"/>
          <w:highlight w:val="none"/>
        </w:rPr>
      </w:pPr>
    </w:p>
    <w:p>
      <w:pPr>
        <w:widowControl/>
        <w:jc w:val="left"/>
        <w:rPr>
          <w:color w:val="auto"/>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2" w:name="_Toc20895"/>
      <w:bookmarkStart w:id="383" w:name="_Toc512353083"/>
      <w:bookmarkStart w:id="384" w:name="_Toc22246"/>
      <w:bookmarkStart w:id="385" w:name="_Toc447045090"/>
      <w:bookmarkStart w:id="386" w:name="_Toc4388"/>
      <w:bookmarkStart w:id="387" w:name="_Toc24427_WPSOffice_Level1"/>
      <w:bookmarkStart w:id="388" w:name="_Toc142508360"/>
      <w:bookmarkStart w:id="389" w:name="_Toc447044603"/>
      <w:bookmarkStart w:id="390"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2"/>
      <w:bookmarkEnd w:id="383"/>
      <w:bookmarkEnd w:id="384"/>
      <w:bookmarkEnd w:id="385"/>
      <w:bookmarkEnd w:id="386"/>
      <w:bookmarkEnd w:id="387"/>
      <w:bookmarkEnd w:id="388"/>
      <w:bookmarkEnd w:id="389"/>
      <w:bookmarkEnd w:id="390"/>
      <w:bookmarkStart w:id="391" w:name="_Toc447045091"/>
      <w:bookmarkStart w:id="392" w:name="_Toc447044480"/>
      <w:bookmarkStart w:id="393" w:name="_Toc447044604"/>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4" w:name="_Toc22351"/>
      <w:bookmarkStart w:id="395" w:name="_Toc26521_WPSOffice_Level2"/>
      <w:r>
        <w:rPr>
          <w:rFonts w:hint="eastAsia" w:ascii="宋体" w:hAnsi="宋体" w:eastAsia="宋体" w:cs="Times New Roman"/>
          <w:b/>
          <w:color w:val="auto"/>
          <w:kern w:val="0"/>
          <w:sz w:val="28"/>
          <w:szCs w:val="28"/>
          <w:highlight w:val="none"/>
        </w:rPr>
        <w:t>一、不可撤销银行履约保函格式</w:t>
      </w:r>
      <w:bookmarkEnd w:id="391"/>
      <w:bookmarkEnd w:id="392"/>
      <w:bookmarkEnd w:id="393"/>
      <w:bookmarkEnd w:id="394"/>
      <w:bookmarkEnd w:id="395"/>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pgSz w:w="12240" w:h="15840"/>
          <w:pgMar w:top="1191" w:right="1043" w:bottom="1191" w:left="1043" w:header="720" w:footer="720" w:gutter="0"/>
          <w:pgNumType w:fmt="decimal"/>
          <w:cols w:space="720" w:num="1"/>
          <w:titlePg/>
          <w:docGrid w:linePitch="326" w:charSpace="0"/>
        </w:sectPr>
      </w:pPr>
    </w:p>
    <w:p>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6"/>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7"/>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8" w:name="_Toc17462"/>
      <w:bookmarkStart w:id="399" w:name="_Toc15094"/>
      <w:bookmarkStart w:id="400" w:name="_Toc8142"/>
      <w:r>
        <w:rPr>
          <w:rFonts w:hint="eastAsia" w:ascii="宋体" w:hAnsi="宋体" w:eastAsia="宋体" w:cs="宋体"/>
          <w:b/>
          <w:color w:val="auto"/>
          <w:kern w:val="0"/>
          <w:sz w:val="32"/>
          <w:szCs w:val="32"/>
          <w:highlight w:val="none"/>
          <w:lang w:val="en-US" w:eastAsia="zh-CN"/>
        </w:rPr>
        <w:t>四、不可撤销银行质量保函格式</w:t>
      </w:r>
      <w:bookmarkEnd w:id="398"/>
      <w:bookmarkEnd w:id="399"/>
      <w:bookmarkEnd w:id="400"/>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pPr>
        <w:widowControl/>
        <w:spacing w:line="360" w:lineRule="auto"/>
        <w:rPr>
          <w:rFonts w:hint="eastAsia" w:ascii="宋体" w:hAnsi="宋体" w:eastAsia="宋体" w:cs="宋体"/>
          <w:color w:val="auto"/>
          <w:sz w:val="21"/>
          <w:szCs w:val="21"/>
          <w:highlight w:val="none"/>
          <w:lang w:eastAsia="zh-CN"/>
        </w:rPr>
      </w:pPr>
    </w:p>
    <w:p>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2"/>
        <w:rPr>
          <w:color w:val="auto"/>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1" w:name="_Toc32761_WPSOffice_Level1"/>
      <w:bookmarkStart w:id="402" w:name="_Toc14839"/>
      <w:bookmarkStart w:id="403" w:name="_Toc142508361"/>
      <w:bookmarkStart w:id="404" w:name="_Toc450662895"/>
      <w:bookmarkStart w:id="405" w:name="_Toc486167708"/>
      <w:bookmarkStart w:id="406" w:name="_Toc12794"/>
      <w:bookmarkStart w:id="407" w:name="_Toc8165"/>
      <w:r>
        <w:rPr>
          <w:rFonts w:hint="eastAsia" w:ascii="宋体" w:hAnsi="宋体" w:eastAsia="宋体" w:cs="宋体"/>
          <w:b/>
          <w:bCs/>
          <w:color w:val="auto"/>
          <w:kern w:val="44"/>
          <w:sz w:val="32"/>
          <w:szCs w:val="32"/>
          <w:highlight w:val="none"/>
          <w:lang w:val="zh-CN"/>
        </w:rPr>
        <w:t>第六篇 投标文件格式</w:t>
      </w:r>
      <w:bookmarkEnd w:id="401"/>
      <w:bookmarkEnd w:id="402"/>
      <w:bookmarkEnd w:id="403"/>
      <w:bookmarkEnd w:id="404"/>
      <w:bookmarkEnd w:id="405"/>
      <w:bookmarkEnd w:id="406"/>
      <w:bookmarkEnd w:id="407"/>
    </w:p>
    <w:p>
      <w:pPr>
        <w:pStyle w:val="21"/>
        <w:spacing w:line="360" w:lineRule="auto"/>
        <w:jc w:val="center"/>
        <w:rPr>
          <w:rFonts w:hint="eastAsia" w:ascii="宋体" w:hAnsi="宋体" w:eastAsia="宋体" w:cs="宋体"/>
          <w:b/>
          <w:color w:val="auto"/>
          <w:kern w:val="0"/>
          <w:sz w:val="32"/>
          <w:szCs w:val="32"/>
          <w:highlight w:val="none"/>
        </w:rPr>
      </w:pPr>
      <w:bookmarkStart w:id="408" w:name="_Toc486167709"/>
      <w:bookmarkStart w:id="409" w:name="_Toc140596921"/>
      <w:bookmarkStart w:id="410" w:name="_Toc94107202"/>
      <w:bookmarkStart w:id="411" w:name="_Toc102860411"/>
      <w:bookmarkStart w:id="412" w:name="_Toc21133_WPSOffice_Level2"/>
      <w:bookmarkStart w:id="413" w:name="_Toc102860067"/>
      <w:bookmarkStart w:id="414" w:name="_Toc104991868"/>
      <w:bookmarkStart w:id="415" w:name="_Toc142508362"/>
      <w:bookmarkStart w:id="416" w:name="_Toc533708121"/>
      <w:bookmarkStart w:id="417" w:name="_Toc1977721"/>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jc w:val="center"/>
              <w:rPr>
                <w:rFonts w:hint="eastAsia" w:ascii="宋体" w:hAnsi="宋体" w:eastAsia="宋体" w:cs="宋体"/>
                <w:bCs/>
                <w:color w:val="auto"/>
                <w:szCs w:val="21"/>
                <w:highlight w:val="none"/>
              </w:rPr>
            </w:pPr>
          </w:p>
        </w:tc>
        <w:tc>
          <w:tcPr>
            <w:tcW w:w="2773" w:type="dxa"/>
            <w:vAlign w:val="center"/>
          </w:tcPr>
          <w:p>
            <w:pPr>
              <w:jc w:val="center"/>
              <w:rPr>
                <w:rFonts w:hint="eastAsia" w:ascii="宋体" w:hAnsi="宋体" w:eastAsia="宋体" w:cs="宋体"/>
                <w:bCs/>
                <w:color w:val="auto"/>
                <w:szCs w:val="21"/>
                <w:highlight w:val="none"/>
              </w:rPr>
            </w:pPr>
          </w:p>
        </w:tc>
        <w:tc>
          <w:tcPr>
            <w:tcW w:w="1786" w:type="dxa"/>
            <w:vAlign w:val="center"/>
          </w:tcPr>
          <w:p>
            <w:pPr>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8" w:name="_Toc20244"/>
      <w:bookmarkStart w:id="419" w:name="_Toc18706"/>
      <w:bookmarkStart w:id="420" w:name="_Toc13331"/>
      <w:r>
        <w:rPr>
          <w:rFonts w:hint="eastAsia" w:ascii="宋体" w:hAnsi="宋体" w:eastAsia="宋体" w:cs="宋体"/>
          <w:b/>
          <w:color w:val="auto"/>
          <w:kern w:val="0"/>
          <w:sz w:val="32"/>
          <w:szCs w:val="32"/>
          <w:highlight w:val="none"/>
        </w:rPr>
        <w:t>一、投标函格式</w:t>
      </w:r>
      <w:bookmarkEnd w:id="408"/>
      <w:bookmarkEnd w:id="409"/>
      <w:bookmarkEnd w:id="410"/>
      <w:bookmarkEnd w:id="411"/>
      <w:bookmarkEnd w:id="412"/>
      <w:bookmarkEnd w:id="413"/>
      <w:bookmarkEnd w:id="414"/>
      <w:bookmarkEnd w:id="415"/>
      <w:bookmarkEnd w:id="416"/>
      <w:bookmarkEnd w:id="417"/>
      <w:bookmarkEnd w:id="418"/>
      <w:bookmarkEnd w:id="419"/>
      <w:bookmarkEnd w:id="420"/>
    </w:p>
    <w:p>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21" w:name="_Toc16695_WPSOffice_Level3"/>
      <w:r>
        <w:rPr>
          <w:rFonts w:hint="eastAsia" w:ascii="宋体" w:hAnsi="宋体" w:eastAsia="宋体" w:cs="宋体"/>
          <w:b/>
          <w:bCs/>
          <w:color w:val="auto"/>
          <w:sz w:val="30"/>
          <w:szCs w:val="30"/>
          <w:highlight w:val="none"/>
          <w:lang w:val="zh-CN"/>
        </w:rPr>
        <w:t>投 标 函</w:t>
      </w:r>
      <w:bookmarkEnd w:id="421"/>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2" w:name="_Toc102860068"/>
      <w:bookmarkStart w:id="423" w:name="_Toc486167710"/>
      <w:bookmarkStart w:id="424" w:name="_Toc142508363"/>
      <w:bookmarkStart w:id="425" w:name="_Toc94107203"/>
      <w:bookmarkStart w:id="426" w:name="_Toc18834"/>
      <w:bookmarkStart w:id="427" w:name="_Toc102860412"/>
      <w:bookmarkStart w:id="428" w:name="_Toc104991869"/>
      <w:bookmarkStart w:id="429" w:name="_Toc1977722"/>
      <w:bookmarkStart w:id="430" w:name="_Toc140596922"/>
      <w:bookmarkStart w:id="431" w:name="_Toc28613_WPSOffice_Level2"/>
      <w:bookmarkStart w:id="432" w:name="_Toc26795"/>
      <w:bookmarkStart w:id="433" w:name="_Toc8696"/>
      <w:bookmarkStart w:id="434" w:name="_Toc533708122"/>
      <w:r>
        <w:rPr>
          <w:rFonts w:hint="eastAsia" w:ascii="宋体" w:hAnsi="宋体" w:eastAsia="宋体" w:cs="宋体"/>
          <w:b/>
          <w:color w:val="auto"/>
          <w:kern w:val="0"/>
          <w:sz w:val="32"/>
          <w:szCs w:val="32"/>
          <w:highlight w:val="none"/>
        </w:rPr>
        <w:t>二、投标承诺书格式</w:t>
      </w:r>
      <w:bookmarkEnd w:id="422"/>
      <w:bookmarkEnd w:id="423"/>
      <w:bookmarkEnd w:id="424"/>
      <w:bookmarkEnd w:id="425"/>
      <w:bookmarkEnd w:id="426"/>
      <w:bookmarkEnd w:id="427"/>
      <w:bookmarkEnd w:id="428"/>
      <w:bookmarkEnd w:id="429"/>
      <w:bookmarkEnd w:id="430"/>
      <w:bookmarkEnd w:id="431"/>
      <w:bookmarkEnd w:id="432"/>
      <w:bookmarkEnd w:id="433"/>
      <w:bookmarkEnd w:id="434"/>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w:t>
      </w:r>
      <w:r>
        <w:rPr>
          <w:rFonts w:hint="eastAsia" w:ascii="宋体" w:hAnsi="宋体" w:eastAsia="宋体" w:cs="宋体"/>
          <w:color w:val="auto"/>
          <w:kern w:val="0"/>
          <w:szCs w:val="21"/>
          <w:highlight w:val="none"/>
          <w:lang w:val="en-US" w:eastAsia="zh-CN"/>
        </w:rPr>
        <w:t>控股</w:t>
      </w:r>
      <w:r>
        <w:rPr>
          <w:rFonts w:hint="eastAsia" w:ascii="宋体" w:hAnsi="宋体" w:eastAsia="宋体" w:cs="宋体"/>
          <w:color w:val="auto"/>
          <w:kern w:val="0"/>
          <w:szCs w:val="21"/>
          <w:highlight w:val="none"/>
        </w:rPr>
        <w:t>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35" w:name="_Toc311032584"/>
      <w:bookmarkStart w:id="436" w:name="_Toc326768876"/>
      <w:bookmarkStart w:id="437" w:name="_Toc316896755"/>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8" w:name="_Toc94107204"/>
      <w:bookmarkStart w:id="439" w:name="_Toc102860413"/>
      <w:bookmarkStart w:id="440" w:name="_Toc7175"/>
      <w:bookmarkStart w:id="441" w:name="_Toc9778"/>
      <w:bookmarkStart w:id="442" w:name="_Toc12590"/>
      <w:bookmarkStart w:id="443" w:name="_Toc104991870"/>
      <w:bookmarkStart w:id="444" w:name="_Toc140596923"/>
      <w:bookmarkStart w:id="445" w:name="_Toc86764083"/>
      <w:bookmarkStart w:id="446" w:name="_Toc142508364"/>
      <w:bookmarkStart w:id="447" w:name="_Toc102860069"/>
      <w:bookmarkStart w:id="448" w:name="_Toc82182546"/>
      <w:bookmarkStart w:id="449" w:name="_Toc1977723"/>
      <w:bookmarkStart w:id="450" w:name="_Toc486167711"/>
      <w:bookmarkStart w:id="451" w:name="_Toc533708123"/>
      <w:bookmarkStart w:id="452" w:name="_Toc7024_WPSOffice_Level2"/>
      <w:r>
        <w:rPr>
          <w:rFonts w:hint="eastAsia" w:ascii="宋体" w:hAnsi="宋体" w:eastAsia="宋体" w:cs="宋体"/>
          <w:b/>
          <w:color w:val="auto"/>
          <w:kern w:val="44"/>
          <w:sz w:val="32"/>
          <w:szCs w:val="32"/>
          <w:highlight w:val="none"/>
        </w:rPr>
        <w:t>三、供货及/或提供服务过程承诺函格式</w:t>
      </w:r>
      <w:bookmarkEnd w:id="438"/>
      <w:bookmarkEnd w:id="439"/>
      <w:bookmarkEnd w:id="440"/>
      <w:bookmarkEnd w:id="441"/>
      <w:bookmarkEnd w:id="442"/>
      <w:bookmarkEnd w:id="443"/>
      <w:bookmarkEnd w:id="444"/>
      <w:bookmarkEnd w:id="445"/>
      <w:bookmarkEnd w:id="446"/>
      <w:bookmarkEnd w:id="447"/>
      <w:bookmarkEnd w:id="448"/>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3" w:name="_Toc102860414"/>
      <w:bookmarkStart w:id="454" w:name="_Toc82182547"/>
      <w:bookmarkStart w:id="455" w:name="_Toc104991871"/>
      <w:bookmarkStart w:id="456" w:name="_Toc142508365"/>
      <w:bookmarkStart w:id="457" w:name="_Toc140596924"/>
      <w:bookmarkStart w:id="458" w:name="_Toc86764084"/>
      <w:bookmarkStart w:id="459" w:name="_Toc94107205"/>
      <w:bookmarkStart w:id="460" w:name="_Toc102860070"/>
      <w:bookmarkStart w:id="461" w:name="_Toc3993"/>
      <w:bookmarkStart w:id="462" w:name="_Toc6287"/>
      <w:bookmarkStart w:id="463" w:name="_Toc20614"/>
      <w:r>
        <w:rPr>
          <w:rFonts w:hint="eastAsia" w:ascii="宋体" w:hAnsi="宋体" w:eastAsia="宋体" w:cs="宋体"/>
          <w:b/>
          <w:color w:val="auto"/>
          <w:kern w:val="44"/>
          <w:sz w:val="32"/>
          <w:szCs w:val="32"/>
          <w:highlight w:val="none"/>
        </w:rPr>
        <w:t>四</w:t>
      </w:r>
      <w:bookmarkEnd w:id="453"/>
      <w:bookmarkEnd w:id="454"/>
      <w:bookmarkEnd w:id="455"/>
      <w:bookmarkEnd w:id="456"/>
      <w:bookmarkEnd w:id="457"/>
      <w:bookmarkEnd w:id="458"/>
      <w:bookmarkEnd w:id="459"/>
      <w:bookmarkEnd w:id="460"/>
      <w:bookmarkStart w:id="464" w:name="_Toc140596925"/>
      <w:bookmarkStart w:id="465" w:name="_Toc102860415"/>
      <w:bookmarkStart w:id="466" w:name="_Toc102860071"/>
      <w:bookmarkStart w:id="467" w:name="_Toc94107206"/>
      <w:bookmarkStart w:id="468" w:name="_Toc142508366"/>
      <w:bookmarkStart w:id="469" w:name="_Toc104991872"/>
      <w:r>
        <w:rPr>
          <w:rFonts w:hint="eastAsia" w:ascii="宋体" w:hAnsi="宋体" w:eastAsia="宋体" w:cs="宋体"/>
          <w:b/>
          <w:color w:val="auto"/>
          <w:kern w:val="0"/>
          <w:sz w:val="32"/>
          <w:szCs w:val="32"/>
          <w:highlight w:val="none"/>
        </w:rPr>
        <w:t>、投标报价表格式</w:t>
      </w:r>
      <w:bookmarkEnd w:id="449"/>
      <w:bookmarkEnd w:id="450"/>
      <w:bookmarkEnd w:id="451"/>
      <w:bookmarkEnd w:id="452"/>
      <w:bookmarkEnd w:id="461"/>
      <w:bookmarkEnd w:id="462"/>
      <w:bookmarkEnd w:id="463"/>
      <w:bookmarkEnd w:id="464"/>
      <w:bookmarkEnd w:id="465"/>
      <w:bookmarkEnd w:id="466"/>
      <w:bookmarkEnd w:id="467"/>
      <w:bookmarkEnd w:id="468"/>
      <w:bookmarkEnd w:id="469"/>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70" w:name="_Toc1105"/>
      <w:bookmarkStart w:id="471" w:name="_Toc142508367"/>
      <w:bookmarkStart w:id="472" w:name="_Toc94107207"/>
      <w:bookmarkStart w:id="473" w:name="_Toc104991873"/>
      <w:bookmarkStart w:id="474" w:name="_Toc102860416"/>
      <w:bookmarkStart w:id="475" w:name="_Toc18589"/>
      <w:bookmarkStart w:id="476" w:name="_Toc2395_WPSOffice_Level3"/>
      <w:bookmarkStart w:id="477" w:name="_Toc6752"/>
      <w:bookmarkStart w:id="478" w:name="_Toc102860072"/>
      <w:bookmarkStart w:id="479" w:name="_Toc14059692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70"/>
      <w:bookmarkEnd w:id="471"/>
      <w:bookmarkEnd w:id="472"/>
      <w:bookmarkEnd w:id="473"/>
      <w:bookmarkEnd w:id="474"/>
      <w:bookmarkEnd w:id="475"/>
      <w:bookmarkEnd w:id="476"/>
      <w:bookmarkEnd w:id="477"/>
      <w:bookmarkEnd w:id="478"/>
      <w:bookmarkEnd w:id="479"/>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GXTZ-ZB-2026第（40）号</w:t>
      </w:r>
    </w:p>
    <w:tbl>
      <w:tblPr>
        <w:tblStyle w:val="42"/>
        <w:tblW w:w="10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7"/>
        <w:gridCol w:w="1357"/>
        <w:gridCol w:w="1171"/>
        <w:gridCol w:w="1171"/>
        <w:gridCol w:w="653"/>
        <w:gridCol w:w="701"/>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653"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70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自卸汽车</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71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80" w:name="_Toc27734"/>
      <w:bookmarkStart w:id="481" w:name="_Toc94107208"/>
      <w:bookmarkStart w:id="482" w:name="_Toc30859"/>
      <w:bookmarkStart w:id="483" w:name="_Toc142508368"/>
      <w:bookmarkStart w:id="484" w:name="_Toc102860417"/>
      <w:bookmarkStart w:id="485" w:name="_Toc104991874"/>
      <w:bookmarkStart w:id="486" w:name="_Toc102860073"/>
      <w:bookmarkStart w:id="487" w:name="_Toc140596927"/>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8"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80"/>
      <w:bookmarkEnd w:id="481"/>
      <w:bookmarkEnd w:id="482"/>
      <w:bookmarkEnd w:id="483"/>
      <w:bookmarkEnd w:id="484"/>
      <w:bookmarkEnd w:id="485"/>
      <w:bookmarkEnd w:id="486"/>
      <w:bookmarkEnd w:id="487"/>
      <w:bookmarkEnd w:id="488"/>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自卸汽车</w:t>
      </w:r>
      <w:r>
        <w:rPr>
          <w:rFonts w:hint="eastAsia" w:ascii="宋体" w:hAnsi="宋体" w:eastAsia="宋体" w:cs="宋体"/>
          <w:b/>
          <w:bCs/>
          <w:color w:val="auto"/>
          <w:sz w:val="30"/>
          <w:szCs w:val="30"/>
          <w:highlight w:val="none"/>
        </w:rPr>
        <w:t>综合单价明细表</w:t>
      </w:r>
    </w:p>
    <w:p>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自卸汽车</w:t>
      </w:r>
      <w:r>
        <w:rPr>
          <w:rFonts w:hint="eastAsia" w:ascii="宋体" w:hAnsi="宋体" w:eastAsia="宋体" w:cs="宋体"/>
          <w:color w:val="auto"/>
          <w:kern w:val="0"/>
          <w:szCs w:val="21"/>
          <w:highlight w:val="none"/>
          <w:u w:val="single"/>
          <w:lang w:eastAsia="zh-CN"/>
        </w:rPr>
        <w:t>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lang w:val="en-US" w:eastAsia="zh-CN"/>
        </w:rPr>
        <w:t xml:space="preserve">       </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4"/>
        <w:gridCol w:w="919"/>
        <w:gridCol w:w="1152"/>
        <w:gridCol w:w="1357"/>
        <w:gridCol w:w="946"/>
        <w:gridCol w:w="1158"/>
        <w:gridCol w:w="115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自卸汽车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pPr>
        <w:pStyle w:val="2"/>
        <w:rPr>
          <w:rFonts w:hint="eastAsia" w:ascii="宋体" w:hAnsi="宋体" w:eastAsia="宋体" w:cs="Times New Roman"/>
          <w:color w:val="auto"/>
          <w:kern w:val="0"/>
          <w:szCs w:val="21"/>
          <w:highlight w:val="none"/>
        </w:rPr>
      </w:pPr>
    </w:p>
    <w:p>
      <w:pPr>
        <w:rPr>
          <w:color w:val="auto"/>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9" w:name="_Toc104991875"/>
      <w:bookmarkStart w:id="490" w:name="_Toc102860418"/>
      <w:bookmarkStart w:id="491" w:name="_Toc142508369"/>
      <w:bookmarkStart w:id="492" w:name="_Toc10754"/>
      <w:bookmarkStart w:id="493" w:name="_Toc24015"/>
      <w:bookmarkStart w:id="494" w:name="_Toc102860074"/>
      <w:bookmarkStart w:id="495" w:name="_Toc140596928"/>
      <w:bookmarkStart w:id="496" w:name="_Toc1977725"/>
      <w:bookmarkStart w:id="497" w:name="_Toc18828"/>
      <w:bookmarkStart w:id="498" w:name="_Toc94107209"/>
      <w:bookmarkStart w:id="499" w:name="_Toc486167712"/>
      <w:bookmarkStart w:id="500" w:name="_Toc20759_WPSOffice_Level2"/>
      <w:bookmarkStart w:id="50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9"/>
      <w:bookmarkEnd w:id="490"/>
      <w:bookmarkEnd w:id="491"/>
      <w:bookmarkEnd w:id="492"/>
      <w:bookmarkEnd w:id="493"/>
      <w:bookmarkEnd w:id="494"/>
      <w:bookmarkEnd w:id="495"/>
      <w:bookmarkEnd w:id="496"/>
      <w:bookmarkEnd w:id="497"/>
      <w:bookmarkEnd w:id="49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2" w:name="_Toc94107210"/>
      <w:bookmarkStart w:id="503" w:name="_Toc104991876"/>
      <w:bookmarkStart w:id="504" w:name="_Toc102860075"/>
      <w:bookmarkStart w:id="505" w:name="_Toc140596929"/>
      <w:bookmarkStart w:id="506" w:name="_Toc31420"/>
      <w:bookmarkStart w:id="507" w:name="_Toc28382"/>
      <w:bookmarkStart w:id="508" w:name="_Toc142508370"/>
      <w:bookmarkStart w:id="509" w:name="_Toc508"/>
      <w:bookmarkStart w:id="510" w:name="_Toc102860419"/>
      <w:bookmarkStart w:id="51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2"/>
      <w:bookmarkEnd w:id="503"/>
      <w:bookmarkEnd w:id="504"/>
      <w:bookmarkEnd w:id="505"/>
      <w:bookmarkEnd w:id="506"/>
      <w:bookmarkEnd w:id="507"/>
      <w:bookmarkEnd w:id="508"/>
      <w:bookmarkEnd w:id="509"/>
      <w:bookmarkEnd w:id="510"/>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2" w:name="_Toc102860420"/>
      <w:bookmarkStart w:id="513" w:name="_Toc102860076"/>
      <w:bookmarkStart w:id="514" w:name="_Toc26345"/>
      <w:bookmarkStart w:id="515" w:name="_Toc94107211"/>
      <w:bookmarkStart w:id="516" w:name="_Toc9489"/>
      <w:bookmarkStart w:id="517" w:name="_Toc140596930"/>
      <w:bookmarkStart w:id="518" w:name="_Toc142508371"/>
      <w:bookmarkStart w:id="519" w:name="_Toc1033"/>
      <w:bookmarkStart w:id="520"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2"/>
      <w:bookmarkEnd w:id="513"/>
      <w:bookmarkEnd w:id="514"/>
      <w:bookmarkEnd w:id="515"/>
      <w:bookmarkEnd w:id="516"/>
      <w:bookmarkEnd w:id="517"/>
      <w:bookmarkEnd w:id="518"/>
      <w:bookmarkEnd w:id="519"/>
      <w:bookmarkEnd w:id="520"/>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1" w:name="_Toc21657"/>
      <w:bookmarkStart w:id="522" w:name="_Toc140596931"/>
      <w:bookmarkStart w:id="523" w:name="_Toc104991878"/>
      <w:bookmarkStart w:id="524" w:name="_Toc142508372"/>
      <w:bookmarkStart w:id="525" w:name="_Toc7718"/>
      <w:bookmarkStart w:id="526" w:name="_Toc94107212"/>
      <w:bookmarkStart w:id="527" w:name="_Toc102860077"/>
      <w:bookmarkStart w:id="528" w:name="_Toc644"/>
      <w:bookmarkStart w:id="529"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1"/>
      <w:bookmarkEnd w:id="522"/>
      <w:bookmarkEnd w:id="523"/>
      <w:bookmarkEnd w:id="524"/>
      <w:bookmarkEnd w:id="525"/>
      <w:bookmarkEnd w:id="526"/>
      <w:bookmarkEnd w:id="527"/>
      <w:bookmarkEnd w:id="528"/>
      <w:bookmarkEnd w:id="529"/>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9"/>
      <w:bookmarkEnd w:id="500"/>
      <w:bookmarkEnd w:id="501"/>
      <w:bookmarkEnd w:id="511"/>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30" w:name="_Toc11033_WPSOffice_Level3"/>
      <w:r>
        <w:rPr>
          <w:rFonts w:hint="eastAsia" w:ascii="宋体" w:hAnsi="宋体" w:eastAsia="宋体" w:cs="宋体"/>
          <w:b/>
          <w:color w:val="auto"/>
          <w:sz w:val="30"/>
          <w:szCs w:val="30"/>
          <w:highlight w:val="none"/>
        </w:rPr>
        <w:t>法定代</w:t>
      </w:r>
      <w:bookmarkStart w:id="531" w:name="_Toc36971359"/>
      <w:bookmarkStart w:id="532" w:name="_Toc45995270"/>
      <w:r>
        <w:rPr>
          <w:rFonts w:hint="eastAsia" w:ascii="宋体" w:hAnsi="宋体" w:eastAsia="宋体" w:cs="宋体"/>
          <w:b/>
          <w:color w:val="auto"/>
          <w:sz w:val="30"/>
          <w:szCs w:val="30"/>
          <w:highlight w:val="none"/>
        </w:rPr>
        <w:t>表人身份证明书</w:t>
      </w:r>
      <w:bookmarkEnd w:id="530"/>
    </w:p>
    <w:bookmarkEnd w:id="531"/>
    <w:bookmarkEnd w:id="532"/>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0XSaOyQCAAA6BAAADgAAAAAAAAABACAAAAAnAQAAZHJzL2Uyb0RvYy54bWxQSwUGAAAAAAYA&#10;BgBZAQAAv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Fk0dkAAAAKAQAADwAAAAAAAAABACAAAAAiAAAAZHJzL2Rvd25yZXYueG1sUEsBAhQAFAAAAAgA&#10;h07iQCYiJY4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ft+ViyQCAAA6BAAADgAAAAAAAAABACAAAAAnAQAAZHJzL2Uyb0RvYy54bWxQSwUGAAAAAAYA&#10;BgBZAQAAvQU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5"/>
      <w:bookmarkEnd w:id="436"/>
      <w:bookmarkEnd w:id="437"/>
      <w:bookmarkStart w:id="533" w:name="_Toc486167713"/>
      <w:bookmarkStart w:id="534" w:name="_Toc1977727"/>
      <w:bookmarkStart w:id="535" w:name="_Toc6240_WPSOffice_Level2"/>
      <w:bookmarkStart w:id="536" w:name="_Toc533708125"/>
      <w:r>
        <w:rPr>
          <w:rFonts w:hint="eastAsia" w:ascii="宋体" w:hAnsi="宋体" w:eastAsia="宋体" w:cs="宋体"/>
          <w:b/>
          <w:color w:val="auto"/>
          <w:szCs w:val="24"/>
          <w:highlight w:val="none"/>
        </w:rPr>
        <w:t>（2）法定代表人授权书格式</w:t>
      </w:r>
      <w:bookmarkEnd w:id="533"/>
      <w:bookmarkEnd w:id="534"/>
      <w:bookmarkEnd w:id="535"/>
      <w:bookmarkEnd w:id="536"/>
    </w:p>
    <w:p>
      <w:pPr>
        <w:autoSpaceDE w:val="0"/>
        <w:autoSpaceDN w:val="0"/>
        <w:adjustRightInd w:val="0"/>
        <w:spacing w:line="360" w:lineRule="auto"/>
        <w:jc w:val="center"/>
        <w:rPr>
          <w:rFonts w:ascii="宋体" w:hAnsi="宋体" w:eastAsia="宋体" w:cs="宋体"/>
          <w:color w:val="auto"/>
          <w:szCs w:val="28"/>
          <w:highlight w:val="none"/>
          <w:lang w:val="zh-CN"/>
        </w:rPr>
      </w:pPr>
      <w:bookmarkStart w:id="537" w:name="_Toc29146_WPSOffice_Level3"/>
      <w:r>
        <w:rPr>
          <w:rFonts w:hint="eastAsia" w:ascii="宋体" w:hAnsi="宋体" w:eastAsia="宋体" w:cs="宋体"/>
          <w:b/>
          <w:bCs/>
          <w:color w:val="auto"/>
          <w:sz w:val="30"/>
          <w:szCs w:val="30"/>
          <w:highlight w:val="none"/>
          <w:lang w:val="zh-CN"/>
        </w:rPr>
        <w:t>法定代表人授权书</w:t>
      </w:r>
      <w:bookmarkEnd w:id="537"/>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自卸汽车</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E&#10;D3nZAAAACgEAAA8AAAAAAAAAAQAgAAAAIgAAAGRycy9kb3ducmV2LnhtbFBLAQIUABQAAAAIAIdO&#10;4kAnDRSjIgIAADoEAAAOAAAAAAAAAAEAIAAAACg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7&#10;5djYAAAACQEAAA8AAAAAAAAAAQAgAAAAIgAAAGRycy9kb3ducmV2LnhtbFBLAQIUABQAAAAIAIdO&#10;4kBgocodIwIAADoEAAAOAAAAAAAAAAEAIAAAACc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2B8iPZAAAACgEAAA8AAAAAAAAAAQAgAAAAIgAAAGRycy9kb3ducmV2LnhtbFBLAQIUABQAAAAI&#10;AIdO4kATZE6e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UQJ9gAAAAJAQAADwAAAAAAAAABACAAAAAiAAAAZHJzL2Rvd25yZXYueG1sUEsBAhQAFAAA&#10;AAgAh07iQEuZ/psoAgAAOgQAAA4AAAAAAAAAAQAgAAAAJwEAAGRycy9lMm9Eb2MueG1sUEsFBgAA&#10;AAAGAAYAWQEAAME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8" w:name="_Toc29815"/>
      <w:bookmarkStart w:id="539" w:name="_Toc30070"/>
      <w:bookmarkStart w:id="540" w:name="_Toc8338"/>
      <w:bookmarkStart w:id="541" w:name="_Toc94107214"/>
      <w:bookmarkStart w:id="542" w:name="_Toc104991880"/>
      <w:bookmarkStart w:id="543" w:name="_Toc140596933"/>
      <w:bookmarkStart w:id="544" w:name="_Toc142508373"/>
      <w:bookmarkStart w:id="545"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8"/>
    </w:p>
    <w:p>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w:t>
      </w:r>
      <w:r>
        <w:rPr>
          <w:rFonts w:hint="eastAsia" w:ascii="宋体" w:hAnsi="宋体" w:eastAsia="宋体" w:cs="宋体"/>
          <w:b/>
          <w:color w:val="auto"/>
          <w:kern w:val="0"/>
          <w:szCs w:val="21"/>
          <w:highlight w:val="none"/>
          <w:u w:val="single"/>
          <w:lang w:val="en-US" w:eastAsia="zh-CN" w:bidi="ar"/>
        </w:rPr>
        <w:t>6</w:t>
      </w:r>
      <w:r>
        <w:rPr>
          <w:rFonts w:hint="eastAsia" w:ascii="宋体" w:hAnsi="宋体" w:eastAsia="宋体" w:cs="宋体"/>
          <w:b/>
          <w:color w:val="auto"/>
          <w:kern w:val="0"/>
          <w:szCs w:val="21"/>
          <w:highlight w:val="none"/>
          <w:u w:val="single"/>
          <w:lang w:eastAsia="zh-CN" w:bidi="ar"/>
        </w:rPr>
        <w:t>年</w:t>
      </w:r>
      <w:r>
        <w:rPr>
          <w:rFonts w:hint="eastAsia" w:ascii="宋体" w:hAnsi="宋体" w:eastAsia="宋体" w:cs="宋体"/>
          <w:b/>
          <w:color w:val="auto"/>
          <w:kern w:val="0"/>
          <w:szCs w:val="21"/>
          <w:highlight w:val="none"/>
          <w:u w:val="single"/>
          <w:lang w:val="en-US" w:eastAsia="zh-CN" w:bidi="ar"/>
        </w:rPr>
        <w:t>自卸汽车</w:t>
      </w:r>
      <w:r>
        <w:rPr>
          <w:rFonts w:hint="eastAsia" w:ascii="宋体" w:hAnsi="宋体" w:eastAsia="宋体" w:cs="宋体"/>
          <w:b/>
          <w:color w:val="auto"/>
          <w:kern w:val="0"/>
          <w:szCs w:val="21"/>
          <w:highlight w:val="none"/>
          <w:u w:val="single"/>
          <w:lang w:eastAsia="zh-CN" w:bidi="ar"/>
        </w:rPr>
        <w:t>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bl>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东莞市水务环境投资控股集团管网有限公司2026年</w:t>
      </w:r>
      <w:r>
        <w:rPr>
          <w:rFonts w:hint="eastAsia" w:ascii="宋体" w:hAnsi="宋体" w:eastAsia="宋体" w:cs="宋体"/>
          <w:color w:val="auto"/>
          <w:kern w:val="0"/>
          <w:szCs w:val="21"/>
          <w:highlight w:val="none"/>
          <w:u w:val="single"/>
          <w:lang w:eastAsia="zh-CN" w:bidi="ar"/>
        </w:rPr>
        <w:t>自卸汽车</w:t>
      </w:r>
      <w:r>
        <w:rPr>
          <w:rFonts w:hint="eastAsia" w:ascii="宋体" w:hAnsi="宋体" w:eastAsia="宋体" w:cs="宋体"/>
          <w:color w:val="auto"/>
          <w:kern w:val="0"/>
          <w:szCs w:val="21"/>
          <w:highlight w:val="none"/>
          <w:u w:val="single"/>
          <w:lang w:bidi="ar"/>
        </w:rPr>
        <w:t>采购项目（招标编号：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东莞市水务环境投资控股集团管网有限公司2026年自卸汽车采购项目（招标编号：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u w:val="single"/>
          <w:lang w:eastAsia="zh-CN"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pPr>
        <w:pStyle w:val="5"/>
        <w:pageBreakBefore/>
        <w:spacing w:line="360" w:lineRule="auto"/>
        <w:rPr>
          <w:rFonts w:hint="eastAsia" w:hAnsi="宋体"/>
          <w:b/>
          <w:bCs/>
          <w:color w:val="auto"/>
          <w:kern w:val="2"/>
          <w:sz w:val="32"/>
          <w:szCs w:val="32"/>
          <w:highlight w:val="none"/>
        </w:rPr>
      </w:pPr>
      <w:bookmarkStart w:id="546"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6"/>
    </w:p>
    <w:p>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年1月1日或以后）</w:t>
      </w:r>
      <w:bookmarkEnd w:id="539"/>
      <w:bookmarkEnd w:id="540"/>
    </w:p>
    <w:tbl>
      <w:tblPr>
        <w:tblStyle w:val="42"/>
        <w:tblW w:w="928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1441"/>
        <w:gridCol w:w="1443"/>
        <w:gridCol w:w="1443"/>
        <w:gridCol w:w="1443"/>
        <w:gridCol w:w="1443"/>
        <w:gridCol w:w="1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7" w:name="_Toc14967"/>
      <w:bookmarkStart w:id="548"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7"/>
      <w:bookmarkEnd w:id="54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9" w:name="_Toc31879"/>
      <w:bookmarkStart w:id="550" w:name="_Toc25276"/>
      <w:bookmarkStart w:id="551"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1"/>
      <w:bookmarkEnd w:id="542"/>
      <w:bookmarkEnd w:id="543"/>
      <w:bookmarkEnd w:id="544"/>
      <w:bookmarkEnd w:id="545"/>
      <w:bookmarkEnd w:id="549"/>
      <w:bookmarkEnd w:id="550"/>
      <w:bookmarkEnd w:id="551"/>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2" w:name="_Toc1977731"/>
      <w:bookmarkStart w:id="553" w:name="_Toc104991881"/>
      <w:bookmarkStart w:id="554" w:name="_Toc140596934"/>
      <w:bookmarkStart w:id="555" w:name="_Toc2031_WPSOffice_Level2"/>
      <w:bookmarkStart w:id="556" w:name="_Toc102860079"/>
      <w:bookmarkStart w:id="557" w:name="_Toc533708126"/>
      <w:bookmarkStart w:id="558" w:name="_Toc142508374"/>
      <w:bookmarkStart w:id="559" w:name="_Toc102860423"/>
      <w:bookmarkStart w:id="560" w:name="_Toc94107215"/>
      <w:bookmarkStart w:id="561" w:name="_Toc13237"/>
      <w:bookmarkStart w:id="562" w:name="_Toc486167714"/>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3" w:name="_Toc11148"/>
      <w:bookmarkStart w:id="564"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2"/>
      <w:bookmarkEnd w:id="553"/>
      <w:bookmarkEnd w:id="554"/>
      <w:bookmarkEnd w:id="555"/>
      <w:bookmarkEnd w:id="556"/>
      <w:bookmarkEnd w:id="557"/>
      <w:bookmarkEnd w:id="558"/>
      <w:bookmarkEnd w:id="559"/>
      <w:bookmarkEnd w:id="560"/>
      <w:bookmarkEnd w:id="561"/>
      <w:bookmarkEnd w:id="562"/>
      <w:bookmarkEnd w:id="563"/>
      <w:bookmarkEnd w:id="564"/>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65" w:name="_Toc2773_WPSOffice_Level3"/>
      <w:r>
        <w:rPr>
          <w:rFonts w:hint="eastAsia" w:ascii="宋体" w:hAnsi="宋体" w:eastAsia="宋体" w:cs="宋体"/>
          <w:b/>
          <w:bCs/>
          <w:color w:val="auto"/>
          <w:sz w:val="30"/>
          <w:szCs w:val="30"/>
          <w:highlight w:val="none"/>
          <w:lang w:val="zh-CN"/>
        </w:rPr>
        <w:t>投标人基本情况一览表</w:t>
      </w:r>
      <w:bookmarkEnd w:id="565"/>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6" w:name="_Toc104991882"/>
      <w:bookmarkStart w:id="567" w:name="_Toc3711"/>
      <w:bookmarkStart w:id="568" w:name="_Toc4534"/>
      <w:bookmarkStart w:id="569" w:name="_Toc94107216"/>
      <w:bookmarkStart w:id="570" w:name="_Toc102860080"/>
      <w:bookmarkStart w:id="571" w:name="_Toc142508375"/>
      <w:bookmarkStart w:id="572" w:name="_Toc140596935"/>
      <w:bookmarkStart w:id="573" w:name="_Toc102860424"/>
      <w:bookmarkStart w:id="574" w:name="_Toc4495"/>
      <w:bookmarkStart w:id="575" w:name="_Toc1977733"/>
      <w:bookmarkStart w:id="576" w:name="_Toc533708128"/>
      <w:bookmarkStart w:id="577" w:name="_Toc486167715"/>
      <w:bookmarkStart w:id="578"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6"/>
      <w:bookmarkEnd w:id="567"/>
      <w:bookmarkEnd w:id="568"/>
      <w:bookmarkEnd w:id="569"/>
      <w:bookmarkEnd w:id="570"/>
      <w:bookmarkEnd w:id="571"/>
      <w:bookmarkEnd w:id="572"/>
      <w:bookmarkEnd w:id="573"/>
      <w:bookmarkEnd w:id="574"/>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2"/>
        <w:tblW w:w="98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5"/>
    <w:bookmarkEnd w:id="576"/>
    <w:bookmarkEnd w:id="577"/>
    <w:bookmarkEnd w:id="578"/>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69169444"/>
      <w:bookmarkStart w:id="580" w:name="_Toc23651"/>
      <w:bookmarkStart w:id="581" w:name="_Toc94107217"/>
      <w:bookmarkStart w:id="582" w:name="_Toc142508376"/>
      <w:bookmarkStart w:id="583" w:name="_Toc140596936"/>
      <w:bookmarkStart w:id="584" w:name="_Toc102860081"/>
      <w:bookmarkStart w:id="585" w:name="_Toc739_WPSOffice_Level2"/>
      <w:bookmarkStart w:id="586" w:name="_Toc102860425"/>
      <w:bookmarkStart w:id="587" w:name="_Toc533708130"/>
      <w:bookmarkStart w:id="588" w:name="_Toc104991883"/>
      <w:bookmarkStart w:id="589" w:name="_Toc486167716"/>
      <w:bookmarkStart w:id="590" w:name="_Toc1977736"/>
      <w:bookmarkStart w:id="591" w:name="_Toc20034"/>
      <w:bookmarkStart w:id="592" w:name="_Toc15551"/>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9"/>
      <w:bookmarkEnd w:id="580"/>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3"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1"/>
      <w:bookmarkEnd w:id="582"/>
      <w:bookmarkEnd w:id="583"/>
      <w:bookmarkEnd w:id="584"/>
      <w:bookmarkEnd w:id="585"/>
      <w:bookmarkEnd w:id="586"/>
      <w:bookmarkEnd w:id="587"/>
      <w:bookmarkEnd w:id="588"/>
      <w:bookmarkEnd w:id="589"/>
      <w:bookmarkEnd w:id="590"/>
      <w:bookmarkEnd w:id="591"/>
      <w:bookmarkEnd w:id="592"/>
      <w:bookmarkEnd w:id="593"/>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4"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w:t>
      </w:r>
      <w:r>
        <w:rPr>
          <w:rFonts w:hint="eastAsia" w:ascii="宋体" w:hAnsi="宋体" w:eastAsia="宋体" w:cs="宋体"/>
          <w:b/>
          <w:bCs/>
          <w:color w:val="auto"/>
          <w:kern w:val="0"/>
          <w:sz w:val="28"/>
          <w:szCs w:val="30"/>
          <w:highlight w:val="none"/>
          <w:lang w:val="en-US" w:eastAsia="zh-CN"/>
        </w:rPr>
        <w:t>自卸汽车</w:t>
      </w:r>
      <w:r>
        <w:rPr>
          <w:rFonts w:hint="eastAsia" w:ascii="宋体" w:hAnsi="宋体" w:eastAsia="宋体" w:cs="宋体"/>
          <w:b/>
          <w:bCs/>
          <w:color w:val="auto"/>
          <w:kern w:val="0"/>
          <w:sz w:val="28"/>
          <w:szCs w:val="30"/>
          <w:highlight w:val="none"/>
          <w:lang w:val="zh-CN"/>
        </w:rPr>
        <w:t>采购项目合同条款偏离表</w:t>
      </w:r>
      <w:bookmarkEnd w:id="594"/>
    </w:p>
    <w:tbl>
      <w:tblPr>
        <w:tblStyle w:val="42"/>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合同货物清单</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pPr>
              <w:autoSpaceDE w:val="0"/>
              <w:autoSpaceDN w:val="0"/>
              <w:adjustRightInd w:val="0"/>
              <w:spacing w:line="360" w:lineRule="auto"/>
              <w:jc w:val="center"/>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Cs w:val="21"/>
                <w:highlight w:val="none"/>
              </w:rPr>
              <w:t>合同价款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货物产地及标准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货物运输、包装、保险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交货</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付款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color w:val="auto"/>
                <w:kern w:val="0"/>
                <w:szCs w:val="21"/>
                <w:highlight w:val="none"/>
              </w:rPr>
              <w:t>八</w:t>
            </w:r>
          </w:p>
        </w:tc>
        <w:tc>
          <w:tcPr>
            <w:tcW w:w="3055" w:type="dxa"/>
            <w:vAlign w:val="center"/>
          </w:tcPr>
          <w:p>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培训及质保、售后服务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合同权利义务的转让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3055" w:type="dxa"/>
            <w:vAlign w:val="center"/>
          </w:tcPr>
          <w:p>
            <w:pPr>
              <w:autoSpaceDE w:val="0"/>
              <w:autoSpaceDN w:val="0"/>
              <w:adjustRightInd w:val="0"/>
              <w:spacing w:line="400" w:lineRule="exact"/>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虚假承诺</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3055" w:type="dxa"/>
            <w:vAlign w:val="center"/>
          </w:tcPr>
          <w:p>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争议的解决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十五</w:t>
            </w:r>
          </w:p>
        </w:tc>
        <w:tc>
          <w:tcPr>
            <w:tcW w:w="3055" w:type="dxa"/>
            <w:vAlign w:val="center"/>
          </w:tcPr>
          <w:p>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知识产权</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w:t>
            </w:r>
          </w:p>
        </w:tc>
        <w:tc>
          <w:tcPr>
            <w:tcW w:w="3055" w:type="dxa"/>
            <w:vAlign w:val="center"/>
          </w:tcPr>
          <w:p>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税和关税</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十七</w:t>
            </w:r>
          </w:p>
        </w:tc>
        <w:tc>
          <w:tcPr>
            <w:tcW w:w="3055" w:type="dxa"/>
            <w:vAlign w:val="center"/>
          </w:tcPr>
          <w:p>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十八</w:t>
            </w:r>
          </w:p>
        </w:tc>
        <w:tc>
          <w:tcPr>
            <w:tcW w:w="3055" w:type="dxa"/>
            <w:vAlign w:val="center"/>
          </w:tcPr>
          <w:p>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送达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十九</w:t>
            </w:r>
          </w:p>
        </w:tc>
        <w:tc>
          <w:tcPr>
            <w:tcW w:w="3055" w:type="dxa"/>
            <w:vAlign w:val="center"/>
          </w:tcPr>
          <w:p>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承诺书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5" w:name="_Toc102860426"/>
      <w:bookmarkStart w:id="596" w:name="_Toc13348"/>
      <w:bookmarkStart w:id="597" w:name="_Toc94107218"/>
      <w:bookmarkStart w:id="598" w:name="_Toc102860082"/>
      <w:bookmarkStart w:id="599" w:name="_Toc104991884"/>
      <w:bookmarkStart w:id="600" w:name="_Toc6337"/>
      <w:bookmarkStart w:id="601" w:name="_Toc2075"/>
      <w:bookmarkStart w:id="602" w:name="_Toc142508377"/>
      <w:bookmarkStart w:id="603" w:name="_Toc140596937"/>
      <w:bookmarkStart w:id="604" w:name="_Toc27980_WPSOffice_Level2"/>
      <w:bookmarkStart w:id="605"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5"/>
      <w:bookmarkEnd w:id="596"/>
      <w:bookmarkEnd w:id="597"/>
      <w:bookmarkEnd w:id="598"/>
      <w:bookmarkEnd w:id="599"/>
      <w:bookmarkEnd w:id="600"/>
      <w:bookmarkEnd w:id="601"/>
      <w:bookmarkEnd w:id="602"/>
      <w:bookmarkEnd w:id="603"/>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42"/>
        <w:tblW w:w="10528"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4"/>
        <w:gridCol w:w="2497"/>
        <w:gridCol w:w="1216"/>
        <w:gridCol w:w="1216"/>
        <w:gridCol w:w="1216"/>
        <w:gridCol w:w="1363"/>
        <w:gridCol w:w="1066"/>
        <w:gridCol w:w="12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3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31"/>
        <w:gridCol w:w="1674"/>
        <w:gridCol w:w="1166"/>
        <w:gridCol w:w="170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6026" w:type="dxa"/>
            <w:gridSpan w:val="4"/>
            <w:tcBorders>
              <w:top w:val="single" w:color="auto" w:sz="4" w:space="0"/>
              <w:left w:val="nil"/>
              <w:bottom w:val="single" w:color="auto" w:sz="4" w:space="0"/>
              <w:right w:val="outset" w:color="auto" w:sz="6" w:space="0"/>
            </w:tcBorders>
            <w:shd w:val="clear" w:color="auto" w:fill="auto"/>
            <w:vAlign w:val="center"/>
          </w:tcPr>
          <w:p>
            <w:pPr>
              <w:rPr>
                <w:rFonts w:ascii="Calibri" w:hAnsi="Calibri" w:eastAsia="宋体" w:cs="Times New Roman"/>
                <w:color w:val="auto"/>
                <w:szCs w:val="21"/>
                <w:highlight w:val="none"/>
              </w:rPr>
            </w:pPr>
          </w:p>
        </w:tc>
      </w:tr>
    </w:tbl>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pPr>
        <w:rPr>
          <w:rFonts w:ascii="宋体" w:hAnsi="宋体" w:eastAsia="宋体" w:cs="宋体"/>
          <w:b/>
          <w:bCs/>
          <w:color w:val="auto"/>
          <w:sz w:val="30"/>
          <w:szCs w:val="30"/>
          <w:highlight w:val="none"/>
          <w:lang w:bidi="ar"/>
        </w:rPr>
      </w:pP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604"/>
    <w:bookmarkEnd w:id="605"/>
    <w:p>
      <w:pPr>
        <w:pStyle w:val="5"/>
        <w:pageBreakBefore/>
        <w:spacing w:line="360" w:lineRule="auto"/>
        <w:rPr>
          <w:rFonts w:hAnsi="宋体" w:cs="宋体"/>
          <w:b/>
          <w:bCs/>
          <w:color w:val="auto"/>
          <w:kern w:val="2"/>
          <w:sz w:val="32"/>
          <w:szCs w:val="32"/>
          <w:highlight w:val="none"/>
          <w:lang w:val="zh-CN"/>
        </w:rPr>
      </w:pPr>
      <w:bookmarkStart w:id="606" w:name="_Toc447044610"/>
      <w:bookmarkStart w:id="607" w:name="_Toc24011"/>
      <w:bookmarkStart w:id="608" w:name="_Toc4743574"/>
      <w:bookmarkStart w:id="609" w:name="_Toc24242"/>
      <w:bookmarkStart w:id="610" w:name="_Toc8972"/>
      <w:bookmarkStart w:id="611" w:name="_Toc78709789"/>
      <w:bookmarkStart w:id="612" w:name="_Toc447045097"/>
      <w:bookmarkStart w:id="613" w:name="_Toc20155"/>
      <w:bookmarkStart w:id="614" w:name="_Toc447044486"/>
      <w:bookmarkStart w:id="615" w:name="_Toc534983546"/>
      <w:bookmarkStart w:id="616" w:name="_Toc18175_WPSOffice_Level2"/>
      <w:bookmarkStart w:id="617" w:name="_Toc11745"/>
      <w:bookmarkStart w:id="618" w:name="_Toc30323"/>
      <w:bookmarkStart w:id="619" w:name="_Toc104991885"/>
      <w:bookmarkStart w:id="620" w:name="_Toc94107220"/>
      <w:bookmarkStart w:id="621" w:name="_Toc533708132"/>
      <w:bookmarkStart w:id="622" w:name="_Toc1977737"/>
      <w:bookmarkStart w:id="623" w:name="_Toc102860427"/>
      <w:bookmarkStart w:id="624" w:name="_Toc140596938"/>
      <w:bookmarkStart w:id="625" w:name="_Toc142508378"/>
      <w:bookmarkStart w:id="626" w:name="_Toc486167719"/>
      <w:bookmarkStart w:id="627" w:name="_Toc102860083"/>
      <w:bookmarkStart w:id="628" w:name="_Toc13822"/>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606"/>
      <w:bookmarkEnd w:id="607"/>
      <w:bookmarkEnd w:id="608"/>
      <w:bookmarkEnd w:id="609"/>
      <w:bookmarkEnd w:id="610"/>
      <w:bookmarkEnd w:id="611"/>
      <w:bookmarkEnd w:id="612"/>
      <w:bookmarkEnd w:id="613"/>
      <w:bookmarkEnd w:id="614"/>
      <w:bookmarkEnd w:id="615"/>
    </w:p>
    <w:p>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pPr>
        <w:spacing w:line="360" w:lineRule="auto"/>
        <w:rPr>
          <w:rFonts w:ascii="宋体" w:hAnsi="宋体" w:eastAsia="宋体" w:cs="宋体"/>
          <w:b/>
          <w:bCs/>
          <w:color w:val="auto"/>
          <w:highlight w:val="none"/>
          <w:lang w:val="zh-CN"/>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致：广西同泽工程项目管理股份有限公司</w:t>
      </w:r>
      <w:r>
        <w:rPr>
          <w:rFonts w:hint="eastAsia" w:ascii="宋体" w:hAnsi="宋体" w:eastAsia="宋体" w:cs="宋体"/>
          <w:b/>
          <w:bCs/>
          <w:color w:val="auto"/>
          <w:szCs w:val="21"/>
          <w:highlight w:val="none"/>
          <w:lang w:val="en-US" w:eastAsia="zh-CN"/>
        </w:rPr>
        <w:t xml:space="preserve">  </w:t>
      </w:r>
    </w:p>
    <w:p>
      <w:pPr>
        <w:spacing w:line="360" w:lineRule="auto"/>
        <w:ind w:right="893"/>
        <w:rPr>
          <w:rFonts w:ascii="宋体" w:hAnsi="宋体" w:eastAsia="宋体" w:cs="宋体"/>
          <w:color w:val="auto"/>
          <w:szCs w:val="21"/>
          <w:highlight w:val="none"/>
          <w:lang w:val="zh-CN"/>
        </w:rPr>
      </w:pPr>
    </w:p>
    <w:p>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w:t>
      </w:r>
      <w:r>
        <w:rPr>
          <w:rFonts w:hint="eastAsia" w:ascii="宋体" w:hAnsi="宋体" w:eastAsia="宋体" w:cs="宋体"/>
          <w:color w:val="auto"/>
          <w:highlight w:val="none"/>
          <w:u w:val="single"/>
          <w:lang w:val="en-US" w:eastAsia="zh-CN"/>
        </w:rPr>
        <w:t>自卸汽车</w:t>
      </w:r>
      <w:r>
        <w:rPr>
          <w:rFonts w:hint="eastAsia" w:ascii="宋体" w:hAnsi="宋体" w:eastAsia="宋体" w:cs="宋体"/>
          <w:color w:val="auto"/>
          <w:highlight w:val="none"/>
          <w:u w:val="single"/>
          <w:lang w:val="zh-CN"/>
        </w:rPr>
        <w:t>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GXTZ-ZB-2026第（40）号</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w:t>
      </w:r>
      <w:r>
        <w:rPr>
          <w:rFonts w:hint="eastAsia" w:ascii="宋体" w:hAnsi="宋体" w:eastAsia="宋体" w:cs="宋体"/>
          <w:b/>
          <w:bCs/>
          <w:color w:val="auto"/>
          <w:szCs w:val="21"/>
          <w:highlight w:val="none"/>
          <w:lang w:val="zh-CN"/>
        </w:rPr>
        <w:t>广西同泽工程项目管理股份有限公司</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lang w:val="zh-CN"/>
        </w:rPr>
        <w:t>指定的银行账号，一次性交纳中标服务费</w:t>
      </w:r>
      <w:r>
        <w:rPr>
          <w:rFonts w:hint="eastAsia" w:ascii="宋体" w:hAnsi="宋体" w:eastAsia="宋体" w:cs="宋体"/>
          <w:color w:val="auto"/>
          <w:highlight w:val="none"/>
          <w:lang w:val="zh-CN"/>
        </w:rPr>
        <w:t>。</w:t>
      </w:r>
    </w:p>
    <w:p>
      <w:pPr>
        <w:spacing w:line="360" w:lineRule="auto"/>
        <w:ind w:right="893"/>
        <w:rPr>
          <w:rFonts w:ascii="宋体" w:hAnsi="宋体" w:eastAsia="宋体" w:cs="宋体"/>
          <w:color w:val="auto"/>
          <w:szCs w:val="21"/>
          <w:highlight w:val="none"/>
          <w:lang w:val="zh-CN"/>
        </w:rPr>
      </w:pPr>
    </w:p>
    <w:p>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pPr>
        <w:spacing w:line="360" w:lineRule="auto"/>
        <w:ind w:right="893"/>
        <w:rPr>
          <w:rFonts w:ascii="宋体" w:hAnsi="宋体" w:eastAsia="宋体" w:cs="宋体"/>
          <w:color w:val="auto"/>
          <w:highlight w:val="none"/>
          <w:lang w:val="zh-CN"/>
        </w:rPr>
      </w:pPr>
    </w:p>
    <w:p>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lang w:val="zh-CN"/>
        </w:rPr>
      </w:pPr>
    </w:p>
    <w:p>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bookmarkEnd w:id="628"/>
    </w:p>
    <w:p>
      <w:pPr>
        <w:autoSpaceDE w:val="0"/>
        <w:autoSpaceDN w:val="0"/>
        <w:adjustRightInd w:val="0"/>
        <w:spacing w:line="360" w:lineRule="auto"/>
        <w:jc w:val="center"/>
        <w:rPr>
          <w:rFonts w:ascii="宋体" w:hAnsi="宋体" w:eastAsia="宋体" w:cs="宋体"/>
          <w:b/>
          <w:bCs/>
          <w:color w:val="auto"/>
          <w:kern w:val="0"/>
          <w:szCs w:val="24"/>
          <w:highlight w:val="none"/>
        </w:rPr>
      </w:pPr>
      <w:bookmarkStart w:id="629" w:name="_Toc31832_WPSOffice_Level3"/>
      <w:r>
        <w:rPr>
          <w:rFonts w:hint="eastAsia" w:ascii="宋体" w:hAnsi="宋体" w:eastAsia="宋体" w:cs="宋体"/>
          <w:b/>
          <w:bCs/>
          <w:color w:val="auto"/>
          <w:kern w:val="0"/>
          <w:sz w:val="28"/>
          <w:szCs w:val="28"/>
          <w:highlight w:val="none"/>
        </w:rPr>
        <w:t>投标保证金汇入情况说明</w:t>
      </w:r>
      <w:bookmarkEnd w:id="629"/>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lang w:eastAsia="zh-CN"/>
        </w:rPr>
        <w:t>年</w:t>
      </w:r>
      <w:r>
        <w:rPr>
          <w:rFonts w:hint="eastAsia" w:ascii="宋体" w:hAnsi="宋体" w:eastAsia="宋体" w:cs="宋体"/>
          <w:color w:val="auto"/>
          <w:kern w:val="0"/>
          <w:szCs w:val="21"/>
          <w:highlight w:val="none"/>
          <w:u w:val="none"/>
          <w:lang w:val="en-US" w:eastAsia="zh-CN"/>
        </w:rPr>
        <w:t>自卸汽车</w:t>
      </w:r>
      <w:r>
        <w:rPr>
          <w:rFonts w:hint="eastAsia" w:ascii="宋体" w:hAnsi="宋体" w:eastAsia="宋体" w:cs="宋体"/>
          <w:color w:val="auto"/>
          <w:kern w:val="0"/>
          <w:szCs w:val="21"/>
          <w:highlight w:val="none"/>
          <w:u w:val="none"/>
          <w:lang w:eastAsia="zh-CN"/>
        </w:rPr>
        <w:t>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en-US" w:eastAsia="zh-CN"/>
        </w:rPr>
        <w:t>GXTZ-ZB-2026第（40）号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30" w:name="_Toc26208_WPSOffice_Level3"/>
      <w:r>
        <w:rPr>
          <w:rFonts w:hint="eastAsia" w:ascii="宋体" w:hAnsi="宋体" w:eastAsia="宋体" w:cs="宋体"/>
          <w:b/>
          <w:bCs/>
          <w:color w:val="auto"/>
          <w:szCs w:val="21"/>
          <w:highlight w:val="none"/>
        </w:rPr>
        <w:t>附：1、我方投标保证金汇款凭证（复印件）</w:t>
      </w:r>
      <w:bookmarkEnd w:id="630"/>
    </w:p>
    <w:p>
      <w:pPr>
        <w:spacing w:line="360" w:lineRule="auto"/>
        <w:ind w:left="340" w:leftChars="162" w:firstLine="839" w:firstLineChars="398"/>
        <w:rPr>
          <w:rFonts w:ascii="宋体" w:hAnsi="宋体" w:eastAsia="宋体" w:cs="宋体"/>
          <w:b/>
          <w:bCs/>
          <w:color w:val="auto"/>
          <w:szCs w:val="21"/>
          <w:highlight w:val="none"/>
        </w:rPr>
      </w:pPr>
      <w:bookmarkStart w:id="631" w:name="_Toc12992_WPSOffice_Level3"/>
      <w:r>
        <w:rPr>
          <w:rFonts w:hint="eastAsia" w:ascii="宋体" w:hAnsi="宋体" w:eastAsia="宋体" w:cs="宋体"/>
          <w:b/>
          <w:bCs/>
          <w:color w:val="auto"/>
          <w:szCs w:val="21"/>
          <w:highlight w:val="none"/>
        </w:rPr>
        <w:t>2、我方基本账户开户许可证（复印件）</w:t>
      </w:r>
      <w:bookmarkEnd w:id="631"/>
    </w:p>
    <w:p>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32" w:name="_Toc486167721"/>
    </w:p>
    <w:p>
      <w:pPr>
        <w:spacing w:line="360" w:lineRule="auto"/>
        <w:ind w:firstLine="424" w:firstLineChars="202"/>
        <w:rPr>
          <w:rFonts w:ascii="宋体" w:hAnsi="宋体" w:eastAsia="宋体" w:cs="宋体"/>
          <w:color w:val="auto"/>
          <w:szCs w:val="24"/>
          <w:highlight w:val="none"/>
        </w:rPr>
      </w:pPr>
      <w:bookmarkStart w:id="633"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634" w:name="_Toc102860428"/>
      <w:bookmarkStart w:id="635" w:name="_Toc104991886"/>
      <w:bookmarkStart w:id="636" w:name="_Toc3402"/>
      <w:bookmarkStart w:id="637" w:name="_Toc102860084"/>
      <w:bookmarkStart w:id="638" w:name="_Toc1977738"/>
      <w:bookmarkStart w:id="639" w:name="_Toc140596939"/>
      <w:bookmarkStart w:id="640" w:name="_Toc142508379"/>
      <w:bookmarkStart w:id="641" w:name="_Toc16292"/>
      <w:bookmarkStart w:id="642" w:name="_Toc94107221"/>
      <w:bookmarkStart w:id="643" w:name="_Toc180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4"/>
      <w:bookmarkEnd w:id="635"/>
      <w:bookmarkEnd w:id="636"/>
      <w:bookmarkEnd w:id="637"/>
      <w:bookmarkEnd w:id="638"/>
      <w:bookmarkEnd w:id="639"/>
      <w:bookmarkEnd w:id="640"/>
      <w:bookmarkEnd w:id="641"/>
      <w:bookmarkEnd w:id="642"/>
      <w:bookmarkEnd w:id="643"/>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44" w:name="_Toc140596940"/>
      <w:bookmarkStart w:id="645" w:name="_Toc94107222"/>
      <w:bookmarkStart w:id="646" w:name="_Toc1977739"/>
      <w:bookmarkStart w:id="647" w:name="_Toc102860085"/>
      <w:bookmarkStart w:id="648" w:name="_Toc15051"/>
      <w:bookmarkStart w:id="649" w:name="_Toc104991887"/>
      <w:bookmarkStart w:id="650" w:name="_Toc102860429"/>
      <w:bookmarkStart w:id="651" w:name="_Toc142508380"/>
      <w:bookmarkStart w:id="652" w:name="_Toc21551"/>
      <w:bookmarkStart w:id="653" w:name="_Toc1434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33"/>
      <w:bookmarkEnd w:id="644"/>
      <w:bookmarkEnd w:id="645"/>
      <w:bookmarkEnd w:id="646"/>
      <w:bookmarkEnd w:id="647"/>
      <w:bookmarkEnd w:id="648"/>
      <w:bookmarkEnd w:id="649"/>
      <w:bookmarkEnd w:id="650"/>
      <w:bookmarkEnd w:id="651"/>
      <w:bookmarkEnd w:id="652"/>
      <w:bookmarkEnd w:id="653"/>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4、所投车辆性能；</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
        <w:rPr>
          <w:rFonts w:hint="eastAsia"/>
          <w:color w:val="auto"/>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2"/>
      <w:bookmarkStart w:id="654" w:name="_Toc1558"/>
      <w:bookmarkStart w:id="655" w:name="_Toc140596941"/>
      <w:bookmarkStart w:id="656" w:name="_Toc142508381"/>
      <w:bookmarkStart w:id="657" w:name="_Toc20630"/>
      <w:bookmarkStart w:id="658" w:name="_Toc533708135"/>
      <w:bookmarkStart w:id="659" w:name="_Toc102860430"/>
      <w:bookmarkStart w:id="660" w:name="_Toc94107223"/>
      <w:bookmarkStart w:id="661" w:name="_Toc104991888"/>
      <w:bookmarkStart w:id="662" w:name="_Toc102860086"/>
      <w:bookmarkStart w:id="663" w:name="_Toc1977740"/>
      <w:bookmarkStart w:id="664" w:name="_Toc1938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54"/>
      <w:bookmarkEnd w:id="655"/>
      <w:bookmarkEnd w:id="656"/>
      <w:bookmarkEnd w:id="657"/>
      <w:bookmarkEnd w:id="658"/>
      <w:bookmarkEnd w:id="659"/>
      <w:bookmarkEnd w:id="660"/>
      <w:bookmarkEnd w:id="661"/>
      <w:bookmarkEnd w:id="662"/>
      <w:bookmarkEnd w:id="663"/>
      <w:bookmarkEnd w:id="664"/>
    </w:p>
    <w:p>
      <w:pPr>
        <w:spacing w:before="120" w:after="120" w:line="360" w:lineRule="auto"/>
        <w:jc w:val="center"/>
        <w:outlineLvl w:val="2"/>
        <w:rPr>
          <w:rFonts w:ascii="宋体" w:hAnsi="宋体" w:eastAsia="宋体" w:cs="Times New Roman"/>
          <w:color w:val="auto"/>
          <w:kern w:val="0"/>
          <w:szCs w:val="21"/>
          <w:highlight w:val="none"/>
        </w:rPr>
      </w:pPr>
      <w:bookmarkStart w:id="665" w:name="_Toc17449_WPSOffice_Level3"/>
      <w:bookmarkStart w:id="666" w:name="_Toc30001"/>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65"/>
      <w:bookmarkEnd w:id="666"/>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56"/>
        <w:gridCol w:w="6392"/>
        <w:gridCol w:w="699"/>
        <w:gridCol w:w="844"/>
        <w:gridCol w:w="813"/>
      </w:tblGrid>
      <w:tr>
        <w:tblPrEx>
          <w:tblLayout w:type="fixed"/>
          <w:tblCellMar>
            <w:top w:w="0" w:type="dxa"/>
            <w:left w:w="108" w:type="dxa"/>
            <w:bottom w:w="0" w:type="dxa"/>
            <w:right w:w="108" w:type="dxa"/>
          </w:tblCellMar>
        </w:tblPrEx>
        <w:trPr>
          <w:cantSplit/>
          <w:trHeight w:val="376" w:hRule="atLeast"/>
          <w:jc w:val="center"/>
        </w:trPr>
        <w:tc>
          <w:tcPr>
            <w:tcW w:w="566" w:type="dxa"/>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448" w:type="dxa"/>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356" w:type="dxa"/>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6" w:type="dxa"/>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1056"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392"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699"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44"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3"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6392" w:type="dxa"/>
            <w:vAlign w:val="center"/>
          </w:tcPr>
          <w:p>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采购内容</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p>
        </w:tc>
        <w:tc>
          <w:tcPr>
            <w:tcW w:w="6392" w:type="dxa"/>
            <w:vAlign w:val="center"/>
          </w:tcPr>
          <w:p>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总体要求</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639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供货要求</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639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639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639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培训及质保、售后服务要求</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639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知识产权</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639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shd w:val="clear" w:color="auto" w:fill="auto"/>
            <w:vAlign w:val="center"/>
          </w:tcPr>
          <w:p>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1056" w:type="dxa"/>
            <w:shd w:val="clear" w:color="auto" w:fill="auto"/>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6392" w:type="dxa"/>
            <w:shd w:val="clear" w:color="auto" w:fill="auto"/>
            <w:vAlign w:val="center"/>
          </w:tcPr>
          <w:p>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shd w:val="clear" w:color="auto" w:fill="auto"/>
            <w:vAlign w:val="center"/>
          </w:tcPr>
          <w:p>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1056" w:type="dxa"/>
            <w:shd w:val="clear" w:color="auto" w:fill="auto"/>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6392" w:type="dxa"/>
            <w:shd w:val="clear" w:color="auto" w:fill="auto"/>
            <w:vAlign w:val="center"/>
          </w:tcPr>
          <w:p>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699"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370" w:type="dxa"/>
            <w:gridSpan w:val="6"/>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bookmarkStart w:id="667" w:name="_Toc10880"/>
            <w:r>
              <w:rPr>
                <w:rFonts w:hint="eastAsia" w:ascii="宋体" w:hAnsi="宋体" w:eastAsia="宋体" w:cs="宋体"/>
                <w:color w:val="auto"/>
                <w:kern w:val="0"/>
                <w:sz w:val="21"/>
                <w:szCs w:val="21"/>
                <w:highlight w:val="none"/>
              </w:rPr>
              <w:t>用户需求书“★”条款汇总</w:t>
            </w:r>
            <w:bookmarkEnd w:id="6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6"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二、（一）</w:t>
            </w:r>
          </w:p>
        </w:tc>
        <w:tc>
          <w:tcPr>
            <w:tcW w:w="6392" w:type="dxa"/>
            <w:vAlign w:val="center"/>
          </w:tcPr>
          <w:p>
            <w:pPr>
              <w:widowControl w:val="0"/>
              <w:numPr>
                <w:ilvl w:val="0"/>
                <w:numId w:val="0"/>
              </w:numPr>
              <w:tabs>
                <w:tab w:val="left" w:pos="2340"/>
              </w:tabs>
              <w:kinsoku/>
              <w:autoSpaceDE/>
              <w:adjustRightInd w:val="0"/>
              <w:snapToGrid w:val="0"/>
              <w:spacing w:before="0" w:beforeAutospacing="0" w:after="0" w:afterAutospacing="0"/>
              <w:jc w:val="both"/>
              <w:textAlignment w:val="auto"/>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（一）</w:t>
            </w:r>
            <w:r>
              <w:rPr>
                <w:rFonts w:hint="default" w:ascii="宋体" w:hAnsi="宋体" w:eastAsia="宋体" w:cs="宋体"/>
                <w:b/>
                <w:bCs/>
                <w:color w:val="auto"/>
                <w:kern w:val="2"/>
                <w:sz w:val="21"/>
                <w:szCs w:val="21"/>
                <w:highlight w:val="none"/>
                <w:lang w:val="en-US" w:eastAsia="zh-CN" w:bidi="ar-SA"/>
              </w:rPr>
              <w:t>投标人投标车辆的生产企业及投标车辆产品型号已列入国家工业和信息化部发布的有效的《道路机动车辆生产企业及产品公告》（或《车辆生产企业及产品公告》）。</w:t>
            </w:r>
          </w:p>
        </w:tc>
        <w:tc>
          <w:tcPr>
            <w:tcW w:w="699"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6"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二、（二）</w:t>
            </w:r>
          </w:p>
        </w:tc>
        <w:tc>
          <w:tcPr>
            <w:tcW w:w="6392" w:type="dxa"/>
            <w:vAlign w:val="center"/>
          </w:tcPr>
          <w:p>
            <w:pPr>
              <w:widowControl w:val="0"/>
              <w:numPr>
                <w:ilvl w:val="0"/>
                <w:numId w:val="0"/>
              </w:numPr>
              <w:tabs>
                <w:tab w:val="left" w:pos="2340"/>
              </w:tabs>
              <w:kinsoku/>
              <w:autoSpaceDE/>
              <w:adjustRightInd w:val="0"/>
              <w:snapToGrid w:val="0"/>
              <w:spacing w:before="0" w:beforeAutospacing="0" w:after="0" w:afterAutospacing="0"/>
              <w:jc w:val="both"/>
              <w:textAlignment w:val="auto"/>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（二）</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tc>
        <w:tc>
          <w:tcPr>
            <w:tcW w:w="699"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二、（六）</w:t>
            </w:r>
          </w:p>
        </w:tc>
        <w:tc>
          <w:tcPr>
            <w:tcW w:w="6392" w:type="dxa"/>
            <w:vAlign w:val="center"/>
          </w:tcPr>
          <w:p>
            <w:pPr>
              <w:widowControl w:val="0"/>
              <w:numPr>
                <w:ilvl w:val="0"/>
                <w:numId w:val="0"/>
              </w:numPr>
              <w:tabs>
                <w:tab w:val="left" w:pos="2340"/>
              </w:tabs>
              <w:kinsoku w:val="0"/>
              <w:autoSpaceDE/>
              <w:adjustRightInd w:val="0"/>
              <w:snapToGrid w:val="0"/>
              <w:spacing w:before="0" w:beforeAutospacing="0" w:after="0" w:afterAutospacing="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699"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六、（二）、1、（2）、①</w:t>
            </w:r>
          </w:p>
        </w:tc>
        <w:tc>
          <w:tcPr>
            <w:tcW w:w="6392" w:type="dxa"/>
            <w:vAlign w:val="center"/>
          </w:tcPr>
          <w:p>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★①当预付款比例超过合同含税总价10%（不含）时，中标人须按招标人要求开设预付款监管账户或向招标人提供与预付款金额等额的预付款银行保函，具体采用何种方式由招标人决定。</w:t>
            </w:r>
          </w:p>
          <w:p>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采取预付款监管账户方式：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合同总价的5%支付违约金。</w:t>
            </w:r>
          </w:p>
          <w:p>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采取预付款银行保函方式：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pPr>
              <w:pStyle w:val="2"/>
              <w:rPr>
                <w:rFonts w:hint="eastAsia"/>
                <w:color w:val="auto"/>
                <w:highlight w:val="none"/>
                <w:lang w:val="zh-CN"/>
              </w:rPr>
            </w:pPr>
          </w:p>
        </w:tc>
        <w:tc>
          <w:tcPr>
            <w:tcW w:w="699"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七、（三、1</w:t>
            </w:r>
          </w:p>
        </w:tc>
        <w:tc>
          <w:tcPr>
            <w:tcW w:w="6392" w:type="dxa"/>
            <w:vAlign w:val="center"/>
          </w:tcPr>
          <w:p>
            <w:pPr>
              <w:kinsoku/>
              <w:autoSpaceDE/>
              <w:adjustRightInd/>
              <w:snapToGrid/>
              <w:spacing w:before="0" w:beforeAutospacing="0" w:after="0" w:afterAutospacing="0" w:line="360" w:lineRule="auto"/>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w:t>
            </w:r>
            <w:r>
              <w:rPr>
                <w:rFonts w:hint="eastAsia" w:ascii="宋体" w:hAnsi="宋体" w:eastAsia="宋体" w:cs="宋体"/>
                <w:b/>
                <w:bCs/>
                <w:color w:val="auto"/>
                <w:kern w:val="0"/>
                <w:sz w:val="21"/>
                <w:szCs w:val="21"/>
                <w:highlight w:val="none"/>
                <w:lang w:bidi="ar"/>
              </w:rPr>
              <w:t>机油、冷却液、刹车油等耗材均免费</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tc>
        <w:tc>
          <w:tcPr>
            <w:tcW w:w="699"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技术参数及性能要求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8" w:name="_Toc104991889"/>
      <w:bookmarkStart w:id="669" w:name="_Toc28623"/>
      <w:bookmarkStart w:id="670" w:name="_Toc102860431"/>
      <w:bookmarkStart w:id="671" w:name="_Toc94107224"/>
      <w:bookmarkStart w:id="672" w:name="_Toc102860087"/>
      <w:bookmarkStart w:id="673" w:name="_Toc142508382"/>
      <w:bookmarkStart w:id="674" w:name="_Toc20665"/>
      <w:bookmarkStart w:id="675" w:name="_Toc140596942"/>
    </w:p>
    <w:p>
      <w:pPr>
        <w:widowControl/>
        <w:autoSpaceDE/>
        <w:autoSpaceDN/>
        <w:adjustRightInd/>
        <w:spacing w:line="360" w:lineRule="auto"/>
        <w:jc w:val="left"/>
        <w:outlineLvl w:val="9"/>
        <w:rPr>
          <w:rFonts w:hint="eastAsia" w:ascii="宋体" w:hAnsi="宋体" w:eastAsia="宋体" w:cs="宋体"/>
          <w:b/>
          <w:bCs/>
          <w:color w:val="auto"/>
          <w:sz w:val="32"/>
          <w:szCs w:val="32"/>
          <w:highlight w:val="none"/>
          <w:lang w:eastAsia="zh-CN" w:bidi="ar"/>
        </w:rPr>
      </w:pPr>
      <w:bookmarkStart w:id="676" w:name="_Toc169169452"/>
      <w:bookmarkStart w:id="677" w:name="_Toc27617"/>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76"/>
      <w:bookmarkEnd w:id="677"/>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pPr>
        <w:pStyle w:val="34"/>
        <w:pageBreakBefore/>
        <w:widowControl w:val="0"/>
        <w:autoSpaceDE w:val="0"/>
        <w:autoSpaceDN w:val="0"/>
        <w:adjustRightInd w:val="0"/>
        <w:spacing w:before="0" w:beforeAutospacing="0" w:after="120" w:afterLines="50" w:afterAutospacing="0" w:line="360" w:lineRule="auto"/>
        <w:jc w:val="both"/>
        <w:outlineLvl w:val="2"/>
        <w:rPr>
          <w:rFonts w:hint="eastAsia" w:eastAsia="宋体" w:cs="宋体"/>
          <w:b/>
          <w:bCs/>
          <w:color w:val="auto"/>
          <w:sz w:val="32"/>
          <w:szCs w:val="32"/>
          <w:highlight w:val="none"/>
          <w:lang w:bidi="ar"/>
        </w:rPr>
      </w:pPr>
      <w:bookmarkStart w:id="678" w:name="_Toc169169453"/>
      <w:bookmarkStart w:id="679" w:name="_Toc9089"/>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78"/>
      <w:bookmarkEnd w:id="679"/>
    </w:p>
    <w:p>
      <w:pPr>
        <w:rPr>
          <w:rFonts w:hint="eastAsia" w:eastAsia="宋体" w:cs="宋体"/>
          <w:b/>
          <w:bCs/>
          <w:color w:val="auto"/>
          <w:sz w:val="32"/>
          <w:szCs w:val="32"/>
          <w:highlight w:val="none"/>
          <w:lang w:bidi="ar"/>
        </w:rPr>
      </w:pPr>
      <w:r>
        <w:rPr>
          <w:rFonts w:hint="eastAsia" w:eastAsia="宋体" w:cs="宋体"/>
          <w:b/>
          <w:bCs/>
          <w:color w:val="auto"/>
          <w:sz w:val="32"/>
          <w:szCs w:val="32"/>
          <w:highlight w:val="none"/>
          <w:lang w:bidi="ar"/>
        </w:rPr>
        <w:br w:type="page"/>
      </w:r>
    </w:p>
    <w:p>
      <w:pPr>
        <w:pStyle w:val="34"/>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80" w:name="_Toc169169454"/>
      <w:bookmarkStart w:id="681" w:name="_Toc12431"/>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80"/>
      <w:bookmarkEnd w:id="681"/>
    </w:p>
    <w:p>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82"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82"/>
    </w:p>
    <w:tbl>
      <w:tblPr>
        <w:tblStyle w:val="42"/>
        <w:tblW w:w="10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6"/>
        <w:gridCol w:w="955"/>
        <w:gridCol w:w="2320"/>
        <w:gridCol w:w="3422"/>
        <w:gridCol w:w="775"/>
        <w:gridCol w:w="1143"/>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0" w:hRule="atLeast"/>
          <w:tblHeader/>
          <w:jc w:val="center"/>
        </w:trPr>
        <w:tc>
          <w:tcPr>
            <w:tcW w:w="71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招标文件要求</w:t>
            </w:r>
          </w:p>
        </w:tc>
        <w:tc>
          <w:tcPr>
            <w:tcW w:w="3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分类</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技术参数</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配置要求</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偏离情况</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具体偏离内容</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对应证明页码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ascii="宋体" w:hAnsi="宋体" w:eastAsia="宋体" w:cs="宋体"/>
                <w:color w:val="auto"/>
                <w:szCs w:val="21"/>
                <w:highlight w:val="none"/>
                <w:lang w:bidi="ar"/>
              </w:rPr>
              <w:t>1</w:t>
            </w:r>
          </w:p>
        </w:tc>
        <w:tc>
          <w:tcPr>
            <w:tcW w:w="955" w:type="dxa"/>
            <w:vMerge w:val="restart"/>
            <w:tcBorders>
              <w:top w:val="nil"/>
              <w:left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基本配置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自卸汽车</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hint="eastAsia" w:ascii="宋体" w:hAnsi="宋体" w:eastAsia="宋体" w:cs="宋体"/>
                <w:color w:val="auto"/>
                <w:kern w:val="0"/>
                <w:szCs w:val="21"/>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hint="eastAsia" w:ascii="宋体" w:hAnsi="宋体" w:eastAsia="宋体" w:cs="宋体"/>
                <w:color w:val="auto"/>
                <w:kern w:val="0"/>
                <w:szCs w:val="21"/>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contextualSpacing/>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955" w:type="dxa"/>
            <w:vMerge w:val="continue"/>
            <w:tcBorders>
              <w:left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能源类型</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柴油</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环保标准</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国六或以上</w:t>
            </w:r>
            <w:r>
              <w:rPr>
                <w:rFonts w:hint="eastAsia" w:ascii="宋体" w:hAnsi="宋体" w:eastAsia="宋体" w:cs="宋体"/>
                <w:color w:val="auto"/>
                <w:kern w:val="0"/>
                <w:szCs w:val="21"/>
                <w:highlight w:val="none"/>
              </w:rPr>
              <w:t>，须满足东莞合法上牌要求</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13" w:hRule="atLeast"/>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最大功率（KW）</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≥90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最大扭矩（N·m）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发动机（ml）</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变速箱</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bidi="ar"/>
              </w:rPr>
              <w:t>手动挡</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驱动方式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前置后驱或四驱</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额定载客人数（含驾驶员）</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2+3（人）</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最高车速(Km/h)</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接近角/离去角（°）</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bidi="ar"/>
              </w:rPr>
              <w:t>19/12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车身长（mm）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≥4950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车身宽（mm）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车身高（mm）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货厢长（mm）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≥2100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货厢宽（mm）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≥1780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货厢高（mm）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额定载重量（kg）</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≥1495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弹簧片数</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自卸装置起重方式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液压</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倾卸方式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后倾斜式</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货厢上升高度（m）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货厢升起角度（°）</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货厢防护材料</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钢板</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955" w:type="dxa"/>
            <w:vMerge w:val="continue"/>
            <w:tcBorders>
              <w:left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货厢底板厚度（mm）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26</w:t>
            </w:r>
          </w:p>
        </w:tc>
        <w:tc>
          <w:tcPr>
            <w:tcW w:w="955"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货厢侧/后板厚度（mm）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27</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安全性配置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ABS 防抱死</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28</w:t>
            </w:r>
          </w:p>
        </w:tc>
        <w:tc>
          <w:tcPr>
            <w:tcW w:w="955" w:type="dxa"/>
            <w:vMerge w:val="restart"/>
            <w:tcBorders>
              <w:top w:val="nil"/>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功能性配置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电动车窗</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四门电动</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29</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门锁</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四门遥控锁</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30</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座椅材质</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皮质</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31</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空调</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32</w:t>
            </w:r>
          </w:p>
        </w:tc>
        <w:tc>
          <w:tcPr>
            <w:tcW w:w="955" w:type="dxa"/>
            <w:vMerge w:val="restart"/>
            <w:tcBorders>
              <w:top w:val="nil"/>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需求配置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作业指示灯</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33</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三角木止退器</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34</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全车车膜</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配置，品牌等同或优于龙膜，3M,威固</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35</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灭火器及支架</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36</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行车记录仪</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分辨率:1080P以上</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光圈：F小于等于1.8</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SD（TF）内存卡：64G及以上</w:t>
            </w:r>
          </w:p>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品牌等同或优于360、小米、海康威视</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37</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脚垫</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38</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汽车车用搭火线</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39</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车载充气泵</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配置（含2.6M以上延长线或无线充气泵）</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40</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倒车雷达</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41</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360全景</w:t>
            </w:r>
            <w:r>
              <w:rPr>
                <w:rFonts w:hint="eastAsia" w:ascii="宋体" w:hAnsi="宋体" w:eastAsia="宋体" w:cs="宋体"/>
                <w:color w:val="auto"/>
                <w:szCs w:val="21"/>
                <w:highlight w:val="none"/>
                <w:lang w:bidi="ar"/>
              </w:rPr>
              <w:t>影像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中控大屏尺寸≥10</w:t>
            </w:r>
            <w:r>
              <w:rPr>
                <w:rFonts w:hint="eastAsia" w:ascii="宋体" w:hAnsi="宋体" w:eastAsia="宋体" w:cs="宋体"/>
                <w:color w:val="auto"/>
                <w:szCs w:val="21"/>
                <w:highlight w:val="none"/>
                <w:lang w:val="en-US" w:eastAsia="zh-CN" w:bidi="ar"/>
              </w:rPr>
              <w:t>英</w:t>
            </w:r>
            <w:r>
              <w:rPr>
                <w:rFonts w:hint="eastAsia" w:ascii="宋体" w:hAnsi="宋体" w:eastAsia="宋体" w:cs="宋体"/>
                <w:color w:val="auto"/>
                <w:szCs w:val="21"/>
                <w:highlight w:val="none"/>
                <w:lang w:bidi="ar"/>
              </w:rPr>
              <w:t>寸</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bl>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及性能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83"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83"/>
    </w:p>
    <w:p>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84" w:name="_Toc29722"/>
      <w:r>
        <w:rPr>
          <w:rFonts w:hint="eastAsia" w:ascii="宋体" w:hAnsi="宋体" w:eastAsia="宋体" w:cs="宋体"/>
          <w:b/>
          <w:color w:val="auto"/>
          <w:kern w:val="0"/>
          <w:sz w:val="30"/>
          <w:szCs w:val="30"/>
          <w:highlight w:val="none"/>
          <w:lang w:bidi="ar"/>
        </w:rPr>
        <w:t>车辆配置清单</w:t>
      </w:r>
      <w:bookmarkEnd w:id="684"/>
    </w:p>
    <w:p>
      <w:pPr>
        <w:pStyle w:val="34"/>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lang w:bidi="ar"/>
        </w:rPr>
      </w:pPr>
      <w:r>
        <w:rPr>
          <w:rFonts w:hint="eastAsia" w:eastAsia="宋体" w:cs="宋体"/>
          <w:b/>
          <w:bCs/>
          <w:color w:val="auto"/>
          <w:kern w:val="0"/>
          <w:sz w:val="21"/>
          <w:szCs w:val="21"/>
          <w:highlight w:val="none"/>
          <w:lang w:bidi="ar"/>
        </w:rPr>
        <w:t>项目名称：</w:t>
      </w:r>
      <w:r>
        <w:rPr>
          <w:rFonts w:hint="eastAsia" w:ascii="宋体" w:hAnsi="宋体" w:eastAsia="宋体" w:cs="宋体"/>
          <w:b/>
          <w:bCs/>
          <w:color w:val="auto"/>
          <w:kern w:val="0"/>
          <w:sz w:val="21"/>
          <w:szCs w:val="21"/>
          <w:highlight w:val="none"/>
          <w:u w:val="none"/>
          <w:lang w:eastAsia="zh-CN" w:bidi="ar"/>
        </w:rPr>
        <w:t>东莞市水务环境投资控股集团管网有限公司202</w:t>
      </w:r>
      <w:r>
        <w:rPr>
          <w:rFonts w:hint="eastAsia" w:ascii="宋体" w:hAnsi="宋体" w:eastAsia="宋体" w:cs="宋体"/>
          <w:b/>
          <w:bCs/>
          <w:color w:val="auto"/>
          <w:kern w:val="0"/>
          <w:sz w:val="21"/>
          <w:szCs w:val="21"/>
          <w:highlight w:val="none"/>
          <w:u w:val="none"/>
          <w:lang w:val="en-US" w:eastAsia="zh-CN" w:bidi="ar"/>
        </w:rPr>
        <w:t>6</w:t>
      </w:r>
      <w:r>
        <w:rPr>
          <w:rFonts w:hint="eastAsia" w:ascii="宋体" w:hAnsi="宋体" w:eastAsia="宋体" w:cs="宋体"/>
          <w:b/>
          <w:bCs/>
          <w:color w:val="auto"/>
          <w:kern w:val="0"/>
          <w:sz w:val="21"/>
          <w:szCs w:val="21"/>
          <w:highlight w:val="none"/>
          <w:u w:val="none"/>
          <w:lang w:eastAsia="zh-CN" w:bidi="ar"/>
        </w:rPr>
        <w:t>年</w:t>
      </w:r>
      <w:r>
        <w:rPr>
          <w:rFonts w:hint="eastAsia" w:eastAsia="宋体" w:cs="宋体"/>
          <w:b/>
          <w:bCs/>
          <w:color w:val="auto"/>
          <w:kern w:val="0"/>
          <w:sz w:val="21"/>
          <w:szCs w:val="21"/>
          <w:highlight w:val="none"/>
          <w:u w:val="none"/>
          <w:lang w:val="en-US" w:eastAsia="zh-CN" w:bidi="ar"/>
        </w:rPr>
        <w:t>自卸汽车</w:t>
      </w:r>
      <w:r>
        <w:rPr>
          <w:rFonts w:hint="eastAsia" w:ascii="宋体" w:hAnsi="宋体" w:eastAsia="宋体" w:cs="宋体"/>
          <w:b/>
          <w:bCs/>
          <w:color w:val="auto"/>
          <w:kern w:val="0"/>
          <w:sz w:val="21"/>
          <w:szCs w:val="21"/>
          <w:highlight w:val="none"/>
          <w:u w:val="none"/>
          <w:lang w:eastAsia="zh-CN" w:bidi="ar"/>
        </w:rPr>
        <w:t>采购项目</w:t>
      </w:r>
    </w:p>
    <w:p>
      <w:pPr>
        <w:pStyle w:val="34"/>
        <w:widowControl w:val="0"/>
        <w:autoSpaceDE w:val="0"/>
        <w:snapToGrid w:val="0"/>
        <w:spacing w:before="0" w:beforeAutospacing="0" w:after="0" w:afterAutospacing="0" w:line="360" w:lineRule="auto"/>
        <w:jc w:val="both"/>
        <w:rPr>
          <w:rFonts w:hint="default" w:eastAsia="宋体" w:cs="宋体"/>
          <w:color w:val="auto"/>
          <w:sz w:val="21"/>
          <w:szCs w:val="21"/>
          <w:highlight w:val="none"/>
          <w:u w:val="single"/>
          <w:lang w:val="en-US"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val="en-US" w:eastAsia="zh-CN" w:bidi="ar"/>
        </w:rPr>
        <w:t xml:space="preserve">GXTZ-ZB-2026第（40）号        </w:t>
      </w:r>
    </w:p>
    <w:tbl>
      <w:tblPr>
        <w:tblStyle w:val="42"/>
        <w:tblW w:w="10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30"/>
        <w:gridCol w:w="2340"/>
        <w:gridCol w:w="2422"/>
        <w:gridCol w:w="130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自卸汽车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bl>
    <w:p>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（3）填写内容包括但不限于组成实现用户需求书车辆所需功能的底盘、发动机、变速箱、空调</w:t>
      </w:r>
      <w:r>
        <w:rPr>
          <w:rFonts w:hint="eastAsia" w:ascii="宋体" w:hAnsi="宋体" w:eastAsia="宋体" w:cs="宋体"/>
          <w:b/>
          <w:color w:val="auto"/>
          <w:kern w:val="0"/>
          <w:szCs w:val="21"/>
          <w:highlight w:val="none"/>
          <w:lang w:val="en-US" w:eastAsia="zh-CN" w:bidi="ar"/>
        </w:rPr>
        <w:t>等</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68"/>
      <w:bookmarkEnd w:id="669"/>
      <w:bookmarkEnd w:id="670"/>
      <w:bookmarkEnd w:id="671"/>
      <w:bookmarkEnd w:id="672"/>
      <w:bookmarkEnd w:id="673"/>
      <w:bookmarkEnd w:id="674"/>
      <w:bookmarkEnd w:id="675"/>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widowControl/>
        <w:jc w:val="left"/>
        <w:rPr>
          <w:rFonts w:ascii="宋体" w:hAnsi="宋体" w:eastAsia="宋体" w:cs="Times New Roman"/>
          <w:color w:val="auto"/>
          <w:kern w:val="0"/>
          <w:szCs w:val="21"/>
          <w:highlight w:val="none"/>
        </w:rPr>
      </w:pPr>
      <w:bookmarkStart w:id="685" w:name="_Toc94107225"/>
      <w:r>
        <w:rPr>
          <w:rFonts w:ascii="宋体" w:hAnsi="宋体" w:eastAsia="宋体" w:cs="Times New Roman"/>
          <w:color w:val="auto"/>
          <w:kern w:val="0"/>
          <w:szCs w:val="21"/>
          <w:highlight w:val="none"/>
        </w:rPr>
        <w:br w:type="page"/>
      </w:r>
    </w:p>
    <w:bookmarkEnd w:id="685"/>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auto"/>
          <w:kern w:val="0"/>
          <w:sz w:val="32"/>
          <w:szCs w:val="32"/>
          <w:highlight w:val="none"/>
          <w:lang w:val="en-US" w:eastAsia="zh-CN" w:bidi="ar"/>
        </w:rPr>
      </w:pPr>
      <w:bookmarkStart w:id="686" w:name="_Toc6519"/>
      <w:bookmarkStart w:id="687" w:name="_Toc169169457"/>
      <w:bookmarkStart w:id="688" w:name="_Toc102860094"/>
      <w:bookmarkStart w:id="689" w:name="_Toc104991896"/>
      <w:bookmarkStart w:id="690" w:name="_Toc1222"/>
      <w:bookmarkStart w:id="691" w:name="_Toc142508389"/>
      <w:bookmarkStart w:id="692" w:name="_Toc140596949"/>
      <w:bookmarkStart w:id="693" w:name="_Toc770"/>
      <w:bookmarkStart w:id="694" w:name="_Toc102860438"/>
      <w:bookmarkStart w:id="695" w:name="_Toc533708139"/>
      <w:r>
        <w:rPr>
          <w:rFonts w:hint="eastAsia" w:ascii="宋体" w:hAnsi="宋体" w:eastAsia="宋体" w:cs="宋体"/>
          <w:b/>
          <w:color w:val="auto"/>
          <w:kern w:val="0"/>
          <w:sz w:val="32"/>
          <w:szCs w:val="32"/>
          <w:highlight w:val="none"/>
          <w:lang w:val="en-US" w:eastAsia="zh-CN" w:bidi="ar"/>
        </w:rPr>
        <w:t>14.4 所投车辆性能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b w:val="0"/>
          <w:color w:val="auto"/>
          <w:kern w:val="2"/>
          <w:sz w:val="21"/>
          <w:szCs w:val="21"/>
          <w:highlight w:val="none"/>
          <w:lang w:val="en-US" w:eastAsia="zh-CN" w:bidi="ar"/>
        </w:rPr>
      </w:pPr>
      <w:r>
        <w:rPr>
          <w:rFonts w:hint="default" w:ascii="宋体" w:hAnsi="宋体" w:eastAsia="宋体" w:cs="宋体"/>
          <w:b w:val="0"/>
          <w:color w:val="auto"/>
          <w:kern w:val="2"/>
          <w:sz w:val="21"/>
          <w:szCs w:val="21"/>
          <w:highlight w:val="none"/>
          <w:lang w:val="en-US" w:eastAsia="zh-CN" w:bidi="ar"/>
        </w:rPr>
        <w:t>说明：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default" w:ascii="宋体" w:hAnsi="宋体" w:eastAsia="宋体" w:cs="宋体"/>
          <w:b w:val="0"/>
          <w:color w:val="auto"/>
          <w:szCs w:val="21"/>
          <w:highlight w:val="none"/>
          <w:lang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r>
        <w:rPr>
          <w:rFonts w:hint="default" w:ascii="宋体" w:hAnsi="宋体" w:eastAsia="宋体" w:cs="宋体"/>
          <w:b w:val="0"/>
          <w:color w:val="auto"/>
          <w:szCs w:val="21"/>
          <w:highlight w:val="none"/>
          <w:lang w:eastAsia="zh-CN" w:bidi="ar"/>
        </w:rPr>
        <w:t>。</w:t>
      </w:r>
    </w:p>
    <w:p>
      <w:pPr>
        <w:pStyle w:val="2"/>
        <w:rPr>
          <w:rFonts w:hint="default"/>
          <w:color w:val="auto"/>
          <w:highlight w:val="none"/>
          <w:lang w:val="en-US" w:eastAsia="zh-CN"/>
        </w:rPr>
      </w:pPr>
    </w:p>
    <w:p>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4.5</w:t>
      </w:r>
      <w:r>
        <w:rPr>
          <w:rFonts w:hint="eastAsia" w:ascii="宋体" w:hAnsi="宋体" w:eastAsia="宋体" w:cs="宋体"/>
          <w:b/>
          <w:color w:val="auto"/>
          <w:kern w:val="0"/>
          <w:sz w:val="32"/>
          <w:szCs w:val="32"/>
          <w:highlight w:val="none"/>
          <w:lang w:bidi="ar"/>
        </w:rPr>
        <w:t xml:space="preserve"> </w:t>
      </w:r>
      <w:bookmarkEnd w:id="686"/>
      <w:bookmarkEnd w:id="687"/>
      <w:bookmarkStart w:id="696" w:name="_Toc169169459"/>
      <w:bookmarkStart w:id="697" w:name="_Toc31131"/>
      <w:r>
        <w:rPr>
          <w:rFonts w:hint="eastAsia" w:ascii="宋体" w:hAnsi="宋体" w:eastAsia="宋体" w:cs="宋体"/>
          <w:b/>
          <w:color w:val="auto"/>
          <w:kern w:val="0"/>
          <w:sz w:val="32"/>
          <w:szCs w:val="32"/>
          <w:highlight w:val="none"/>
          <w:lang w:bidi="ar"/>
        </w:rPr>
        <w:t>售后服务承诺书格式</w:t>
      </w:r>
      <w:bookmarkEnd w:id="696"/>
      <w:bookmarkEnd w:id="697"/>
    </w:p>
    <w:p>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42"/>
        <w:tblW w:w="10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2"/>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698" w:name="_Toc169169460"/>
      <w:bookmarkStart w:id="699" w:name="_Toc31934"/>
    </w:p>
    <w:p>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98"/>
      <w:bookmarkEnd w:id="699"/>
      <w:bookmarkStart w:id="700" w:name="_Toc31932"/>
      <w:bookmarkStart w:id="701" w:name="_Toc169169461"/>
      <w:r>
        <w:rPr>
          <w:rFonts w:hint="eastAsia" w:ascii="宋体" w:hAnsi="宋体" w:eastAsia="宋体" w:cs="宋体"/>
          <w:b/>
          <w:color w:val="auto"/>
          <w:kern w:val="0"/>
          <w:sz w:val="32"/>
          <w:szCs w:val="32"/>
          <w:highlight w:val="none"/>
          <w:lang w:bidi="ar"/>
        </w:rPr>
        <w:t>质保期及服务便利性承诺书格式</w:t>
      </w:r>
      <w:bookmarkEnd w:id="700"/>
      <w:bookmarkEnd w:id="701"/>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42"/>
        <w:tblW w:w="9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8"/>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pPr>
        <w:autoSpaceDE w:val="0"/>
        <w:autoSpaceDN w:val="0"/>
        <w:adjustRightInd w:val="0"/>
        <w:spacing w:line="360" w:lineRule="auto"/>
        <w:jc w:val="left"/>
        <w:rPr>
          <w:rFonts w:ascii="宋体" w:hAnsi="宋体" w:eastAsia="宋体" w:cs="宋体"/>
          <w:color w:val="auto"/>
          <w:szCs w:val="21"/>
          <w:highlight w:val="none"/>
        </w:rPr>
      </w:pP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2" w:name="_Toc2113"/>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688"/>
      <w:bookmarkEnd w:id="689"/>
      <w:bookmarkEnd w:id="690"/>
      <w:bookmarkEnd w:id="691"/>
      <w:bookmarkEnd w:id="692"/>
      <w:bookmarkEnd w:id="693"/>
      <w:bookmarkEnd w:id="694"/>
      <w:bookmarkEnd w:id="702"/>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3" w:name="_Toc25469"/>
      <w:bookmarkStart w:id="704" w:name="_Toc142508390"/>
      <w:bookmarkStart w:id="705" w:name="_Toc28845"/>
      <w:bookmarkStart w:id="706" w:name="_Toc3113"/>
      <w:bookmarkStart w:id="707" w:name="_Toc22601_WPSOffice_Level1"/>
      <w:bookmarkStart w:id="708" w:name="_Toc521918141"/>
      <w:bookmarkStart w:id="709" w:name="_Toc522047402"/>
      <w:r>
        <w:rPr>
          <w:rFonts w:hint="eastAsia" w:ascii="宋体" w:hAnsi="宋体" w:eastAsia="宋体" w:cs="宋体"/>
          <w:b/>
          <w:bCs/>
          <w:color w:val="auto"/>
          <w:kern w:val="44"/>
          <w:sz w:val="32"/>
          <w:szCs w:val="32"/>
          <w:highlight w:val="none"/>
          <w:lang w:val="zh-CN"/>
        </w:rPr>
        <w:t>附件一：评标工作大纲</w:t>
      </w:r>
      <w:bookmarkEnd w:id="703"/>
      <w:bookmarkEnd w:id="704"/>
      <w:bookmarkEnd w:id="705"/>
      <w:bookmarkEnd w:id="706"/>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w:t>
      </w:r>
      <w:r>
        <w:rPr>
          <w:rFonts w:hint="eastAsia" w:ascii="宋体" w:hAnsi="宋体" w:eastAsia="宋体" w:cs="宋体"/>
          <w:b/>
          <w:bCs/>
          <w:color w:val="auto"/>
          <w:sz w:val="40"/>
          <w:szCs w:val="36"/>
          <w:highlight w:val="none"/>
          <w:lang w:val="en-US" w:eastAsia="zh-CN"/>
        </w:rPr>
        <w:t>自卸汽车</w:t>
      </w:r>
      <w:r>
        <w:rPr>
          <w:rFonts w:hint="eastAsia" w:ascii="宋体" w:hAnsi="宋体" w:eastAsia="宋体" w:cs="宋体"/>
          <w:b/>
          <w:bCs/>
          <w:color w:val="auto"/>
          <w:sz w:val="40"/>
          <w:szCs w:val="36"/>
          <w:highlight w:val="none"/>
          <w:lang w:eastAsia="zh-CN"/>
        </w:rPr>
        <w:t>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10" w:name="_Toc14752_WPSOffice_Level1"/>
      <w:r>
        <w:rPr>
          <w:rFonts w:hint="eastAsia" w:ascii="宋体" w:hAnsi="宋体" w:eastAsia="宋体" w:cs="宋体"/>
          <w:b/>
          <w:bCs/>
          <w:color w:val="auto"/>
          <w:sz w:val="36"/>
          <w:szCs w:val="36"/>
          <w:highlight w:val="none"/>
          <w:lang w:val="zh-CN"/>
        </w:rPr>
        <w:t>（招标编号：GXTZ-ZB-2026第（40）号）</w:t>
      </w:r>
      <w:bookmarkEnd w:id="71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1" w:name="_Toc18947_WPSOffice_Level2"/>
      <w:r>
        <w:rPr>
          <w:rFonts w:hint="eastAsia" w:ascii="宋体" w:hAnsi="宋体" w:eastAsia="宋体" w:cs="宋体"/>
          <w:b/>
          <w:bCs/>
          <w:color w:val="auto"/>
          <w:sz w:val="72"/>
          <w:szCs w:val="72"/>
          <w:highlight w:val="none"/>
          <w:lang w:val="zh-CN"/>
        </w:rPr>
        <w:t>评标工作大纲</w:t>
      </w:r>
      <w:bookmarkEnd w:id="711"/>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2" w:name="_Toc32395_WPSOffice_Level1"/>
      <w:r>
        <w:rPr>
          <w:rFonts w:hint="eastAsia" w:ascii="宋体" w:hAnsi="宋体" w:eastAsia="宋体" w:cs="宋体"/>
          <w:b/>
          <w:bCs/>
          <w:color w:val="auto"/>
          <w:sz w:val="36"/>
          <w:szCs w:val="36"/>
          <w:highlight w:val="none"/>
          <w:lang w:val="zh-CN"/>
        </w:rPr>
        <w:t>目录</w:t>
      </w:r>
      <w:bookmarkEnd w:id="712"/>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1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3"/>
    </w:p>
    <w:p>
      <w:pPr>
        <w:autoSpaceDE w:val="0"/>
        <w:autoSpaceDN w:val="0"/>
        <w:adjustRightInd w:val="0"/>
        <w:spacing w:line="360" w:lineRule="auto"/>
        <w:ind w:left="567" w:hanging="567"/>
        <w:rPr>
          <w:rFonts w:ascii="宋体" w:hAnsi="宋体" w:eastAsia="宋体" w:cs="宋体"/>
          <w:color w:val="auto"/>
          <w:szCs w:val="30"/>
          <w:highlight w:val="none"/>
        </w:rPr>
      </w:pPr>
      <w:bookmarkStart w:id="71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4"/>
    </w:p>
    <w:p>
      <w:pPr>
        <w:autoSpaceDE w:val="0"/>
        <w:autoSpaceDN w:val="0"/>
        <w:adjustRightInd w:val="0"/>
        <w:spacing w:line="360" w:lineRule="auto"/>
        <w:ind w:left="567" w:hanging="567"/>
        <w:rPr>
          <w:rFonts w:ascii="宋体" w:hAnsi="宋体" w:eastAsia="宋体" w:cs="宋体"/>
          <w:color w:val="auto"/>
          <w:szCs w:val="30"/>
          <w:highlight w:val="none"/>
        </w:rPr>
      </w:pPr>
      <w:bookmarkStart w:id="71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5"/>
    </w:p>
    <w:p>
      <w:pPr>
        <w:autoSpaceDE w:val="0"/>
        <w:autoSpaceDN w:val="0"/>
        <w:adjustRightInd w:val="0"/>
        <w:spacing w:line="360" w:lineRule="auto"/>
        <w:ind w:left="567" w:hanging="567"/>
        <w:rPr>
          <w:rFonts w:ascii="宋体" w:hAnsi="宋体" w:eastAsia="宋体" w:cs="宋体"/>
          <w:color w:val="auto"/>
          <w:szCs w:val="30"/>
          <w:highlight w:val="none"/>
        </w:rPr>
      </w:pPr>
      <w:bookmarkStart w:id="716" w:name="_Toc1206_WPSOffice_Level1"/>
      <w:r>
        <w:rPr>
          <w:rFonts w:hint="eastAsia" w:ascii="宋体" w:hAnsi="宋体" w:eastAsia="宋体" w:cs="宋体"/>
          <w:color w:val="auto"/>
          <w:szCs w:val="30"/>
          <w:highlight w:val="none"/>
        </w:rPr>
        <w:t>四、 比较和评价</w:t>
      </w:r>
      <w:bookmarkEnd w:id="716"/>
    </w:p>
    <w:p>
      <w:pPr>
        <w:autoSpaceDE w:val="0"/>
        <w:autoSpaceDN w:val="0"/>
        <w:adjustRightInd w:val="0"/>
        <w:spacing w:line="360" w:lineRule="auto"/>
        <w:ind w:left="567" w:hanging="567"/>
        <w:rPr>
          <w:rFonts w:ascii="宋体" w:hAnsi="宋体" w:eastAsia="宋体" w:cs="宋体"/>
          <w:color w:val="auto"/>
          <w:szCs w:val="30"/>
          <w:highlight w:val="none"/>
        </w:rPr>
      </w:pPr>
      <w:bookmarkStart w:id="71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7"/>
    </w:p>
    <w:p>
      <w:pPr>
        <w:autoSpaceDE w:val="0"/>
        <w:autoSpaceDN w:val="0"/>
        <w:adjustRightInd w:val="0"/>
        <w:spacing w:line="360" w:lineRule="auto"/>
        <w:ind w:left="567" w:hanging="567"/>
        <w:rPr>
          <w:rFonts w:ascii="宋体" w:hAnsi="宋体" w:eastAsia="宋体" w:cs="宋体"/>
          <w:color w:val="auto"/>
          <w:szCs w:val="30"/>
          <w:highlight w:val="none"/>
        </w:rPr>
      </w:pPr>
      <w:bookmarkStart w:id="71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8"/>
    </w:p>
    <w:p>
      <w:pPr>
        <w:autoSpaceDE w:val="0"/>
        <w:autoSpaceDN w:val="0"/>
        <w:adjustRightInd w:val="0"/>
        <w:spacing w:line="360" w:lineRule="auto"/>
        <w:ind w:left="567" w:hanging="567"/>
        <w:rPr>
          <w:rFonts w:ascii="宋体" w:hAnsi="宋体" w:eastAsia="宋体" w:cs="宋体"/>
          <w:color w:val="auto"/>
          <w:szCs w:val="30"/>
          <w:highlight w:val="none"/>
        </w:rPr>
      </w:pPr>
      <w:bookmarkStart w:id="71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9"/>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0"/>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w:t>
      </w:r>
      <w:r>
        <w:rPr>
          <w:rFonts w:hint="eastAsia" w:ascii="宋体" w:hAnsi="宋体" w:eastAsia="宋体" w:cs="宋体"/>
          <w:color w:val="auto"/>
          <w:kern w:val="0"/>
          <w:szCs w:val="21"/>
          <w:highlight w:val="none"/>
          <w:lang w:val="en-US" w:eastAsia="zh-CN"/>
        </w:rPr>
        <w:t>自卸汽车</w:t>
      </w:r>
      <w:r>
        <w:rPr>
          <w:rFonts w:hint="eastAsia" w:ascii="宋体" w:hAnsi="宋体" w:eastAsia="宋体" w:cs="宋体"/>
          <w:color w:val="auto"/>
          <w:kern w:val="0"/>
          <w:szCs w:val="21"/>
          <w:highlight w:val="none"/>
          <w:lang w:eastAsia="zh-CN"/>
        </w:rPr>
        <w:t>采购项目</w:t>
      </w:r>
      <w:r>
        <w:rPr>
          <w:rFonts w:hint="eastAsia" w:ascii="宋体" w:hAnsi="宋体" w:eastAsia="宋体" w:cs="宋体"/>
          <w:color w:val="auto"/>
          <w:szCs w:val="21"/>
          <w:highlight w:val="none"/>
          <w:lang w:val="zh-CN"/>
        </w:rPr>
        <w:t>(招标编号：GXTZ-ZB-2026第（40）号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21" w:name="_Toc19435_WPSOffice_Level1"/>
      <w:r>
        <w:rPr>
          <w:rFonts w:hint="eastAsia" w:ascii="宋体" w:hAnsi="宋体" w:eastAsia="宋体" w:cs="宋体"/>
          <w:b/>
          <w:bCs/>
          <w:color w:val="auto"/>
          <w:sz w:val="28"/>
          <w:szCs w:val="28"/>
          <w:highlight w:val="none"/>
          <w:lang w:val="zh-CN"/>
        </w:rPr>
        <w:t>二、投标文件的初审</w:t>
      </w:r>
      <w:bookmarkEnd w:id="721"/>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22" w:name="_Toc4109_WPSOffice_Level1"/>
      <w:r>
        <w:rPr>
          <w:rFonts w:hint="eastAsia" w:ascii="宋体" w:hAnsi="宋体" w:eastAsia="宋体" w:cs="宋体"/>
          <w:b/>
          <w:bCs/>
          <w:color w:val="auto"/>
          <w:sz w:val="28"/>
          <w:szCs w:val="28"/>
          <w:highlight w:val="none"/>
          <w:lang w:val="zh-CN"/>
        </w:rPr>
        <w:t>三、澄清有关问题</w:t>
      </w:r>
      <w:bookmarkEnd w:id="722"/>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3"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3"/>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25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w:t>
            </w:r>
            <w:r>
              <w:rPr>
                <w:rFonts w:hint="eastAsia" w:ascii="宋体" w:hAnsi="宋体" w:eastAsia="宋体" w:cs="宋体"/>
                <w:b w:val="0"/>
                <w:bCs/>
                <w:color w:val="auto"/>
                <w:szCs w:val="21"/>
                <w:highlight w:val="none"/>
                <w:lang w:bidi="ar"/>
              </w:rPr>
              <w:t>0分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24"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4"/>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5"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（1）投标人2023年以来(签订合同的时间要求为2023年1月1日或以后)具有所投车型销售业绩的，至少提供本项目需求数量(</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bidi="ar"/>
              </w:rPr>
              <w:t>辆)，在满足需求数量上每增加一辆的，得2分，本子项满分16分。</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提供投标人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pPr>
              <w:pStyle w:val="34"/>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pPr>
              <w:pStyle w:val="34"/>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25"/>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26"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26"/>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3"/>
        <w:gridCol w:w="766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27"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自卸汽车的性能</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eastAsia="宋体" w:cs="黑体"/>
                <w:bCs/>
                <w:color w:val="auto"/>
                <w:szCs w:val="21"/>
                <w:highlight w:val="none"/>
              </w:rPr>
            </w:pPr>
            <w:r>
              <w:rPr>
                <w:rFonts w:hint="eastAsia" w:ascii="宋体" w:hAnsi="宋体" w:eastAsia="宋体" w:cs="宋体"/>
                <w:bCs/>
                <w:color w:val="auto"/>
                <w:szCs w:val="21"/>
                <w:highlight w:val="none"/>
                <w:lang w:bidi="ar"/>
              </w:rPr>
              <w:t>(1)对投标车辆的发动机最大功率(KW)，按功率从大到小进行排序，排序第一的得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(2)对投标车辆的额定载重量（kg），按额定载重量从大到小进行排序，排序第一的得</w:t>
            </w:r>
            <w:r>
              <w:rPr>
                <w:rFonts w:hint="eastAsia" w:ascii="宋体" w:hAnsi="宋体" w:eastAsia="宋体" w:cs="宋体"/>
                <w:bCs/>
                <w:color w:val="auto"/>
                <w:szCs w:val="21"/>
                <w:highlight w:val="none"/>
                <w:lang w:val="en-US" w:eastAsia="zh-CN" w:bidi="ar"/>
              </w:rPr>
              <w:t>4</w:t>
            </w:r>
            <w:r>
              <w:rPr>
                <w:rFonts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ascii="宋体" w:hAnsi="宋体" w:eastAsia="宋体" w:cs="宋体"/>
                <w:bCs/>
                <w:color w:val="auto"/>
                <w:szCs w:val="21"/>
                <w:highlight w:val="none"/>
                <w:lang w:bidi="ar"/>
              </w:rPr>
              <w:t>分，排序第三的得2分，排序第四的得</w:t>
            </w:r>
            <w:r>
              <w:rPr>
                <w:rFonts w:hint="eastAsia" w:ascii="宋体" w:hAnsi="宋体" w:eastAsia="宋体" w:cs="宋体"/>
                <w:bCs/>
                <w:color w:val="auto"/>
                <w:szCs w:val="21"/>
                <w:highlight w:val="none"/>
                <w:lang w:val="en-US" w:eastAsia="zh-CN" w:bidi="ar"/>
              </w:rPr>
              <w:t>1</w:t>
            </w:r>
            <w:r>
              <w:rPr>
                <w:rFonts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bidi="ar"/>
              </w:rPr>
              <w:t>；</w:t>
            </w:r>
          </w:p>
          <w:p>
            <w:pPr>
              <w:autoSpaceDE w:val="0"/>
              <w:autoSpaceDN w:val="0"/>
              <w:adjustRightInd w:val="0"/>
              <w:snapToGrid w:val="0"/>
              <w:spacing w:line="360" w:lineRule="auto"/>
              <w:jc w:val="left"/>
              <w:rPr>
                <w:rFonts w:ascii="宋体" w:hAnsi="宋体" w:eastAsia="宋体" w:cs="黑体"/>
                <w:bCs/>
                <w:color w:val="auto"/>
                <w:szCs w:val="21"/>
                <w:highlight w:val="none"/>
              </w:rPr>
            </w:pPr>
            <w:r>
              <w:rPr>
                <w:rFonts w:hint="eastAsia" w:ascii="宋体" w:hAnsi="宋体" w:eastAsia="宋体" w:cs="宋体"/>
                <w:bCs/>
                <w:color w:val="auto"/>
                <w:szCs w:val="21"/>
                <w:highlight w:val="none"/>
                <w:lang w:bidi="ar"/>
              </w:rPr>
              <w:t>(3)对投标车辆的最大扭矩(N·m),按扭矩从大到小进行排序，排序第一的得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(4)对投标车辆的货厢高度，按高到低进行排序，排序第一的得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7665" w:type="dxa"/>
            <w:tcBorders>
              <w:top w:val="single" w:color="auto" w:sz="4" w:space="0"/>
              <w:left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根据各投标人承诺的车辆保养次数进行评审：在合同的质保期外，每增加1次免费与用户需求要求书同级保养的得1分，本项最高得3分。</w:t>
            </w:r>
          </w:p>
          <w:p>
            <w:pPr>
              <w:pStyle w:val="34"/>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pPr>
              <w:pStyle w:val="34"/>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7665" w:type="dxa"/>
            <w:tcBorders>
              <w:top w:val="single" w:color="auto" w:sz="4" w:space="0"/>
              <w:left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pPr>
              <w:pStyle w:val="34"/>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27"/>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28" w:name="_Toc31624_WPSOffice_Level2"/>
      <w:r>
        <w:rPr>
          <w:rFonts w:hint="eastAsia" w:ascii="宋体" w:hAnsi="宋体" w:eastAsia="宋体" w:cs="宋体"/>
          <w:color w:val="auto"/>
          <w:kern w:val="0"/>
          <w:szCs w:val="28"/>
          <w:highlight w:val="none"/>
          <w:lang w:val="zh-CN"/>
        </w:rPr>
        <w:t>评标总得分=F1＋F2＋……+Fn</w:t>
      </w:r>
      <w:bookmarkEnd w:id="728"/>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9" w:name="_Toc13236_WPSOffice_Level2"/>
      <w:r>
        <w:rPr>
          <w:rFonts w:hint="eastAsia" w:ascii="宋体" w:hAnsi="宋体" w:eastAsia="宋体" w:cs="宋体"/>
          <w:color w:val="auto"/>
          <w:kern w:val="0"/>
          <w:szCs w:val="21"/>
          <w:highlight w:val="none"/>
        </w:rPr>
        <w:t>F1、F2、……Fn分别为各项评分因素的得分</w:t>
      </w:r>
      <w:bookmarkEnd w:id="72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30" w:name="_Toc518_WPSOffice_Level1"/>
      <w:r>
        <w:rPr>
          <w:rFonts w:hint="eastAsia" w:ascii="宋体" w:hAnsi="宋体" w:eastAsia="宋体" w:cs="宋体"/>
          <w:b/>
          <w:bCs/>
          <w:color w:val="auto"/>
          <w:sz w:val="28"/>
          <w:szCs w:val="28"/>
          <w:highlight w:val="none"/>
          <w:lang w:val="zh-CN"/>
        </w:rPr>
        <w:t>五、推荐中标人</w:t>
      </w:r>
      <w:bookmarkEnd w:id="730"/>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31" w:name="_Toc22724_WPSOffice_Level1"/>
      <w:r>
        <w:rPr>
          <w:rFonts w:hint="eastAsia" w:ascii="宋体" w:hAnsi="宋体" w:eastAsia="宋体" w:cs="宋体"/>
          <w:b/>
          <w:bCs/>
          <w:color w:val="auto"/>
          <w:sz w:val="28"/>
          <w:szCs w:val="28"/>
          <w:highlight w:val="none"/>
          <w:lang w:val="zh-CN"/>
        </w:rPr>
        <w:t>六、编写评标报告</w:t>
      </w:r>
      <w:bookmarkEnd w:id="731"/>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32" w:name="_Toc23773_WPSOffice_Level1"/>
      <w:r>
        <w:rPr>
          <w:rFonts w:hint="eastAsia" w:ascii="宋体" w:hAnsi="宋体" w:eastAsia="宋体" w:cs="宋体"/>
          <w:b/>
          <w:bCs/>
          <w:color w:val="auto"/>
          <w:sz w:val="28"/>
          <w:szCs w:val="28"/>
          <w:highlight w:val="none"/>
          <w:lang w:val="zh-CN"/>
        </w:rPr>
        <w:t>七、注意事项</w:t>
      </w:r>
      <w:bookmarkEnd w:id="732"/>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5"/>
      <w:bookmarkEnd w:id="707"/>
      <w:bookmarkEnd w:id="708"/>
      <w:bookmarkEnd w:id="709"/>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8240" behindDoc="0" locked="0" layoutInCell="1" allowOverlap="1">
              <wp:simplePos x="0" y="0"/>
              <wp:positionH relativeFrom="margin">
                <wp:posOffset>2619375</wp:posOffset>
              </wp:positionH>
              <wp:positionV relativeFrom="paragraph">
                <wp:posOffset>0</wp:posOffset>
              </wp:positionV>
              <wp:extent cx="1194435" cy="1543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9443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25pt;margin-top:0pt;height:12.15pt;width:94.05pt;mso-position-horizontal-relative:margin;z-index:251658240;mso-width-relative:page;mso-height-relative:page;" filled="f" stroked="f" coordsize="21600,21600" o:gfxdata="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DhBNNYAAAAHAQAA&#10;DwAAAAAAAAABACAAAAAiAAAAZHJzL2Rvd25yZXYueG1sUEsBAhQAFAAAAAgAh07iQHnpq4kbAgAA&#10;FAQAAA4AAAAAAAAAAQAgAAAAJQEAAGRycy9lMm9Eb2MueG1sUEsFBgAAAAAGAAYAWQEAALIFAAAA&#10;AA==&#10;">
              <v:fill on="f" focussize="0,0"/>
              <v:stroke on="f" weight="0.5pt"/>
              <v:imagedata o:title=""/>
              <o:lock v:ext="edit" aspectratio="f"/>
              <v:textbox inset="0mm,0mm,0mm,0mm">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2677160</wp:posOffset>
              </wp:positionH>
              <wp:positionV relativeFrom="paragraph">
                <wp:posOffset>-10795</wp:posOffset>
              </wp:positionV>
              <wp:extent cx="1129665" cy="165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29665"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8pt;margin-top:-0.85pt;height:13pt;width:88.95pt;mso-position-horizontal-relative:margin;z-index:251659264;mso-width-relative:page;mso-height-relative:page;" filled="f" stroked="f" coordsize="21600,21600" o:gfxdata="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d0da2QAAAAkB&#10;AAAPAAAAAAAAAAEAIAAAACIAAABkcnMvZG93bnJldi54bWxQSwECFAAUAAAACACHTuJAw71/hBoC&#10;AAAUBAAADgAAAAAAAAABACAAAAAoAQAAZHJzL2Uyb0RvYy54bWxQSwUGAAAAAAYABgBZAQAAtAUA&#10;AAAA&#10;">
              <v:fill on="f" focussize="0,0"/>
              <v:stroke on="f" weight="0.5pt"/>
              <v:imagedata o:title=""/>
              <o:lock v:ext="edit" aspectratio="f"/>
              <v:textbox inset="0mm,0mm,0mm,0mm">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39461C9"/>
    <w:rsid w:val="045A2733"/>
    <w:rsid w:val="047D61C3"/>
    <w:rsid w:val="052F2A11"/>
    <w:rsid w:val="054B67E4"/>
    <w:rsid w:val="058F7720"/>
    <w:rsid w:val="05C50C80"/>
    <w:rsid w:val="06447858"/>
    <w:rsid w:val="064E6EC7"/>
    <w:rsid w:val="06A75D00"/>
    <w:rsid w:val="08EC5ED4"/>
    <w:rsid w:val="0992356F"/>
    <w:rsid w:val="0B6C781B"/>
    <w:rsid w:val="0B946D73"/>
    <w:rsid w:val="0BCD6AE0"/>
    <w:rsid w:val="0CC04ECC"/>
    <w:rsid w:val="0CF103CF"/>
    <w:rsid w:val="0E7878FC"/>
    <w:rsid w:val="0F0D726A"/>
    <w:rsid w:val="0F116E37"/>
    <w:rsid w:val="0F241091"/>
    <w:rsid w:val="0FFE13F3"/>
    <w:rsid w:val="10086345"/>
    <w:rsid w:val="120F2547"/>
    <w:rsid w:val="123C49C0"/>
    <w:rsid w:val="127777A6"/>
    <w:rsid w:val="12A0070B"/>
    <w:rsid w:val="130F4A87"/>
    <w:rsid w:val="136E0BA9"/>
    <w:rsid w:val="14FC3F43"/>
    <w:rsid w:val="16224D17"/>
    <w:rsid w:val="162930AC"/>
    <w:rsid w:val="16C60CFC"/>
    <w:rsid w:val="17CF1E32"/>
    <w:rsid w:val="181E5F9F"/>
    <w:rsid w:val="184129E0"/>
    <w:rsid w:val="187632C1"/>
    <w:rsid w:val="18B273BB"/>
    <w:rsid w:val="19F30CB9"/>
    <w:rsid w:val="1A092647"/>
    <w:rsid w:val="1A93020C"/>
    <w:rsid w:val="1AA44EB0"/>
    <w:rsid w:val="1B0940FF"/>
    <w:rsid w:val="1B95437F"/>
    <w:rsid w:val="1C0A00EE"/>
    <w:rsid w:val="1C230BEF"/>
    <w:rsid w:val="1C3246ED"/>
    <w:rsid w:val="1C365FDC"/>
    <w:rsid w:val="1D2465FD"/>
    <w:rsid w:val="1D2F29B4"/>
    <w:rsid w:val="1DE55E1B"/>
    <w:rsid w:val="1E2471AC"/>
    <w:rsid w:val="1E5B2D80"/>
    <w:rsid w:val="1EE4006C"/>
    <w:rsid w:val="1F55598E"/>
    <w:rsid w:val="1F6848BE"/>
    <w:rsid w:val="1FF443A9"/>
    <w:rsid w:val="20167F3D"/>
    <w:rsid w:val="207A1985"/>
    <w:rsid w:val="20C43FC5"/>
    <w:rsid w:val="214B25BC"/>
    <w:rsid w:val="21A82ABD"/>
    <w:rsid w:val="220F4EBC"/>
    <w:rsid w:val="226C09A9"/>
    <w:rsid w:val="23CD191B"/>
    <w:rsid w:val="23E154DE"/>
    <w:rsid w:val="24F45147"/>
    <w:rsid w:val="24F71DCD"/>
    <w:rsid w:val="251B673B"/>
    <w:rsid w:val="252235A1"/>
    <w:rsid w:val="26123013"/>
    <w:rsid w:val="262550F0"/>
    <w:rsid w:val="262C71DD"/>
    <w:rsid w:val="26A55A46"/>
    <w:rsid w:val="271B20BE"/>
    <w:rsid w:val="27ED1C13"/>
    <w:rsid w:val="285D4567"/>
    <w:rsid w:val="286E02B3"/>
    <w:rsid w:val="28CD7B64"/>
    <w:rsid w:val="28DA73F5"/>
    <w:rsid w:val="293F0453"/>
    <w:rsid w:val="298C43E9"/>
    <w:rsid w:val="2A7118A4"/>
    <w:rsid w:val="2AD065E7"/>
    <w:rsid w:val="2AEF6F76"/>
    <w:rsid w:val="2AF43B8C"/>
    <w:rsid w:val="2B5155EA"/>
    <w:rsid w:val="2B522994"/>
    <w:rsid w:val="2B59040F"/>
    <w:rsid w:val="2BFF3010"/>
    <w:rsid w:val="2C334D1F"/>
    <w:rsid w:val="2C3C0BB7"/>
    <w:rsid w:val="2C85114F"/>
    <w:rsid w:val="2CA927FA"/>
    <w:rsid w:val="2CB7740E"/>
    <w:rsid w:val="2CFC2BFE"/>
    <w:rsid w:val="2DB11966"/>
    <w:rsid w:val="2E9372BE"/>
    <w:rsid w:val="2F3445FD"/>
    <w:rsid w:val="2FC811E9"/>
    <w:rsid w:val="2FEE685D"/>
    <w:rsid w:val="305A54BE"/>
    <w:rsid w:val="30BD39F7"/>
    <w:rsid w:val="30FC265C"/>
    <w:rsid w:val="314D028A"/>
    <w:rsid w:val="31D43E75"/>
    <w:rsid w:val="32285F6F"/>
    <w:rsid w:val="329533D5"/>
    <w:rsid w:val="32C0264B"/>
    <w:rsid w:val="330857BD"/>
    <w:rsid w:val="33420B50"/>
    <w:rsid w:val="335C4122"/>
    <w:rsid w:val="33756588"/>
    <w:rsid w:val="33DC2C79"/>
    <w:rsid w:val="33EA59F4"/>
    <w:rsid w:val="34515C51"/>
    <w:rsid w:val="34F16BB3"/>
    <w:rsid w:val="351F745C"/>
    <w:rsid w:val="355530AA"/>
    <w:rsid w:val="35607747"/>
    <w:rsid w:val="364631D7"/>
    <w:rsid w:val="368928C2"/>
    <w:rsid w:val="37650758"/>
    <w:rsid w:val="377620A8"/>
    <w:rsid w:val="37836E9C"/>
    <w:rsid w:val="37916BE9"/>
    <w:rsid w:val="37AA4D44"/>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BFA3936"/>
    <w:rsid w:val="3C7C3116"/>
    <w:rsid w:val="3D086929"/>
    <w:rsid w:val="3D266911"/>
    <w:rsid w:val="3DF057DF"/>
    <w:rsid w:val="3E6F4B88"/>
    <w:rsid w:val="3EA13963"/>
    <w:rsid w:val="3EFD0EAF"/>
    <w:rsid w:val="3F040523"/>
    <w:rsid w:val="3F5B255F"/>
    <w:rsid w:val="3FA27361"/>
    <w:rsid w:val="404120E9"/>
    <w:rsid w:val="40C7727C"/>
    <w:rsid w:val="41404C99"/>
    <w:rsid w:val="41717DFA"/>
    <w:rsid w:val="41C72D9A"/>
    <w:rsid w:val="425828A0"/>
    <w:rsid w:val="42BB34C9"/>
    <w:rsid w:val="43741014"/>
    <w:rsid w:val="43B50E83"/>
    <w:rsid w:val="43F959BD"/>
    <w:rsid w:val="443959F3"/>
    <w:rsid w:val="44A02DC8"/>
    <w:rsid w:val="45435142"/>
    <w:rsid w:val="462C18BF"/>
    <w:rsid w:val="46B76957"/>
    <w:rsid w:val="46E777F2"/>
    <w:rsid w:val="48931F3C"/>
    <w:rsid w:val="48BA3C71"/>
    <w:rsid w:val="49E71187"/>
    <w:rsid w:val="49F47221"/>
    <w:rsid w:val="4BD56D10"/>
    <w:rsid w:val="4BEA250F"/>
    <w:rsid w:val="4C3957DF"/>
    <w:rsid w:val="4C567E51"/>
    <w:rsid w:val="4D714816"/>
    <w:rsid w:val="4DF0694A"/>
    <w:rsid w:val="4E485577"/>
    <w:rsid w:val="4E6B77B5"/>
    <w:rsid w:val="4E7B3B9E"/>
    <w:rsid w:val="4EC01BE8"/>
    <w:rsid w:val="4F0A4599"/>
    <w:rsid w:val="4F38383D"/>
    <w:rsid w:val="4FCD1AFA"/>
    <w:rsid w:val="4FE65048"/>
    <w:rsid w:val="50E83041"/>
    <w:rsid w:val="51892F55"/>
    <w:rsid w:val="52AE06E9"/>
    <w:rsid w:val="52DF1F0E"/>
    <w:rsid w:val="52F80915"/>
    <w:rsid w:val="533A6EE9"/>
    <w:rsid w:val="53A40CC6"/>
    <w:rsid w:val="542F0F92"/>
    <w:rsid w:val="544F4775"/>
    <w:rsid w:val="54740CD6"/>
    <w:rsid w:val="54C47921"/>
    <w:rsid w:val="54D86537"/>
    <w:rsid w:val="55466588"/>
    <w:rsid w:val="560B79BC"/>
    <w:rsid w:val="568802DB"/>
    <w:rsid w:val="56B37004"/>
    <w:rsid w:val="57563B36"/>
    <w:rsid w:val="581A61D6"/>
    <w:rsid w:val="58466353"/>
    <w:rsid w:val="58492C1E"/>
    <w:rsid w:val="59633BAD"/>
    <w:rsid w:val="59A31B20"/>
    <w:rsid w:val="59F40CA9"/>
    <w:rsid w:val="5A056A12"/>
    <w:rsid w:val="5A1522A3"/>
    <w:rsid w:val="5B0E7E27"/>
    <w:rsid w:val="5BD259DA"/>
    <w:rsid w:val="5BE12FA3"/>
    <w:rsid w:val="5BE32FBA"/>
    <w:rsid w:val="5BF524D0"/>
    <w:rsid w:val="5C2A2C0B"/>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20E0D6B"/>
    <w:rsid w:val="62965385"/>
    <w:rsid w:val="62B13874"/>
    <w:rsid w:val="62FF74A9"/>
    <w:rsid w:val="63672753"/>
    <w:rsid w:val="645779AB"/>
    <w:rsid w:val="656C3DE9"/>
    <w:rsid w:val="65C14135"/>
    <w:rsid w:val="65E62E7A"/>
    <w:rsid w:val="66DC0AFB"/>
    <w:rsid w:val="674212A6"/>
    <w:rsid w:val="67BB5990"/>
    <w:rsid w:val="67DC4571"/>
    <w:rsid w:val="6809591F"/>
    <w:rsid w:val="684A51D5"/>
    <w:rsid w:val="685220FD"/>
    <w:rsid w:val="68A51C07"/>
    <w:rsid w:val="691B7051"/>
    <w:rsid w:val="69733998"/>
    <w:rsid w:val="69EE3C11"/>
    <w:rsid w:val="6A6B466F"/>
    <w:rsid w:val="6A971F44"/>
    <w:rsid w:val="6AAD178D"/>
    <w:rsid w:val="6AE606B8"/>
    <w:rsid w:val="6BC73B27"/>
    <w:rsid w:val="6CC649E7"/>
    <w:rsid w:val="6CD17DE6"/>
    <w:rsid w:val="6CF35EC2"/>
    <w:rsid w:val="6D644430"/>
    <w:rsid w:val="6DB067E7"/>
    <w:rsid w:val="6E407BC1"/>
    <w:rsid w:val="6E5A13CE"/>
    <w:rsid w:val="6EBF78B2"/>
    <w:rsid w:val="6EDD71C4"/>
    <w:rsid w:val="6F5F71DE"/>
    <w:rsid w:val="6F6F261D"/>
    <w:rsid w:val="6F7716FF"/>
    <w:rsid w:val="6F8275FE"/>
    <w:rsid w:val="70B51F79"/>
    <w:rsid w:val="70D45098"/>
    <w:rsid w:val="71D52AAD"/>
    <w:rsid w:val="71F17B50"/>
    <w:rsid w:val="72017C43"/>
    <w:rsid w:val="72A03F09"/>
    <w:rsid w:val="72D24F5F"/>
    <w:rsid w:val="731215C2"/>
    <w:rsid w:val="743D7CF2"/>
    <w:rsid w:val="74B710E3"/>
    <w:rsid w:val="74B950E0"/>
    <w:rsid w:val="75123B8B"/>
    <w:rsid w:val="75702C83"/>
    <w:rsid w:val="75C51A08"/>
    <w:rsid w:val="75D27C98"/>
    <w:rsid w:val="763E70DC"/>
    <w:rsid w:val="7685477D"/>
    <w:rsid w:val="76B96E66"/>
    <w:rsid w:val="76CA6BC2"/>
    <w:rsid w:val="77244A96"/>
    <w:rsid w:val="775841CD"/>
    <w:rsid w:val="78055023"/>
    <w:rsid w:val="78A202E3"/>
    <w:rsid w:val="78AE1455"/>
    <w:rsid w:val="79517126"/>
    <w:rsid w:val="79B73D64"/>
    <w:rsid w:val="79F11E86"/>
    <w:rsid w:val="7A01613C"/>
    <w:rsid w:val="7A7F11FB"/>
    <w:rsid w:val="7A813A73"/>
    <w:rsid w:val="7AB937DC"/>
    <w:rsid w:val="7ABB1DEA"/>
    <w:rsid w:val="7C0E12FE"/>
    <w:rsid w:val="7C1D19B1"/>
    <w:rsid w:val="7CFA4897"/>
    <w:rsid w:val="7D6457E7"/>
    <w:rsid w:val="7D6D66EE"/>
    <w:rsid w:val="7D793157"/>
    <w:rsid w:val="7DF52776"/>
    <w:rsid w:val="7EB42631"/>
    <w:rsid w:val="7F491B19"/>
    <w:rsid w:val="7F65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6">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annotation subject"/>
    <w:basedOn w:val="14"/>
    <w:next w:val="14"/>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14">
    <w:name w:val="annotation text"/>
    <w:basedOn w:val="1"/>
    <w:link w:val="161"/>
    <w:unhideWhenUsed/>
    <w:qFormat/>
    <w:uiPriority w:val="99"/>
    <w:pPr>
      <w:jc w:val="left"/>
    </w:pPr>
  </w:style>
  <w:style w:type="paragraph" w:styleId="15">
    <w:name w:val="Body Text First Indent"/>
    <w:basedOn w:val="16"/>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16">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7">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8">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9">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0">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0"/>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98"/>
    <w:qFormat/>
    <w:uiPriority w:val="0"/>
    <w:rPr>
      <w:rFonts w:ascii="宋体" w:hAnsi="Courier New" w:eastAsia="宋体"/>
    </w:rPr>
  </w:style>
  <w:style w:type="paragraph" w:styleId="24">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6">
    <w:name w:val="Balloon Text"/>
    <w:basedOn w:val="1"/>
    <w:link w:val="72"/>
    <w:qFormat/>
    <w:uiPriority w:val="0"/>
    <w:rPr>
      <w:rFonts w:ascii="Times New Roman" w:hAnsi="Times New Roman" w:eastAsia="宋体" w:cs="Times New Roman"/>
      <w:sz w:val="18"/>
      <w:szCs w:val="18"/>
    </w:rPr>
  </w:style>
  <w:style w:type="paragraph" w:styleId="27">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character" w:styleId="37">
    <w:name w:val="Strong"/>
    <w:qFormat/>
    <w:uiPriority w:val="0"/>
    <w:rPr>
      <w:b/>
      <w:bCs/>
    </w:rPr>
  </w:style>
  <w:style w:type="character" w:styleId="38">
    <w:name w:val="FollowedHyperlink"/>
    <w:unhideWhenUsed/>
    <w:qFormat/>
    <w:uiPriority w:val="99"/>
    <w:rPr>
      <w:color w:val="954F72"/>
      <w:u w:val="single"/>
    </w:rPr>
  </w:style>
  <w:style w:type="character" w:styleId="39">
    <w:name w:val="Emphasis"/>
    <w:qFormat/>
    <w:uiPriority w:val="0"/>
    <w:rPr>
      <w:i/>
      <w:iCs/>
    </w:rPr>
  </w:style>
  <w:style w:type="character" w:styleId="40">
    <w:name w:val="Hyperlink"/>
    <w:qFormat/>
    <w:uiPriority w:val="99"/>
    <w:rPr>
      <w:rFonts w:hint="default" w:ascii="Arial" w:hAnsi="Arial" w:cs="Arial"/>
      <w:color w:val="000000"/>
      <w:sz w:val="20"/>
      <w:szCs w:val="20"/>
      <w:u w:val="none"/>
    </w:rPr>
  </w:style>
  <w:style w:type="character" w:styleId="41">
    <w:name w:val="annotation reference"/>
    <w:qFormat/>
    <w:uiPriority w:val="99"/>
    <w:rPr>
      <w:sz w:val="21"/>
      <w:szCs w:val="21"/>
    </w:rPr>
  </w:style>
  <w:style w:type="table" w:styleId="43">
    <w:name w:val="Table Grid"/>
    <w:basedOn w:val="4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6"/>
    <w:qFormat/>
    <w:uiPriority w:val="0"/>
    <w:rPr>
      <w:b/>
      <w:bCs/>
      <w:kern w:val="44"/>
      <w:sz w:val="44"/>
      <w:szCs w:val="44"/>
    </w:rPr>
  </w:style>
  <w:style w:type="character" w:customStyle="1" w:styleId="46">
    <w:name w:val="标题 2 Char"/>
    <w:basedOn w:val="36"/>
    <w:link w:val="4"/>
    <w:qFormat/>
    <w:uiPriority w:val="0"/>
    <w:rPr>
      <w:rFonts w:ascii="宋体" w:hAnsi="Calibri" w:eastAsia="宋体" w:cs="Times New Roman"/>
      <w:kern w:val="0"/>
      <w:sz w:val="24"/>
      <w:szCs w:val="24"/>
    </w:rPr>
  </w:style>
  <w:style w:type="character" w:customStyle="1" w:styleId="47">
    <w:name w:val="标题 3 字符"/>
    <w:basedOn w:val="36"/>
    <w:qFormat/>
    <w:uiPriority w:val="0"/>
    <w:rPr>
      <w:b/>
      <w:bCs/>
      <w:sz w:val="32"/>
      <w:szCs w:val="32"/>
    </w:rPr>
  </w:style>
  <w:style w:type="character" w:customStyle="1" w:styleId="48">
    <w:name w:val="标题 4 Char1"/>
    <w:basedOn w:val="36"/>
    <w:link w:val="6"/>
    <w:qFormat/>
    <w:uiPriority w:val="9"/>
    <w:rPr>
      <w:rFonts w:ascii="Arial" w:hAnsi="Arial" w:eastAsia="黑体" w:cs="Times New Roman"/>
      <w:b/>
      <w:bCs/>
      <w:kern w:val="0"/>
      <w:sz w:val="28"/>
      <w:szCs w:val="28"/>
    </w:rPr>
  </w:style>
  <w:style w:type="character" w:customStyle="1" w:styleId="49">
    <w:name w:val="标题 5 字符"/>
    <w:basedOn w:val="36"/>
    <w:qFormat/>
    <w:uiPriority w:val="9"/>
    <w:rPr>
      <w:b/>
      <w:bCs/>
      <w:sz w:val="28"/>
      <w:szCs w:val="28"/>
    </w:rPr>
  </w:style>
  <w:style w:type="character" w:customStyle="1" w:styleId="50">
    <w:name w:val="标题 6 字符"/>
    <w:basedOn w:val="36"/>
    <w:qFormat/>
    <w:uiPriority w:val="0"/>
    <w:rPr>
      <w:rFonts w:asciiTheme="majorHAnsi" w:hAnsiTheme="majorHAnsi" w:eastAsiaTheme="majorEastAsia" w:cstheme="majorBidi"/>
      <w:b/>
      <w:bCs/>
      <w:sz w:val="24"/>
      <w:szCs w:val="24"/>
    </w:rPr>
  </w:style>
  <w:style w:type="character" w:customStyle="1" w:styleId="51">
    <w:name w:val="标题 7 Char"/>
    <w:basedOn w:val="36"/>
    <w:link w:val="10"/>
    <w:qFormat/>
    <w:uiPriority w:val="9"/>
    <w:rPr>
      <w:rFonts w:ascii="Times New Roman" w:hAnsi="Calibri" w:eastAsia="黑体" w:cs="Times New Roman"/>
      <w:b/>
      <w:bCs/>
      <w:kern w:val="0"/>
      <w:sz w:val="28"/>
      <w:szCs w:val="24"/>
    </w:rPr>
  </w:style>
  <w:style w:type="character" w:customStyle="1" w:styleId="52">
    <w:name w:val="标题 8 Char"/>
    <w:basedOn w:val="36"/>
    <w:link w:val="11"/>
    <w:qFormat/>
    <w:uiPriority w:val="9"/>
    <w:rPr>
      <w:rFonts w:ascii="Times New Roman" w:hAnsi="Calibri" w:eastAsia="黑体" w:cs="Times New Roman"/>
      <w:b/>
      <w:kern w:val="0"/>
      <w:sz w:val="28"/>
      <w:szCs w:val="24"/>
    </w:rPr>
  </w:style>
  <w:style w:type="character" w:customStyle="1" w:styleId="53">
    <w:name w:val="标题 9 Char"/>
    <w:basedOn w:val="36"/>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5"/>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6"/>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7"/>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8"/>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3"/>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1"/>
    <w:qFormat/>
    <w:uiPriority w:val="0"/>
    <w:rPr>
      <w:rFonts w:ascii="Times New Roman" w:hAnsi="Times New Roman" w:eastAsia="宋体" w:cs="Times New Roman"/>
      <w:szCs w:val="20"/>
    </w:rPr>
  </w:style>
  <w:style w:type="character" w:customStyle="1" w:styleId="91">
    <w:name w:val="普通(网站) Char1"/>
    <w:link w:val="34"/>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3"/>
    <w:qFormat/>
    <w:uiPriority w:val="0"/>
    <w:rPr>
      <w:rFonts w:ascii="宋体" w:hAnsi="Courier New" w:eastAsia="宋体"/>
    </w:rPr>
  </w:style>
  <w:style w:type="character" w:customStyle="1" w:styleId="99">
    <w:name w:val="正文文本缩进 2 Char"/>
    <w:link w:val="25"/>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4"/>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13"/>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6"/>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9"/>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6"/>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8"/>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2"/>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1"/>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20"/>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6"/>
    <w:semiHidden/>
    <w:qFormat/>
    <w:uiPriority w:val="99"/>
    <w:rPr>
      <w:rFonts w:hAnsi="Courier New" w:cs="Courier New" w:asciiTheme="minorEastAsia"/>
    </w:rPr>
  </w:style>
  <w:style w:type="character" w:customStyle="1" w:styleId="161">
    <w:name w:val="批注文字 Char2"/>
    <w:basedOn w:val="36"/>
    <w:link w:val="14"/>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6"/>
    <w:qFormat/>
    <w:uiPriority w:val="10"/>
    <w:rPr>
      <w:rFonts w:asciiTheme="majorHAnsi" w:hAnsiTheme="majorHAnsi" w:eastAsiaTheme="majorEastAsia" w:cstheme="majorBidi"/>
      <w:b/>
      <w:bCs/>
      <w:sz w:val="32"/>
      <w:szCs w:val="32"/>
    </w:rPr>
  </w:style>
  <w:style w:type="character" w:customStyle="1" w:styleId="164">
    <w:name w:val="正文文本缩进 字符3"/>
    <w:basedOn w:val="36"/>
    <w:semiHidden/>
    <w:qFormat/>
    <w:uiPriority w:val="99"/>
  </w:style>
  <w:style w:type="character" w:customStyle="1" w:styleId="165">
    <w:name w:val="正文文本 字符4"/>
    <w:basedOn w:val="36"/>
    <w:semiHidden/>
    <w:qFormat/>
    <w:uiPriority w:val="99"/>
  </w:style>
  <w:style w:type="character" w:customStyle="1" w:styleId="166">
    <w:name w:val="正文文本缩进 3 字符2"/>
    <w:basedOn w:val="36"/>
    <w:semiHidden/>
    <w:qFormat/>
    <w:uiPriority w:val="99"/>
    <w:rPr>
      <w:sz w:val="16"/>
      <w:szCs w:val="16"/>
    </w:rPr>
  </w:style>
  <w:style w:type="character" w:customStyle="1" w:styleId="167">
    <w:name w:val="页眉 字符2"/>
    <w:basedOn w:val="36"/>
    <w:semiHidden/>
    <w:qFormat/>
    <w:uiPriority w:val="99"/>
    <w:rPr>
      <w:sz w:val="18"/>
      <w:szCs w:val="18"/>
    </w:rPr>
  </w:style>
  <w:style w:type="character" w:customStyle="1" w:styleId="168">
    <w:name w:val="批注框文本 字符2"/>
    <w:basedOn w:val="36"/>
    <w:semiHidden/>
    <w:qFormat/>
    <w:uiPriority w:val="99"/>
    <w:rPr>
      <w:sz w:val="18"/>
      <w:szCs w:val="18"/>
    </w:rPr>
  </w:style>
  <w:style w:type="character" w:customStyle="1" w:styleId="169">
    <w:name w:val="HTML 预设格式 字符2"/>
    <w:basedOn w:val="36"/>
    <w:semiHidden/>
    <w:qFormat/>
    <w:uiPriority w:val="99"/>
    <w:rPr>
      <w:rFonts w:ascii="Courier New" w:hAnsi="Courier New" w:cs="Courier New"/>
      <w:sz w:val="20"/>
      <w:szCs w:val="20"/>
    </w:rPr>
  </w:style>
  <w:style w:type="character" w:customStyle="1" w:styleId="170">
    <w:name w:val="页脚 字符2"/>
    <w:basedOn w:val="36"/>
    <w:semiHidden/>
    <w:qFormat/>
    <w:uiPriority w:val="99"/>
    <w:rPr>
      <w:sz w:val="18"/>
      <w:szCs w:val="18"/>
    </w:rPr>
  </w:style>
  <w:style w:type="character" w:customStyle="1" w:styleId="171">
    <w:name w:val="正文文本缩进 2 字符2"/>
    <w:basedOn w:val="36"/>
    <w:semiHidden/>
    <w:qFormat/>
    <w:uiPriority w:val="99"/>
  </w:style>
  <w:style w:type="character" w:customStyle="1" w:styleId="172">
    <w:name w:val="正文文本 3 字符2"/>
    <w:basedOn w:val="36"/>
    <w:semiHidden/>
    <w:qFormat/>
    <w:uiPriority w:val="99"/>
    <w:rPr>
      <w:sz w:val="16"/>
      <w:szCs w:val="16"/>
    </w:rPr>
  </w:style>
  <w:style w:type="character" w:customStyle="1" w:styleId="173">
    <w:name w:val="正文文本 2 字符2"/>
    <w:basedOn w:val="36"/>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6"/>
    <w:semiHidden/>
    <w:qFormat/>
    <w:uiPriority w:val="99"/>
    <w:rPr>
      <w:rFonts w:ascii="Microsoft YaHei UI" w:eastAsia="Microsoft YaHei UI"/>
      <w:sz w:val="18"/>
      <w:szCs w:val="18"/>
    </w:rPr>
  </w:style>
  <w:style w:type="character" w:customStyle="1" w:styleId="177">
    <w:name w:val="日期 字符2"/>
    <w:basedOn w:val="36"/>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6"/>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6"/>
    <w:qFormat/>
    <w:uiPriority w:val="0"/>
    <w:rPr>
      <w:rFonts w:hint="eastAsia" w:ascii="宋体" w:hAnsi="宋体" w:eastAsia="宋体" w:cs="宋体"/>
      <w:color w:val="000000"/>
      <w:sz w:val="21"/>
      <w:szCs w:val="21"/>
      <w:u w:val="none"/>
    </w:rPr>
  </w:style>
  <w:style w:type="character" w:customStyle="1" w:styleId="204">
    <w:name w:val="font81"/>
    <w:basedOn w:val="36"/>
    <w:qFormat/>
    <w:uiPriority w:val="0"/>
    <w:rPr>
      <w:rFonts w:hint="default" w:ascii="Times New Roman" w:hAnsi="Times New Roman" w:cs="Times New Roman"/>
      <w:color w:val="000000"/>
      <w:sz w:val="21"/>
      <w:szCs w:val="21"/>
      <w:u w:val="none"/>
    </w:rPr>
  </w:style>
  <w:style w:type="character" w:customStyle="1" w:styleId="205">
    <w:name w:val="font91"/>
    <w:basedOn w:val="36"/>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65707</Words>
  <Characters>68774</Characters>
  <Lines>1</Lines>
  <Paragraphs>1</Paragraphs>
  <TotalTime>3</TotalTime>
  <ScaleCrop>false</ScaleCrop>
  <LinksUpToDate>false</LinksUpToDate>
  <CharactersWithSpaces>73676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张晓彬</cp:lastModifiedBy>
  <cp:lastPrinted>2025-03-25T09:50:00Z</cp:lastPrinted>
  <dcterms:modified xsi:type="dcterms:W3CDTF">2026-02-05T07:17:31Z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DB0907CC22D14F8D93EE7ED3419BB675_13</vt:lpwstr>
  </property>
  <property fmtid="{D5CDD505-2E9C-101B-9397-08002B2CF9AE}" pid="4" name="KSOTemplateDocerSaveRecord">
    <vt:lpwstr>eyJoZGlkIjoiZGIyNWUzMTIwNTEyNTgyMWU1M2JjZDYyMjBmOWRkMTMiLCJ1c2VySWQiOiIxNjAyMjc1MjI3In0=</vt:lpwstr>
  </property>
</Properties>
</file>