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41"/>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pPr>
        <w:rPr>
          <w:color w:val="auto"/>
          <w:highlight w:val="none"/>
        </w:rPr>
      </w:pPr>
    </w:p>
    <w:p>
      <w:pPr>
        <w:pStyle w:val="11"/>
        <w:rPr>
          <w:color w:val="auto"/>
          <w:highlight w:val="none"/>
        </w:rPr>
      </w:pPr>
    </w:p>
    <w:tbl>
      <w:tblPr>
        <w:tblStyle w:val="40"/>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大岭山大塘村优质产业空间项目(北地块)二期项目全过程驻场造价咨询服务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35"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DGQS-DTBE-03-008-008（2025)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东莞市旗创产业投资有限公司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49" w:hRule="atLeast"/>
        </w:trPr>
        <w:tc>
          <w:tcPr>
            <w:tcW w:w="2613" w:type="dxa"/>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广西同泽工程项目管理股份有限公司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pStyle w:val="41"/>
        <w:ind w:firstLine="400"/>
        <w:rPr>
          <w:color w:val="auto"/>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12</w:t>
      </w:r>
      <w:r>
        <w:rPr>
          <w:rFonts w:hint="eastAsia" w:ascii="黑体" w:hAnsi="黑体" w:eastAsia="黑体" w:cs="黑体"/>
          <w:bCs/>
          <w:color w:val="auto"/>
          <w:sz w:val="32"/>
          <w:szCs w:val="24"/>
          <w:highlight w:val="none"/>
        </w:rPr>
        <w:t>月</w:t>
      </w:r>
    </w:p>
    <w:p>
      <w:pPr>
        <w:rPr>
          <w:color w:val="auto"/>
          <w:highlight w:val="none"/>
        </w:rPr>
        <w:sectPr>
          <w:headerReference r:id="rId4" w:type="first"/>
          <w:footerReference r:id="rId6" w:type="first"/>
          <w:headerReference r:id="rId3" w:type="even"/>
          <w:footerReference r:id="rId5" w:type="even"/>
          <w:pgSz w:w="11906" w:h="16838"/>
          <w:pgMar w:top="1440" w:right="1800" w:bottom="1440" w:left="1800" w:header="708" w:footer="708" w:gutter="0"/>
          <w:pgNumType w:start="1"/>
          <w:cols w:space="708" w:num="1"/>
          <w:titlePg/>
          <w:docGrid w:type="lines" w:linePitch="360" w:charSpace="0"/>
        </w:sectPr>
      </w:pPr>
    </w:p>
    <w:p>
      <w:pPr>
        <w:pStyle w:val="29"/>
        <w:ind w:left="0" w:leftChars="0"/>
        <w:rPr>
          <w:color w:val="auto"/>
          <w:sz w:val="40"/>
          <w:szCs w:val="40"/>
          <w:highlight w:val="none"/>
        </w:rPr>
      </w:pPr>
      <w:r>
        <w:rPr>
          <w:rFonts w:hint="eastAsia"/>
          <w:color w:val="auto"/>
          <w:sz w:val="40"/>
          <w:szCs w:val="40"/>
          <w:highlight w:val="none"/>
        </w:rPr>
        <w:t>目录</w:t>
      </w:r>
    </w:p>
    <w:p>
      <w:pPr>
        <w:pStyle w:val="29"/>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pPr>
        <w:pStyle w:val="29"/>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bookmarkStart w:id="223" w:name="_GoBack"/>
      <w:bookmarkEnd w:id="223"/>
    </w:p>
    <w:p>
      <w:pPr>
        <w:pStyle w:val="4"/>
        <w:spacing w:before="0" w:after="0" w:line="240" w:lineRule="auto"/>
        <w:rPr>
          <w:color w:val="auto"/>
          <w:sz w:val="28"/>
          <w:szCs w:val="28"/>
          <w:highlight w:val="none"/>
        </w:rPr>
      </w:pPr>
      <w:bookmarkStart w:id="0" w:name="_Toc21044"/>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pPr>
        <w:pStyle w:val="5"/>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广西同泽工程项目管理股份有限公司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（以下简称“采购代理机构”）受</w:t>
      </w:r>
      <w:r>
        <w:rPr>
          <w:rFonts w:hint="eastAsia" w:ascii="宋体" w:hAnsi="宋体" w:eastAsia="宋体" w:cs="宋体"/>
          <w:b/>
          <w:bCs/>
          <w:color w:val="auto"/>
          <w:sz w:val="21"/>
          <w:szCs w:val="21"/>
          <w:highlight w:val="none"/>
          <w:u w:val="single"/>
          <w:lang w:eastAsia="zh-CN"/>
        </w:rPr>
        <w:t>东莞市旗创产业投资有限公司</w:t>
      </w:r>
      <w:r>
        <w:rPr>
          <w:rFonts w:hint="eastAsia" w:ascii="宋体" w:hAnsi="宋体" w:eastAsia="宋体" w:cs="宋体"/>
          <w:color w:val="auto"/>
          <w:sz w:val="21"/>
          <w:szCs w:val="21"/>
          <w:highlight w:val="none"/>
        </w:rPr>
        <w:t>（以下简称“采购人”）委托，现就</w:t>
      </w:r>
      <w:r>
        <w:rPr>
          <w:rFonts w:hint="eastAsia" w:ascii="宋体" w:hAnsi="宋体" w:eastAsia="宋体" w:cs="宋体"/>
          <w:b/>
          <w:color w:val="auto"/>
          <w:sz w:val="21"/>
          <w:szCs w:val="21"/>
          <w:highlight w:val="none"/>
          <w:u w:val="single"/>
          <w:lang w:eastAsia="zh-CN"/>
        </w:rPr>
        <w:t>大岭山大塘村优质产业空间项目(北地块)二期项目全过程驻场造价咨询服务</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DGQS-DTBE-03-008-008（2025)</w:t>
      </w:r>
      <w:r>
        <w:rPr>
          <w:rFonts w:hint="eastAsia" w:ascii="宋体" w:hAnsi="宋体" w:eastAsia="宋体" w:cs="宋体"/>
          <w:color w:val="auto"/>
          <w:sz w:val="21"/>
          <w:szCs w:val="21"/>
          <w:highlight w:val="none"/>
        </w:rPr>
        <w:t>）进行国内公开采购，欢迎符合采购文件要求的国内投标人参加投标。有关事项如下：</w:t>
      </w:r>
    </w:p>
    <w:p>
      <w:pPr>
        <w:spacing w:line="360" w:lineRule="auto"/>
        <w:ind w:firstLine="295" w:firstLineChars="196"/>
        <w:rPr>
          <w:rFonts w:hint="eastAsia" w:ascii="宋体" w:hAnsi="宋体" w:eastAsia="宋体" w:cs="宋体"/>
          <w:b/>
          <w:color w:val="auto"/>
          <w:sz w:val="15"/>
          <w:szCs w:val="15"/>
          <w:highlight w:val="none"/>
        </w:rPr>
      </w:pPr>
    </w:p>
    <w:p>
      <w:pPr>
        <w:spacing w:line="36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eastAsia="宋体" w:cs="宋体"/>
          <w:b/>
          <w:color w:val="auto"/>
          <w:sz w:val="21"/>
          <w:szCs w:val="21"/>
          <w:highlight w:val="none"/>
          <w:u w:val="single"/>
          <w:lang w:eastAsia="zh-CN"/>
        </w:rPr>
        <w:t>大岭山大塘村优质产业空间项目(北地块)二期项目全过程驻场造价咨询服务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2,058,100.00</w:t>
      </w:r>
      <w:r>
        <w:rPr>
          <w:rFonts w:hint="eastAsia" w:ascii="宋体" w:hAnsi="宋体" w:eastAsia="宋体" w:cs="宋体"/>
          <w:color w:val="auto"/>
          <w:sz w:val="21"/>
          <w:szCs w:val="21"/>
          <w:highlight w:val="none"/>
          <w:u w:val="single"/>
        </w:rPr>
        <w:t>元</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1,317,184.00</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single"/>
          <w:lang w:eastAsia="zh-CN"/>
        </w:rPr>
        <w:t>（服务系数</w:t>
      </w:r>
      <w:r>
        <w:rPr>
          <w:rFonts w:hint="eastAsia" w:ascii="宋体" w:hAnsi="宋体" w:eastAsia="宋体" w:cs="宋体"/>
          <w:color w:val="auto"/>
          <w:sz w:val="21"/>
          <w:szCs w:val="21"/>
          <w:highlight w:val="none"/>
          <w:u w:val="single"/>
          <w:lang w:val="en-US" w:eastAsia="zh-CN"/>
        </w:rPr>
        <w:t>0.64）</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中国招标投标公共服务平台（http://www.cebpubservice.com/）、东莞实业投资控股集团有限公司-招标采购栏目（http://www.dgsy.com.cn/）、广西同泽工程项目管理股份有限公司网（http://www.gxtzfz.cn/）</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日（北京时间）</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u w:val="single"/>
          <w:lang w:val="en-US" w:eastAsia="zh-CN"/>
        </w:rPr>
        <w:t>东莞市南城区塘贝北路福特大厦A区811</w:t>
      </w:r>
      <w:r>
        <w:rPr>
          <w:rFonts w:hint="eastAsia" w:ascii="宋体" w:hAnsi="宋体" w:eastAsia="宋体" w:cs="宋体"/>
          <w:color w:val="auto"/>
          <w:sz w:val="21"/>
          <w:szCs w:val="21"/>
          <w:highlight w:val="none"/>
          <w:u w:val="single"/>
        </w:rPr>
        <w:t>。</w:t>
      </w:r>
    </w:p>
    <w:p>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41"/>
        <w:spacing w:line="360" w:lineRule="auto"/>
        <w:ind w:firstLine="400"/>
        <w:rPr>
          <w:rFonts w:hint="eastAsia" w:ascii="宋体" w:hAnsi="宋体" w:eastAsia="宋体" w:cs="宋体"/>
          <w:color w:val="auto"/>
          <w:sz w:val="21"/>
          <w:szCs w:val="21"/>
          <w:highlight w:val="none"/>
        </w:rPr>
      </w:pPr>
    </w:p>
    <w:p>
      <w:pPr>
        <w:pStyle w:val="41"/>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中国招标投标公共服务平台（http://www.cebpubservice.com/）、东莞实业投资控股集团有限公司-招标采购栏目（http://www.dgsy.com.cn/）、广西同泽工程项目管理股份有限公司网（http://www.gxtzfz.cn/）</w:t>
      </w:r>
      <w:r>
        <w:rPr>
          <w:rFonts w:hint="eastAsia" w:ascii="宋体" w:hAnsi="宋体" w:eastAsia="宋体" w:cs="宋体"/>
          <w:color w:val="auto"/>
          <w:sz w:val="21"/>
          <w:szCs w:val="21"/>
          <w:highlight w:val="none"/>
        </w:rPr>
        <w:t>。</w:t>
      </w:r>
    </w:p>
    <w:p>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pPr>
        <w:spacing w:line="360" w:lineRule="auto"/>
        <w:ind w:firstLine="413" w:firstLineChars="196"/>
        <w:rPr>
          <w:rFonts w:hint="eastAsia" w:ascii="宋体" w:hAnsi="宋体" w:eastAsia="宋体" w:cs="宋体"/>
          <w:b/>
          <w:color w:val="auto"/>
          <w:sz w:val="21"/>
          <w:szCs w:val="21"/>
          <w:highlight w:val="none"/>
        </w:rPr>
      </w:pPr>
    </w:p>
    <w:p>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eastAsia="宋体" w:cs="宋体"/>
          <w:bCs/>
          <w:color w:val="auto"/>
          <w:sz w:val="21"/>
          <w:szCs w:val="21"/>
          <w:highlight w:val="none"/>
          <w:lang w:eastAsia="zh-CN"/>
        </w:rPr>
        <w:t>东莞市旗创产业投资有限公司</w:t>
      </w:r>
    </w:p>
    <w:p>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采购人联系人：</w:t>
      </w:r>
      <w:r>
        <w:rPr>
          <w:rFonts w:hint="eastAsia" w:ascii="宋体" w:hAnsi="宋体" w:cs="宋体"/>
          <w:bCs/>
          <w:color w:val="auto"/>
          <w:sz w:val="21"/>
          <w:szCs w:val="21"/>
          <w:highlight w:val="none"/>
          <w:lang w:val="en-US" w:eastAsia="zh-CN"/>
        </w:rPr>
        <w:t>曾</w:t>
      </w:r>
      <w:r>
        <w:rPr>
          <w:rFonts w:hint="eastAsia" w:ascii="宋体" w:hAnsi="宋体" w:eastAsia="宋体" w:cs="宋体"/>
          <w:bCs/>
          <w:color w:val="auto"/>
          <w:sz w:val="21"/>
          <w:szCs w:val="21"/>
          <w:highlight w:val="none"/>
          <w:lang w:val="en-US" w:eastAsia="zh-CN"/>
        </w:rPr>
        <w:t>工</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采购人地址：广东省</w:t>
      </w:r>
      <w:r>
        <w:rPr>
          <w:rFonts w:hint="eastAsia" w:ascii="宋体" w:hAnsi="宋体" w:eastAsia="宋体" w:cs="宋体"/>
          <w:color w:val="auto"/>
          <w:sz w:val="21"/>
          <w:szCs w:val="21"/>
          <w:highlight w:val="none"/>
        </w:rPr>
        <w:t>东莞市东城区八一路机关二号大院9号楼</w:t>
      </w:r>
    </w:p>
    <w:p>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采购人联系电话： 0769-28681293</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Cs w:val="21"/>
          <w:highlight w:val="none"/>
          <w:lang w:val="en-US" w:eastAsia="zh-CN"/>
        </w:rPr>
        <w:t>广西同泽工程项目管理股份有限公司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采购代理机构地址：东莞市南城区塘贝北路福特大厦A区811</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eastAsia="宋体" w:cs="宋体"/>
          <w:color w:val="auto"/>
          <w:sz w:val="21"/>
          <w:szCs w:val="21"/>
          <w:highlight w:val="none"/>
          <w:lang w:val="en-US" w:eastAsia="zh-CN"/>
        </w:rPr>
        <w:t>张先生</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w:t>
      </w:r>
      <w:r>
        <w:rPr>
          <w:rFonts w:hint="eastAsia" w:ascii="宋体" w:hAnsi="宋体" w:eastAsia="宋体" w:cs="宋体"/>
          <w:color w:val="auto"/>
          <w:sz w:val="21"/>
          <w:szCs w:val="21"/>
          <w:highlight w:val="none"/>
          <w:lang w:val="en-US" w:eastAsia="zh-CN"/>
        </w:rPr>
        <w:t>0769-21688191</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rPr>
        <w:t>2195953904@qq.com</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right="752" w:rightChars="358"/>
        <w:jc w:val="right"/>
        <w:rPr>
          <w:rFonts w:hint="eastAsia" w:ascii="宋体" w:hAnsi="宋体" w:eastAsia="宋体" w:cs="宋体"/>
          <w:color w:val="auto"/>
          <w:sz w:val="21"/>
          <w:szCs w:val="21"/>
          <w:highlight w:val="none"/>
        </w:rPr>
      </w:pPr>
    </w:p>
    <w:p>
      <w:pPr>
        <w:spacing w:line="360" w:lineRule="auto"/>
        <w:ind w:right="-92" w:rightChars="-44"/>
        <w:jc w:val="right"/>
        <w:rPr>
          <w:rFonts w:hint="eastAsia" w:ascii="宋体" w:hAnsi="宋体" w:eastAsia="宋体" w:cs="宋体"/>
          <w:bCs/>
          <w:color w:val="auto"/>
          <w:sz w:val="21"/>
          <w:szCs w:val="21"/>
          <w:highlight w:val="none"/>
          <w:lang w:eastAsia="zh-CN"/>
        </w:rPr>
      </w:pPr>
    </w:p>
    <w:p>
      <w:pPr>
        <w:spacing w:line="360" w:lineRule="auto"/>
        <w:ind w:right="-92" w:rightChars="-44"/>
        <w:jc w:val="right"/>
        <w:rPr>
          <w:rFonts w:hint="eastAsia" w:ascii="宋体" w:hAnsi="宋体" w:eastAsia="宋体" w:cs="宋体"/>
          <w:color w:val="auto"/>
          <w:szCs w:val="21"/>
          <w:highlight w:val="none"/>
          <w:lang w:val="en-US" w:eastAsia="zh-CN"/>
        </w:rPr>
      </w:pPr>
      <w:r>
        <w:rPr>
          <w:rFonts w:hint="eastAsia" w:ascii="宋体" w:hAnsi="宋体" w:eastAsia="宋体" w:cs="宋体"/>
          <w:bCs/>
          <w:color w:val="auto"/>
          <w:sz w:val="21"/>
          <w:szCs w:val="21"/>
          <w:highlight w:val="none"/>
          <w:lang w:eastAsia="zh-CN"/>
        </w:rPr>
        <w:t>东莞市旗创产业投资有限公司</w:t>
      </w:r>
    </w:p>
    <w:p>
      <w:pPr>
        <w:spacing w:line="360" w:lineRule="auto"/>
        <w:ind w:right="-92" w:rightChars="-44"/>
        <w:jc w:val="right"/>
        <w:rPr>
          <w:rFonts w:hint="eastAsia" w:ascii="宋体" w:hAnsi="宋体" w:eastAsia="宋体" w:cs="宋体"/>
          <w:color w:val="auto"/>
          <w:szCs w:val="21"/>
          <w:highlight w:val="none"/>
          <w:lang w:val="en-US" w:eastAsia="zh-CN"/>
        </w:rPr>
      </w:pPr>
    </w:p>
    <w:p>
      <w:pPr>
        <w:spacing w:line="360" w:lineRule="auto"/>
        <w:ind w:right="-92" w:rightChars="-44"/>
        <w:jc w:val="right"/>
        <w:rPr>
          <w:rFonts w:hint="eastAsia" w:ascii="宋体" w:hAnsi="宋体" w:eastAsia="宋体" w:cs="宋体"/>
          <w:color w:val="auto"/>
          <w:szCs w:val="21"/>
          <w:highlight w:val="none"/>
          <w:lang w:val="en-US" w:eastAsia="zh-CN"/>
        </w:rPr>
      </w:pPr>
    </w:p>
    <w:p>
      <w:pPr>
        <w:spacing w:line="360" w:lineRule="auto"/>
        <w:ind w:right="-92" w:rightChars="-44"/>
        <w:jc w:val="right"/>
        <w:rPr>
          <w:rFonts w:hint="eastAsia" w:ascii="宋体" w:hAnsi="宋体" w:eastAsia="宋体" w:cs="宋体"/>
          <w:color w:val="auto"/>
          <w:szCs w:val="21"/>
          <w:highlight w:val="none"/>
          <w:lang w:val="en-US" w:eastAsia="zh-CN"/>
        </w:rPr>
      </w:pPr>
    </w:p>
    <w:p>
      <w:pPr>
        <w:spacing w:line="360" w:lineRule="auto"/>
        <w:ind w:right="-92" w:rightChars="-44"/>
        <w:jc w:val="right"/>
        <w:rPr>
          <w:rFonts w:hint="eastAsia" w:ascii="宋体" w:hAnsi="宋体" w:eastAsia="宋体" w:cs="宋体"/>
          <w:color w:val="auto"/>
          <w:szCs w:val="21"/>
          <w:highlight w:val="none"/>
          <w:lang w:val="en-US" w:eastAsia="zh-CN"/>
        </w:rPr>
      </w:pPr>
    </w:p>
    <w:p>
      <w:pPr>
        <w:spacing w:line="360" w:lineRule="auto"/>
        <w:ind w:right="-92" w:rightChars="-44"/>
        <w:jc w:val="righ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广西同泽工程项目管理股份有限公司</w:t>
      </w:r>
    </w:p>
    <w:p>
      <w:pPr>
        <w:jc w:val="right"/>
        <w:rPr>
          <w:rFonts w:hint="default" w:eastAsia="宋体"/>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月 </w:t>
      </w:r>
      <w:r>
        <w:rPr>
          <w:rFonts w:hint="eastAsia" w:ascii="宋体" w:hAnsi="宋体" w:cs="宋体"/>
          <w:color w:val="auto"/>
          <w:sz w:val="21"/>
          <w:szCs w:val="21"/>
          <w:highlight w:val="none"/>
          <w:lang w:val="en-US" w:eastAsia="zh-CN"/>
        </w:rPr>
        <w:t>31日</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pPr>
        <w:pStyle w:val="5"/>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9"/>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eastAsia="宋体"/>
                <w:b/>
                <w:bCs/>
                <w:color w:val="auto"/>
                <w:szCs w:val="21"/>
                <w:highlight w:val="none"/>
              </w:rPr>
              <w:t>¥</w:t>
            </w:r>
            <w:r>
              <w:rPr>
                <w:rFonts w:hint="eastAsia" w:ascii="宋体" w:hAnsi="宋体" w:eastAsia="宋体"/>
                <w:b/>
                <w:bCs/>
                <w:color w:val="auto"/>
                <w:szCs w:val="21"/>
                <w:highlight w:val="none"/>
                <w:lang w:val="en-US" w:eastAsia="zh-CN"/>
              </w:rPr>
              <w:t>1,317,184.00</w:t>
            </w:r>
            <w:r>
              <w:rPr>
                <w:rFonts w:hint="eastAsia" w:ascii="宋体" w:hAnsi="宋体" w:eastAsia="宋体"/>
                <w:b/>
                <w:bCs/>
                <w:color w:val="auto"/>
                <w:szCs w:val="21"/>
                <w:highlight w:val="none"/>
              </w:rPr>
              <w:t>元</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人民币壹佰叁拾壹万柒仟壹佰捌拾肆元整</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bCs/>
                <w:color w:val="auto"/>
                <w:szCs w:val="21"/>
                <w:highlight w:val="none"/>
              </w:rPr>
            </w:pPr>
            <w:r>
              <w:rPr>
                <w:rFonts w:hint="eastAsia" w:ascii="宋体" w:hAnsi="宋体"/>
                <w:color w:val="auto"/>
                <w:szCs w:val="21"/>
                <w:highlight w:val="none"/>
                <w:u w:val="single"/>
                <w:lang w:val="en-US" w:eastAsia="zh-CN"/>
              </w:rPr>
              <w:t>村集体资金</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bCs/>
                <w:color w:val="auto"/>
                <w:szCs w:val="21"/>
                <w:highlight w:val="none"/>
                <w:u w:val="single"/>
                <w:lang w:val="en-US" w:eastAsia="zh-CN"/>
              </w:rPr>
              <w:t>贰万陆仟元整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¥26,</w:t>
            </w:r>
            <w:r>
              <w:rPr>
                <w:rFonts w:hint="eastAsia" w:ascii="宋体" w:hAnsi="宋体"/>
                <w:b/>
                <w:bCs/>
                <w:color w:val="auto"/>
                <w:szCs w:val="21"/>
                <w:highlight w:val="none"/>
                <w:u w:val="single"/>
                <w:lang w:val="en-US" w:eastAsia="zh-CN"/>
              </w:rPr>
              <w:t>000</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 xml:space="preserve">帐户名称： </w:t>
            </w:r>
            <w:r>
              <w:rPr>
                <w:rFonts w:hint="eastAsia" w:hAnsi="宋体" w:cs="宋体"/>
                <w:color w:val="auto"/>
                <w:kern w:val="2"/>
                <w:szCs w:val="21"/>
                <w:highlight w:val="none"/>
                <w:u w:val="single"/>
                <w:lang w:val="zh-CN"/>
              </w:rPr>
              <w:t>广西同泽工程项目管理股份有限公司</w:t>
            </w:r>
            <w:r>
              <w:rPr>
                <w:rFonts w:hint="eastAsia" w:hAnsi="宋体" w:cs="宋体"/>
                <w:color w:val="auto"/>
                <w:kern w:val="2"/>
                <w:szCs w:val="21"/>
                <w:highlight w:val="none"/>
                <w:u w:val="single"/>
                <w:lang w:val="en-US" w:eastAsia="zh-CN"/>
              </w:rPr>
              <w:t>东莞分公司</w:t>
            </w:r>
            <w:r>
              <w:rPr>
                <w:rFonts w:hint="eastAsia" w:hAnsi="宋体" w:cs="宋体"/>
                <w:color w:val="auto"/>
                <w:kern w:val="2"/>
                <w:szCs w:val="21"/>
                <w:highlight w:val="none"/>
                <w:lang w:val="zh-CN"/>
              </w:rPr>
              <w:t>；</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开户银行： </w:t>
            </w:r>
            <w:r>
              <w:rPr>
                <w:rFonts w:hint="eastAsia" w:hAnsi="宋体" w:cs="宋体"/>
                <w:color w:val="auto"/>
                <w:kern w:val="2"/>
                <w:sz w:val="21"/>
                <w:szCs w:val="21"/>
                <w:highlight w:val="none"/>
                <w:u w:val="single"/>
              </w:rPr>
              <w:t>中国民生银行东莞松山湖支行</w:t>
            </w:r>
            <w:r>
              <w:rPr>
                <w:rFonts w:hint="eastAsia" w:hAnsi="宋体" w:cs="宋体"/>
                <w:color w:val="auto"/>
                <w:kern w:val="2"/>
                <w:sz w:val="21"/>
                <w:szCs w:val="21"/>
                <w:highlight w:val="none"/>
                <w:lang w:val="zh-CN"/>
              </w:rPr>
              <w:t>；</w:t>
            </w:r>
          </w:p>
          <w:p>
            <w:pPr>
              <w:tabs>
                <w:tab w:val="left" w:pos="567"/>
              </w:tabs>
              <w:ind w:firstLine="420" w:firstLineChars="200"/>
              <w:jc w:val="both"/>
              <w:rPr>
                <w:rFonts w:hint="eastAsia" w:hAnsi="宋体" w:cs="宋体"/>
                <w:color w:val="auto"/>
                <w:kern w:val="2"/>
                <w:sz w:val="21"/>
                <w:szCs w:val="21"/>
                <w:highlight w:val="none"/>
                <w:u w:val="single"/>
              </w:rPr>
            </w:pPr>
            <w:r>
              <w:rPr>
                <w:rFonts w:hint="eastAsia" w:hAnsi="宋体" w:cs="宋体"/>
                <w:color w:val="auto"/>
                <w:kern w:val="2"/>
                <w:sz w:val="21"/>
                <w:szCs w:val="21"/>
                <w:highlight w:val="none"/>
                <w:lang w:val="zh-CN"/>
              </w:rPr>
              <w:t xml:space="preserve">银行帐号： </w:t>
            </w:r>
            <w:r>
              <w:rPr>
                <w:rFonts w:hint="eastAsia" w:ascii="宋体" w:hAnsi="宋体" w:cs="宋体"/>
                <w:color w:val="auto"/>
                <w:sz w:val="21"/>
                <w:szCs w:val="21"/>
                <w:highlight w:val="none"/>
                <w:u w:val="single"/>
              </w:rPr>
              <w:t>641169654</w:t>
            </w:r>
            <w:r>
              <w:rPr>
                <w:rFonts w:hint="eastAsia" w:hAnsi="宋体" w:cs="宋体"/>
                <w:color w:val="auto"/>
                <w:kern w:val="2"/>
                <w:sz w:val="21"/>
                <w:szCs w:val="21"/>
                <w:highlight w:val="none"/>
                <w:u w:val="single"/>
                <w:lang w:val="zh-CN"/>
              </w:rPr>
              <w:t>；</w:t>
            </w:r>
            <w:r>
              <w:rPr>
                <w:rFonts w:hint="eastAsia" w:hAnsi="宋体" w:cs="宋体"/>
                <w:color w:val="auto"/>
                <w:kern w:val="2"/>
                <w:sz w:val="21"/>
                <w:szCs w:val="21"/>
                <w:highlight w:val="none"/>
                <w:u w:val="single"/>
              </w:rPr>
              <w:t xml:space="preserve"> </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restart"/>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2608" w:type="dxa"/>
            <w:vMerge w:val="continue"/>
            <w:tcBorders>
              <w:tl2br w:val="nil"/>
              <w:tr2bl w:val="nil"/>
            </w:tcBorders>
            <w:vAlign w:val="center"/>
          </w:tcPr>
          <w:p>
            <w:pPr>
              <w:jc w:val="center"/>
              <w:rPr>
                <w:rFonts w:ascii="宋体" w:hAnsi="宋体"/>
                <w:b/>
                <w:color w:val="auto"/>
                <w:szCs w:val="21"/>
                <w:highlight w:val="none"/>
              </w:rPr>
            </w:pPr>
          </w:p>
        </w:tc>
        <w:tc>
          <w:tcPr>
            <w:tcW w:w="4924" w:type="dxa"/>
            <w:tcBorders>
              <w:tl2br w:val="nil"/>
              <w:tr2bl w:val="nil"/>
            </w:tcBorders>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pPr>
              <w:jc w:val="both"/>
              <w:rPr>
                <w:rFonts w:ascii="宋体" w:hAnsi="宋体"/>
                <w:b/>
                <w:color w:val="auto"/>
                <w:szCs w:val="21"/>
                <w:highlight w:val="none"/>
              </w:rPr>
            </w:pPr>
            <w:r>
              <w:rPr>
                <w:rFonts w:hint="eastAsia" w:ascii="宋体" w:hAnsi="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合同</w:t>
            </w:r>
            <w:r>
              <w:rPr>
                <w:rFonts w:hint="eastAsia" w:ascii="宋体" w:hAnsi="宋体"/>
                <w:color w:val="auto"/>
                <w:szCs w:val="21"/>
                <w:highlight w:val="none"/>
                <w:u w:val="single"/>
                <w:lang w:eastAsia="zh-CN"/>
              </w:rPr>
              <w:t>暂定</w:t>
            </w:r>
            <w:r>
              <w:rPr>
                <w:rFonts w:hint="eastAsia" w:ascii="宋体" w:hAnsi="宋体"/>
                <w:color w:val="auto"/>
                <w:szCs w:val="21"/>
                <w:highlight w:val="none"/>
                <w:u w:val="single"/>
              </w:rPr>
              <w:t>金额的10%    。</w:t>
            </w:r>
          </w:p>
          <w:p>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r>
              <w:rPr>
                <w:rFonts w:hint="eastAsia" w:hAnsi="宋体" w:cs="宋体"/>
                <w:color w:val="auto"/>
                <w:kern w:val="2"/>
                <w:szCs w:val="21"/>
                <w:highlight w:val="none"/>
                <w:u w:val="single"/>
                <w:lang w:val="zh-CN" w:eastAsia="zh-CN"/>
              </w:rPr>
              <w:t>东莞市大岭山镇大塘实业投资有限公司</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kern w:val="2"/>
                <w:szCs w:val="21"/>
                <w:highlight w:val="none"/>
                <w:u w:val="single"/>
                <w:lang w:val="en-US" w:eastAsia="zh-CN"/>
              </w:rPr>
              <w:t>东莞农村商业银行股份有限公司大岭山大塘分理处</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hAnsi="宋体" w:cs="宋体"/>
                <w:color w:val="auto"/>
                <w:kern w:val="2"/>
                <w:szCs w:val="21"/>
                <w:highlight w:val="none"/>
                <w:u w:val="single"/>
              </w:rPr>
              <w:t xml:space="preserve"> </w:t>
            </w:r>
            <w:r>
              <w:rPr>
                <w:rFonts w:hint="eastAsia" w:ascii="宋体" w:hAnsi="宋体" w:cs="宋体"/>
                <w:color w:val="auto"/>
                <w:szCs w:val="21"/>
                <w:highlight w:val="none"/>
                <w:u w:val="single"/>
                <w:lang w:val="en-US" w:eastAsia="zh-CN"/>
              </w:rPr>
              <w:t>140070190010011535</w:t>
            </w:r>
            <w:r>
              <w:rPr>
                <w:rFonts w:hint="eastAsia" w:hAnsi="宋体" w:cs="宋体"/>
                <w:color w:val="auto"/>
                <w:kern w:val="2"/>
                <w:szCs w:val="21"/>
                <w:highlight w:val="none"/>
                <w:u w:val="single"/>
              </w:rPr>
              <w:t xml:space="preserve"> </w:t>
            </w:r>
            <w:r>
              <w:rPr>
                <w:rFonts w:hint="eastAsia" w:hAnsi="宋体" w:cs="宋体"/>
                <w:color w:val="auto"/>
                <w:kern w:val="2"/>
                <w:szCs w:val="21"/>
                <w:highlight w:val="none"/>
                <w:lang w:val="zh-CN"/>
              </w:rPr>
              <w:t>；</w:t>
            </w:r>
          </w:p>
          <w:p>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pPr>
              <w:jc w:val="both"/>
              <w:rPr>
                <w:rFonts w:ascii="宋体" w:hAnsi="宋体"/>
                <w:color w:val="auto"/>
                <w:szCs w:val="21"/>
                <w:highlight w:val="none"/>
              </w:rPr>
            </w:pPr>
            <w:r>
              <w:rPr>
                <w:rFonts w:hint="eastAsia" w:ascii="宋体" w:hAnsi="宋体"/>
                <w:color w:val="auto"/>
                <w:szCs w:val="21"/>
                <w:highlight w:val="none"/>
              </w:rPr>
              <w:t>5、履约担保要求：</w:t>
            </w:r>
          </w:p>
          <w:p>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pPr>
              <w:jc w:val="both"/>
              <w:rPr>
                <w:rFonts w:ascii="宋体" w:hAnsi="宋体"/>
                <w:b/>
                <w:color w:val="auto"/>
                <w:szCs w:val="21"/>
                <w:highlight w:val="none"/>
              </w:rPr>
            </w:pPr>
            <w:r>
              <w:rPr>
                <w:rFonts w:hint="eastAsia" w:ascii="宋体" w:hAnsi="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pPr>
              <w:jc w:val="center"/>
              <w:rPr>
                <w:rFonts w:ascii="宋体" w:hAnsi="宋体"/>
                <w:color w:val="auto"/>
                <w:szCs w:val="21"/>
                <w:highlight w:val="none"/>
              </w:rPr>
            </w:pPr>
          </w:p>
        </w:tc>
        <w:tc>
          <w:tcPr>
            <w:tcW w:w="7532" w:type="dxa"/>
            <w:gridSpan w:val="2"/>
            <w:tcBorders>
              <w:tl2br w:val="nil"/>
              <w:tr2bl w:val="nil"/>
            </w:tcBorders>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w:t>
            </w:r>
            <w:r>
              <w:rPr>
                <w:rFonts w:hint="eastAsia" w:ascii="宋体" w:hAnsi="宋体"/>
                <w:color w:val="auto"/>
                <w:szCs w:val="21"/>
                <w:highlight w:val="none"/>
                <w:lang w:val="en-US" w:eastAsia="zh-CN"/>
              </w:rPr>
              <w:t>建设单位</w:t>
            </w:r>
            <w:r>
              <w:rPr>
                <w:rFonts w:hint="eastAsia" w:ascii="宋体" w:hAnsi="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color w:val="auto"/>
          <w:highlight w:val="none"/>
        </w:rPr>
      </w:pPr>
      <w:r>
        <w:rPr>
          <w:rFonts w:hint="eastAsia"/>
          <w:color w:val="auto"/>
          <w:highlight w:val="none"/>
        </w:rPr>
        <w:br w:type="page"/>
      </w:r>
    </w:p>
    <w:p>
      <w:pPr>
        <w:pStyle w:val="5"/>
        <w:spacing w:before="0" w:after="0" w:line="240" w:lineRule="auto"/>
        <w:jc w:val="center"/>
        <w:rPr>
          <w:rFonts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附表二：商务技术评分及价格权重表（满分100分）</w:t>
      </w:r>
      <w:bookmarkEnd w:id="4"/>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月01日至投标截止日前承接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（1）拟派项目负责人：</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①具备</w:t>
            </w:r>
            <w:r>
              <w:rPr>
                <w:rFonts w:hint="eastAsia" w:ascii="宋体" w:hAnsi="宋体" w:eastAsia="宋体" w:cs="宋体"/>
                <w:color w:val="auto"/>
                <w:sz w:val="21"/>
                <w:szCs w:val="21"/>
                <w:highlight w:val="none"/>
                <w:lang w:val="en-US" w:eastAsia="zh-CN"/>
              </w:rPr>
              <w:t>工程造价</w:t>
            </w:r>
            <w:r>
              <w:rPr>
                <w:rFonts w:hint="eastAsia" w:ascii="宋体" w:hAnsi="宋体" w:eastAsia="宋体" w:cs="宋体"/>
                <w:color w:val="auto"/>
                <w:sz w:val="21"/>
                <w:szCs w:val="21"/>
                <w:highlight w:val="none"/>
              </w:rPr>
              <w:t>高级（或以上）职称的得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拟派项目负责人</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eastAsia="zh-CN"/>
              </w:rPr>
              <w:t>2020年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月01日</w:t>
            </w:r>
            <w:r>
              <w:rPr>
                <w:rFonts w:hint="eastAsia" w:ascii="宋体" w:hAnsi="宋体" w:eastAsia="宋体" w:cs="宋体"/>
                <w:color w:val="auto"/>
                <w:sz w:val="21"/>
                <w:szCs w:val="21"/>
                <w:highlight w:val="none"/>
              </w:rPr>
              <w:t>至投标截止日前</w:t>
            </w:r>
            <w:r>
              <w:rPr>
                <w:rFonts w:hint="eastAsia" w:ascii="宋体" w:hAnsi="宋体" w:eastAsia="宋体" w:cs="宋体"/>
                <w:color w:val="auto"/>
                <w:sz w:val="21"/>
                <w:szCs w:val="21"/>
                <w:highlight w:val="none"/>
                <w:lang w:eastAsia="zh-CN"/>
              </w:rPr>
              <w:t>作为项目负责人承接过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eastAsia="zh-CN"/>
              </w:rPr>
              <w:t>经验的，每个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（2）拟派专业负责人</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具备工程造价高级（或以上）职称的每人得1分，本分项最高得2分。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（3）拟派造价人员</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具有《中华人民共和国</w:t>
            </w:r>
            <w:r>
              <w:rPr>
                <w:rFonts w:hint="eastAsia" w:ascii="宋体" w:hAnsi="宋体" w:eastAsia="宋体" w:cs="宋体"/>
                <w:b w:val="0"/>
                <w:bCs/>
                <w:color w:val="auto"/>
                <w:highlight w:val="none"/>
                <w:u w:val="none"/>
                <w:lang w:val="en-US" w:eastAsia="zh-CN"/>
              </w:rPr>
              <w:t>一</w:t>
            </w:r>
            <w:r>
              <w:rPr>
                <w:rFonts w:hint="eastAsia" w:ascii="宋体" w:hAnsi="宋体" w:eastAsia="宋体" w:cs="宋体"/>
                <w:b w:val="0"/>
                <w:bCs/>
                <w:color w:val="auto"/>
                <w:highlight w:val="none"/>
                <w:u w:val="none"/>
              </w:rPr>
              <w:t>级造价工程师注册证书》或以上并注册在投标人本单位的，每人得0.5分，本分项最高得2分。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ascii="宋体" w:hAnsi="宋体" w:cs="宋体"/>
                <w:b w:val="0"/>
                <w:bCs/>
                <w:color w:val="auto"/>
                <w:highlight w:val="none"/>
                <w:u w:val="none"/>
                <w:lang w:eastAsia="zh-CN"/>
              </w:rPr>
              <w:t>、</w:t>
            </w:r>
            <w:r>
              <w:rPr>
                <w:rFonts w:hint="eastAsia" w:ascii="宋体" w:hAnsi="宋体" w:cs="宋体"/>
                <w:b w:val="0"/>
                <w:bCs/>
                <w:color w:val="auto"/>
                <w:highlight w:val="none"/>
                <w:u w:val="none"/>
                <w:lang w:val="en-US" w:eastAsia="zh-CN"/>
              </w:rPr>
              <w:t>劳动合同复印件</w:t>
            </w:r>
            <w:r>
              <w:rPr>
                <w:rFonts w:hint="eastAsia" w:ascii="宋体" w:hAnsi="宋体" w:eastAsia="宋体" w:cs="宋体"/>
                <w:b w:val="0"/>
                <w:bCs/>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 xml:space="preserve">保证、服务方案，同时对此作出违约责任的承诺情况进行综合评价：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 xml:space="preserve">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 xml:space="preserve">简单，投入的人力、物力等资源较少，作出简单的违约责任承诺，得1分。 </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pPr>
        <w:pStyle w:val="4"/>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5"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5"/>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6" w:name="_Toc31595"/>
      <w:r>
        <w:rPr>
          <w:rFonts w:hint="eastAsia" w:hAnsi="宋体" w:eastAsia="宋体" w:cs="宋体"/>
          <w:b/>
          <w:bCs/>
          <w:color w:val="auto"/>
          <w:sz w:val="21"/>
          <w:szCs w:val="21"/>
          <w:highlight w:val="none"/>
        </w:rPr>
        <w:t>一、项目概况</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工程名称：</w:t>
      </w:r>
      <w:r>
        <w:rPr>
          <w:rFonts w:hint="eastAsia" w:hAnsi="宋体" w:eastAsia="宋体" w:cs="宋体"/>
          <w:color w:val="auto"/>
          <w:sz w:val="21"/>
          <w:szCs w:val="21"/>
          <w:highlight w:val="none"/>
          <w:lang w:val="en-US" w:eastAsia="zh-CN"/>
        </w:rPr>
        <w:t>大岭山大塘村优质产业空间项目(北地块)</w:t>
      </w:r>
      <w:r>
        <w:rPr>
          <w:rFonts w:hint="eastAsia" w:hAnsi="宋体" w:cs="宋体"/>
          <w:color w:val="auto"/>
          <w:sz w:val="21"/>
          <w:szCs w:val="21"/>
          <w:highlight w:val="none"/>
          <w:lang w:val="en-US" w:eastAsia="zh-CN"/>
        </w:rPr>
        <w:t>二期</w:t>
      </w:r>
      <w:r>
        <w:rPr>
          <w:rFonts w:hint="eastAsia" w:hAnsi="宋体" w:eastAsia="宋体" w:cs="宋体"/>
          <w:color w:val="auto"/>
          <w:sz w:val="21"/>
          <w:szCs w:val="21"/>
          <w:highlight w:val="none"/>
          <w:lang w:val="en-US" w:eastAsia="zh-CN"/>
        </w:rPr>
        <w:t>项目全过程驻场造价咨询服务</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工程地点：东莞市</w:t>
      </w:r>
      <w:r>
        <w:rPr>
          <w:rFonts w:hint="eastAsia" w:hAnsi="宋体" w:eastAsia="宋体" w:cs="宋体"/>
          <w:color w:val="auto"/>
          <w:sz w:val="21"/>
          <w:szCs w:val="21"/>
          <w:highlight w:val="none"/>
          <w:lang w:val="en-US" w:eastAsia="zh-CN"/>
        </w:rPr>
        <w:t>大岭山</w:t>
      </w:r>
      <w:r>
        <w:rPr>
          <w:rFonts w:hint="eastAsia" w:hAnsi="宋体" w:eastAsia="宋体" w:cs="宋体"/>
          <w:color w:val="auto"/>
          <w:sz w:val="21"/>
          <w:szCs w:val="21"/>
          <w:highlight w:val="none"/>
        </w:rPr>
        <w:t>镇</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资金来源：</w:t>
      </w:r>
      <w:r>
        <w:rPr>
          <w:rFonts w:hint="eastAsia" w:hAnsi="宋体" w:eastAsia="宋体" w:cs="宋体"/>
          <w:color w:val="auto"/>
          <w:sz w:val="21"/>
          <w:szCs w:val="21"/>
          <w:highlight w:val="none"/>
          <w:lang w:val="en-US" w:eastAsia="zh-CN"/>
        </w:rPr>
        <w:t>村集体资金</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工程规模：</w:t>
      </w:r>
      <w:r>
        <w:rPr>
          <w:rFonts w:hint="eastAsia" w:hAnsi="宋体" w:eastAsia="宋体" w:cs="宋体"/>
          <w:color w:val="auto"/>
          <w:sz w:val="21"/>
          <w:szCs w:val="21"/>
          <w:highlight w:val="none"/>
          <w:lang w:val="en-US" w:eastAsia="zh-CN"/>
        </w:rPr>
        <w:t>项目占地面积约27710.10平方米，总建筑面积约</w:t>
      </w:r>
      <w:r>
        <w:rPr>
          <w:rFonts w:hint="eastAsia" w:hAnsi="宋体" w:cs="宋体"/>
          <w:color w:val="auto"/>
          <w:sz w:val="21"/>
          <w:szCs w:val="21"/>
          <w:highlight w:val="none"/>
          <w:lang w:val="en-US" w:eastAsia="zh-CN"/>
        </w:rPr>
        <w:t>102719.4</w:t>
      </w:r>
      <w:r>
        <w:rPr>
          <w:rFonts w:hint="eastAsia" w:hAnsi="宋体" w:eastAsia="宋体" w:cs="宋体"/>
          <w:color w:val="auto"/>
          <w:sz w:val="21"/>
          <w:szCs w:val="21"/>
          <w:highlight w:val="none"/>
          <w:lang w:val="en-US" w:eastAsia="zh-CN"/>
        </w:rPr>
        <w:t>平方米。</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投资金额：本项目</w:t>
      </w:r>
      <w:r>
        <w:rPr>
          <w:rFonts w:hint="eastAsia" w:hAnsi="宋体" w:eastAsia="宋体" w:cs="宋体"/>
          <w:color w:val="auto"/>
          <w:sz w:val="21"/>
          <w:szCs w:val="21"/>
          <w:highlight w:val="none"/>
          <w:lang w:eastAsia="zh-CN"/>
        </w:rPr>
        <w:t>估</w:t>
      </w:r>
      <w:r>
        <w:rPr>
          <w:rFonts w:hint="eastAsia" w:hAnsi="宋体" w:eastAsia="宋体" w:cs="宋体"/>
          <w:color w:val="auto"/>
          <w:sz w:val="21"/>
          <w:szCs w:val="21"/>
          <w:highlight w:val="none"/>
        </w:rPr>
        <w:t>算总投资</w:t>
      </w:r>
      <w:r>
        <w:rPr>
          <w:rFonts w:hint="eastAsia" w:hAnsi="宋体" w:eastAsia="宋体" w:cs="宋体"/>
          <w:color w:val="auto"/>
          <w:sz w:val="21"/>
          <w:szCs w:val="21"/>
          <w:highlight w:val="none"/>
          <w:lang w:val="en-US" w:eastAsia="zh-CN"/>
        </w:rPr>
        <w:t>为</w:t>
      </w:r>
      <w:r>
        <w:rPr>
          <w:rFonts w:hint="eastAsia" w:hAnsi="宋体" w:cs="宋体"/>
          <w:color w:val="auto"/>
          <w:sz w:val="21"/>
          <w:szCs w:val="21"/>
          <w:highlight w:val="none"/>
          <w:lang w:val="en-US" w:eastAsia="zh-CN"/>
        </w:rPr>
        <w:t>31800</w:t>
      </w:r>
      <w:r>
        <w:rPr>
          <w:rFonts w:hint="eastAsia" w:hAnsi="宋体" w:eastAsia="宋体" w:cs="宋体"/>
          <w:color w:val="auto"/>
          <w:sz w:val="21"/>
          <w:szCs w:val="21"/>
          <w:highlight w:val="none"/>
          <w:lang w:eastAsia="zh-CN"/>
        </w:rPr>
        <w:t>万</w:t>
      </w:r>
      <w:r>
        <w:rPr>
          <w:rFonts w:hint="eastAsia" w:hAnsi="宋体" w:eastAsia="宋体" w:cs="宋体"/>
          <w:color w:val="auto"/>
          <w:sz w:val="21"/>
          <w:szCs w:val="21"/>
          <w:highlight w:val="none"/>
        </w:rPr>
        <w:t>元，其中建安工程费</w:t>
      </w:r>
      <w:r>
        <w:rPr>
          <w:rFonts w:hint="eastAsia" w:hAnsi="宋体" w:eastAsia="宋体" w:cs="宋体"/>
          <w:color w:val="auto"/>
          <w:sz w:val="21"/>
          <w:szCs w:val="21"/>
          <w:highlight w:val="none"/>
          <w:lang w:eastAsia="zh-CN"/>
        </w:rPr>
        <w:t>为</w:t>
      </w:r>
      <w:r>
        <w:rPr>
          <w:rFonts w:hint="eastAsia" w:hAnsi="宋体" w:cs="宋体"/>
          <w:color w:val="auto"/>
          <w:sz w:val="21"/>
          <w:szCs w:val="21"/>
          <w:highlight w:val="none"/>
          <w:lang w:val="en-US" w:eastAsia="zh-CN"/>
        </w:rPr>
        <w:t>27030</w:t>
      </w:r>
      <w:r>
        <w:rPr>
          <w:rFonts w:hint="eastAsia" w:hAnsi="宋体" w:eastAsia="宋体" w:cs="宋体"/>
          <w:color w:val="auto"/>
          <w:sz w:val="21"/>
          <w:szCs w:val="21"/>
          <w:highlight w:val="none"/>
        </w:rPr>
        <w:t>万元（投资金额以最终批复的文件为准）。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rPr>
        <w:t xml:space="preserve">方确认后结束。 </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bookmarkStart w:id="7" w:name="_Toc17618"/>
      <w:bookmarkStart w:id="8" w:name="_Toc60995814"/>
      <w:bookmarkStart w:id="9" w:name="_Toc2022"/>
      <w:bookmarkStart w:id="10" w:name="_Toc5059"/>
      <w:bookmarkStart w:id="11" w:name="_Toc21262"/>
      <w:bookmarkStart w:id="12" w:name="_Toc388458957"/>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bookmarkEnd w:id="7"/>
      <w:bookmarkEnd w:id="8"/>
      <w:bookmarkEnd w:id="9"/>
      <w:bookmarkEnd w:id="10"/>
      <w:bookmarkEnd w:id="11"/>
      <w:bookmarkEnd w:id="12"/>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大岭山大塘村优质产业空间项目(北地块)</w:t>
      </w:r>
      <w:r>
        <w:rPr>
          <w:rFonts w:hint="eastAsia" w:hAnsi="宋体" w:cs="宋体"/>
          <w:color w:val="auto"/>
          <w:sz w:val="21"/>
          <w:szCs w:val="21"/>
          <w:highlight w:val="none"/>
          <w:lang w:eastAsia="zh-CN"/>
        </w:rPr>
        <w:t>二期</w:t>
      </w:r>
      <w:r>
        <w:rPr>
          <w:rFonts w:hint="eastAsia" w:hAnsi="宋体" w:eastAsia="宋体" w:cs="宋体"/>
          <w:color w:val="auto"/>
          <w:sz w:val="21"/>
          <w:szCs w:val="21"/>
          <w:highlight w:val="none"/>
          <w:lang w:eastAsia="zh-CN"/>
        </w:rPr>
        <w:t>项目全过程驻场造价咨询</w:t>
      </w:r>
      <w:r>
        <w:rPr>
          <w:rFonts w:hint="eastAsia" w:hAnsi="宋体" w:eastAsia="宋体" w:cs="宋体"/>
          <w:color w:val="auto"/>
          <w:sz w:val="21"/>
          <w:szCs w:val="21"/>
          <w:highlight w:val="none"/>
          <w:lang w:val="en-US" w:eastAsia="zh-CN"/>
        </w:rPr>
        <w:t>服务</w:t>
      </w:r>
      <w:r>
        <w:rPr>
          <w:rFonts w:hint="eastAsia" w:hAnsi="宋体" w:eastAsia="宋体" w:cs="宋体"/>
          <w:color w:val="auto"/>
          <w:sz w:val="21"/>
          <w:szCs w:val="21"/>
          <w:highlight w:val="none"/>
        </w:rPr>
        <w:t>，包括但不限于以下内容：设计阶段、发承包阶段、实施阶段、竣工阶段、财务决算阶段、审计阶段（如有）</w:t>
      </w:r>
      <w:r>
        <w:rPr>
          <w:rFonts w:hint="eastAsia" w:hAnsi="宋体" w:eastAsia="宋体" w:cs="宋体"/>
          <w:color w:val="auto"/>
          <w:sz w:val="21"/>
          <w:szCs w:val="21"/>
          <w:highlight w:val="none"/>
          <w:lang w:eastAsia="zh-CN"/>
        </w:rPr>
        <w:t>的：</w:t>
      </w:r>
      <w:r>
        <w:rPr>
          <w:rFonts w:hint="eastAsia" w:hAnsi="宋体" w:eastAsia="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年度或工程竣工后的审计工作。⑬按实际需要派驻造价人员到招标人场地进行造价咨询服务（</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保留调整工作范围和内容的权利）。⑭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13" w:name="_Toc60995815"/>
      <w:bookmarkStart w:id="14" w:name="_Toc21926"/>
      <w:bookmarkStart w:id="15" w:name="_Toc28757"/>
      <w:bookmarkStart w:id="16" w:name="_Toc254966654"/>
      <w:bookmarkStart w:id="17" w:name="_Toc16681"/>
      <w:bookmarkStart w:id="18" w:name="_Toc245784931"/>
      <w:bookmarkStart w:id="19" w:name="_Toc388458958"/>
      <w:bookmarkStart w:id="20" w:name="_Toc16372"/>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三、对造价咨询单位（中标后）要求</w:t>
      </w:r>
      <w:bookmarkEnd w:id="13"/>
      <w:bookmarkEnd w:id="14"/>
      <w:bookmarkEnd w:id="15"/>
      <w:bookmarkEnd w:id="16"/>
      <w:bookmarkEnd w:id="17"/>
      <w:bookmarkEnd w:id="18"/>
      <w:bookmarkEnd w:id="19"/>
      <w:bookmarkEnd w:id="20"/>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（1）造价咨询单位应严格按照国家和省、市有关财政、财务、基建管理、工程造价的法规、政策文件的有关规定、以及</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关投资管控与造价管理的相关规定和对审核成果文件的要求，本着合理、合规节约投资的原则，客观、公正地开展投资项目编制工作，按时保质保量提供编制服务，对编制成果的真实性、准确性、完整性、合法性、合理性负责，并负有保密责任。</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w:t>
      </w:r>
      <w:r>
        <w:rPr>
          <w:rFonts w:hint="eastAsia" w:hAnsi="宋体" w:eastAsia="宋体" w:cs="宋体"/>
          <w:color w:val="auto"/>
          <w:sz w:val="21"/>
          <w:szCs w:val="21"/>
          <w:highlight w:val="none"/>
          <w:lang w:val="en-US" w:eastAsia="zh-CN"/>
        </w:rPr>
        <w:t>咨询人</w:t>
      </w:r>
      <w:r>
        <w:rPr>
          <w:rFonts w:hint="eastAsia" w:hAnsi="宋体" w:eastAsia="宋体" w:cs="宋体"/>
          <w:color w:val="auto"/>
          <w:sz w:val="21"/>
          <w:szCs w:val="21"/>
          <w:highlight w:val="none"/>
        </w:rPr>
        <w:t>应</w:t>
      </w:r>
      <w:r>
        <w:rPr>
          <w:rFonts w:hint="eastAsia" w:hAnsi="宋体" w:eastAsia="宋体" w:cs="宋体"/>
          <w:color w:val="auto"/>
          <w:sz w:val="21"/>
          <w:szCs w:val="21"/>
          <w:highlight w:val="none"/>
          <w:lang w:val="en-US" w:eastAsia="zh-CN"/>
        </w:rPr>
        <w:t>充分</w:t>
      </w:r>
      <w:r>
        <w:rPr>
          <w:rFonts w:hint="eastAsia" w:hAnsi="宋体" w:eastAsia="宋体" w:cs="宋体"/>
          <w:color w:val="auto"/>
          <w:sz w:val="21"/>
          <w:szCs w:val="21"/>
          <w:highlight w:val="none"/>
        </w:rPr>
        <w:t>带动公司后台资源服务项目</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在项目各阶段提出成本优化建议。</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3</w:t>
      </w:r>
      <w:r>
        <w:rPr>
          <w:rFonts w:hint="eastAsia" w:hAnsi="宋体" w:eastAsia="宋体" w:cs="宋体"/>
          <w:color w:val="auto"/>
          <w:sz w:val="21"/>
          <w:szCs w:val="21"/>
          <w:highlight w:val="none"/>
        </w:rPr>
        <w:t>）中标后，</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必须按投标时提交的人员配置表配置本项目造价咨询服务人员。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有权根据项目实际情况要求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增加专业造价工程师的投入，保证项目按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规定的进度完成。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必须在东莞市设有固定的办公场所、资料档案保管场所；配备专业造价管理软件和交通工具等。</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）造价咨询单位人员连续二次不参加工作例会、有关专题会议等，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代表将记录缺位人员情况，必要时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提出更换人员要求，或书面告诫，直到经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人员渎职、拒不执行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意见、服务态度恶劣，影响工作的，</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认为有必要更换</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人员时，将出具书面通知</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勿需说明理由</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应立即撤换，并重新委派经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认可的人员到位。</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6</w:t>
      </w:r>
      <w:r>
        <w:rPr>
          <w:rFonts w:hint="eastAsia" w:hAnsi="宋体" w:eastAsia="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7</w:t>
      </w:r>
      <w:r>
        <w:rPr>
          <w:rFonts w:hint="eastAsia" w:hAnsi="宋体" w:eastAsia="宋体" w:cs="宋体"/>
          <w:color w:val="auto"/>
          <w:sz w:val="21"/>
          <w:szCs w:val="21"/>
          <w:highlight w:val="none"/>
        </w:rPr>
        <w:t>）中标咨询单位须承诺服从</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的有关规定。合同执行过程中，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颁布新的管理办法、细则或操作手册的，按最新制度执行。</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8</w:t>
      </w:r>
      <w:r>
        <w:rPr>
          <w:rFonts w:hint="eastAsia" w:hAnsi="宋体" w:eastAsia="宋体" w:cs="宋体"/>
          <w:color w:val="auto"/>
          <w:sz w:val="21"/>
          <w:szCs w:val="21"/>
          <w:highlight w:val="none"/>
        </w:rPr>
        <w:t>）造价咨询单位须独立完成</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委托的编制业务，不得将编制任务转让第三方完成，保证项目资料的完整，不得遗失、损坏项目资料，并按</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的要求按期做好已完项目的相关资料移交和归档工作。未经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同意，不得以任何形式向任何单位或个人披露编制项目有关的信息，不得对外提供、泄露编制有关情况。</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1" w:name="_Toc32579"/>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bookmarkEnd w:id="21"/>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项目组织与实施</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承担工程造价管理咨询项目后应编制工程造价管理咨询项目工作大纲，完善</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承担咨询项目本身的管理内容。工作大纲的内容应包括项目概况、咨询服务范围、工作组织、工作进度、人员安排、实施方案、质量管理等内容。</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通知，</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需要及时安排人员去现场考察以及了解施工情况并及时处理。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1.3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风险管理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在项目实施中应进行正确的风险分析与风险评估，风险评估应包括对建设项目工程造价的影响和整个建设项目经济评价指标的影响。</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2.2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对于已经发生的风险事件应进行风险的分析与评估，为处理风险事件、工程索赔等问题提出合理建议，降低风险损失，避免风险带来的损失扩大。</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信息管理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3.3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3.4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应遵循统一化、标准化、网络化的原则，应有效地应用工程项目工程造价软件，主要包括基础数据管理软件，工程项目预</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结</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 xml:space="preserve">算编审软件等。 </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四</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质量管理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应建立相应的质量管理体系。对其承担阶段工程造价咨询的基础资料的收集、归纳和整理，成果文件的提交、报审和归档等，都要有具体的规定。</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4.2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提供的书面资料应加盖公章或有效合法的签名</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进行有效性和合理性核对，应保证自身收集的或已有的造价基础资料和编制依据全面、现行、有效。</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4.3</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4.4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出具的工程造价咨询成果文件质量应符合国家或行业工程计价的有关规定、标准、规范的要求，并须满足</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要求。工程造价咨询合同应约定具体的工程咨询质量精度标准。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4.5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在工程造价咨询服务完成后，项目负责人应组织有关人员对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进行回访，听取</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对服务质量的评价意见，及时总结咨询服务的优、缺点和经验教训， 将存在的问题纳入质量改进计划，提出相应的改进措施。</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五</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档案管理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 xml:space="preserve">5.1 </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5.2</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5.3工程造价技术档案应按委托服务合同建立，按服务项目分类整理归纳。</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5.4工程造价技术档案过程文件保存期应遵照执行</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档案管理办法和相关规定。</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（六）</w:t>
      </w:r>
      <w:r>
        <w:rPr>
          <w:rFonts w:hint="default" w:hAnsi="宋体" w:eastAsia="宋体" w:cs="宋体"/>
          <w:color w:val="auto"/>
          <w:sz w:val="21"/>
          <w:szCs w:val="21"/>
          <w:highlight w:val="none"/>
          <w:lang w:val="en-US" w:eastAsia="zh-CN"/>
        </w:rPr>
        <w:t>全过程驻场造价咨询服务人员要求</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6.1 </w:t>
      </w:r>
      <w:r>
        <w:rPr>
          <w:rFonts w:hint="default" w:hAnsi="宋体" w:eastAsia="宋体" w:cs="宋体"/>
          <w:color w:val="auto"/>
          <w:sz w:val="21"/>
          <w:szCs w:val="21"/>
          <w:highlight w:val="none"/>
          <w:lang w:val="en-US" w:eastAsia="zh-CN"/>
        </w:rPr>
        <w:t>咨询专业人员要求：满足</w:t>
      </w:r>
      <w:r>
        <w:rPr>
          <w:rFonts w:hint="eastAsia" w:hAnsi="宋体" w:eastAsia="宋体" w:cs="宋体"/>
          <w:color w:val="auto"/>
          <w:sz w:val="21"/>
          <w:szCs w:val="21"/>
          <w:highlight w:val="none"/>
          <w:lang w:val="en-US" w:eastAsia="zh-CN"/>
        </w:rPr>
        <w:t>采购文件</w:t>
      </w:r>
      <w:r>
        <w:rPr>
          <w:rFonts w:hint="default" w:hAnsi="宋体" w:eastAsia="宋体" w:cs="宋体"/>
          <w:color w:val="auto"/>
          <w:sz w:val="21"/>
          <w:szCs w:val="21"/>
          <w:highlight w:val="none"/>
          <w:lang w:val="en-US" w:eastAsia="zh-CN"/>
        </w:rPr>
        <w:t>中“全过程造价管理服务人员配备要求表”的要求。</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6.2 </w:t>
      </w:r>
      <w:r>
        <w:rPr>
          <w:rFonts w:hint="default" w:hAnsi="宋体" w:eastAsia="宋体" w:cs="宋体"/>
          <w:color w:val="auto"/>
          <w:sz w:val="21"/>
          <w:szCs w:val="21"/>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6.3 </w:t>
      </w:r>
      <w:r>
        <w:rPr>
          <w:rFonts w:hint="default" w:hAnsi="宋体" w:eastAsia="宋体" w:cs="宋体"/>
          <w:color w:val="auto"/>
          <w:sz w:val="21"/>
          <w:szCs w:val="21"/>
          <w:highlight w:val="none"/>
          <w:lang w:val="en-US" w:eastAsia="zh-CN"/>
        </w:rPr>
        <w:t>咨询人必须在拟派人员名单中按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要求安排足够的技术人员开展工作，并明确各个项目的咨询专业人员，如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认为造价咨询单位派出的咨询人员不足以按期完成咨询任务，造价咨询单位应按</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要求增派符合专业资格要求的咨询专业人员。如</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认为造价咨询单位派出的咨询专业人员不能胜任工作，</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有权要求造价咨询单位更换。</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 xml:space="preserve">6.4 </w:t>
      </w:r>
      <w:r>
        <w:rPr>
          <w:rFonts w:hint="default" w:hAnsi="宋体" w:eastAsia="宋体" w:cs="宋体"/>
          <w:color w:val="auto"/>
          <w:sz w:val="21"/>
          <w:szCs w:val="21"/>
          <w:highlight w:val="none"/>
          <w:lang w:val="en-US" w:eastAsia="zh-CN"/>
        </w:rPr>
        <w:t>在合同服务期限内，咨询人根据</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6.5 </w:t>
      </w:r>
      <w:r>
        <w:rPr>
          <w:rFonts w:hint="default" w:hAnsi="宋体" w:eastAsia="宋体" w:cs="宋体"/>
          <w:color w:val="auto"/>
          <w:sz w:val="21"/>
          <w:szCs w:val="21"/>
          <w:highlight w:val="none"/>
          <w:lang w:val="en-US" w:eastAsia="zh-CN"/>
        </w:rPr>
        <w:t>咨询人的项目人员不得随意更换。如需更换，须提前征得</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的书面同意。项目负责人必须是经</w:t>
      </w:r>
      <w:r>
        <w:rPr>
          <w:rFonts w:hint="eastAsia" w:hAnsi="宋体" w:eastAsia="宋体" w:cs="宋体"/>
          <w:color w:val="auto"/>
          <w:sz w:val="21"/>
          <w:szCs w:val="21"/>
          <w:highlight w:val="none"/>
          <w:lang w:val="en-US" w:eastAsia="zh-CN"/>
        </w:rPr>
        <w:t>采购人</w:t>
      </w:r>
      <w:r>
        <w:rPr>
          <w:rFonts w:hint="default" w:hAnsi="宋体" w:eastAsia="宋体" w:cs="宋体"/>
          <w:color w:val="auto"/>
          <w:sz w:val="21"/>
          <w:szCs w:val="21"/>
          <w:highlight w:val="none"/>
          <w:lang w:val="en-US" w:eastAsia="zh-CN"/>
        </w:rPr>
        <w:t>书面认可。且必须做到，完全了解工程造价控制情况，按时参加工程例会，不得随意缺席</w:t>
      </w:r>
      <w:r>
        <w:rPr>
          <w:rFonts w:hint="eastAsia" w:hAnsi="宋体" w:eastAsia="宋体" w:cs="宋体"/>
          <w:color w:val="auto"/>
          <w:sz w:val="21"/>
          <w:szCs w:val="21"/>
          <w:highlight w:val="none"/>
          <w:lang w:val="en-US" w:eastAsia="zh-CN"/>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驻场人员</w:t>
      </w:r>
      <w:r>
        <w:rPr>
          <w:rFonts w:hint="eastAsia" w:hAnsi="宋体" w:eastAsia="宋体" w:cs="宋体"/>
          <w:color w:val="auto"/>
          <w:sz w:val="21"/>
          <w:szCs w:val="21"/>
          <w:highlight w:val="none"/>
        </w:rPr>
        <w:t>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7.1 造价咨询单位应选派一名驻场造价咨询人员，该人员驻场服务期暂定为自</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日起至项目竣工验收完成之日止，具体以采购人要求为准。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7.2 选派的驻场人员须经采购人面试合格后方可进场。</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7.3 驻场人员在驻场期间接受采购人管理，遵循采购人的劳动时间及劳动纪律，根据采购人的安排在项目驻场办公。每月驻场时间不少于20个工作日，签到时间不晚于上午9点，签退时间不早于下午6点，如无理由缺勤，采购人有权要求造价咨询单位按200元/天支付违约金。如派驻现场技术人员每月请假日数累计超过6日，采购人有权要求造价咨询单位支付违约金2000元/次。</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7.4 造价咨询单位应保证驻场人员的相对固定，并保证其工作时间和工作连贯性，更换人员需书面告知</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，未经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同意不得更换人员。对于未达到</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工作要求的派遣人员，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必须在10个工作日内进行更换，更换的派遣人员应符合工作要求。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更换驻场人员，</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有权要求</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支付违约金10000元/人/次</w:t>
      </w:r>
      <w:r>
        <w:rPr>
          <w:rFonts w:hint="eastAsia" w:hAnsi="宋体" w:eastAsia="宋体" w:cs="宋体"/>
          <w:color w:val="auto"/>
          <w:sz w:val="21"/>
          <w:szCs w:val="21"/>
          <w:highlight w:val="none"/>
          <w:lang w:val="en-US" w:eastAsia="zh-CN"/>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7.5 派驻现场技术人员离开施工现场1日以上需报采购人批准，在其请假离开的时间段内应委托咨询人其他相当职称资格技术人员驻场，全权代表其行使相应职权；否则，每违约一次，咨询人承担违约金1000元。</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rPr>
      </w:pPr>
      <w:r>
        <w:rPr>
          <w:rFonts w:hint="eastAsia" w:hAnsi="宋体" w:eastAsia="宋体" w:cs="宋体"/>
          <w:color w:val="auto"/>
          <w:sz w:val="21"/>
          <w:szCs w:val="21"/>
          <w:highlight w:val="none"/>
          <w:lang w:val="en-US" w:eastAsia="zh-CN"/>
        </w:rPr>
        <w:t>7.6 驻场人员须每月22日提交更新合同台账、变更台账、进度款台账、动态成本台账、结算台账等，若台账信息缺失或者描述与实际情况不符的，出现1次，处500元违约金。</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（八）成本实测实量</w:t>
      </w:r>
      <w:r>
        <w:rPr>
          <w:rFonts w:hint="eastAsia" w:hAnsi="宋体" w:eastAsia="宋体" w:cs="宋体"/>
          <w:color w:val="auto"/>
          <w:sz w:val="21"/>
          <w:szCs w:val="21"/>
          <w:highlight w:val="none"/>
        </w:rPr>
        <w:t>管理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8.1 驻场人员</w:t>
      </w:r>
      <w:r>
        <w:rPr>
          <w:rFonts w:hint="eastAsia" w:hAnsi="宋体" w:eastAsia="宋体" w:cs="宋体"/>
          <w:color w:val="auto"/>
          <w:sz w:val="21"/>
          <w:szCs w:val="21"/>
          <w:highlight w:val="none"/>
        </w:rPr>
        <w:t>按要求和要点每周在工地现场进行至少</w:t>
      </w:r>
      <w:r>
        <w:rPr>
          <w:rFonts w:hint="eastAsia" w:hAnsi="宋体" w:eastAsia="宋体" w:cs="宋体"/>
          <w:color w:val="auto"/>
          <w:sz w:val="21"/>
          <w:szCs w:val="21"/>
          <w:highlight w:val="none"/>
          <w:lang w:val="en-US" w:eastAsia="zh-CN"/>
        </w:rPr>
        <w:t>4</w:t>
      </w:r>
      <w:r>
        <w:rPr>
          <w:rFonts w:hint="eastAsia"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hAnsi="宋体" w:eastAsia="宋体" w:cs="宋体"/>
          <w:color w:val="auto"/>
          <w:sz w:val="21"/>
          <w:szCs w:val="21"/>
          <w:highlight w:val="none"/>
          <w:lang w:eastAsia="zh-CN"/>
        </w:rPr>
        <w:t>，巡查过程发现异常问题须及时向采购人反馈。</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2" w:name="_Toc32436"/>
      <w:r>
        <w:rPr>
          <w:rFonts w:hint="eastAsia" w:hAnsi="宋体" w:eastAsia="宋体" w:cs="宋体"/>
          <w:b/>
          <w:bCs/>
          <w:color w:val="auto"/>
          <w:sz w:val="21"/>
          <w:szCs w:val="21"/>
          <w:highlight w:val="none"/>
        </w:rPr>
        <w:t>五、造价咨询服务进度和质量要求</w:t>
      </w:r>
      <w:bookmarkEnd w:id="22"/>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应对</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提出资料补充要求。因资料不完整而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未能及时提出而造成编审进度延误，应由</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负责。</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必须在规定的时限内完成工程造价咨询服务的编审工作及配合各项工作的进度需求，若有需要，</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有可能要求提前，咨询单位需要无条件执行。</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（三）造价工程师考核标准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为提高全过程</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人员工作积极性,引进考核机制，</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根据</w:t>
      </w:r>
      <w:r>
        <w:rPr>
          <w:rFonts w:hint="eastAsia" w:hAnsi="宋体" w:eastAsia="宋体" w:cs="宋体"/>
          <w:color w:val="auto"/>
          <w:sz w:val="21"/>
          <w:szCs w:val="21"/>
          <w:highlight w:val="none"/>
          <w:lang w:val="en-US" w:eastAsia="zh-CN"/>
        </w:rPr>
        <w:t>合同</w:t>
      </w:r>
      <w:r>
        <w:rPr>
          <w:rFonts w:hint="eastAsia" w:hAnsi="宋体" w:eastAsia="宋体" w:cs="宋体"/>
          <w:color w:val="auto"/>
          <w:sz w:val="21"/>
          <w:szCs w:val="21"/>
          <w:highlight w:val="none"/>
        </w:rPr>
        <w:t>附件6中的《中介咨询机构评价意见表》、《咨询单位驻场人员考核表》要求的考核机制对</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进行考核，并以《中介咨询机构评价意见表》、《咨询单位驻场人员考核表》作为</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浮动酬金（咨询服务费的20%）发放的依据。</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hAnsi="宋体" w:eastAsia="宋体" w:cs="宋体"/>
          <w:color w:val="auto"/>
          <w:sz w:val="21"/>
          <w:szCs w:val="21"/>
          <w:highlight w:val="none"/>
        </w:rPr>
        <w:t>及《广东省工程量清单计价指引（2013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》、《广东省安装工程工程量清单计价指引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3" w:name="_Toc11489"/>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bookmarkEnd w:id="23"/>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本项目工程暂无设计图纸，中标后由采购人提供给中标单位。</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4" w:name="_Toc18761"/>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bookmarkEnd w:id="24"/>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eastAsia="宋体" w:cs="宋体"/>
          <w:color w:val="auto"/>
          <w:sz w:val="21"/>
          <w:szCs w:val="21"/>
          <w:highlight w:val="none"/>
          <w:lang w:eastAsia="zh-CN"/>
        </w:rPr>
        <w:t>大岭山大塘村优质产业空间项目(北地块)</w:t>
      </w:r>
      <w:r>
        <w:rPr>
          <w:rFonts w:hint="eastAsia" w:hAnsi="宋体" w:cs="宋体"/>
          <w:color w:val="auto"/>
          <w:sz w:val="21"/>
          <w:szCs w:val="21"/>
          <w:highlight w:val="none"/>
          <w:lang w:eastAsia="zh-CN"/>
        </w:rPr>
        <w:t>二期</w:t>
      </w:r>
      <w:r>
        <w:rPr>
          <w:rFonts w:hint="eastAsia" w:hAnsi="宋体" w:eastAsia="宋体" w:cs="宋体"/>
          <w:color w:val="auto"/>
          <w:sz w:val="21"/>
          <w:szCs w:val="21"/>
          <w:highlight w:val="none"/>
          <w:lang w:eastAsia="zh-CN"/>
        </w:rPr>
        <w:t>项目全过程驻场造价咨询服务</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5" w:name="_Toc325102316"/>
      <w:bookmarkStart w:id="26" w:name="_Toc14838"/>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bookmarkEnd w:id="25"/>
      <w:bookmarkEnd w:id="26"/>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拟投入项目组成员配置合理、专业齐全、经验丰富，人员配置的最低要求须满足本篇附件二《造价咨询服务人员配备要求表》，采购人有权根据项目实际情况要求中标单位增加专业造价工程师的投入，保证项目按采购人规定的进度完成。</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7" w:name="_Toc9780"/>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bookmarkEnd w:id="27"/>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（一）估算审核阶段：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按合同约定提交约定的工程估算审核报告等成果文件，该阶段不另外计费。</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（二）概算审核</w:t>
      </w:r>
      <w:r>
        <w:rPr>
          <w:rFonts w:hint="eastAsia" w:hAnsi="宋体" w:eastAsia="宋体" w:cs="宋体"/>
          <w:color w:val="auto"/>
          <w:sz w:val="21"/>
          <w:szCs w:val="21"/>
          <w:highlight w:val="none"/>
          <w:lang w:val="en-US" w:eastAsia="zh-CN"/>
        </w:rPr>
        <w:t>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按合同约定提交约定的概算审核报告</w:t>
      </w:r>
      <w:r>
        <w:rPr>
          <w:rFonts w:hint="eastAsia" w:hAnsi="宋体" w:eastAsia="宋体" w:cs="宋体"/>
          <w:color w:val="auto"/>
          <w:sz w:val="21"/>
          <w:szCs w:val="21"/>
          <w:highlight w:val="none"/>
          <w:lang w:val="en-US" w:eastAsia="zh-CN"/>
        </w:rPr>
        <w:t>等成果文件，</w:t>
      </w:r>
      <w:r>
        <w:rPr>
          <w:rFonts w:hint="eastAsia" w:hAnsi="宋体" w:eastAsia="宋体" w:cs="宋体"/>
          <w:color w:val="auto"/>
          <w:sz w:val="21"/>
          <w:szCs w:val="21"/>
          <w:highlight w:val="none"/>
        </w:rPr>
        <w:t>该阶段不另外计费。</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三</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预算编制阶段：</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按合同约定提交约定的施工图预算、工程量清单等成果文件，经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lang w:val="en-US" w:eastAsia="zh-CN"/>
        </w:rPr>
        <w:t>及建设单位</w:t>
      </w:r>
      <w:r>
        <w:rPr>
          <w:rFonts w:hint="eastAsia" w:hAnsi="宋体" w:eastAsia="宋体" w:cs="宋体"/>
          <w:color w:val="auto"/>
          <w:sz w:val="21"/>
          <w:szCs w:val="21"/>
          <w:highlight w:val="none"/>
        </w:rPr>
        <w:t>确认后30个日历天内，</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支付</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基本酬金（以施工图预算作为收费基数计算的咨询服务费总价*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%的80%）+浮动酬金（以施工图预算作为收费基数计算的咨询服务费总价*</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四</w:t>
      </w:r>
      <w:r>
        <w:rPr>
          <w:rFonts w:hint="eastAsia" w:hAnsi="宋体" w:eastAsia="宋体" w:cs="宋体"/>
          <w:color w:val="auto"/>
          <w:sz w:val="21"/>
          <w:szCs w:val="21"/>
          <w:highlight w:val="none"/>
        </w:rPr>
        <w:t>）施工阶段：</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rPr>
        <w:t>施工图预算确认后，从</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支付预算编制阶段费用后按季向咨询单位支付咨询服务酬金，本项目每季酬金=【基本酬金（以施工图预算作为收费基数计算的咨询服务费总价*6%的80%）+浮动酬金（以施工图预算作为收费基数计算的咨询服务费总价*6%的20%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）】，累计支付至以经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lang w:val="en-US" w:eastAsia="zh-CN"/>
        </w:rPr>
        <w:t>及建设单位</w:t>
      </w:r>
      <w:r>
        <w:rPr>
          <w:rFonts w:hint="eastAsia" w:hAnsi="宋体" w:eastAsia="宋体" w:cs="宋体"/>
          <w:color w:val="auto"/>
          <w:sz w:val="21"/>
          <w:szCs w:val="21"/>
          <w:highlight w:val="none"/>
        </w:rPr>
        <w:t>审核确定的累计工程预算价计算的咨询服务费总价的70%后，不再支付。</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cs="宋体"/>
          <w:color w:val="auto"/>
          <w:kern w:val="2"/>
          <w:highlight w:val="none"/>
        </w:rPr>
        <w:t>工程竣工验收合格且最终施工图预算确认</w:t>
      </w:r>
      <w:r>
        <w:rPr>
          <w:rFonts w:hint="eastAsia" w:hAnsi="宋体" w:eastAsia="宋体" w:cs="宋体"/>
          <w:color w:val="auto"/>
          <w:sz w:val="21"/>
          <w:szCs w:val="21"/>
          <w:highlight w:val="none"/>
        </w:rPr>
        <w:t>，并经</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lang w:val="en-US" w:eastAsia="zh-CN"/>
        </w:rPr>
        <w:t>及建设单位</w:t>
      </w:r>
      <w:r>
        <w:rPr>
          <w:rFonts w:hint="eastAsia" w:hAnsi="宋体" w:eastAsia="宋体" w:cs="宋体"/>
          <w:color w:val="auto"/>
          <w:sz w:val="21"/>
          <w:szCs w:val="21"/>
          <w:highlight w:val="none"/>
        </w:rPr>
        <w:t>确认后30个日历天内，</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支付基本酬金（以累计工程预算价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*15%的80%）+浮动酬金（以累计工程预算价</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下浮前</w:t>
      </w:r>
      <w:r>
        <w:rPr>
          <w:rFonts w:hint="eastAsia" w:hAnsi="宋体" w:eastAsia="宋体" w:cs="宋体"/>
          <w:color w:val="auto"/>
          <w:sz w:val="21"/>
          <w:szCs w:val="21"/>
          <w:highlight w:val="none"/>
          <w:lang w:eastAsia="zh-CN"/>
        </w:rPr>
        <w:t>）为收费基数计算的咨询服务费总价</w:t>
      </w:r>
      <w:r>
        <w:rPr>
          <w:rFonts w:hint="eastAsia" w:hAnsi="宋体" w:eastAsia="宋体" w:cs="宋体"/>
          <w:color w:val="auto"/>
          <w:sz w:val="21"/>
          <w:szCs w:val="21"/>
          <w:highlight w:val="none"/>
        </w:rPr>
        <w:t>*15%的20%为基数计算*咨询考核表评价分数对应的计费系数</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浮动酬金包含采购人已签批的支付给驻场咨询人员的奖励金</w:t>
      </w:r>
      <w:r>
        <w:rPr>
          <w:rFonts w:hint="eastAsia" w:hAnsi="宋体" w:eastAsia="宋体" w:cs="宋体"/>
          <w:color w:val="auto"/>
          <w:sz w:val="21"/>
          <w:szCs w:val="21"/>
          <w:highlight w:val="none"/>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（五）结算阶段：本合同约定的全部服务内容完成，</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提交完整合格结算资料及后评估资料并经</w:t>
      </w:r>
      <w:r>
        <w:rPr>
          <w:rFonts w:hint="eastAsia" w:hAnsi="宋体" w:eastAsia="宋体" w:cs="宋体"/>
          <w:color w:val="auto"/>
          <w:sz w:val="21"/>
          <w:szCs w:val="21"/>
          <w:highlight w:val="none"/>
          <w:lang w:val="en-US" w:eastAsia="zh-CN"/>
        </w:rPr>
        <w:t>采购人</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造价咨询单位</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建设单位三</w:t>
      </w:r>
      <w:r>
        <w:rPr>
          <w:rFonts w:hint="eastAsia" w:hAnsi="宋体" w:eastAsia="宋体" w:cs="宋体"/>
          <w:color w:val="auto"/>
          <w:sz w:val="21"/>
          <w:szCs w:val="21"/>
          <w:highlight w:val="none"/>
        </w:rPr>
        <w:t>方确认结算金额且</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提供发票金额至结算金额后30个日历天内，</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支付至咨询服务费结算价的95%。</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（六）本咨询合同结算满一年后，若无合同约定的扣除违约金、赔偿金等情形的，</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向</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支付咨询服务费结算价剩余5%，否则支付扣除相应违约金、赔偿金等金额后的剩余金额，结算价剩余金额不计息</w:t>
      </w:r>
      <w:r>
        <w:rPr>
          <w:rFonts w:hint="eastAsia" w:hAnsi="宋体" w:eastAsia="宋体" w:cs="宋体"/>
          <w:color w:val="auto"/>
          <w:sz w:val="21"/>
          <w:szCs w:val="21"/>
          <w:highlight w:val="none"/>
          <w:lang w:val="en-US" w:eastAsia="zh-CN"/>
        </w:rPr>
        <w:t>。</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七</w:t>
      </w:r>
      <w:r>
        <w:rPr>
          <w:rFonts w:hint="eastAsia" w:hAnsi="宋体" w:eastAsia="宋体" w:cs="宋体"/>
          <w:color w:val="auto"/>
          <w:sz w:val="21"/>
          <w:szCs w:val="21"/>
          <w:highlight w:val="none"/>
        </w:rPr>
        <w:t>）按照现行税收政策规定，每次付款前，</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必须提供合法、有效、与本合同总价款条款中增值税税率一致的增值税专用发票给</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，否则</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有权拒绝付款且不构成违约。若合同执行期间，遇国家税务政策调整所引起的合同价格变化，按照不含税价格调整结算价格。</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rPr>
        <w:t>及</w:t>
      </w:r>
      <w:r>
        <w:rPr>
          <w:rFonts w:hint="eastAsia" w:hAnsi="宋体" w:eastAsia="宋体" w:cs="宋体"/>
          <w:color w:val="auto"/>
          <w:sz w:val="21"/>
          <w:szCs w:val="21"/>
          <w:highlight w:val="none"/>
          <w:lang w:eastAsia="zh-CN"/>
        </w:rPr>
        <w:t>建设单位</w:t>
      </w:r>
      <w:r>
        <w:rPr>
          <w:rFonts w:hint="eastAsia" w:hAnsi="宋体" w:eastAsia="宋体" w:cs="宋体"/>
          <w:color w:val="auto"/>
          <w:sz w:val="21"/>
          <w:szCs w:val="21"/>
          <w:highlight w:val="none"/>
        </w:rPr>
        <w:t>收到发票和其他请款资料并核对无误后，30个日历天内以银行转账方式付款。</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val="en-US" w:eastAsia="zh-CN"/>
        </w:rPr>
        <w:t>八</w:t>
      </w:r>
      <w:r>
        <w:rPr>
          <w:rFonts w:hint="eastAsia" w:hAnsi="宋体" w:eastAsia="宋体" w:cs="宋体"/>
          <w:color w:val="auto"/>
          <w:sz w:val="21"/>
          <w:szCs w:val="21"/>
          <w:highlight w:val="none"/>
        </w:rPr>
        <w:t>）履约担保</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1、</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领取中标通知书后，应向</w:t>
      </w:r>
      <w:r>
        <w:rPr>
          <w:rFonts w:hint="eastAsia" w:hAnsi="宋体" w:eastAsia="宋体" w:cs="宋体"/>
          <w:color w:val="auto"/>
          <w:sz w:val="21"/>
          <w:szCs w:val="21"/>
          <w:highlight w:val="none"/>
          <w:lang w:eastAsia="zh-CN"/>
        </w:rPr>
        <w:t>采购人</w:t>
      </w:r>
      <w:r>
        <w:rPr>
          <w:rFonts w:hint="eastAsia" w:hAnsi="宋体" w:eastAsia="宋体" w:cs="宋体"/>
          <w:color w:val="auto"/>
          <w:sz w:val="21"/>
          <w:szCs w:val="21"/>
          <w:highlight w:val="none"/>
          <w:lang w:val="en-US" w:eastAsia="zh-CN"/>
        </w:rPr>
        <w:t>及建设单位</w:t>
      </w:r>
      <w:r>
        <w:rPr>
          <w:rFonts w:hint="eastAsia" w:hAnsi="宋体" w:eastAsia="宋体" w:cs="宋体"/>
          <w:color w:val="auto"/>
          <w:sz w:val="21"/>
          <w:szCs w:val="21"/>
          <w:highlight w:val="none"/>
        </w:rPr>
        <w:t>提交履约担保，履约担保金额为本合同咨询酬金暂定价款的10%</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造价咨询单位可采用直接支付履约担保金或开具履约保函的形式提供履约担保。</w:t>
      </w:r>
      <w:r>
        <w:rPr>
          <w:rFonts w:hint="eastAsia" w:hAnsi="宋体" w:eastAsia="宋体" w:cs="宋体"/>
          <w:color w:val="auto"/>
          <w:sz w:val="21"/>
          <w:szCs w:val="21"/>
          <w:highlight w:val="none"/>
        </w:rPr>
        <w:t>如果</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提交的履约保函的有效期先于合同要求的履约保函有效期到达，</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应在原提交的履约保函有效期满前15天，无条件办理保函延期手续。否则，视</w:t>
      </w:r>
      <w:r>
        <w:rPr>
          <w:rFonts w:hint="eastAsia" w:hAnsi="宋体" w:eastAsia="宋体" w:cs="宋体"/>
          <w:color w:val="auto"/>
          <w:sz w:val="21"/>
          <w:szCs w:val="21"/>
          <w:highlight w:val="none"/>
          <w:lang w:eastAsia="zh-CN"/>
        </w:rPr>
        <w:t>造价咨询单位</w:t>
      </w:r>
      <w:r>
        <w:rPr>
          <w:rFonts w:hint="eastAsia" w:hAnsi="宋体" w:eastAsia="宋体" w:cs="宋体"/>
          <w:color w:val="auto"/>
          <w:sz w:val="21"/>
          <w:szCs w:val="21"/>
          <w:highlight w:val="none"/>
        </w:rPr>
        <w:t>违约，</w:t>
      </w:r>
      <w:r>
        <w:rPr>
          <w:rFonts w:hint="eastAsia" w:hAnsi="宋体" w:eastAsia="宋体" w:cs="宋体"/>
          <w:color w:val="auto"/>
          <w:sz w:val="21"/>
          <w:szCs w:val="21"/>
          <w:highlight w:val="none"/>
          <w:lang w:val="en-US" w:eastAsia="zh-CN"/>
        </w:rPr>
        <w:t>建设单位</w:t>
      </w:r>
      <w:r>
        <w:rPr>
          <w:rFonts w:hint="eastAsia" w:hAnsi="宋体" w:eastAsia="宋体" w:cs="宋体"/>
          <w:color w:val="auto"/>
          <w:sz w:val="21"/>
          <w:szCs w:val="21"/>
          <w:highlight w:val="none"/>
        </w:rPr>
        <w:t>可在保函到期前将保函金额转为现金存入履约保证金账户。</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eastAsia="zh-CN"/>
        </w:rPr>
        <w:t>2、</w:t>
      </w:r>
      <w:r>
        <w:rPr>
          <w:rFonts w:hint="eastAsia" w:hAnsi="宋体" w:eastAsia="宋体" w:cs="宋体"/>
          <w:color w:val="auto"/>
          <w:sz w:val="21"/>
          <w:szCs w:val="21"/>
          <w:highlight w:val="none"/>
        </w:rPr>
        <w:t>履约担保期限从合同签订之日起至项目结算完毕后，经双方签字</w:t>
      </w:r>
      <w:r>
        <w:rPr>
          <w:rFonts w:hint="eastAsia" w:hAnsi="宋体" w:eastAsia="宋体" w:cs="宋体"/>
          <w:color w:val="auto"/>
          <w:sz w:val="21"/>
          <w:szCs w:val="21"/>
          <w:highlight w:val="none"/>
          <w:lang w:val="en-US" w:eastAsia="zh-CN"/>
        </w:rPr>
        <w:t>30</w:t>
      </w:r>
      <w:r>
        <w:rPr>
          <w:rFonts w:hint="eastAsia" w:hAnsi="宋体" w:eastAsia="宋体" w:cs="宋体"/>
          <w:color w:val="auto"/>
          <w:sz w:val="21"/>
          <w:szCs w:val="21"/>
          <w:highlight w:val="none"/>
        </w:rPr>
        <w:t>天内保持有效。</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b/>
          <w:bCs/>
          <w:color w:val="auto"/>
          <w:sz w:val="21"/>
          <w:szCs w:val="21"/>
          <w:highlight w:val="none"/>
          <w:lang w:eastAsia="zh-CN"/>
        </w:rPr>
      </w:pPr>
      <w:r>
        <w:rPr>
          <w:rFonts w:hint="eastAsia"/>
          <w:color w:val="auto"/>
        </w:rPr>
        <w:t>注：成果文件包含但不限于：纸质成果文件一式3份、电子光盘2份。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 广联达 ，如确需采用其它算量软件，需征得采购人的确认。</w:t>
      </w:r>
    </w:p>
    <w:p>
      <w:pPr>
        <w:pStyle w:val="14"/>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1、采用填报工程造价咨询服务收费系数的方式。</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pPr>
        <w:pStyle w:val="14"/>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hAnsi="宋体" w:eastAsia="宋体" w:cs="宋体"/>
          <w:color w:val="auto"/>
          <w:sz w:val="21"/>
          <w:szCs w:val="21"/>
          <w:highlight w:val="none"/>
        </w:rPr>
        <w:t>3、本项目工程造价咨询服务费最高限价为人民币</w:t>
      </w:r>
      <w:r>
        <w:rPr>
          <w:rFonts w:hint="eastAsia" w:hAnsi="宋体" w:cs="宋体"/>
          <w:color w:val="auto"/>
          <w:sz w:val="21"/>
          <w:szCs w:val="21"/>
          <w:highlight w:val="none"/>
          <w:lang w:val="en-US" w:eastAsia="zh-CN"/>
        </w:rPr>
        <w:t>1,317,184.00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270,30</w:t>
      </w:r>
      <w:r>
        <w:rPr>
          <w:rFonts w:hint="eastAsia" w:hAnsi="宋体" w:eastAsia="宋体" w:cs="宋体"/>
          <w:color w:val="auto"/>
          <w:sz w:val="21"/>
          <w:szCs w:val="21"/>
          <w:highlight w:val="none"/>
          <w:lang w:val="en-US" w:eastAsia="zh-CN"/>
        </w:rPr>
        <w:t>0</w:t>
      </w:r>
      <w:r>
        <w:rPr>
          <w:rFonts w:hint="eastAsia" w:hAnsi="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pPr>
        <w:rPr>
          <w:rFonts w:hint="eastAsia" w:hAnsi="宋体" w:cs="宋体"/>
          <w:color w:val="auto"/>
          <w:sz w:val="21"/>
          <w:szCs w:val="21"/>
          <w:highlight w:val="none"/>
        </w:rPr>
      </w:pPr>
    </w:p>
    <w:p>
      <w:pPr>
        <w:rPr>
          <w:rFonts w:hint="eastAsia"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440" w:right="1800" w:bottom="1440" w:left="1800" w:header="708" w:footer="708" w:gutter="0"/>
          <w:pgNumType w:fmt="decimal" w:start="1"/>
          <w:cols w:space="708" w:num="1"/>
          <w:titlePg/>
          <w:docGrid w:type="lines" w:linePitch="360" w:charSpace="0"/>
        </w:sectPr>
      </w:pPr>
    </w:p>
    <w:tbl>
      <w:tblPr>
        <w:tblStyle w:val="39"/>
        <w:tblW w:w="13988" w:type="dxa"/>
        <w:tblInd w:w="0" w:type="dxa"/>
        <w:tblLayout w:type="fixed"/>
        <w:tblCellMar>
          <w:top w:w="0" w:type="dxa"/>
          <w:left w:w="0" w:type="dxa"/>
          <w:bottom w:w="0" w:type="dxa"/>
          <w:right w:w="0" w:type="dxa"/>
        </w:tblCellMar>
      </w:tblPr>
      <w:tblGrid>
        <w:gridCol w:w="13988"/>
      </w:tblGrid>
      <w:tr>
        <w:tblPrEx>
          <w:tblLayout w:type="fixed"/>
          <w:tblCellMar>
            <w:top w:w="0" w:type="dxa"/>
            <w:left w:w="0" w:type="dxa"/>
            <w:bottom w:w="0" w:type="dxa"/>
            <w:right w:w="0" w:type="dxa"/>
          </w:tblCellMar>
        </w:tblPrEx>
        <w:trPr>
          <w:trHeight w:val="397" w:hRule="atLeast"/>
        </w:trPr>
        <w:tc>
          <w:tcPr>
            <w:tcW w:w="13988" w:type="dxa"/>
            <w:tcBorders>
              <w:top w:val="nil"/>
              <w:left w:val="nil"/>
              <w:bottom w:val="nil"/>
              <w:right w:val="nil"/>
            </w:tcBorders>
            <w:noWrap w:val="0"/>
            <w:tcMar>
              <w:top w:w="15" w:type="dxa"/>
              <w:left w:w="15" w:type="dxa"/>
              <w:right w:w="15" w:type="dxa"/>
            </w:tcMar>
            <w:vAlign w:val="bottom"/>
          </w:tcPr>
          <w:p>
            <w:pPr>
              <w:pStyle w:val="93"/>
              <w:rPr>
                <w:rFonts w:hint="eastAsia" w:hAnsi="宋体" w:eastAsia="宋体"/>
                <w:bCs/>
                <w:color w:val="auto"/>
                <w:sz w:val="21"/>
                <w:szCs w:val="21"/>
                <w:highlight w:val="none"/>
                <w:lang w:bidi="ar"/>
              </w:rPr>
            </w:pPr>
            <w:bookmarkStart w:id="28" w:name="_Toc14039"/>
            <w:r>
              <w:rPr>
                <w:rFonts w:hint="eastAsia" w:hAnsi="宋体" w:eastAsia="宋体"/>
                <w:color w:val="auto"/>
                <w:sz w:val="21"/>
                <w:szCs w:val="21"/>
                <w:highlight w:val="none"/>
                <w:lang w:bidi="ar"/>
              </w:rPr>
              <w:t>附件一：</w:t>
            </w:r>
            <w:r>
              <w:rPr>
                <w:rFonts w:hint="eastAsia" w:hAnsi="宋体" w:eastAsia="宋体"/>
                <w:color w:val="auto"/>
                <w:sz w:val="21"/>
                <w:szCs w:val="21"/>
                <w:highlight w:val="none"/>
                <w:lang w:eastAsia="zh-CN" w:bidi="ar"/>
              </w:rPr>
              <w:t>大岭山大塘村优质产业空间项目(北地块)二期项目全过程驻场造价咨询服务</w:t>
            </w:r>
            <w:r>
              <w:rPr>
                <w:rFonts w:hint="eastAsia" w:hAnsi="宋体" w:eastAsia="宋体"/>
                <w:color w:val="auto"/>
                <w:sz w:val="21"/>
                <w:szCs w:val="21"/>
                <w:highlight w:val="none"/>
                <w:lang w:bidi="ar"/>
              </w:rPr>
              <w:t>收费计算表</w:t>
            </w:r>
            <w:bookmarkEnd w:id="28"/>
          </w:p>
        </w:tc>
      </w:tr>
    </w:tbl>
    <w:p>
      <w:pPr>
        <w:rPr>
          <w:rFonts w:hAnsi="宋体"/>
          <w:color w:val="auto"/>
          <w:highlight w:val="none"/>
        </w:rPr>
      </w:pPr>
    </w:p>
    <w:tbl>
      <w:tblPr>
        <w:tblStyle w:val="39"/>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tblPrEx>
          <w:tblLayout w:type="fixed"/>
          <w:tblCellMar>
            <w:top w:w="0" w:type="dxa"/>
            <w:left w:w="108" w:type="dxa"/>
            <w:bottom w:w="0" w:type="dxa"/>
            <w:right w:w="108" w:type="dxa"/>
          </w:tblCellMar>
        </w:tblPrEx>
        <w:trPr>
          <w:trHeight w:val="454" w:hRule="atLeast"/>
        </w:trPr>
        <w:tc>
          <w:tcPr>
            <w:tcW w:w="14174" w:type="dxa"/>
            <w:gridSpan w:val="5"/>
            <w:tcBorders>
              <w:top w:val="nil"/>
              <w:left w:val="nil"/>
              <w:bottom w:val="single" w:color="auto" w:sz="4" w:space="0"/>
              <w:right w:val="nil"/>
            </w:tcBorders>
            <w:noWrap w:val="0"/>
            <w:vAlign w:val="bottom"/>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eastAsia="zh-CN"/>
              </w:rPr>
              <w:t>大岭山大塘村优质产业空间项目(北地块)</w:t>
            </w:r>
            <w:r>
              <w:rPr>
                <w:rFonts w:hint="eastAsia" w:ascii="宋体" w:hAnsi="宋体" w:cs="宋体"/>
                <w:b/>
                <w:bCs/>
                <w:color w:val="auto"/>
                <w:sz w:val="21"/>
                <w:szCs w:val="21"/>
                <w:highlight w:val="none"/>
                <w:lang w:eastAsia="zh-CN"/>
              </w:rPr>
              <w:t>二期</w:t>
            </w:r>
            <w:r>
              <w:rPr>
                <w:rFonts w:hint="eastAsia" w:ascii="宋体" w:hAnsi="宋体" w:eastAsia="宋体" w:cs="宋体"/>
                <w:b/>
                <w:bCs/>
                <w:color w:val="auto"/>
                <w:sz w:val="21"/>
                <w:szCs w:val="21"/>
                <w:highlight w:val="none"/>
                <w:lang w:eastAsia="zh-CN"/>
              </w:rPr>
              <w:t>项目全过程驻场造价咨询</w:t>
            </w:r>
            <w:r>
              <w:rPr>
                <w:rFonts w:hint="eastAsia" w:ascii="宋体" w:hAnsi="宋体" w:cs="宋体"/>
                <w:b/>
                <w:bCs/>
                <w:color w:val="auto"/>
                <w:sz w:val="21"/>
                <w:szCs w:val="21"/>
                <w:highlight w:val="none"/>
                <w:lang w:val="en-US"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270,30</w:t>
            </w:r>
            <w:r>
              <w:rPr>
                <w:rFonts w:hint="eastAsia" w:ascii="宋体" w:hAnsi="宋体" w:eastAsia="宋体" w:cs="宋体"/>
                <w:b/>
                <w:bCs/>
                <w:color w:val="auto"/>
                <w:sz w:val="21"/>
                <w:szCs w:val="21"/>
                <w:highlight w:val="none"/>
                <w:lang w:val="en-US" w:eastAsia="zh-CN"/>
              </w:rPr>
              <w:t>0</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170300000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default" w:ascii="宋体" w:hAnsi="宋体" w:eastAsia="宋体" w:cs="宋体"/>
                <w:i w:val="0"/>
                <w:iCs w:val="0"/>
                <w:color w:val="auto"/>
                <w:kern w:val="2"/>
                <w:sz w:val="21"/>
                <w:szCs w:val="21"/>
                <w:highlight w:val="none"/>
                <w:u w:val="none"/>
                <w:lang w:val="en-US" w:eastAsia="zh-CN" w:bidi="ar-SA"/>
              </w:rPr>
              <w:t xml:space="preserve">1192100.00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270300000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2058100.00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限价服务系数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2058100.00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1317184.00</w:t>
            </w:r>
          </w:p>
        </w:tc>
      </w:tr>
    </w:tbl>
    <w:p>
      <w:pPr>
        <w:rPr>
          <w:rFonts w:hint="eastAsia" w:hAnsi="宋体"/>
          <w:color w:val="auto"/>
          <w:highlight w:val="none"/>
        </w:rPr>
      </w:pPr>
    </w:p>
    <w:p>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pPr>
        <w:rPr>
          <w:rFonts w:hint="eastAsia" w:hAnsi="宋体" w:eastAsia="宋体" w:cs="宋体"/>
          <w:color w:val="auto"/>
          <w:sz w:val="21"/>
          <w:szCs w:val="21"/>
          <w:highlight w:val="none"/>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rPr>
      </w:pPr>
    </w:p>
    <w:p>
      <w:pPr>
        <w:pageBreakBefore w:val="0"/>
        <w:widowControl/>
        <w:kinsoku/>
        <w:wordWrap/>
        <w:overflowPunct/>
        <w:topLinePunct w:val="0"/>
        <w:autoSpaceDE/>
        <w:autoSpaceDN/>
        <w:bidi w:val="0"/>
        <w:adjustRightInd w:val="0"/>
        <w:snapToGrid w:val="0"/>
        <w:spacing w:line="360" w:lineRule="auto"/>
        <w:textAlignment w:val="auto"/>
        <w:rPr>
          <w:rFonts w:hint="eastAsia"/>
          <w:color w:val="auto"/>
        </w:rPr>
        <w:sectPr>
          <w:pgSz w:w="16838" w:h="11906" w:orient="landscape"/>
          <w:pgMar w:top="1800" w:right="1440" w:bottom="1800" w:left="1440" w:header="708" w:footer="708" w:gutter="0"/>
          <w:pgNumType w:fmt="decimal"/>
          <w:cols w:space="708" w:num="1"/>
          <w:titlePg/>
          <w:docGrid w:type="lines" w:linePitch="360" w:charSpace="0"/>
        </w:sectPr>
      </w:pPr>
    </w:p>
    <w:p>
      <w:pPr>
        <w:spacing w:line="360" w:lineRule="auto"/>
        <w:jc w:val="left"/>
        <w:rPr>
          <w:rFonts w:hint="eastAsia" w:hAnsi="宋体" w:eastAsia="宋体" w:cs="宋体"/>
          <w:b/>
          <w:bCs/>
          <w:color w:val="auto"/>
          <w:sz w:val="21"/>
          <w:szCs w:val="21"/>
          <w:highlight w:val="none"/>
          <w:lang w:eastAsia="zh-CN"/>
        </w:rPr>
      </w:pPr>
      <w:bookmarkStart w:id="29" w:name="_Toc28386"/>
      <w:bookmarkStart w:id="30" w:name="_Toc14875"/>
      <w:bookmarkStart w:id="31" w:name="_Toc5191"/>
      <w:r>
        <w:rPr>
          <w:rFonts w:hint="eastAsia" w:hAnsi="宋体" w:eastAsia="宋体" w:cs="宋体"/>
          <w:b/>
          <w:bCs/>
          <w:color w:val="auto"/>
          <w:sz w:val="21"/>
          <w:szCs w:val="21"/>
          <w:highlight w:val="none"/>
          <w:lang w:eastAsia="zh-CN"/>
        </w:rPr>
        <w:t>★附件二：造价咨询服务人员配备要求表</w:t>
      </w:r>
      <w:bookmarkEnd w:id="29"/>
      <w:bookmarkEnd w:id="30"/>
      <w:bookmarkEnd w:id="31"/>
    </w:p>
    <w:p>
      <w:pPr>
        <w:spacing w:line="360" w:lineRule="auto"/>
        <w:jc w:val="center"/>
        <w:rPr>
          <w:rFonts w:hint="eastAsia" w:hAnsi="宋体" w:cs="宋体"/>
          <w:b/>
          <w:bCs/>
          <w:color w:val="auto"/>
          <w:sz w:val="21"/>
          <w:szCs w:val="21"/>
          <w:highlight w:val="none"/>
        </w:rPr>
      </w:pPr>
    </w:p>
    <w:p>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9"/>
        <w:tblW w:w="870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5809" w:type="dxa"/>
            <w:gridSpan w:val="3"/>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p>
        </w:tc>
        <w:tc>
          <w:tcPr>
            <w:tcW w:w="2132" w:type="dxa"/>
            <w:noWrap w:val="0"/>
            <w:vAlign w:val="center"/>
          </w:tcPr>
          <w:p>
            <w:pPr>
              <w:spacing w:line="360" w:lineRule="exact"/>
              <w:jc w:val="center"/>
              <w:rPr>
                <w:rFonts w:hint="eastAsia" w:ascii="宋体" w:hAnsi="宋体" w:eastAsia="宋体" w:cs="宋体"/>
                <w:color w:val="auto"/>
                <w:sz w:val="21"/>
                <w:szCs w:val="21"/>
                <w:highlight w:val="none"/>
              </w:rPr>
            </w:pPr>
          </w:p>
        </w:tc>
      </w:tr>
    </w:tbl>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表所列专业和人员基本要求是投标人通过符合性审查的最低要求且不得兼任，投标人必须满足，否则作废标处理（采购人可要求中标人根据工程进度计划时间无条件调整加派造价工程师（或一级造价工程师）或其他专业造价人员的人数，保证项目按采购人规定的进度完成。加派人员必须两个日历天到位）。</w:t>
      </w:r>
    </w:p>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p>
    <w:p>
      <w:pPr>
        <w:rPr>
          <w:rFonts w:hint="eastAsia"/>
          <w:color w:val="auto"/>
        </w:rPr>
      </w:pPr>
    </w:p>
    <w:p>
      <w:pPr>
        <w:rPr>
          <w:rFonts w:hint="eastAsia"/>
          <w:color w:val="auto"/>
        </w:rPr>
      </w:pPr>
      <w:r>
        <w:rPr>
          <w:rFonts w:hint="eastAsia"/>
          <w:color w:val="auto"/>
        </w:rPr>
        <w:br w:type="page"/>
      </w:r>
    </w:p>
    <w:p>
      <w:pPr>
        <w:pStyle w:val="4"/>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6"/>
    </w:p>
    <w:p>
      <w:pPr>
        <w:pStyle w:val="5"/>
        <w:numPr>
          <w:ilvl w:val="0"/>
          <w:numId w:val="1"/>
        </w:numPr>
        <w:spacing w:before="0" w:after="0" w:line="480" w:lineRule="auto"/>
        <w:jc w:val="center"/>
        <w:rPr>
          <w:rFonts w:ascii="宋体" w:hAnsi="宋体"/>
          <w:color w:val="auto"/>
          <w:highlight w:val="none"/>
        </w:rPr>
      </w:pPr>
      <w:bookmarkStart w:id="32" w:name="_Toc25201"/>
      <w:r>
        <w:rPr>
          <w:rFonts w:hint="eastAsia" w:ascii="宋体" w:hAnsi="宋体"/>
          <w:color w:val="auto"/>
          <w:highlight w:val="none"/>
        </w:rPr>
        <w:t>说明</w:t>
      </w:r>
      <w:bookmarkEnd w:id="32"/>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3" w:name="_Toc3534"/>
      <w:bookmarkStart w:id="34" w:name="_Toc18690"/>
      <w:r>
        <w:rPr>
          <w:rFonts w:hint="eastAsia" w:ascii="宋体" w:hAnsi="宋体" w:cs="宋体"/>
          <w:color w:val="auto"/>
          <w:sz w:val="21"/>
          <w:szCs w:val="21"/>
          <w:highlight w:val="none"/>
        </w:rPr>
        <w:t>适用范围</w:t>
      </w:r>
      <w:bookmarkEnd w:id="33"/>
      <w:bookmarkEnd w:id="34"/>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5" w:name="_Toc382049092"/>
      <w:bookmarkStart w:id="36" w:name="_Toc1530"/>
      <w:bookmarkStart w:id="37" w:name="_Toc303084246"/>
      <w:bookmarkStart w:id="38" w:name="_Toc20286"/>
      <w:bookmarkStart w:id="39" w:name="_Toc28435"/>
      <w:bookmarkStart w:id="40" w:name="_Toc298847174"/>
      <w:r>
        <w:rPr>
          <w:rFonts w:hint="eastAsia" w:ascii="宋体" w:hAnsi="宋体" w:cs="宋体"/>
          <w:color w:val="auto"/>
          <w:sz w:val="21"/>
          <w:szCs w:val="21"/>
          <w:highlight w:val="none"/>
        </w:rPr>
        <w:t>定义</w:t>
      </w:r>
      <w:bookmarkEnd w:id="35"/>
      <w:bookmarkEnd w:id="36"/>
      <w:bookmarkEnd w:id="37"/>
      <w:bookmarkEnd w:id="38"/>
      <w:bookmarkEnd w:id="39"/>
      <w:bookmarkEnd w:id="40"/>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1" w:name="_Toc10625"/>
      <w:bookmarkStart w:id="42" w:name="_Toc11624"/>
      <w:r>
        <w:rPr>
          <w:rFonts w:hint="eastAsia" w:ascii="宋体" w:hAnsi="宋体" w:cs="宋体"/>
          <w:color w:val="auto"/>
          <w:sz w:val="21"/>
          <w:szCs w:val="21"/>
          <w:highlight w:val="none"/>
        </w:rPr>
        <w:t>货物和服务</w:t>
      </w:r>
      <w:bookmarkEnd w:id="41"/>
      <w:bookmarkEnd w:id="42"/>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3" w:name="_Toc15719"/>
      <w:bookmarkStart w:id="44" w:name="_Toc1673"/>
      <w:r>
        <w:rPr>
          <w:rFonts w:hint="eastAsia" w:ascii="宋体" w:hAnsi="宋体" w:cs="宋体"/>
          <w:color w:val="auto"/>
          <w:sz w:val="21"/>
          <w:szCs w:val="21"/>
          <w:highlight w:val="none"/>
        </w:rPr>
        <w:t>投标费用</w:t>
      </w:r>
      <w:bookmarkEnd w:id="43"/>
      <w:bookmarkEnd w:id="44"/>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5" w:name="_Toc6180"/>
      <w:bookmarkStart w:id="46" w:name="_Toc21477"/>
      <w:r>
        <w:rPr>
          <w:rFonts w:hint="eastAsia" w:ascii="宋体" w:hAnsi="宋体" w:cs="宋体"/>
          <w:color w:val="auto"/>
          <w:sz w:val="21"/>
          <w:szCs w:val="21"/>
          <w:highlight w:val="none"/>
        </w:rPr>
        <w:t>知识产权</w:t>
      </w:r>
      <w:bookmarkEnd w:id="45"/>
      <w:bookmarkEnd w:id="46"/>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7" w:name="_Toc25122"/>
      <w:bookmarkStart w:id="48" w:name="_Toc2352"/>
      <w:r>
        <w:rPr>
          <w:rFonts w:hint="eastAsia" w:ascii="宋体" w:hAnsi="宋体" w:cs="宋体"/>
          <w:color w:val="auto"/>
          <w:sz w:val="21"/>
          <w:szCs w:val="21"/>
          <w:highlight w:val="none"/>
        </w:rPr>
        <w:t>关于联合体投标</w:t>
      </w:r>
      <w:bookmarkEnd w:id="47"/>
      <w:bookmarkEnd w:id="48"/>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9" w:name="_Toc10603"/>
      <w:bookmarkStart w:id="50" w:name="_Toc3572"/>
      <w:r>
        <w:rPr>
          <w:rFonts w:hint="eastAsia" w:ascii="宋体" w:hAnsi="宋体" w:cs="宋体"/>
          <w:color w:val="auto"/>
          <w:sz w:val="21"/>
          <w:szCs w:val="21"/>
          <w:highlight w:val="none"/>
        </w:rPr>
        <w:t>关于分支机构投标</w:t>
      </w:r>
      <w:bookmarkEnd w:id="49"/>
      <w:bookmarkEnd w:id="50"/>
    </w:p>
    <w:p>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bookmarkStart w:id="51" w:name="EB389f116341dd4693875bc7987e7327f3"/>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1"/>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2" w:name="_Toc16068"/>
      <w:r>
        <w:rPr>
          <w:rFonts w:hint="eastAsia" w:ascii="宋体" w:hAnsi="宋体" w:cs="宋体"/>
          <w:color w:val="auto"/>
          <w:sz w:val="21"/>
          <w:szCs w:val="21"/>
          <w:highlight w:val="none"/>
        </w:rPr>
        <w:t>踏勘现场</w:t>
      </w:r>
      <w:bookmarkEnd w:id="52"/>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3" w:name="_Toc14732"/>
      <w:bookmarkStart w:id="54" w:name="_Toc9444"/>
      <w:r>
        <w:rPr>
          <w:rFonts w:hint="eastAsia" w:ascii="宋体" w:hAnsi="宋体" w:cs="宋体"/>
          <w:color w:val="auto"/>
          <w:highlight w:val="none"/>
        </w:rPr>
        <w:t>采购文件</w:t>
      </w:r>
      <w:bookmarkEnd w:id="53"/>
      <w:bookmarkEnd w:id="54"/>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5" w:name="_Toc25451"/>
      <w:bookmarkStart w:id="56" w:name="_Toc10638"/>
      <w:r>
        <w:rPr>
          <w:rFonts w:hint="eastAsia" w:ascii="宋体" w:hAnsi="宋体" w:cs="宋体"/>
          <w:color w:val="auto"/>
          <w:sz w:val="21"/>
          <w:szCs w:val="21"/>
          <w:highlight w:val="none"/>
        </w:rPr>
        <w:t>采购文件的组成</w:t>
      </w:r>
      <w:bookmarkEnd w:id="55"/>
      <w:bookmarkEnd w:id="56"/>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7" w:name="_Toc30490"/>
      <w:bookmarkStart w:id="58" w:name="_Toc21392"/>
      <w:r>
        <w:rPr>
          <w:rFonts w:hint="eastAsia" w:ascii="宋体" w:hAnsi="宋体" w:cs="宋体"/>
          <w:color w:val="auto"/>
          <w:sz w:val="21"/>
          <w:szCs w:val="21"/>
          <w:highlight w:val="none"/>
        </w:rPr>
        <w:t>采购文件的澄清或修改</w:t>
      </w:r>
      <w:bookmarkEnd w:id="57"/>
      <w:bookmarkEnd w:id="5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9" w:name="_Toc10333"/>
      <w:bookmarkStart w:id="60" w:name="_Toc12343"/>
      <w:r>
        <w:rPr>
          <w:rFonts w:hint="eastAsia" w:ascii="宋体" w:hAnsi="宋体" w:cs="宋体"/>
          <w:color w:val="auto"/>
          <w:highlight w:val="none"/>
        </w:rPr>
        <w:t>投标文件的编制</w:t>
      </w:r>
      <w:bookmarkEnd w:id="59"/>
      <w:bookmarkEnd w:id="60"/>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1" w:name="_Toc16938"/>
      <w:bookmarkStart w:id="62" w:name="_Toc12048"/>
      <w:r>
        <w:rPr>
          <w:rFonts w:hint="eastAsia" w:ascii="宋体" w:hAnsi="宋体" w:cs="宋体"/>
          <w:color w:val="auto"/>
          <w:sz w:val="21"/>
          <w:szCs w:val="21"/>
          <w:highlight w:val="none"/>
        </w:rPr>
        <w:t>投标文件的语言及度量衡单位</w:t>
      </w:r>
      <w:bookmarkEnd w:id="61"/>
      <w:bookmarkEnd w:id="62"/>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3" w:name="_Toc303084256"/>
      <w:bookmarkStart w:id="64" w:name="_Toc382049103"/>
      <w:bookmarkStart w:id="65" w:name="_Toc27953"/>
      <w:bookmarkStart w:id="66" w:name="_Toc11466"/>
      <w:bookmarkStart w:id="67" w:name="_Toc28866"/>
      <w:bookmarkStart w:id="68" w:name="_Toc307934854"/>
      <w:r>
        <w:rPr>
          <w:rFonts w:hint="eastAsia" w:ascii="宋体" w:hAnsi="宋体" w:cs="宋体"/>
          <w:color w:val="auto"/>
          <w:sz w:val="21"/>
          <w:szCs w:val="21"/>
          <w:highlight w:val="none"/>
        </w:rPr>
        <w:t>投标文件的组成</w:t>
      </w:r>
      <w:bookmarkEnd w:id="63"/>
      <w:bookmarkEnd w:id="64"/>
      <w:bookmarkEnd w:id="65"/>
      <w:bookmarkEnd w:id="66"/>
      <w:bookmarkEnd w:id="67"/>
      <w:bookmarkEnd w:id="6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9" w:name="_Toc755"/>
      <w:bookmarkStart w:id="70" w:name="_Toc5904"/>
      <w:r>
        <w:rPr>
          <w:rFonts w:hint="eastAsia" w:ascii="宋体" w:hAnsi="宋体" w:cs="宋体"/>
          <w:color w:val="auto"/>
          <w:sz w:val="21"/>
          <w:szCs w:val="21"/>
          <w:highlight w:val="none"/>
        </w:rPr>
        <w:t>投标文件编制</w:t>
      </w:r>
      <w:bookmarkEnd w:id="69"/>
      <w:bookmarkEnd w:id="70"/>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71" w:name="_Toc303084258"/>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71"/>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2" w:name="_Toc7134"/>
      <w:bookmarkStart w:id="73" w:name="_Toc6154"/>
      <w:r>
        <w:rPr>
          <w:rFonts w:hint="eastAsia" w:ascii="宋体" w:hAnsi="宋体" w:cs="宋体"/>
          <w:color w:val="auto"/>
          <w:sz w:val="21"/>
          <w:szCs w:val="21"/>
          <w:highlight w:val="none"/>
        </w:rPr>
        <w:t>投标报价说明</w:t>
      </w:r>
      <w:bookmarkEnd w:id="72"/>
      <w:bookmarkEnd w:id="73"/>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4" w:name="_Toc17669"/>
      <w:bookmarkStart w:id="75" w:name="_Toc14501"/>
      <w:r>
        <w:rPr>
          <w:rFonts w:hint="eastAsia" w:ascii="宋体" w:hAnsi="宋体" w:cs="宋体"/>
          <w:color w:val="auto"/>
          <w:sz w:val="21"/>
          <w:szCs w:val="21"/>
          <w:highlight w:val="none"/>
        </w:rPr>
        <w:t>投标人所提供的服务或货物的证明文件</w:t>
      </w:r>
      <w:bookmarkEnd w:id="74"/>
      <w:bookmarkEnd w:id="75"/>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76" w:name="_Hlt107925638"/>
      <w:bookmarkEnd w:id="76"/>
      <w:bookmarkStart w:id="77" w:name="_Hlt107925668"/>
      <w:bookmarkEnd w:id="7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8" w:name="_Toc8324"/>
      <w:bookmarkStart w:id="79" w:name="_Toc2409"/>
      <w:r>
        <w:rPr>
          <w:rFonts w:hint="eastAsia" w:ascii="宋体" w:hAnsi="宋体" w:cs="宋体"/>
          <w:color w:val="auto"/>
          <w:sz w:val="21"/>
          <w:szCs w:val="21"/>
          <w:highlight w:val="none"/>
        </w:rPr>
        <w:t>投标有效期</w:t>
      </w:r>
      <w:bookmarkEnd w:id="78"/>
      <w:bookmarkEnd w:id="79"/>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0" w:name="_Toc26564"/>
      <w:bookmarkStart w:id="81" w:name="_Toc12582"/>
      <w:r>
        <w:rPr>
          <w:rFonts w:hint="eastAsia" w:ascii="宋体" w:hAnsi="宋体" w:cs="宋体"/>
          <w:color w:val="auto"/>
          <w:sz w:val="21"/>
          <w:szCs w:val="21"/>
          <w:highlight w:val="none"/>
        </w:rPr>
        <w:t>投标保证金</w:t>
      </w:r>
      <w:bookmarkEnd w:id="80"/>
      <w:bookmarkEnd w:id="81"/>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82" w:name="_Ref179619405"/>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82"/>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3" w:name="_Toc30352"/>
      <w:bookmarkStart w:id="84" w:name="_Toc18672"/>
      <w:r>
        <w:rPr>
          <w:rFonts w:hint="eastAsia" w:ascii="宋体" w:hAnsi="宋体" w:cs="宋体"/>
          <w:color w:val="auto"/>
          <w:highlight w:val="none"/>
        </w:rPr>
        <w:t>投标文件的递交</w:t>
      </w:r>
      <w:bookmarkEnd w:id="83"/>
      <w:bookmarkEnd w:id="84"/>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5" w:name="_Toc24997"/>
      <w:bookmarkStart w:id="86" w:name="_Toc382049111"/>
      <w:bookmarkStart w:id="87" w:name="_Toc9759"/>
      <w:bookmarkStart w:id="88" w:name="_Toc24150"/>
      <w:bookmarkStart w:id="89" w:name="_Toc303084264"/>
      <w:r>
        <w:rPr>
          <w:rFonts w:hint="eastAsia" w:ascii="宋体" w:hAnsi="宋体" w:cs="宋体"/>
          <w:color w:val="auto"/>
          <w:sz w:val="21"/>
          <w:szCs w:val="21"/>
          <w:highlight w:val="none"/>
        </w:rPr>
        <w:t>投标文件的装订，签署，密封和标记</w:t>
      </w:r>
      <w:bookmarkEnd w:id="85"/>
      <w:bookmarkEnd w:id="86"/>
      <w:bookmarkEnd w:id="87"/>
      <w:bookmarkEnd w:id="88"/>
      <w:bookmarkEnd w:id="89"/>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0" w:name="_Toc27686"/>
      <w:bookmarkStart w:id="91" w:name="_Toc25895"/>
      <w:r>
        <w:rPr>
          <w:rFonts w:hint="eastAsia" w:ascii="宋体" w:hAnsi="宋体" w:cs="宋体"/>
          <w:color w:val="auto"/>
          <w:sz w:val="21"/>
          <w:szCs w:val="21"/>
          <w:highlight w:val="none"/>
        </w:rPr>
        <w:t>迟交的投标文件</w:t>
      </w:r>
      <w:bookmarkEnd w:id="90"/>
      <w:bookmarkEnd w:id="91"/>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2" w:name="_Toc8776"/>
      <w:bookmarkStart w:id="93" w:name="_Toc9143"/>
      <w:r>
        <w:rPr>
          <w:rFonts w:hint="eastAsia" w:ascii="宋体" w:hAnsi="宋体" w:cs="宋体"/>
          <w:color w:val="auto"/>
          <w:sz w:val="21"/>
          <w:szCs w:val="21"/>
          <w:highlight w:val="none"/>
        </w:rPr>
        <w:t>投标样品（如需提交）</w:t>
      </w:r>
      <w:bookmarkEnd w:id="92"/>
      <w:bookmarkEnd w:id="93"/>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4" w:name="_Toc17522"/>
      <w:bookmarkStart w:id="95" w:name="_Toc382049112"/>
      <w:bookmarkStart w:id="96" w:name="_Toc303084265"/>
      <w:bookmarkStart w:id="97" w:name="_Toc1712"/>
      <w:bookmarkStart w:id="98" w:name="_Toc9777"/>
      <w:r>
        <w:rPr>
          <w:rFonts w:hint="eastAsia" w:ascii="宋体" w:hAnsi="宋体" w:cs="宋体"/>
          <w:color w:val="auto"/>
          <w:sz w:val="21"/>
          <w:szCs w:val="21"/>
          <w:highlight w:val="none"/>
        </w:rPr>
        <w:t>投标截止期</w:t>
      </w:r>
      <w:bookmarkEnd w:id="94"/>
      <w:bookmarkEnd w:id="95"/>
      <w:bookmarkEnd w:id="96"/>
      <w:bookmarkEnd w:id="97"/>
      <w:bookmarkEnd w:id="9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9" w:name="_Toc31417"/>
      <w:bookmarkStart w:id="100" w:name="_Toc14518"/>
      <w:r>
        <w:rPr>
          <w:rFonts w:hint="eastAsia" w:ascii="宋体" w:hAnsi="宋体" w:cs="宋体"/>
          <w:color w:val="auto"/>
          <w:sz w:val="21"/>
          <w:szCs w:val="21"/>
          <w:highlight w:val="none"/>
        </w:rPr>
        <w:t>投标文件的补充、修改与撤回</w:t>
      </w:r>
      <w:bookmarkEnd w:id="99"/>
      <w:bookmarkEnd w:id="100"/>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11"/>
        <w:pageBreakBefore w:val="0"/>
        <w:kinsoku/>
        <w:wordWrap/>
        <w:topLinePunct w:val="0"/>
        <w:autoSpaceDE/>
        <w:autoSpaceDN/>
        <w:bidi w:val="0"/>
        <w:adjustRightInd w:val="0"/>
        <w:snapToGrid w:val="0"/>
        <w:spacing w:before="0"/>
        <w:rPr>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01" w:name="_Toc7410"/>
      <w:bookmarkStart w:id="102" w:name="_Toc4693"/>
      <w:r>
        <w:rPr>
          <w:rFonts w:hint="eastAsia" w:ascii="宋体" w:hAnsi="宋体" w:cs="宋体"/>
          <w:color w:val="auto"/>
          <w:highlight w:val="none"/>
        </w:rPr>
        <w:t>开标与评标</w:t>
      </w:r>
      <w:bookmarkEnd w:id="101"/>
      <w:bookmarkEnd w:id="102"/>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3" w:name="_Toc20009"/>
      <w:bookmarkStart w:id="104" w:name="_Toc31671"/>
      <w:r>
        <w:rPr>
          <w:rFonts w:hint="eastAsia" w:ascii="宋体" w:hAnsi="宋体" w:cs="宋体"/>
          <w:color w:val="auto"/>
          <w:sz w:val="21"/>
          <w:szCs w:val="21"/>
          <w:highlight w:val="none"/>
        </w:rPr>
        <w:t>开标</w:t>
      </w:r>
      <w:bookmarkEnd w:id="103"/>
      <w:bookmarkEnd w:id="104"/>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5" w:name="_Toc3528"/>
      <w:bookmarkStart w:id="106" w:name="_Toc15560"/>
      <w:r>
        <w:rPr>
          <w:rFonts w:hint="eastAsia" w:ascii="宋体" w:hAnsi="宋体" w:cs="宋体"/>
          <w:color w:val="auto"/>
          <w:sz w:val="21"/>
          <w:szCs w:val="21"/>
          <w:highlight w:val="none"/>
        </w:rPr>
        <w:t>评标委员会及评标方法</w:t>
      </w:r>
      <w:bookmarkEnd w:id="105"/>
      <w:bookmarkEnd w:id="106"/>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7" w:name="_Toc4198"/>
      <w:bookmarkStart w:id="108" w:name="_Toc22022"/>
      <w:r>
        <w:rPr>
          <w:rFonts w:hint="eastAsia" w:ascii="宋体" w:hAnsi="宋体" w:cs="宋体"/>
          <w:color w:val="auto"/>
          <w:sz w:val="21"/>
          <w:szCs w:val="21"/>
          <w:highlight w:val="none"/>
        </w:rPr>
        <w:t>评审原则及评标过程的保密</w:t>
      </w:r>
      <w:bookmarkEnd w:id="107"/>
      <w:bookmarkEnd w:id="108"/>
    </w:p>
    <w:p>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9" w:name="_Toc14506"/>
      <w:r>
        <w:rPr>
          <w:rFonts w:hint="eastAsia" w:ascii="宋体" w:hAnsi="宋体" w:cs="宋体"/>
          <w:color w:val="auto"/>
          <w:sz w:val="21"/>
          <w:szCs w:val="21"/>
          <w:highlight w:val="none"/>
        </w:rPr>
        <w:t>评标程序</w:t>
      </w:r>
      <w:bookmarkEnd w:id="109"/>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9"/>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东实通〔2024〕163号）、（东实通〔2024〕195号）、（东实通〔2025〕157号）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tbl>
    <w:p>
      <w:pPr>
        <w:pageBreakBefore w:val="0"/>
        <w:widowControl w:val="0"/>
        <w:kinsoku/>
        <w:wordWrap/>
        <w:overflowPunct w:val="0"/>
        <w:topLinePunct w:val="0"/>
        <w:autoSpaceDE/>
        <w:autoSpaceDN/>
        <w:bidi w:val="0"/>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pageBreakBefore w:val="0"/>
        <w:kinsoku/>
        <w:wordWrap/>
        <w:topLinePunct w:val="0"/>
        <w:autoSpaceDE/>
        <w:autoSpaceDN/>
        <w:bidi w:val="0"/>
        <w:adjustRightInd w:val="0"/>
        <w:snapToGrid w:val="0"/>
        <w:spacing w:before="0"/>
        <w:rPr>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0" w:name="_Toc4799"/>
      <w:bookmarkStart w:id="111" w:name="_Toc11415"/>
      <w:r>
        <w:rPr>
          <w:rFonts w:hint="eastAsia" w:ascii="宋体" w:hAnsi="宋体" w:cs="宋体"/>
          <w:color w:val="auto"/>
          <w:sz w:val="21"/>
          <w:szCs w:val="21"/>
          <w:highlight w:val="none"/>
        </w:rPr>
        <w:t>商务、技术、价格评审（具体评审项目详见投标资料表）</w:t>
      </w:r>
      <w:bookmarkEnd w:id="110"/>
      <w:bookmarkEnd w:id="111"/>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2" w:name="_Toc316375620"/>
      <w:bookmarkStart w:id="113" w:name="_Toc18550"/>
      <w:bookmarkStart w:id="114" w:name="_Toc20328"/>
      <w:bookmarkStart w:id="115" w:name="_Toc382049120"/>
      <w:bookmarkStart w:id="116" w:name="_Toc21663"/>
      <w:r>
        <w:rPr>
          <w:rFonts w:hint="eastAsia" w:ascii="宋体" w:hAnsi="宋体" w:cs="宋体"/>
          <w:color w:val="auto"/>
          <w:sz w:val="21"/>
          <w:szCs w:val="21"/>
          <w:highlight w:val="none"/>
        </w:rPr>
        <w:t>纪律和保密</w:t>
      </w:r>
      <w:bookmarkEnd w:id="112"/>
      <w:r>
        <w:rPr>
          <w:rFonts w:hint="eastAsia" w:ascii="宋体" w:hAnsi="宋体" w:cs="宋体"/>
          <w:color w:val="auto"/>
          <w:sz w:val="21"/>
          <w:szCs w:val="21"/>
          <w:highlight w:val="none"/>
        </w:rPr>
        <w:t>事项</w:t>
      </w:r>
      <w:bookmarkEnd w:id="113"/>
      <w:bookmarkEnd w:id="114"/>
      <w:bookmarkEnd w:id="115"/>
      <w:bookmarkEnd w:id="116"/>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7" w:name="_Toc1109"/>
      <w:bookmarkStart w:id="118" w:name="_Toc27738"/>
      <w:r>
        <w:rPr>
          <w:rFonts w:hint="eastAsia" w:ascii="宋体" w:hAnsi="宋体" w:cs="宋体"/>
          <w:color w:val="auto"/>
          <w:highlight w:val="none"/>
        </w:rPr>
        <w:t>授予合同</w:t>
      </w:r>
      <w:bookmarkEnd w:id="117"/>
      <w:bookmarkEnd w:id="118"/>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9" w:name="_Toc508284011"/>
      <w:bookmarkStart w:id="120" w:name="_Toc16090"/>
      <w:bookmarkStart w:id="121" w:name="_Toc22623"/>
      <w:r>
        <w:rPr>
          <w:rFonts w:hint="eastAsia" w:ascii="宋体" w:hAnsi="宋体" w:cs="宋体"/>
          <w:color w:val="auto"/>
          <w:sz w:val="21"/>
          <w:szCs w:val="21"/>
          <w:highlight w:val="none"/>
        </w:rPr>
        <w:t>合同授予标准</w:t>
      </w:r>
      <w:bookmarkEnd w:id="119"/>
      <w:bookmarkEnd w:id="120"/>
      <w:bookmarkEnd w:id="121"/>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2" w:name="_Toc508284013"/>
      <w:bookmarkStart w:id="123" w:name="_Toc24261"/>
      <w:bookmarkStart w:id="124" w:name="_Toc10545"/>
      <w:r>
        <w:rPr>
          <w:rFonts w:hint="eastAsia" w:ascii="宋体" w:hAnsi="宋体" w:cs="宋体"/>
          <w:color w:val="auto"/>
          <w:sz w:val="21"/>
          <w:szCs w:val="21"/>
          <w:highlight w:val="none"/>
        </w:rPr>
        <w:t>发布中标结果</w:t>
      </w:r>
      <w:bookmarkEnd w:id="122"/>
      <w:bookmarkEnd w:id="123"/>
      <w:bookmarkEnd w:id="124"/>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5" w:name="_Toc11420"/>
      <w:bookmarkStart w:id="126" w:name="_Toc749"/>
      <w:r>
        <w:rPr>
          <w:rFonts w:hint="eastAsia" w:ascii="宋体" w:hAnsi="宋体" w:cs="宋体"/>
          <w:color w:val="auto"/>
          <w:sz w:val="21"/>
          <w:szCs w:val="21"/>
          <w:highlight w:val="none"/>
        </w:rPr>
        <w:t>资格后审</w:t>
      </w:r>
      <w:bookmarkEnd w:id="125"/>
      <w:bookmarkEnd w:id="126"/>
    </w:p>
    <w:p>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pageBreakBefore w:val="0"/>
        <w:kinsoku/>
        <w:wordWrap/>
        <w:topLinePunct w:val="0"/>
        <w:autoSpaceDE/>
        <w:autoSpaceDN/>
        <w:bidi w:val="0"/>
        <w:adjustRightInd w:val="0"/>
        <w:snapToGrid w:val="0"/>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7" w:name="_Toc27302"/>
      <w:bookmarkStart w:id="128" w:name="_Toc27689"/>
      <w:r>
        <w:rPr>
          <w:rFonts w:hint="eastAsia" w:ascii="宋体" w:hAnsi="宋体" w:cs="宋体"/>
          <w:color w:val="auto"/>
          <w:sz w:val="21"/>
          <w:szCs w:val="21"/>
          <w:highlight w:val="none"/>
        </w:rPr>
        <w:t>合同的签订与履行</w:t>
      </w:r>
      <w:bookmarkEnd w:id="127"/>
      <w:bookmarkEnd w:id="128"/>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9" w:name="_Toc29009"/>
      <w:bookmarkStart w:id="130" w:name="_Toc303084277"/>
      <w:bookmarkStart w:id="131" w:name="_Toc382049124"/>
      <w:bookmarkStart w:id="132" w:name="_Toc6617"/>
      <w:bookmarkStart w:id="133" w:name="_Toc19211"/>
      <w:r>
        <w:rPr>
          <w:rFonts w:hint="eastAsia" w:ascii="宋体" w:hAnsi="宋体" w:cs="宋体"/>
          <w:color w:val="auto"/>
          <w:sz w:val="21"/>
          <w:szCs w:val="21"/>
          <w:highlight w:val="none"/>
        </w:rPr>
        <w:t>履约</w:t>
      </w:r>
      <w:bookmarkEnd w:id="129"/>
      <w:bookmarkEnd w:id="130"/>
      <w:bookmarkEnd w:id="131"/>
      <w:r>
        <w:rPr>
          <w:rFonts w:hint="eastAsia" w:ascii="宋体" w:hAnsi="宋体" w:cs="宋体"/>
          <w:color w:val="auto"/>
          <w:sz w:val="21"/>
          <w:szCs w:val="21"/>
          <w:highlight w:val="none"/>
        </w:rPr>
        <w:t>担保</w:t>
      </w:r>
      <w:bookmarkEnd w:id="132"/>
      <w:bookmarkEnd w:id="133"/>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4" w:name="_Toc18880"/>
      <w:bookmarkStart w:id="135" w:name="_Toc19347"/>
      <w:r>
        <w:rPr>
          <w:rFonts w:hint="eastAsia" w:ascii="宋体" w:hAnsi="宋体" w:cs="宋体"/>
          <w:color w:val="auto"/>
          <w:sz w:val="21"/>
          <w:szCs w:val="21"/>
          <w:highlight w:val="none"/>
        </w:rPr>
        <w:t>预付款保函（适用于预付款支付）</w:t>
      </w:r>
      <w:bookmarkEnd w:id="134"/>
      <w:bookmarkEnd w:id="135"/>
    </w:p>
    <w:p>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36" w:name="_Toc27556"/>
      <w:bookmarkStart w:id="137" w:name="_Toc21814"/>
      <w:r>
        <w:rPr>
          <w:rFonts w:hint="eastAsia" w:ascii="宋体" w:hAnsi="宋体" w:cs="宋体"/>
          <w:color w:val="auto"/>
          <w:highlight w:val="none"/>
        </w:rPr>
        <w:t>异议</w:t>
      </w:r>
      <w:bookmarkEnd w:id="136"/>
      <w:bookmarkEnd w:id="137"/>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8" w:name="_Toc31457"/>
      <w:bookmarkStart w:id="139" w:name="_Toc9791"/>
      <w:r>
        <w:rPr>
          <w:rFonts w:hint="eastAsia" w:ascii="宋体" w:hAnsi="宋体" w:cs="宋体"/>
          <w:color w:val="auto"/>
          <w:sz w:val="21"/>
          <w:szCs w:val="21"/>
          <w:highlight w:val="none"/>
        </w:rPr>
        <w:t>异议</w:t>
      </w:r>
      <w:bookmarkEnd w:id="138"/>
      <w:bookmarkEnd w:id="139"/>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pageBreakBefore w:val="0"/>
        <w:kinsoku/>
        <w:wordWrap/>
        <w:topLinePunct w:val="0"/>
        <w:autoSpaceDE/>
        <w:autoSpaceDN/>
        <w:bidi w:val="0"/>
        <w:adjustRightInd w:val="0"/>
        <w:snapToGrid w:val="0"/>
        <w:rPr>
          <w:rFonts w:ascii="宋体" w:hAnsi="宋体" w:cs="宋体"/>
          <w:color w:val="auto"/>
          <w:highlight w:val="none"/>
        </w:rPr>
      </w:pPr>
    </w:p>
    <w:p>
      <w:pPr>
        <w:pStyle w:val="5"/>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40" w:name="_Toc16776"/>
      <w:bookmarkStart w:id="141" w:name="_Toc18965"/>
      <w:r>
        <w:rPr>
          <w:rFonts w:hint="eastAsia" w:ascii="宋体" w:hAnsi="宋体" w:cs="宋体"/>
          <w:color w:val="auto"/>
          <w:highlight w:val="none"/>
        </w:rPr>
        <w:t>其他</w:t>
      </w:r>
      <w:bookmarkEnd w:id="140"/>
      <w:bookmarkEnd w:id="141"/>
    </w:p>
    <w:p>
      <w:pPr>
        <w:pStyle w:val="2"/>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42" w:name="_Toc1587"/>
      <w:bookmarkStart w:id="143" w:name="_Toc2155"/>
      <w:r>
        <w:rPr>
          <w:rFonts w:hint="eastAsia" w:ascii="宋体" w:hAnsi="宋体" w:cs="宋体"/>
          <w:color w:val="auto"/>
          <w:sz w:val="21"/>
          <w:szCs w:val="21"/>
          <w:highlight w:val="none"/>
        </w:rPr>
        <w:t>采购文件的解释权</w:t>
      </w:r>
      <w:bookmarkEnd w:id="142"/>
      <w:bookmarkEnd w:id="143"/>
    </w:p>
    <w:p>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8"/>
        </w:numPr>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br w:type="page"/>
      </w:r>
    </w:p>
    <w:p>
      <w:pPr>
        <w:pStyle w:val="4"/>
        <w:spacing w:before="0" w:after="0" w:line="240" w:lineRule="auto"/>
        <w:rPr>
          <w:color w:val="auto"/>
          <w:sz w:val="28"/>
          <w:szCs w:val="28"/>
          <w:highlight w:val="none"/>
        </w:rPr>
      </w:pPr>
      <w:bookmarkStart w:id="144" w:name="_Toc15211"/>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44"/>
      <w:bookmarkStart w:id="145" w:name="_Toc15636"/>
    </w:p>
    <w:bookmarkEnd w:id="145"/>
    <w:p>
      <w:pPr>
        <w:rPr>
          <w:color w:val="auto"/>
          <w:highlight w:val="none"/>
          <w:lang w:bidi="zh-CN"/>
        </w:rPr>
      </w:pPr>
      <w:bookmarkStart w:id="146" w:name="_Hlt109815959"/>
      <w:bookmarkEnd w:id="146"/>
    </w:p>
    <w:p>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pPr>
        <w:jc w:val="center"/>
        <w:rPr>
          <w:rFonts w:hint="eastAsia" w:ascii="宋体" w:hAnsi="宋体" w:eastAsia="宋体" w:cs="宋体"/>
          <w:b/>
          <w:color w:val="auto"/>
          <w:sz w:val="72"/>
          <w:szCs w:val="72"/>
          <w:highlight w:val="none"/>
        </w:rPr>
      </w:pPr>
    </w:p>
    <w:p>
      <w:pPr>
        <w:jc w:val="both"/>
        <w:rPr>
          <w:rFonts w:hint="eastAsia" w:ascii="宋体" w:hAnsi="宋体" w:eastAsia="宋体" w:cs="宋体"/>
          <w:b/>
          <w:color w:val="auto"/>
          <w:sz w:val="36"/>
          <w:szCs w:val="36"/>
          <w:highlight w:val="none"/>
        </w:rPr>
      </w:pPr>
    </w:p>
    <w:p>
      <w:pPr>
        <w:snapToGrid w:val="0"/>
        <w:spacing w:line="360" w:lineRule="auto"/>
        <w:jc w:val="center"/>
        <w:rPr>
          <w:rFonts w:hint="default" w:ascii="宋体" w:hAnsi="宋体" w:eastAsia="宋体" w:cs="宋体"/>
          <w:b/>
          <w:bCs/>
          <w:snapToGrid w:val="0"/>
          <w:color w:val="auto"/>
          <w:sz w:val="32"/>
          <w:szCs w:val="32"/>
          <w:highlight w:val="none"/>
          <w:lang w:val="en-US"/>
        </w:rPr>
      </w:pPr>
      <w:r>
        <w:rPr>
          <w:rFonts w:hint="eastAsia" w:ascii="宋体" w:hAnsi="宋体" w:eastAsia="宋体" w:cs="宋体"/>
          <w:b/>
          <w:color w:val="auto"/>
          <w:sz w:val="44"/>
          <w:szCs w:val="44"/>
          <w:highlight w:val="none"/>
          <w:lang w:eastAsia="zh-CN"/>
        </w:rPr>
        <w:t>大岭山大塘村优质产业空间项目(北地块)</w:t>
      </w:r>
      <w:r>
        <w:rPr>
          <w:rFonts w:hint="eastAsia" w:ascii="宋体" w:hAnsi="宋体" w:cs="宋体"/>
          <w:b/>
          <w:color w:val="auto"/>
          <w:sz w:val="44"/>
          <w:szCs w:val="44"/>
          <w:highlight w:val="none"/>
          <w:lang w:eastAsia="zh-CN"/>
        </w:rPr>
        <w:t>二期</w:t>
      </w:r>
      <w:r>
        <w:rPr>
          <w:rFonts w:hint="eastAsia" w:ascii="宋体" w:hAnsi="宋体" w:eastAsia="宋体" w:cs="宋体"/>
          <w:b/>
          <w:color w:val="auto"/>
          <w:sz w:val="44"/>
          <w:szCs w:val="44"/>
          <w:highlight w:val="none"/>
          <w:lang w:eastAsia="zh-CN"/>
        </w:rPr>
        <w:t>项目全过程驻场造价咨询</w:t>
      </w:r>
      <w:r>
        <w:rPr>
          <w:rFonts w:hint="eastAsia" w:ascii="宋体" w:hAnsi="宋体" w:cs="宋体"/>
          <w:b/>
          <w:color w:val="auto"/>
          <w:sz w:val="44"/>
          <w:szCs w:val="44"/>
          <w:highlight w:val="none"/>
          <w:lang w:val="en-US" w:eastAsia="zh-CN"/>
        </w:rPr>
        <w:t>服务</w:t>
      </w:r>
    </w:p>
    <w:p>
      <w:pPr>
        <w:jc w:val="cente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服务合同</w:t>
      </w:r>
    </w:p>
    <w:p>
      <w:pPr>
        <w:snapToGrid w:val="0"/>
        <w:spacing w:line="360" w:lineRule="auto"/>
        <w:ind w:firstLine="2233" w:firstLineChars="695"/>
        <w:jc w:val="center"/>
        <w:rPr>
          <w:rFonts w:hint="eastAsia" w:ascii="宋体" w:hAnsi="宋体" w:eastAsia="宋体" w:cs="宋体"/>
          <w:b/>
          <w:bCs/>
          <w:snapToGrid w:val="0"/>
          <w:color w:val="auto"/>
          <w:sz w:val="32"/>
          <w:szCs w:val="32"/>
          <w:highlight w:val="none"/>
        </w:rPr>
      </w:pPr>
    </w:p>
    <w:p>
      <w:pPr>
        <w:snapToGrid w:val="0"/>
        <w:spacing w:line="360" w:lineRule="auto"/>
        <w:rPr>
          <w:rFonts w:hint="eastAsia" w:ascii="宋体" w:hAnsi="宋体" w:eastAsia="宋体" w:cs="宋体"/>
          <w:b/>
          <w:bCs/>
          <w:snapToGrid w:val="0"/>
          <w:color w:val="auto"/>
          <w:sz w:val="32"/>
          <w:szCs w:val="32"/>
          <w:highlight w:val="none"/>
        </w:rPr>
      </w:pPr>
    </w:p>
    <w:p>
      <w:pPr>
        <w:snapToGrid w:val="0"/>
        <w:spacing w:line="360" w:lineRule="auto"/>
        <w:rPr>
          <w:rFonts w:hint="eastAsia" w:ascii="宋体" w:hAnsi="宋体" w:eastAsia="宋体" w:cs="宋体"/>
          <w:snapToGrid w:val="0"/>
          <w:color w:val="auto"/>
          <w:highlight w:val="none"/>
        </w:rPr>
      </w:pPr>
    </w:p>
    <w:p>
      <w:pPr>
        <w:widowControl/>
        <w:wordWrap w:val="0"/>
        <w:spacing w:line="360" w:lineRule="auto"/>
        <w:ind w:firstLine="280" w:firstLineChars="100"/>
        <w:rPr>
          <w:rFonts w:hint="default"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lang w:eastAsia="zh-CN"/>
        </w:rPr>
        <w:t>大岭山大塘村优质产业空间项目(北地块)</w:t>
      </w:r>
      <w:r>
        <w:rPr>
          <w:rFonts w:hint="eastAsia" w:ascii="宋体" w:hAnsi="宋体" w:cs="宋体"/>
          <w:color w:val="auto"/>
          <w:sz w:val="28"/>
          <w:szCs w:val="28"/>
          <w:highlight w:val="none"/>
          <w:u w:val="single"/>
          <w:lang w:eastAsia="zh-CN"/>
        </w:rPr>
        <w:t>二期</w:t>
      </w:r>
      <w:r>
        <w:rPr>
          <w:rFonts w:hint="eastAsia" w:ascii="宋体" w:hAnsi="宋体" w:eastAsia="宋体" w:cs="宋体"/>
          <w:color w:val="auto"/>
          <w:sz w:val="28"/>
          <w:szCs w:val="28"/>
          <w:highlight w:val="none"/>
          <w:u w:val="single"/>
          <w:lang w:eastAsia="zh-CN"/>
        </w:rPr>
        <w:t>项目全过程驻场造价咨询</w:t>
      </w:r>
      <w:r>
        <w:rPr>
          <w:rFonts w:hint="eastAsia" w:ascii="宋体" w:hAnsi="宋体" w:cs="宋体"/>
          <w:color w:val="auto"/>
          <w:sz w:val="28"/>
          <w:szCs w:val="28"/>
          <w:highlight w:val="none"/>
          <w:u w:val="single"/>
          <w:lang w:val="en-US" w:eastAsia="zh-CN"/>
        </w:rPr>
        <w:t>服务</w:t>
      </w:r>
    </w:p>
    <w:p>
      <w:pPr>
        <w:widowControl/>
        <w:wordWrap w:val="0"/>
        <w:spacing w:line="360" w:lineRule="auto"/>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rPr>
        <w:t>东莞市</w:t>
      </w:r>
      <w:r>
        <w:rPr>
          <w:rFonts w:hint="eastAsia" w:ascii="宋体" w:hAnsi="宋体" w:cs="宋体"/>
          <w:color w:val="auto"/>
          <w:sz w:val="28"/>
          <w:szCs w:val="28"/>
          <w:highlight w:val="none"/>
          <w:u w:val="single"/>
          <w:lang w:val="en-US" w:eastAsia="zh-CN"/>
        </w:rPr>
        <w:t>大岭山</w:t>
      </w:r>
      <w:r>
        <w:rPr>
          <w:rFonts w:hint="eastAsia" w:ascii="宋体" w:hAnsi="宋体" w:eastAsia="宋体" w:cs="宋体"/>
          <w:color w:val="auto"/>
          <w:sz w:val="28"/>
          <w:szCs w:val="28"/>
          <w:highlight w:val="none"/>
          <w:u w:val="single"/>
        </w:rPr>
        <w:t>镇</w:t>
      </w:r>
    </w:p>
    <w:p>
      <w:pPr>
        <w:widowControl/>
        <w:wordWrap w:val="0"/>
        <w:spacing w:line="360" w:lineRule="auto"/>
        <w:ind w:firstLine="280" w:firstLineChars="100"/>
        <w:rPr>
          <w:rFonts w:hint="eastAsia" w:ascii="宋体" w:hAnsi="宋体" w:eastAsia="宋体" w:cs="宋体"/>
          <w:color w:val="auto"/>
          <w:sz w:val="28"/>
          <w:szCs w:val="28"/>
          <w:highlight w:val="none"/>
          <w:u w:val="single"/>
          <w:lang w:val="en-US"/>
        </w:rPr>
      </w:pPr>
      <w:r>
        <w:rPr>
          <w:rFonts w:hint="eastAsia" w:ascii="宋体" w:hAnsi="宋体" w:eastAsia="宋体" w:cs="宋体"/>
          <w:color w:val="auto"/>
          <w:sz w:val="28"/>
          <w:szCs w:val="28"/>
          <w:highlight w:val="none"/>
        </w:rPr>
        <w:t>委托单位：</w:t>
      </w:r>
      <w:r>
        <w:rPr>
          <w:rFonts w:hint="eastAsia" w:ascii="宋体" w:hAnsi="宋体" w:eastAsia="宋体" w:cs="宋体"/>
          <w:color w:val="auto"/>
          <w:sz w:val="28"/>
          <w:szCs w:val="28"/>
          <w:highlight w:val="none"/>
          <w:u w:val="single"/>
          <w:lang w:eastAsia="zh-CN"/>
        </w:rPr>
        <w:t>东莞市旗创产业投资有限公司</w:t>
      </w:r>
    </w:p>
    <w:p>
      <w:pPr>
        <w:widowControl/>
        <w:wordWrap w:val="0"/>
        <w:spacing w:line="360" w:lineRule="auto"/>
        <w:ind w:firstLine="280" w:firstLineChars="100"/>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咨询单位：</w:t>
      </w:r>
      <w:r>
        <w:rPr>
          <w:rFonts w:hint="eastAsia" w:ascii="宋体" w:hAnsi="宋体" w:cs="宋体"/>
          <w:color w:val="auto"/>
          <w:sz w:val="28"/>
          <w:szCs w:val="28"/>
          <w:highlight w:val="none"/>
          <w:u w:val="single"/>
          <w:lang w:val="en-US" w:eastAsia="zh-CN"/>
        </w:rPr>
        <w:t xml:space="preserve">                                 </w:t>
      </w:r>
    </w:p>
    <w:p>
      <w:pPr>
        <w:widowControl/>
        <w:wordWrap w:val="0"/>
        <w:spacing w:line="360" w:lineRule="auto"/>
        <w:ind w:firstLine="280" w:firstLineChars="100"/>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u w:val="none"/>
          <w:lang w:val="en-US" w:eastAsia="zh-CN"/>
        </w:rPr>
        <w:t>建设单位：</w:t>
      </w:r>
      <w:r>
        <w:rPr>
          <w:rFonts w:hint="eastAsia" w:ascii="宋体" w:hAnsi="宋体" w:cs="宋体"/>
          <w:snapToGrid/>
          <w:color w:val="auto"/>
          <w:sz w:val="28"/>
          <w:szCs w:val="28"/>
          <w:highlight w:val="none"/>
          <w:u w:val="single"/>
          <w:lang w:val="en-US" w:eastAsia="zh-CN" w:bidi="ar-SA"/>
        </w:rPr>
        <w:t>东莞市大岭山镇大塘实业投资有限公司</w:t>
      </w:r>
    </w:p>
    <w:p>
      <w:pPr>
        <w:widowControl/>
        <w:wordWrap w:val="0"/>
        <w:spacing w:line="360" w:lineRule="auto"/>
        <w:ind w:firstLine="3520" w:firstLineChars="1100"/>
        <w:rPr>
          <w:rFonts w:hint="eastAsia" w:ascii="宋体" w:hAnsi="宋体" w:eastAsia="宋体" w:cs="宋体"/>
          <w:color w:val="auto"/>
          <w:sz w:val="32"/>
          <w:szCs w:val="32"/>
          <w:highlight w:val="none"/>
        </w:rPr>
      </w:pPr>
    </w:p>
    <w:p>
      <w:pPr>
        <w:widowControl/>
        <w:wordWrap w:val="0"/>
        <w:spacing w:line="360" w:lineRule="auto"/>
        <w:ind w:firstLine="3520" w:firstLineChars="1100"/>
        <w:rPr>
          <w:rFonts w:hint="eastAsia" w:ascii="宋体" w:hAnsi="宋体" w:eastAsia="宋体" w:cs="宋体"/>
          <w:color w:val="auto"/>
          <w:sz w:val="32"/>
          <w:szCs w:val="32"/>
          <w:highlight w:val="none"/>
        </w:rPr>
        <w:sectPr>
          <w:pgSz w:w="11907" w:h="16840"/>
          <w:pgMar w:top="1247" w:right="1191" w:bottom="1247" w:left="1191" w:header="851" w:footer="850" w:gutter="0"/>
          <w:pgNumType w:fmt="decimal"/>
          <w:cols w:space="720" w:num="1"/>
          <w:docGrid w:linePitch="326" w:charSpace="0"/>
        </w:sectPr>
      </w:pPr>
      <w:r>
        <w:rPr>
          <w:rFonts w:hint="eastAsia" w:ascii="宋体" w:hAnsi="宋体" w:eastAsia="宋体" w:cs="宋体"/>
          <w:color w:val="auto"/>
          <w:sz w:val="32"/>
          <w:szCs w:val="32"/>
          <w:highlight w:val="none"/>
        </w:rPr>
        <w:t>年    月    日</w:t>
      </w:r>
    </w:p>
    <w:p>
      <w:pPr>
        <w:pageBreakBefore w:val="0"/>
        <w:widowControl/>
        <w:kinsoku/>
        <w:wordWrap w:val="0"/>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color w:val="auto"/>
          <w:sz w:val="21"/>
          <w:szCs w:val="21"/>
          <w:highlight w:val="none"/>
        </w:rPr>
        <w:t>委托人（以下简称甲方）：</w:t>
      </w:r>
      <w:r>
        <w:rPr>
          <w:rFonts w:hint="eastAsia" w:ascii="宋体" w:hAnsi="宋体" w:eastAsia="宋体" w:cs="宋体"/>
          <w:snapToGrid w:val="0"/>
          <w:color w:val="auto"/>
          <w:sz w:val="21"/>
          <w:szCs w:val="21"/>
          <w:highlight w:val="none"/>
          <w:u w:val="single"/>
          <w:lang w:val="en-US" w:eastAsia="zh-CN" w:bidi="ar-SA"/>
        </w:rPr>
        <w:t>东莞市旗创产业投资有限公司</w:t>
      </w:r>
    </w:p>
    <w:p>
      <w:pPr>
        <w:pageBreakBefore w:val="0"/>
        <w:widowControl/>
        <w:kinsoku/>
        <w:wordWrap w:val="0"/>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咨询人（以下简称乙方）：</w:t>
      </w:r>
      <w:r>
        <w:rPr>
          <w:rFonts w:hint="eastAsia" w:ascii="宋体" w:hAnsi="宋体" w:eastAsia="宋体" w:cs="宋体"/>
          <w:snapToGrid w:val="0"/>
          <w:color w:val="auto"/>
          <w:sz w:val="21"/>
          <w:szCs w:val="21"/>
          <w:highlight w:val="none"/>
          <w:u w:val="single"/>
          <w:lang w:val="en-US" w:eastAsia="zh-CN" w:bidi="ar-SA"/>
        </w:rPr>
        <w:t xml:space="preserve">                           </w:t>
      </w:r>
    </w:p>
    <w:p>
      <w:pPr>
        <w:pStyle w:val="14"/>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none"/>
          <w:lang w:val="en-US" w:eastAsia="zh-CN"/>
        </w:rPr>
        <w:t>建设单位（以下简称丙方）：</w:t>
      </w:r>
      <w:r>
        <w:rPr>
          <w:rFonts w:hint="eastAsia" w:ascii="宋体" w:hAnsi="宋体" w:cs="宋体"/>
          <w:color w:val="auto"/>
          <w:sz w:val="21"/>
          <w:szCs w:val="21"/>
          <w:highlight w:val="none"/>
          <w:u w:val="single"/>
          <w:lang w:val="en-US" w:eastAsia="zh-CN"/>
        </w:rPr>
        <w:t>东莞市大岭山镇大塘实业投资有限公司</w:t>
      </w:r>
    </w:p>
    <w:p>
      <w:pPr>
        <w:pageBreakBefore w:val="0"/>
        <w:widowControl/>
        <w:kinsoku/>
        <w:overflowPunct/>
        <w:topLinePunct w:val="0"/>
        <w:autoSpaceDE/>
        <w:autoSpaceDN/>
        <w:bidi w:val="0"/>
        <w:adjustRightInd w:val="0"/>
        <w:snapToGrid w:val="0"/>
        <w:spacing w:line="360" w:lineRule="auto"/>
        <w:ind w:firstLine="0" w:firstLineChars="0"/>
        <w:rPr>
          <w:rFonts w:hint="eastAsia" w:ascii="宋体" w:hAnsi="宋体" w:eastAsia="宋体" w:cs="宋体"/>
          <w:color w:val="auto"/>
          <w:sz w:val="21"/>
          <w:szCs w:val="21"/>
          <w:highlight w:val="none"/>
          <w:lang w:val="en-US" w:eastAsia="zh-CN"/>
        </w:rPr>
      </w:pPr>
    </w:p>
    <w:p>
      <w:pPr>
        <w:pageBreakBefore w:val="0"/>
        <w:widowControl/>
        <w:kinsoku/>
        <w:overflowPunct/>
        <w:topLinePunct w:val="0"/>
        <w:autoSpaceDE/>
        <w:autoSpaceDN/>
        <w:bidi w:val="0"/>
        <w:adjustRightInd w:val="0"/>
        <w:snapToGrid w:val="0"/>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鉴于：</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丙方为大岭山大塘村优质产业空间项目(北地块)</w:t>
      </w:r>
      <w:r>
        <w:rPr>
          <w:rFonts w:hint="eastAsia" w:ascii="宋体" w:hAnsi="宋体" w:cs="宋体"/>
          <w:color w:val="auto"/>
          <w:sz w:val="21"/>
          <w:szCs w:val="21"/>
          <w:highlight w:val="none"/>
          <w:lang w:val="en-US" w:eastAsia="zh-CN"/>
        </w:rPr>
        <w:t>二期</w:t>
      </w:r>
      <w:r>
        <w:rPr>
          <w:rFonts w:hint="eastAsia" w:ascii="宋体" w:hAnsi="宋体" w:eastAsia="宋体" w:cs="宋体"/>
          <w:color w:val="auto"/>
          <w:sz w:val="21"/>
          <w:szCs w:val="21"/>
          <w:highlight w:val="none"/>
          <w:lang w:val="en-US" w:eastAsia="zh-CN"/>
        </w:rPr>
        <w:t>项目的投资主体及建设方，丙方委托甲方负责项目二级开发建设代建服务。</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依照《中华人民共和国民法典》及国家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省市</w:t>
      </w:r>
      <w:r>
        <w:rPr>
          <w:rFonts w:hint="eastAsia" w:ascii="宋体" w:hAnsi="宋体" w:eastAsia="宋体" w:cs="宋体"/>
          <w:color w:val="auto"/>
          <w:sz w:val="21"/>
          <w:szCs w:val="21"/>
          <w:highlight w:val="none"/>
        </w:rPr>
        <w:t>的有关法律、行政法规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以及甲方、丙方签订的《大岭山大塘村优质产业空间项目（北地块）</w:t>
      </w:r>
      <w:r>
        <w:rPr>
          <w:rFonts w:hint="eastAsia" w:ascii="宋体" w:hAnsi="宋体" w:cs="宋体"/>
          <w:color w:val="auto"/>
          <w:sz w:val="21"/>
          <w:szCs w:val="21"/>
          <w:highlight w:val="none"/>
          <w:lang w:val="en-US" w:eastAsia="zh-CN"/>
        </w:rPr>
        <w:t>二期</w:t>
      </w:r>
      <w:r>
        <w:rPr>
          <w:rFonts w:hint="eastAsia" w:ascii="宋体" w:hAnsi="宋体" w:eastAsia="宋体" w:cs="宋体"/>
          <w:color w:val="auto"/>
          <w:sz w:val="21"/>
          <w:szCs w:val="21"/>
          <w:highlight w:val="none"/>
          <w:lang w:val="en-US" w:eastAsia="zh-CN"/>
        </w:rPr>
        <w:t>工程代建合同》</w:t>
      </w:r>
      <w:r>
        <w:rPr>
          <w:rFonts w:hint="eastAsia" w:ascii="宋体" w:hAnsi="宋体" w:eastAsia="宋体" w:cs="宋体"/>
          <w:color w:val="auto"/>
          <w:sz w:val="21"/>
          <w:szCs w:val="21"/>
          <w:highlight w:val="none"/>
        </w:rPr>
        <w:t>，遵循平等、自愿、公平和诚实信用的原则，</w:t>
      </w:r>
      <w:r>
        <w:rPr>
          <w:rFonts w:hint="eastAsia" w:ascii="宋体" w:hAnsi="宋体" w:eastAsia="宋体" w:cs="宋体"/>
          <w:color w:val="auto"/>
          <w:sz w:val="21"/>
          <w:szCs w:val="21"/>
          <w:highlight w:val="none"/>
          <w:lang w:val="en-US" w:eastAsia="zh-CN"/>
        </w:rPr>
        <w:t>甲、乙、丙三方</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大岭山大塘村优质产业空间项目(北地块)</w:t>
      </w:r>
      <w:r>
        <w:rPr>
          <w:rFonts w:hint="eastAsia" w:ascii="宋体" w:hAnsi="宋体" w:cs="宋体"/>
          <w:color w:val="auto"/>
          <w:sz w:val="21"/>
          <w:szCs w:val="21"/>
          <w:highlight w:val="none"/>
          <w:lang w:eastAsia="zh-CN"/>
        </w:rPr>
        <w:t>二期</w:t>
      </w:r>
      <w:r>
        <w:rPr>
          <w:rFonts w:hint="eastAsia" w:ascii="宋体" w:hAnsi="宋体" w:eastAsia="宋体" w:cs="宋体"/>
          <w:color w:val="auto"/>
          <w:sz w:val="21"/>
          <w:szCs w:val="21"/>
          <w:highlight w:val="none"/>
          <w:lang w:eastAsia="zh-CN"/>
        </w:rPr>
        <w:t>项目全过程驻场造价咨询</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事项协商一致，订立本合同。</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项目概况</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1.1 工程名称:</w:t>
      </w:r>
      <w:r>
        <w:rPr>
          <w:rFonts w:hint="eastAsia" w:ascii="宋体" w:hAnsi="宋体" w:eastAsia="宋体" w:cs="宋体"/>
          <w:color w:val="auto"/>
          <w:sz w:val="21"/>
          <w:szCs w:val="21"/>
          <w:highlight w:val="none"/>
          <w:u w:val="single"/>
          <w:lang w:eastAsia="zh-CN"/>
        </w:rPr>
        <w:t>大岭山大塘村优质产业空间项目(北地块)</w:t>
      </w:r>
      <w:r>
        <w:rPr>
          <w:rFonts w:hint="eastAsia" w:ascii="宋体" w:hAnsi="宋体" w:cs="宋体"/>
          <w:color w:val="auto"/>
          <w:sz w:val="21"/>
          <w:szCs w:val="21"/>
          <w:highlight w:val="none"/>
          <w:u w:val="single"/>
          <w:lang w:eastAsia="zh-CN"/>
        </w:rPr>
        <w:t>二期</w:t>
      </w:r>
      <w:r>
        <w:rPr>
          <w:rFonts w:hint="eastAsia" w:ascii="宋体" w:hAnsi="宋体" w:eastAsia="宋体" w:cs="宋体"/>
          <w:color w:val="auto"/>
          <w:sz w:val="21"/>
          <w:szCs w:val="21"/>
          <w:highlight w:val="none"/>
          <w:u w:val="single"/>
          <w:lang w:eastAsia="zh-CN"/>
        </w:rPr>
        <w:t>项目全过程驻场造价咨询</w:t>
      </w:r>
      <w:r>
        <w:rPr>
          <w:rFonts w:hint="eastAsia" w:ascii="宋体" w:hAnsi="宋体" w:cs="宋体"/>
          <w:color w:val="auto"/>
          <w:sz w:val="21"/>
          <w:szCs w:val="21"/>
          <w:highlight w:val="none"/>
          <w:u w:val="single"/>
          <w:lang w:val="en-US" w:eastAsia="zh-CN"/>
        </w:rPr>
        <w:t>服务</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1.2 工程规模: </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i w:val="0"/>
          <w:iCs w:val="0"/>
          <w:caps w:val="0"/>
          <w:color w:val="auto"/>
          <w:spacing w:val="0"/>
          <w:sz w:val="21"/>
          <w:szCs w:val="21"/>
          <w:highlight w:val="none"/>
          <w:u w:val="single"/>
          <w:shd w:val="clear" w:color="auto" w:fill="FFFFFF"/>
        </w:rPr>
        <w:t>占地面积约</w:t>
      </w:r>
      <w:r>
        <w:rPr>
          <w:rFonts w:hint="eastAsia" w:ascii="宋体" w:hAnsi="宋体" w:cs="宋体"/>
          <w:i w:val="0"/>
          <w:iCs w:val="0"/>
          <w:caps w:val="0"/>
          <w:color w:val="auto"/>
          <w:spacing w:val="0"/>
          <w:sz w:val="21"/>
          <w:szCs w:val="21"/>
          <w:highlight w:val="none"/>
          <w:u w:val="single"/>
          <w:shd w:val="clear" w:color="auto" w:fill="FFFFFF"/>
          <w:lang w:val="en-US" w:eastAsia="zh-CN"/>
        </w:rPr>
        <w:t>27710.10</w:t>
      </w:r>
      <w:r>
        <w:rPr>
          <w:rFonts w:hint="eastAsia" w:ascii="宋体" w:hAnsi="宋体" w:eastAsia="宋体" w:cs="宋体"/>
          <w:i w:val="0"/>
          <w:iCs w:val="0"/>
          <w:caps w:val="0"/>
          <w:color w:val="auto"/>
          <w:spacing w:val="0"/>
          <w:sz w:val="21"/>
          <w:szCs w:val="21"/>
          <w:highlight w:val="none"/>
          <w:u w:val="single"/>
          <w:shd w:val="clear" w:color="auto" w:fill="FFFFFF"/>
        </w:rPr>
        <w:t>平方米，总建筑面积约</w:t>
      </w:r>
      <w:r>
        <w:rPr>
          <w:rFonts w:hint="eastAsia" w:ascii="宋体" w:hAnsi="宋体" w:cs="宋体"/>
          <w:i w:val="0"/>
          <w:iCs w:val="0"/>
          <w:caps w:val="0"/>
          <w:color w:val="auto"/>
          <w:spacing w:val="0"/>
          <w:sz w:val="21"/>
          <w:szCs w:val="21"/>
          <w:highlight w:val="none"/>
          <w:u w:val="single"/>
          <w:shd w:val="clear" w:color="auto" w:fill="FFFFFF"/>
          <w:lang w:val="en-US" w:eastAsia="zh-CN"/>
        </w:rPr>
        <w:t>102719.4</w:t>
      </w:r>
      <w:r>
        <w:rPr>
          <w:rFonts w:hint="eastAsia" w:ascii="宋体" w:hAnsi="宋体" w:eastAsia="宋体" w:cs="宋体"/>
          <w:i w:val="0"/>
          <w:iCs w:val="0"/>
          <w:caps w:val="0"/>
          <w:color w:val="auto"/>
          <w:spacing w:val="0"/>
          <w:sz w:val="21"/>
          <w:szCs w:val="21"/>
          <w:highlight w:val="none"/>
          <w:u w:val="single"/>
          <w:shd w:val="clear" w:color="auto" w:fill="FFFFFF"/>
        </w:rPr>
        <w:t>平方米。</w:t>
      </w:r>
      <w:r>
        <w:rPr>
          <w:rFonts w:hint="eastAsia" w:ascii="宋体" w:hAnsi="宋体" w:eastAsia="宋体" w:cs="宋体"/>
          <w:color w:val="auto"/>
          <w:sz w:val="21"/>
          <w:szCs w:val="21"/>
          <w:highlight w:val="none"/>
          <w:u w:val="single"/>
        </w:rPr>
        <w:t>（最终建设规模以相关批复文件为准）。</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上部结构:</w:t>
      </w:r>
      <w:r>
        <w:rPr>
          <w:rFonts w:hint="eastAsia" w:ascii="宋体" w:hAnsi="宋体" w:eastAsia="宋体" w:cs="宋体"/>
          <w:color w:val="auto"/>
          <w:sz w:val="21"/>
          <w:szCs w:val="21"/>
          <w:highlight w:val="none"/>
          <w:u w:val="single"/>
        </w:rPr>
        <w:t>详见施工图设计文件</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基础结构:</w:t>
      </w:r>
      <w:r>
        <w:rPr>
          <w:rFonts w:hint="eastAsia" w:ascii="宋体" w:hAnsi="宋体" w:eastAsia="宋体" w:cs="宋体"/>
          <w:color w:val="auto"/>
          <w:sz w:val="21"/>
          <w:szCs w:val="21"/>
          <w:highlight w:val="none"/>
          <w:u w:val="single"/>
        </w:rPr>
        <w:t>详见施工图设计文件</w:t>
      </w:r>
    </w:p>
    <w:p>
      <w:pPr>
        <w:pageBreakBefore w:val="0"/>
        <w:widowControl/>
        <w:kinsoku/>
        <w:wordWrap w:val="0"/>
        <w:overflowPunct/>
        <w:topLinePunct w:val="0"/>
        <w:autoSpaceDE/>
        <w:autoSpaceDN/>
        <w:bidi w:val="0"/>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结构形式:</w:t>
      </w:r>
      <w:r>
        <w:rPr>
          <w:rFonts w:hint="eastAsia" w:ascii="宋体" w:hAnsi="宋体" w:eastAsia="宋体" w:cs="宋体"/>
          <w:color w:val="auto"/>
          <w:sz w:val="21"/>
          <w:szCs w:val="21"/>
          <w:highlight w:val="none"/>
          <w:u w:val="single"/>
        </w:rPr>
        <w:t>详见施工图设计文件</w:t>
      </w:r>
    </w:p>
    <w:p>
      <w:pPr>
        <w:pageBreakBefore w:val="0"/>
        <w:widowControl/>
        <w:kinsoku/>
        <w:overflowPunct/>
        <w:topLinePunct w:val="0"/>
        <w:autoSpaceDE/>
        <w:autoSpaceDN/>
        <w:bidi w:val="0"/>
        <w:adjustRightInd w:val="0"/>
        <w:snapToGrid w:val="0"/>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服务内容</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以下内容：设计阶段、发承包阶段、实施阶段、竣工阶段、财务决算阶段、审计阶段（如有）的：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造价咨询要求</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严格按照国家和省、市有关财政、财务、基建管理、工程造价的法规、政策文件的有关规定、以及甲方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（2）乙方应充分带动公司后台资源服务项目，在项目各阶段提出成本优化建议。</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乙方必须按投标时提交的人员配置表配置本项目造价咨询服务人员。甲方有权根据项目实际情况要求乙方增加专业造价工程师的投入，保证项目按甲方规定的进度完成。乙方必须在东莞市设有固定的办公场所、资料档案保管场所；配备专业造价管理软件和交通工具等。</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（4）乙方人员连续二次不参加工作例会、有关专题会议等，甲方代表将记录缺位人员情况，必要时甲方提出更换人员要求，或书面告诫，直到经甲方认可的人员到位。</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（5）如果乙方人员渎职、拒不执行甲方意见、服务态度恶劣，影响工作的，甲方认为有必要更换乙方人员时，将出具书面通知（勿需说明理由），乙方应立即撤换，并重新委派经甲方认可的人员到位。</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（6）所有造价技术人员均应专业对口或具有与其岗位工作相适应的工作经历；具有作风正派、廉洁奉公、吃苦耐劳、认真负责的品质，身体健康能胜任现场工作。</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（7）乙方须承诺服从甲方的有关规定。合同执行过程中，甲方颁布新的管理办法、细则或操作手册的，按最新制度执行。</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须独立完成甲方委托的编制业务，不得将编制任务转让第三方完成，保证项目资料的完整，不得遗失、损坏项目资料，并按甲方的要求按期做好已完项目的相关资料移交和归档工作。未经甲方同意，不得以任何形式向任何单位或个人披露编制项目有关的信息，不得对外提供、泄露编制有关情况。</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主要工作要求</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项目组织与实施</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甲方通知，乙方需要及时安排人员去现场考察以及了解施工情况并及时处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甲方要求。</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风险管理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乙方对于已经发生的风险事件应进行风险的分析与评估，为处理风险事件、工程索赔等问题提出合理建议，降低风险损失，避免风险带来的损失扩大。</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信息管理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信息管理应包括工程造价信息数据库建立、工程造价软件使用及咨询单位管理系统的建设，利用计算机及网络通信技术为工程造价信息化管理服务。</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信息管理应服务本建设工程项目的全过程，对所收集的工程造价信息资料应及时处理，并应用于工程造价的确定及成本分析等环节。</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乙方应遵循统一化、标准化、网络化的原则，应有效地应用工程项目工程造价软件，主要包括基础数据管理软件，工程项目预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算编审软件等。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乙方应建立相应的质量管理体系。对其承担阶段工程造价咨询的基础资料的收集、归纳和整理，成果文件的提交、报审和归档等，都要有具体的规定。</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乙方应对甲方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color w:val="auto"/>
          <w:sz w:val="21"/>
          <w:szCs w:val="21"/>
          <w:highlight w:val="none"/>
        </w:rPr>
        <w:t>提供的书面资料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color w:val="auto"/>
          <w:sz w:val="21"/>
          <w:szCs w:val="21"/>
          <w:highlight w:val="none"/>
        </w:rPr>
        <w:t>提供的书面资料应加盖公章或有效合法的签名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进行有效性和合理性核对，应保证自身收集的或已有的造价基础资料和编制依据全面、现行、有效。</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乙方出具的工程造价咨询成果文件质量应符合国家或行业工程计价的有关规定、标准、规范的要求，并须满足甲方要求。工程造价咨询合同应约定具体的工程咨询质量精度标准。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乙方在工程造价咨询服务完成后，项目负责人应组织有关人员对甲方进行回访，听取甲方对服务质量的评价意见，及时总结咨询服务的优、缺点和经验教训， 将存在的问题纳入质量改进计划，提出相应的改进措施。</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档案管理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color w:val="auto"/>
          <w:sz w:val="21"/>
          <w:szCs w:val="21"/>
          <w:highlight w:val="none"/>
        </w:rPr>
        <w:t>确认的材料、设备价款、甲供材料、设备清单，承包人的营业执照及资质等级证书等。成果文件包括：工程计量支付文件、工程索赔处理报告、工程结算等。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5.3工程造价技术档案应按委托服务合同建立，按服务项目分类整理归纳。</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5.4工程造价技术档案过程文件保存期应遵照执行甲方档案管理办法和相关规定。</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（六）全过程驻场造价咨询服务人员要求</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 咨询专业人员要求：满足采购文件中“全过程造价管理服务人员配备要求表”的要求。</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 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 咨询人必须在拟派人员名单中按委托人要求安排足够的技术人员开展工作，并明确各个项目的咨询专业人员，如委托人认为造价咨询单位派出的咨询人员不足以按期完成咨询任务，造价咨询单位应按委托人要求增派符合专业资格要求的咨询专业人员。如委托人认为造价咨询单位派出的咨询专业人员不能胜任工作，委托人有权要求造价咨询单位更换。</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 在合同服务期限内，咨询人根据委托人工作需要，应派出固定造价人员参与进度款现场核量、工程变更现场审核、工程例会等现场工作，被派出造价人员应有类似工程的工作经历，所产生的费用已包含在投标报价中。</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 咨询人的项目人员不得随意更换。如需更换，须提前征得委托人的书面同意。项目负责人必须是经委托人书面认可。且必须做到，完全了解工程造价控制情况，按时参加工程例会，不得随意缺席。</w:t>
      </w:r>
    </w:p>
    <w:p>
      <w:pPr>
        <w:pStyle w:val="14"/>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驻场人员</w:t>
      </w:r>
      <w:r>
        <w:rPr>
          <w:rFonts w:hint="eastAsia" w:ascii="宋体" w:hAnsi="宋体" w:eastAsia="宋体" w:cs="宋体"/>
          <w:color w:val="auto"/>
          <w:sz w:val="21"/>
          <w:szCs w:val="21"/>
          <w:highlight w:val="none"/>
        </w:rPr>
        <w:t>管理</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 乙方应选派一名驻场造价咨询人员，该人员驻场服务期暂定为自</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日起至项目竣工验收完成之日止，具体以甲方要求为准。</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 选派的驻场人员须经委托人面试合格后方可进场。</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向丙方支付违约金2000元/次。</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7.4 造价咨询单位应保证驻场人员的相对固定，并保证其工作时间和工作连贯性，更换人员需书面告知甲方，未经甲方同意不得更换人员。对于未达到甲方工作要求的派遣人员，乙方必须在10个工作日内进行更换，更换的派遣人员应符合工作要求。乙方更换驻场人员，甲方有权要求乙方</w:t>
      </w:r>
      <w:r>
        <w:rPr>
          <w:rFonts w:hint="eastAsia" w:ascii="宋体" w:hAnsi="宋体" w:eastAsia="宋体" w:cs="宋体"/>
          <w:color w:val="auto"/>
          <w:sz w:val="21"/>
          <w:szCs w:val="21"/>
          <w:highlight w:val="none"/>
          <w:lang w:val="en-US" w:eastAsia="zh-CN"/>
        </w:rPr>
        <w:t>向丙方</w:t>
      </w:r>
      <w:r>
        <w:rPr>
          <w:rFonts w:hint="eastAsia" w:ascii="宋体" w:hAnsi="宋体" w:eastAsia="宋体" w:cs="宋体"/>
          <w:color w:val="auto"/>
          <w:sz w:val="21"/>
          <w:szCs w:val="21"/>
          <w:highlight w:val="none"/>
        </w:rPr>
        <w:t>支付违约金10000元/人/次</w:t>
      </w:r>
      <w:r>
        <w:rPr>
          <w:rFonts w:hint="eastAsia" w:ascii="宋体" w:hAnsi="宋体" w:eastAsia="宋体" w:cs="宋体"/>
          <w:b w:val="0"/>
          <w:bCs w:val="0"/>
          <w:color w:val="auto"/>
          <w:sz w:val="21"/>
          <w:szCs w:val="21"/>
          <w:highlight w:val="none"/>
          <w:lang w:val="en-US" w:eastAsia="zh-CN"/>
        </w:rPr>
        <w:t>。</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派驻现场技术人员离开施工现场1日以上需报委托人批准，在其请假离开的时间段内应委托咨询人其他相当职称资格技术人员驻场，全权代表其行使相应职权；否则，每违约一次，咨询人向丙方承担违约金1000元。</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7.6 驻场人员须每月22日提交更新合同台账、变更台账、进度款台账、动态成本台账、结算台账等，若台账信息缺失或者描述与实际情况不符的，出现1次，</w:t>
      </w:r>
      <w:r>
        <w:rPr>
          <w:rFonts w:hint="eastAsia" w:ascii="宋体" w:hAnsi="宋体" w:eastAsia="宋体" w:cs="宋体"/>
          <w:color w:val="auto"/>
          <w:sz w:val="21"/>
          <w:szCs w:val="21"/>
          <w:highlight w:val="none"/>
        </w:rPr>
        <w:t>甲方有权要求乙方</w:t>
      </w:r>
      <w:r>
        <w:rPr>
          <w:rFonts w:hint="eastAsia" w:ascii="宋体" w:hAnsi="宋体" w:eastAsia="宋体" w:cs="宋体"/>
          <w:color w:val="auto"/>
          <w:sz w:val="21"/>
          <w:szCs w:val="21"/>
          <w:highlight w:val="none"/>
          <w:lang w:val="en-US" w:eastAsia="zh-CN"/>
        </w:rPr>
        <w:t>向丙方</w:t>
      </w:r>
      <w:r>
        <w:rPr>
          <w:rFonts w:hint="eastAsia" w:ascii="宋体" w:hAnsi="宋体" w:eastAsia="宋体" w:cs="宋体"/>
          <w:color w:val="auto"/>
          <w:sz w:val="21"/>
          <w:szCs w:val="21"/>
          <w:highlight w:val="none"/>
        </w:rPr>
        <w:t>支付违约金</w:t>
      </w:r>
      <w:r>
        <w:rPr>
          <w:rFonts w:hint="eastAsia" w:ascii="宋体" w:hAnsi="宋体" w:eastAsia="宋体" w:cs="宋体"/>
          <w:b w:val="0"/>
          <w:bCs w:val="0"/>
          <w:color w:val="auto"/>
          <w:sz w:val="21"/>
          <w:szCs w:val="21"/>
          <w:highlight w:val="none"/>
          <w:lang w:val="en-US" w:eastAsia="zh-CN"/>
        </w:rPr>
        <w:t>500元/次。</w:t>
      </w:r>
    </w:p>
    <w:p>
      <w:pPr>
        <w:pageBreakBefore w:val="0"/>
        <w:widowControl/>
        <w:numPr>
          <w:ilvl w:val="0"/>
          <w:numId w:val="0"/>
        </w:numPr>
        <w:kinsoku/>
        <w:overflowPunct/>
        <w:topLinePunct w:val="0"/>
        <w:autoSpaceDE/>
        <w:autoSpaceDN/>
        <w:bidi w:val="0"/>
        <w:adjustRightInd w:val="0"/>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（八）成本实测实量</w:t>
      </w:r>
      <w:r>
        <w:rPr>
          <w:rFonts w:hint="eastAsia" w:ascii="宋体" w:hAnsi="宋体" w:eastAsia="宋体" w:cs="宋体"/>
          <w:color w:val="auto"/>
          <w:sz w:val="21"/>
          <w:szCs w:val="21"/>
          <w:highlight w:val="none"/>
        </w:rPr>
        <w:t>管理</w:t>
      </w:r>
    </w:p>
    <w:p>
      <w:pPr>
        <w:pStyle w:val="14"/>
        <w:pageBreakBefore w:val="0"/>
        <w:widowControl/>
        <w:kinsoku/>
        <w:overflowPunct/>
        <w:topLinePunct w:val="0"/>
        <w:autoSpaceDE/>
        <w:autoSpaceDN/>
        <w:bidi w:val="0"/>
        <w:adjustRightInd w:val="0"/>
        <w:snapToGrid w:val="0"/>
        <w:spacing w:before="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8.1 驻场人员</w:t>
      </w:r>
      <w:r>
        <w:rPr>
          <w:rFonts w:hint="eastAsia" w:ascii="宋体" w:hAnsi="宋体" w:eastAsia="宋体" w:cs="宋体"/>
          <w:color w:val="auto"/>
          <w:sz w:val="21"/>
          <w:szCs w:val="21"/>
          <w:highlight w:val="none"/>
        </w:rPr>
        <w:t>按要求和要点每周在工地现场进行至少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ascii="宋体" w:hAnsi="宋体" w:eastAsia="宋体" w:cs="宋体"/>
          <w:color w:val="auto"/>
          <w:sz w:val="21"/>
          <w:szCs w:val="21"/>
          <w:highlight w:val="none"/>
          <w:lang w:eastAsia="zh-CN"/>
        </w:rPr>
        <w:t>，巡查过程发现异常问题须及时向甲方反馈。</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进度和质量要求</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（一）乙方应对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bCs/>
          <w:color w:val="auto"/>
          <w:sz w:val="21"/>
          <w:szCs w:val="21"/>
          <w:highlight w:val="none"/>
        </w:rPr>
        <w:t>提出资料补充要求。因资料不完整而乙方未能及时提出而造成编审进度延误，应由乙方负责。</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（二）乙方必须在规定的时限内完成工程造价咨询服务的编审工作及配合各项工作的进度需求，若有需要，</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有可能要求提前，咨询单位需要无条件执行。</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（三）造价工程师考核标准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为提高全过程乙方人员工作积极性,引进考核机制，该考核机制对乙方实行绩效考核。《建设单位咨询项目考核表》作为乙方浮动酬金（咨询服务费的20%）发放的依据。</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ascii="宋体" w:hAnsi="宋体" w:eastAsia="宋体" w:cs="宋体"/>
          <w:bCs/>
          <w:color w:val="auto"/>
          <w:sz w:val="21"/>
          <w:szCs w:val="21"/>
          <w:highlight w:val="none"/>
        </w:rPr>
        <w:t>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（五）现行最新的工程造价规范性文件与第（四）点不一致的，按最新的规定执行。</w:t>
      </w:r>
    </w:p>
    <w:p>
      <w:pPr>
        <w:ind w:firstLine="420" w:firstLineChars="200"/>
        <w:rPr>
          <w:rFonts w:hint="eastAsia" w:ascii="宋体" w:hAnsi="宋体" w:cs="宋体"/>
          <w:bCs/>
          <w:color w:val="auto"/>
          <w:szCs w:val="21"/>
          <w:highlight w:val="none"/>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六</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pPr>
        <w:ind w:firstLine="420" w:firstLineChars="200"/>
        <w:rPr>
          <w:rFonts w:hint="eastAsia" w:ascii="宋体" w:hAnsi="宋体" w:eastAsia="宋体" w:cs="宋体"/>
          <w:b/>
          <w:bCs/>
          <w:color w:val="auto"/>
          <w:sz w:val="21"/>
          <w:szCs w:val="21"/>
          <w:highlight w:val="none"/>
        </w:rPr>
      </w:pPr>
      <w:r>
        <w:rPr>
          <w:rFonts w:hint="eastAsia" w:ascii="宋体" w:hAnsi="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cs="宋体"/>
          <w:bCs/>
          <w:color w:val="auto"/>
          <w:szCs w:val="21"/>
          <w:highlight w:val="none"/>
          <w:lang w:eastAsia="zh-CN"/>
        </w:rPr>
        <w:t>。</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咨询酬金</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（一）咨询酬金（含税）暂定价款为￥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），其增值税率为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%，税金金额￥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元，不含税合同总价款为￥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总酬金暂定价按《广东省建设工程造价咨询服务收费项目和收费标准表》（粤价函【2011】742号文），以</w:t>
      </w:r>
      <w:r>
        <w:rPr>
          <w:rFonts w:hint="eastAsia" w:ascii="宋体" w:hAnsi="宋体" w:eastAsia="宋体" w:cs="宋体"/>
          <w:color w:val="auto"/>
          <w:sz w:val="21"/>
          <w:szCs w:val="21"/>
          <w:highlight w:val="none"/>
          <w:lang w:val="en-US" w:eastAsia="zh-CN"/>
        </w:rPr>
        <w:t>财审中心</w:t>
      </w:r>
      <w:r>
        <w:rPr>
          <w:rFonts w:hint="eastAsia" w:ascii="宋体" w:hAnsi="宋体" w:eastAsia="宋体" w:cs="宋体"/>
          <w:color w:val="auto"/>
          <w:sz w:val="21"/>
          <w:szCs w:val="21"/>
          <w:highlight w:val="none"/>
        </w:rPr>
        <w:t>审核确定的累计工程预算价（下浮前）为收费基数，按收费标准文件中序号6”施工阶段全过程造价控制“计算并乘以服务收费系数（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）。估算、概算审核、钢筋及预埋件计算费用、驻场人员不另计费。</w:t>
      </w:r>
    </w:p>
    <w:tbl>
      <w:tblPr>
        <w:tblStyle w:val="39"/>
        <w:tblW w:w="9741" w:type="dxa"/>
        <w:tblInd w:w="0" w:type="dxa"/>
        <w:tblLayout w:type="fixed"/>
        <w:tblCellMar>
          <w:top w:w="0" w:type="dxa"/>
          <w:left w:w="108" w:type="dxa"/>
          <w:bottom w:w="0" w:type="dxa"/>
          <w:right w:w="108" w:type="dxa"/>
        </w:tblCellMar>
      </w:tblPr>
      <w:tblGrid>
        <w:gridCol w:w="3695"/>
        <w:gridCol w:w="1974"/>
        <w:gridCol w:w="1968"/>
        <w:gridCol w:w="2032"/>
        <w:gridCol w:w="72"/>
      </w:tblGrid>
      <w:tr>
        <w:tblPrEx>
          <w:tblLayout w:type="fixed"/>
          <w:tblCellMar>
            <w:top w:w="0" w:type="dxa"/>
            <w:left w:w="108" w:type="dxa"/>
            <w:bottom w:w="0" w:type="dxa"/>
            <w:right w:w="108" w:type="dxa"/>
          </w:tblCellMar>
        </w:tblPrEx>
        <w:trPr>
          <w:trHeight w:val="454" w:hRule="atLeast"/>
        </w:trPr>
        <w:tc>
          <w:tcPr>
            <w:tcW w:w="9741" w:type="dxa"/>
            <w:gridSpan w:val="5"/>
            <w:tcBorders>
              <w:top w:val="nil"/>
              <w:left w:val="nil"/>
              <w:bottom w:val="single" w:color="auto" w:sz="4" w:space="0"/>
              <w:right w:val="nil"/>
            </w:tcBorders>
            <w:noWrap w:val="0"/>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eastAsia="zh-CN"/>
              </w:rPr>
              <w:t>大岭山大塘村优质产业空间项目(北地块)</w:t>
            </w:r>
            <w:r>
              <w:rPr>
                <w:rFonts w:hint="eastAsia" w:ascii="宋体" w:hAnsi="宋体" w:cs="宋体"/>
                <w:b/>
                <w:bCs/>
                <w:color w:val="auto"/>
                <w:sz w:val="21"/>
                <w:szCs w:val="21"/>
                <w:highlight w:val="none"/>
                <w:lang w:eastAsia="zh-CN"/>
              </w:rPr>
              <w:t>二期</w:t>
            </w:r>
            <w:r>
              <w:rPr>
                <w:rFonts w:hint="eastAsia" w:ascii="宋体" w:hAnsi="宋体" w:eastAsia="宋体" w:cs="宋体"/>
                <w:b/>
                <w:bCs/>
                <w:color w:val="auto"/>
                <w:sz w:val="21"/>
                <w:szCs w:val="21"/>
                <w:highlight w:val="none"/>
                <w:lang w:eastAsia="zh-CN"/>
              </w:rPr>
              <w:t>项目全过程驻场造价咨询</w:t>
            </w:r>
            <w:r>
              <w:rPr>
                <w:rFonts w:hint="eastAsia" w:ascii="宋体" w:hAnsi="宋体" w:cs="宋体"/>
                <w:b/>
                <w:bCs/>
                <w:color w:val="auto"/>
                <w:sz w:val="21"/>
                <w:szCs w:val="21"/>
                <w:highlight w:val="none"/>
                <w:lang w:val="en-US"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03"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270300000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0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5974"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91"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44000.00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42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170300000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auto"/>
            <w:noWrap w:val="0"/>
            <w:tcMar>
              <w:top w:w="20" w:type="dxa"/>
              <w:left w:w="20" w:type="dxa"/>
              <w:bottom w:w="72" w:type="dxa"/>
              <w:right w:w="2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 xml:space="preserve">1192100.00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270300000</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2058100.00</w:t>
            </w:r>
            <w:r>
              <w:rPr>
                <w:rFonts w:hint="eastAsia" w:ascii="宋体" w:hAnsi="宋体" w:eastAsia="宋体" w:cs="宋体"/>
                <w:color w:val="auto"/>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38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72" w:type="dxa"/>
          <w:trHeight w:val="660" w:hRule="atLeast"/>
        </w:trPr>
        <w:tc>
          <w:tcPr>
            <w:tcW w:w="3695"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974"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pStyle w:val="32"/>
              <w:keepNext w:val="0"/>
              <w:keepLines w:val="0"/>
              <w:pageBreakBefore w:val="0"/>
              <w:widowControl/>
              <w:suppressLineNumbers w:val="0"/>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2058100.00</w:t>
            </w:r>
            <w:r>
              <w:rPr>
                <w:rFonts w:hint="eastAsia" w:ascii="宋体" w:hAnsi="宋体" w:eastAsia="宋体" w:cs="宋体"/>
                <w:color w:val="auto"/>
                <w:sz w:val="21"/>
                <w:szCs w:val="21"/>
                <w:highlight w:val="none"/>
                <w:lang w:val="en-US" w:eastAsia="zh-CN"/>
              </w:rPr>
              <w:t xml:space="preserve"> </w:t>
            </w:r>
          </w:p>
        </w:tc>
        <w:tc>
          <w:tcPr>
            <w:tcW w:w="196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keepNext w:val="0"/>
              <w:keepLines w:val="0"/>
              <w:pageBreakBefore w:val="0"/>
              <w:widowControl/>
              <w:suppressLineNumbers w:val="0"/>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203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pPr>
              <w:keepNext w:val="0"/>
              <w:keepLines w:val="0"/>
              <w:pageBreakBefore w:val="0"/>
              <w:widowControl/>
              <w:suppressLineNumbers w:val="0"/>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2"/>
                <w:sz w:val="21"/>
                <w:szCs w:val="21"/>
                <w:highlight w:val="none"/>
                <w:lang w:val="en-US" w:eastAsia="zh-CN" w:bidi="ar-SA"/>
              </w:rPr>
            </w:pPr>
          </w:p>
        </w:tc>
      </w:tr>
    </w:tbl>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bCs/>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浮动酬金中包含甲方可支配的驻场人员奖励费用人民币</w:t>
      </w:r>
      <w:r>
        <w:rPr>
          <w:rFonts w:hint="eastAsia" w:ascii="宋体" w:hAnsi="宋体" w:cs="宋体"/>
          <w:color w:val="auto"/>
          <w:sz w:val="21"/>
          <w:szCs w:val="21"/>
          <w:highlight w:val="none"/>
          <w:lang w:val="en-US" w:eastAsia="zh-CN"/>
        </w:rPr>
        <w:t>72000</w:t>
      </w:r>
      <w:r>
        <w:rPr>
          <w:rFonts w:hint="eastAsia" w:ascii="宋体" w:hAnsi="宋体" w:eastAsia="宋体" w:cs="宋体"/>
          <w:color w:val="auto"/>
          <w:sz w:val="21"/>
          <w:szCs w:val="21"/>
          <w:highlight w:val="none"/>
          <w:lang w:val="en-US" w:eastAsia="zh-CN"/>
        </w:rPr>
        <w:t>元，由甲方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驻场</w:t>
      </w:r>
      <w:r>
        <w:rPr>
          <w:rFonts w:hint="eastAsia" w:ascii="宋体" w:hAnsi="宋体" w:eastAsia="宋体" w:cs="宋体"/>
          <w:color w:val="auto"/>
          <w:sz w:val="21"/>
          <w:szCs w:val="21"/>
          <w:highlight w:val="none"/>
        </w:rPr>
        <w:t>咨询工程师的表现</w:t>
      </w:r>
      <w:r>
        <w:rPr>
          <w:rFonts w:hint="eastAsia" w:ascii="宋体" w:hAnsi="宋体" w:eastAsia="宋体" w:cs="宋体"/>
          <w:color w:val="auto"/>
          <w:sz w:val="21"/>
          <w:szCs w:val="21"/>
          <w:highlight w:val="none"/>
          <w:lang w:val="en-US" w:eastAsia="zh-CN"/>
        </w:rPr>
        <w:t>考核，按照</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咨询单位驻场人员考核表</w:t>
      </w:r>
      <w:r>
        <w:rPr>
          <w:rFonts w:hint="eastAsia" w:ascii="宋体" w:hAnsi="宋体" w:eastAsia="宋体" w:cs="宋体"/>
          <w:bCs/>
          <w:color w:val="auto"/>
          <w:sz w:val="21"/>
          <w:szCs w:val="21"/>
          <w:highlight w:val="none"/>
          <w:lang w:val="en-US" w:eastAsia="zh-CN"/>
        </w:rPr>
        <w:t>》考核结果经</w:t>
      </w:r>
      <w:r>
        <w:rPr>
          <w:rFonts w:hint="eastAsia" w:ascii="宋体" w:hAnsi="宋体" w:eastAsia="宋体" w:cs="宋体"/>
          <w:color w:val="auto"/>
          <w:sz w:val="21"/>
          <w:szCs w:val="21"/>
          <w:highlight w:val="none"/>
          <w:lang w:val="en-US" w:eastAsia="zh-CN"/>
        </w:rPr>
        <w:t>甲方签批后由丙方随进度款支付，乙方须确保奖金按时发放给驻场人员并提供相关证明。</w:t>
      </w:r>
      <w:r>
        <w:rPr>
          <w:rFonts w:hint="eastAsia" w:ascii="宋体" w:hAnsi="宋体" w:eastAsia="宋体" w:cs="宋体"/>
          <w:bCs/>
          <w:color w:val="auto"/>
          <w:sz w:val="21"/>
          <w:szCs w:val="21"/>
          <w:highlight w:val="none"/>
          <w:lang w:val="en-US" w:eastAsia="zh-CN"/>
        </w:rPr>
        <w:t>如最终实际发放的驻场人员奖励金不足</w:t>
      </w:r>
      <w:r>
        <w:rPr>
          <w:rFonts w:hint="eastAsia" w:ascii="宋体" w:hAnsi="宋体" w:cs="宋体"/>
          <w:bCs/>
          <w:color w:val="auto"/>
          <w:sz w:val="21"/>
          <w:szCs w:val="21"/>
          <w:highlight w:val="none"/>
          <w:lang w:val="en-US" w:eastAsia="zh-CN"/>
        </w:rPr>
        <w:t>72</w:t>
      </w:r>
      <w:r>
        <w:rPr>
          <w:rFonts w:hint="eastAsia" w:ascii="宋体" w:hAnsi="宋体" w:eastAsia="宋体" w:cs="宋体"/>
          <w:bCs/>
          <w:color w:val="auto"/>
          <w:sz w:val="21"/>
          <w:szCs w:val="21"/>
          <w:highlight w:val="none"/>
          <w:lang w:val="en-US" w:eastAsia="zh-CN"/>
        </w:rPr>
        <w:t>000元的，则剩余部分计入浮动酬金按《中介咨询机构评价意见表》结果乘以考核评价系数支付给乙方。</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时间要求</w:t>
      </w:r>
    </w:p>
    <w:p>
      <w:pPr>
        <w:pageBreakBefore w:val="0"/>
        <w:widowControl/>
        <w:numPr>
          <w:ilvl w:val="0"/>
          <w:numId w:val="9"/>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乙方于收齐全套资料后，</w:t>
      </w:r>
      <w:r>
        <w:rPr>
          <w:rFonts w:hint="eastAsia" w:ascii="宋体" w:hAnsi="宋体" w:eastAsia="宋体" w:cs="宋体"/>
          <w:bCs/>
          <w:color w:val="auto"/>
          <w:sz w:val="21"/>
          <w:szCs w:val="21"/>
          <w:highlight w:val="none"/>
          <w:u w:val="single"/>
        </w:rPr>
        <w:t>2个工作日</w:t>
      </w:r>
      <w:r>
        <w:rPr>
          <w:rFonts w:hint="eastAsia" w:ascii="宋体" w:hAnsi="宋体" w:eastAsia="宋体" w:cs="宋体"/>
          <w:color w:val="auto"/>
          <w:sz w:val="21"/>
          <w:szCs w:val="21"/>
          <w:highlight w:val="none"/>
        </w:rPr>
        <w:t>内对资料的完整性提出意见。</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向甲方提交初步成果文件；</w:t>
      </w:r>
      <w:r>
        <w:rPr>
          <w:rFonts w:hint="eastAsia" w:ascii="宋体" w:hAnsi="宋体" w:eastAsia="宋体" w:cs="宋体"/>
          <w:bCs/>
          <w:color w:val="auto"/>
          <w:sz w:val="21"/>
          <w:szCs w:val="21"/>
          <w:highlight w:val="none"/>
          <w:u w:val="single"/>
        </w:rPr>
        <w:t>35个日历天内</w:t>
      </w:r>
      <w:r>
        <w:rPr>
          <w:rFonts w:hint="eastAsia" w:ascii="宋体" w:hAnsi="宋体" w:eastAsia="宋体" w:cs="宋体"/>
          <w:color w:val="auto"/>
          <w:sz w:val="21"/>
          <w:szCs w:val="21"/>
          <w:highlight w:val="none"/>
        </w:rPr>
        <w:t>向甲方提供正式成果文件。</w:t>
      </w:r>
    </w:p>
    <w:p>
      <w:pPr>
        <w:pageBreakBefore w:val="0"/>
        <w:widowControl/>
        <w:numPr>
          <w:ilvl w:val="0"/>
          <w:numId w:val="9"/>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乙方在接到对量的指令后，应在</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完成对量工作，并形成双方共同签字确认的成果文件,非乙方原因延误的时间依次顺延。</w:t>
      </w:r>
    </w:p>
    <w:p>
      <w:pPr>
        <w:pageBreakBefore w:val="0"/>
        <w:widowControl/>
        <w:numPr>
          <w:ilvl w:val="0"/>
          <w:numId w:val="9"/>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若因图纸设计质量原因影响乙方工作，乙方应立即书面通知甲方，若甲方在</w:t>
      </w:r>
      <w:r>
        <w:rPr>
          <w:rFonts w:hint="eastAsia" w:ascii="宋体" w:hAnsi="宋体" w:eastAsia="宋体" w:cs="宋体"/>
          <w:bCs/>
          <w:color w:val="auto"/>
          <w:sz w:val="21"/>
          <w:szCs w:val="21"/>
          <w:highlight w:val="none"/>
          <w:u w:val="single"/>
        </w:rPr>
        <w:t>5个日历天</w:t>
      </w:r>
      <w:r>
        <w:rPr>
          <w:rFonts w:hint="eastAsia" w:ascii="宋体" w:hAnsi="宋体" w:eastAsia="宋体" w:cs="宋体"/>
          <w:color w:val="auto"/>
          <w:sz w:val="21"/>
          <w:szCs w:val="21"/>
          <w:highlight w:val="none"/>
        </w:rPr>
        <w:t>内给予答复，则编制时间不予顺延。</w:t>
      </w:r>
    </w:p>
    <w:p>
      <w:pPr>
        <w:pageBreakBefore w:val="0"/>
        <w:widowControl/>
        <w:numPr>
          <w:ilvl w:val="0"/>
          <w:numId w:val="9"/>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pPr>
        <w:pageBreakBefore w:val="0"/>
        <w:widowControl/>
        <w:numPr>
          <w:ilvl w:val="0"/>
          <w:numId w:val="9"/>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成果文件及质量要求</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成果文件包含但不限于：</w:t>
      </w:r>
      <w:r>
        <w:rPr>
          <w:rFonts w:hint="eastAsia" w:ascii="宋体" w:hAnsi="宋体" w:eastAsia="宋体" w:cs="宋体"/>
          <w:bCs/>
          <w:color w:val="auto"/>
          <w:sz w:val="21"/>
          <w:szCs w:val="21"/>
          <w:highlight w:val="none"/>
          <w:u w:val="single"/>
        </w:rPr>
        <w:t>纸质成果文件一式3份、电子光盘2份</w:t>
      </w:r>
      <w:r>
        <w:rPr>
          <w:rFonts w:hint="eastAsia" w:ascii="宋体" w:hAnsi="宋体" w:eastAsia="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ascii="宋体" w:hAnsi="宋体" w:eastAsia="宋体" w:cs="宋体"/>
          <w:bCs/>
          <w:color w:val="auto"/>
          <w:sz w:val="21"/>
          <w:szCs w:val="21"/>
          <w:highlight w:val="none"/>
          <w:u w:val="single"/>
        </w:rPr>
        <w:t>广联达</w:t>
      </w:r>
      <w:r>
        <w:rPr>
          <w:rFonts w:hint="eastAsia" w:ascii="宋体" w:hAnsi="宋体" w:eastAsia="宋体" w:cs="宋体"/>
          <w:color w:val="auto"/>
          <w:sz w:val="21"/>
          <w:szCs w:val="21"/>
          <w:highlight w:val="none"/>
        </w:rPr>
        <w:t>，如确需采用其它算量软件，需征得甲方的确认；</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编制说明要内容全面、清楚，要包含工程概况、编制范围、编制依据，工程造价及指标说明等；</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乙方提供的成果文件须经专业人员签字，并加盖项目负责人造价师执业印章、咨询单位公章及资质章；</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乙方所提交的报告文件必须语句通顺、文字清晰整齐，数据准确，各相关数据必须吻合一致，且相互有明确的索引及标识；</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在计价文件编制过程中，乙方必须尊重甲方的意见、解释及补充要求，甲方有权要求乙方对计价文件进行适当修改以便符合其要求；</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总核减金额换算公式：抽查部分核减金额*（1/抽查比例）</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乙方提供的成果文件总价误差应控制在2％以内，单个子目工程量误差应控制在3％以内；主要工程内容不应出现漏项漏量等情况。</w:t>
      </w:r>
    </w:p>
    <w:p>
      <w:pPr>
        <w:pageBreakBefore w:val="0"/>
        <w:widowControl/>
        <w:numPr>
          <w:ilvl w:val="0"/>
          <w:numId w:val="10"/>
        </w:numPr>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以上误差评判标准以甲、乙、</w:t>
      </w:r>
      <w:r>
        <w:rPr>
          <w:rFonts w:hint="eastAsia" w:ascii="宋体" w:hAnsi="宋体" w:eastAsia="宋体" w:cs="宋体"/>
          <w:color w:val="auto"/>
          <w:sz w:val="21"/>
          <w:szCs w:val="21"/>
          <w:highlight w:val="none"/>
          <w:lang w:val="en-US" w:eastAsia="zh-CN"/>
        </w:rPr>
        <w:t>丙及</w:t>
      </w:r>
      <w:r>
        <w:rPr>
          <w:rFonts w:hint="eastAsia" w:ascii="宋体" w:hAnsi="宋体" w:eastAsia="宋体" w:cs="宋体"/>
          <w:color w:val="auto"/>
          <w:sz w:val="21"/>
          <w:szCs w:val="21"/>
          <w:highlight w:val="none"/>
        </w:rPr>
        <w:t>承包商等第三方核对共同确认结果为准。</w:t>
      </w:r>
    </w:p>
    <w:p>
      <w:pPr>
        <w:pageBreakBefore w:val="0"/>
        <w:widowControl/>
        <w:kinsoku/>
        <w:overflowPunct/>
        <w:topLinePunct w:val="0"/>
        <w:autoSpaceDE/>
        <w:autoSpaceDN/>
        <w:bidi w:val="0"/>
        <w:adjustRightInd w:val="0"/>
        <w:snapToGrid w:val="0"/>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质量保证措施</w:t>
      </w:r>
    </w:p>
    <w:p>
      <w:pPr>
        <w:pageBreakBefore w:val="0"/>
        <w:widowControl/>
        <w:numPr>
          <w:ilvl w:val="0"/>
          <w:numId w:val="11"/>
        </w:numPr>
        <w:kinsoku/>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差错率 </w:t>
      </w:r>
    </w:p>
    <w:p>
      <w:pPr>
        <w:pageBreakBefore w:val="0"/>
        <w:widowControl/>
        <w:numPr>
          <w:ilvl w:val="0"/>
          <w:numId w:val="0"/>
        </w:numPr>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3.重复计价，如:多计招标文件和合同约定包干的项目、重复计算工程量清单或定额子目包含的工作内容或项目、多计重复的签证、变更工程等。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pPr>
        <w:pageBreakBefore w:val="0"/>
        <w:widowControl/>
        <w:numPr>
          <w:ilvl w:val="0"/>
          <w:numId w:val="11"/>
        </w:numPr>
        <w:kinsoku/>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 xml:space="preserve"> 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应向委托人提出书面整改措施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经委托人书面确认咨询人违约行为后，丙方有权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经委托人确认差错率后，丙方有权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经委托人确认差错率后，丙方有权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经委托人确认差错率后，丙方有权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经委托人确认差错率后，丙方有权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经委托人确认差错率后，丙方有权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pPr>
        <w:pageBreakBefore w:val="0"/>
        <w:widowControl/>
        <w:kinsoku/>
        <w:overflowPunct/>
        <w:topLinePunct w:val="0"/>
        <w:autoSpaceDE/>
        <w:autoSpaceDN/>
        <w:bidi w:val="0"/>
        <w:adjustRightInd w:val="0"/>
        <w:snapToGrid w:val="0"/>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编制依据</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采购文件、图纸、施工合同等与之相关文件。</w:t>
      </w:r>
    </w:p>
    <w:p>
      <w:pPr>
        <w:pageBreakBefore w:val="0"/>
        <w:widowControl/>
        <w:kinsoku/>
        <w:overflowPunct/>
        <w:topLinePunct w:val="0"/>
        <w:autoSpaceDE/>
        <w:autoSpaceDN/>
        <w:bidi w:val="0"/>
        <w:adjustRightInd w:val="0"/>
        <w:snapToGrid w:val="0"/>
        <w:spacing w:line="360" w:lineRule="auto"/>
        <w:ind w:left="413"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w:t>
      </w:r>
      <w:r>
        <w:rPr>
          <w:rFonts w:hint="eastAsia" w:ascii="宋体" w:hAnsi="宋体" w:eastAsia="宋体" w:cs="宋体"/>
          <w:b/>
          <w:bCs/>
          <w:color w:val="auto"/>
          <w:sz w:val="21"/>
          <w:szCs w:val="21"/>
          <w:highlight w:val="none"/>
          <w:lang w:val="en-US" w:eastAsia="zh-CN"/>
        </w:rPr>
        <w:t>各</w:t>
      </w:r>
      <w:r>
        <w:rPr>
          <w:rFonts w:hint="eastAsia" w:ascii="宋体" w:hAnsi="宋体" w:eastAsia="宋体" w:cs="宋体"/>
          <w:b/>
          <w:bCs/>
          <w:color w:val="auto"/>
          <w:sz w:val="21"/>
          <w:szCs w:val="21"/>
          <w:highlight w:val="none"/>
        </w:rPr>
        <w:t>方责任</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甲方、丙方应</w:t>
      </w:r>
      <w:r>
        <w:rPr>
          <w:rFonts w:hint="eastAsia" w:ascii="宋体" w:hAnsi="宋体" w:eastAsia="宋体" w:cs="宋体"/>
          <w:color w:val="auto"/>
          <w:sz w:val="21"/>
          <w:szCs w:val="21"/>
          <w:highlight w:val="none"/>
        </w:rPr>
        <w:t>及时向乙方提供工程项目所需图纸、相关资料。</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丙方应</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约定支付乙方咨询服务费。</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1.3未经乙方同意，不得修改乙方的所有成果文件。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1.4在乙方工作期间密切配合，提供工作方便,甲方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工作人员不得阻碍乙方以及乙方工作人员的正常工作。</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1.6甲方在工程量清单编制期间，有权到乙方工作地检查工作计划完成情况及完成质量情况。</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 乙方责任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2.1严格按照国家、</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省和有关文件规定，及时准确地进行计量及编制。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2.4乙方须认真清点并保管好甲方提供的图纸及相关造价资料，工程量清单编制完成后，乙方须如数、原样归还甲方提供的全部造价资料。</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2.5按本合同约定向甲方提供咨询成果文件并提交完整的工程造价咨询报告。</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委托的业务乙方必须严格保密，不得向任何无关单位和人员透露有关经济文件、资料及数据。如乙方未遵守保密义务，擅自向第三方透露与本委托业务有关信息，甲方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有权终止合同，如造价咨询费用未支付</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无需支付，如已支付乙方应在甲方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终止合同后三日内退还已付全部款项，并且乙方还须赔偿因此给甲方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带来的损失。</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2.7乙方各项工作成果，经甲方审核，如发现工程量计算、套价项目等方面出现错误，乙方须在甲方指出问题后</w:t>
      </w:r>
      <w:r>
        <w:rPr>
          <w:rFonts w:hint="eastAsia" w:ascii="宋体" w:hAnsi="宋体" w:eastAsia="宋体" w:cs="宋体"/>
          <w:bCs/>
          <w:color w:val="auto"/>
          <w:sz w:val="21"/>
          <w:szCs w:val="21"/>
          <w:highlight w:val="none"/>
          <w:u w:val="single"/>
        </w:rPr>
        <w:t>2个工作日内</w:t>
      </w:r>
      <w:r>
        <w:rPr>
          <w:rFonts w:hint="eastAsia" w:ascii="宋体" w:hAnsi="宋体" w:eastAsia="宋体" w:cs="宋体"/>
          <w:color w:val="auto"/>
          <w:sz w:val="21"/>
          <w:szCs w:val="21"/>
          <w:highlight w:val="none"/>
        </w:rPr>
        <w:t>进行全面复核并提交修改后的工作结果。</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2.8协助甲方解答投标单位投标文件中关于工程量清单部分的疑问。</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2.9乙方不得私自与参与本工程有利益关系的第三方接触。</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付款方式</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（一）估算审核阶段：乙方按合同约定提交约定的工程估算审核报告等成果文件，该阶段不另外计费。</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（二）概算审核</w:t>
      </w:r>
      <w:r>
        <w:rPr>
          <w:rFonts w:hint="eastAsia" w:ascii="宋体" w:hAnsi="宋体" w:eastAsia="宋体" w:cs="宋体"/>
          <w:color w:val="auto"/>
          <w:sz w:val="21"/>
          <w:szCs w:val="21"/>
          <w:highlight w:val="none"/>
          <w:lang w:val="en-US" w:eastAsia="zh-CN"/>
        </w:rPr>
        <w:t>阶段：</w:t>
      </w:r>
      <w:r>
        <w:rPr>
          <w:rFonts w:hint="eastAsia" w:ascii="宋体" w:hAnsi="宋体" w:eastAsia="宋体" w:cs="宋体"/>
          <w:color w:val="auto"/>
          <w:sz w:val="21"/>
          <w:szCs w:val="21"/>
          <w:highlight w:val="none"/>
        </w:rPr>
        <w:t>乙方按合同约定提交约定的概算审核报告</w:t>
      </w:r>
      <w:r>
        <w:rPr>
          <w:rFonts w:hint="eastAsia" w:ascii="宋体" w:hAnsi="宋体" w:eastAsia="宋体" w:cs="宋体"/>
          <w:color w:val="auto"/>
          <w:sz w:val="21"/>
          <w:szCs w:val="21"/>
          <w:highlight w:val="none"/>
          <w:lang w:val="en-US" w:eastAsia="zh-CN"/>
        </w:rPr>
        <w:t>等成果文件，</w:t>
      </w:r>
      <w:r>
        <w:rPr>
          <w:rFonts w:hint="eastAsia" w:ascii="宋体" w:hAnsi="宋体" w:eastAsia="宋体" w:cs="宋体"/>
          <w:color w:val="auto"/>
          <w:sz w:val="21"/>
          <w:szCs w:val="21"/>
          <w:highlight w:val="none"/>
        </w:rPr>
        <w:t>该阶段不另外计费。</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预算编制阶段：乙方按合同约定提交约定的施工图预算、工程量清单等成果文件，经甲方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确认后30个日历天内，</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方支付乙方基本酬金（以施工图预算作为收费基数计算的咨询服务费总价*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%的80%）+浮动酬金（以施工图预算作为收费基数计算的咨询服务费总价*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%的20%为基数计算*咨询考核表评价分数对应的计费系数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浮动酬金包含甲方已签批的支付给驻场咨询人员的奖励金</w:t>
      </w:r>
      <w:r>
        <w:rPr>
          <w:rFonts w:hint="eastAsia" w:ascii="宋体" w:hAnsi="宋体" w:eastAsia="宋体" w:cs="宋体"/>
          <w:color w:val="auto"/>
          <w:sz w:val="21"/>
          <w:szCs w:val="21"/>
          <w:highlight w:val="none"/>
        </w:rPr>
        <w:t>）；</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）施工阶段：</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施工图预算确认后，从</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支付预算编制阶段费用后按季向咨询单位支付咨询服务酬金，本项目每季酬金=【基本酬金（以施工图预算作为收费基数计算的咨询服务费总价*6%的80%）+浮动酬金（以施工图预算作为收费基数计算的咨询服务费总价*6%的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浮动酬金包含甲方已签批的支付给驻场咨询人员的奖励金</w:t>
      </w:r>
      <w:r>
        <w:rPr>
          <w:rFonts w:hint="eastAsia" w:ascii="宋体" w:hAnsi="宋体" w:eastAsia="宋体" w:cs="宋体"/>
          <w:color w:val="auto"/>
          <w:sz w:val="21"/>
          <w:szCs w:val="21"/>
          <w:highlight w:val="none"/>
        </w:rPr>
        <w:t>）】，累计支付至以经甲方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审核确定的累计工程预算价计算的咨询服务费总价的70%后，不再支付。</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rPr>
        <w:t>工程竣工验收合格且最终施工图预算确认</w:t>
      </w:r>
      <w:r>
        <w:rPr>
          <w:rFonts w:hint="eastAsia" w:ascii="宋体" w:hAnsi="宋体" w:eastAsia="宋体" w:cs="宋体"/>
          <w:color w:val="auto"/>
          <w:sz w:val="21"/>
          <w:szCs w:val="21"/>
          <w:highlight w:val="none"/>
        </w:rPr>
        <w:t>，并经甲方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确认后30个日历天内，</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方向乙方支付基本酬金（以累计工程预算价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*15%的80%）+浮动酬金（以累计工程预算价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下浮前</w:t>
      </w:r>
      <w:r>
        <w:rPr>
          <w:rFonts w:hint="eastAsia" w:ascii="宋体" w:hAnsi="宋体" w:eastAsia="宋体" w:cs="宋体"/>
          <w:color w:val="auto"/>
          <w:sz w:val="21"/>
          <w:szCs w:val="21"/>
          <w:highlight w:val="none"/>
          <w:lang w:eastAsia="zh-CN"/>
        </w:rPr>
        <w:t>）为收费基数计算的咨询服务费总价</w:t>
      </w:r>
      <w:r>
        <w:rPr>
          <w:rFonts w:hint="eastAsia" w:ascii="宋体" w:hAnsi="宋体" w:eastAsia="宋体" w:cs="宋体"/>
          <w:color w:val="auto"/>
          <w:sz w:val="21"/>
          <w:szCs w:val="21"/>
          <w:highlight w:val="none"/>
        </w:rPr>
        <w:t>*15%的20%为基数计算*咨询考核表评价分数对应的计费系数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浮动酬金包含甲方已签批的支付给驻场咨询人员的奖励金</w:t>
      </w:r>
      <w:r>
        <w:rPr>
          <w:rFonts w:hint="eastAsia" w:ascii="宋体" w:hAnsi="宋体" w:eastAsia="宋体" w:cs="宋体"/>
          <w:color w:val="auto"/>
          <w:sz w:val="21"/>
          <w:szCs w:val="21"/>
          <w:highlight w:val="none"/>
        </w:rPr>
        <w:t>））；</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（五）结算阶段：本合同约定的全部服务内容完成，乙方提交完整合格结算资料及后评估资料并经甲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丙三</w:t>
      </w:r>
      <w:r>
        <w:rPr>
          <w:rFonts w:hint="eastAsia" w:ascii="宋体" w:hAnsi="宋体" w:eastAsia="宋体" w:cs="宋体"/>
          <w:color w:val="auto"/>
          <w:sz w:val="21"/>
          <w:szCs w:val="21"/>
          <w:highlight w:val="none"/>
        </w:rPr>
        <w:t>方确认结算金额且乙方提供发票金额至结算金额后30个日历天内，</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方向乙方支付至咨询服务费结算价的95%。</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（六）本咨询合同结算满一年后，若无合同约定的扣除违约金、赔偿金等情形的，</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方向乙方支付咨询服务费结算价剩余5%，否则支付扣除相应违约金、赔偿金等金额后的剩余金额，结算价剩余金额不计息</w:t>
      </w:r>
      <w:r>
        <w:rPr>
          <w:rFonts w:hint="eastAsia" w:ascii="宋体" w:hAnsi="宋体" w:eastAsia="宋体" w:cs="宋体"/>
          <w:color w:val="auto"/>
          <w:sz w:val="21"/>
          <w:szCs w:val="21"/>
          <w:highlight w:val="none"/>
          <w:lang w:val="en-US" w:eastAsia="zh-CN"/>
        </w:rPr>
        <w:t>。</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）按照现行税收政策规定，每次付款前，乙方必须提供合法、有效、与本合同总价款条款中增值税税率一致的增值税专用发票给</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方，否则</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方有权拒绝付款且不构成违约。若合同执行期间，遇国家税务政策调整所引起的合同价格变化，按照不含税价格调整结算价格。甲方及丙方收到发票和其他请款资料并核对无误后30个日历天内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以银行转账方式付款。乙方收款账户信息如下：</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户名：</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w:t>
      </w:r>
      <w:r>
        <w:rPr>
          <w:rFonts w:hint="eastAsia" w:ascii="宋体" w:hAnsi="宋体" w:eastAsia="宋体" w:cs="宋体"/>
          <w:color w:val="auto"/>
          <w:sz w:val="21"/>
          <w:szCs w:val="21"/>
          <w:highlight w:val="non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账号：</w:t>
      </w:r>
    </w:p>
    <w:p>
      <w:pPr>
        <w:pageBreakBefore w:val="0"/>
        <w:widowControl/>
        <w:kinsoku/>
        <w:overflowPunct/>
        <w:topLinePunct w:val="0"/>
        <w:autoSpaceDE/>
        <w:autoSpaceDN/>
        <w:bidi w:val="0"/>
        <w:adjustRightInd w:val="0"/>
        <w:snapToGrid w:val="0"/>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）履约担保</w:t>
      </w:r>
    </w:p>
    <w:p>
      <w:pPr>
        <w:pageBreakBefore w:val="0"/>
        <w:widowControl/>
        <w:numPr>
          <w:ilvl w:val="0"/>
          <w:numId w:val="0"/>
        </w:numPr>
        <w:kinsoku/>
        <w:overflowPunct/>
        <w:topLinePunct w:val="0"/>
        <w:autoSpaceDE/>
        <w:autoSpaceDN/>
        <w:bidi w:val="0"/>
        <w:adjustRightInd w:val="0"/>
        <w:snapToGrid w:val="0"/>
        <w:spacing w:line="360" w:lineRule="auto"/>
        <w:ind w:left="418" w:leftChars="199"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乙方领取中标通知书后，应向</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提交履约担保，履约担保金额为本合同咨询酬金暂定价款的10%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乙方可采用直接支付履约担保金或开具履约保函的形式提供履约担保。</w:t>
      </w:r>
      <w:r>
        <w:rPr>
          <w:rFonts w:hint="eastAsia" w:ascii="宋体" w:hAnsi="宋体" w:eastAsia="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方可在保函到期前将保函金额转为现金存入履约保证金账户。</w:t>
      </w:r>
    </w:p>
    <w:p>
      <w:pPr>
        <w:pageBreakBefore w:val="0"/>
        <w:widowControl/>
        <w:kinsoku/>
        <w:overflowPunct/>
        <w:topLinePunct w:val="0"/>
        <w:autoSpaceDE/>
        <w:autoSpaceDN/>
        <w:bidi w:val="0"/>
        <w:adjustRightInd w:val="0"/>
        <w:snapToGrid w:val="0"/>
        <w:spacing w:line="360" w:lineRule="auto"/>
        <w:ind w:left="59" w:leftChars="28"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kern w:val="2"/>
          <w:sz w:val="21"/>
          <w:szCs w:val="21"/>
          <w:highlight w:val="none"/>
        </w:rPr>
        <w:t>履约担保期限从合同签订之日起至项目结算完毕后，经</w:t>
      </w:r>
      <w:r>
        <w:rPr>
          <w:rFonts w:hint="eastAsia" w:ascii="宋体" w:hAnsi="宋体" w:eastAsia="宋体" w:cs="宋体"/>
          <w:bCs/>
          <w:color w:val="auto"/>
          <w:kern w:val="2"/>
          <w:sz w:val="21"/>
          <w:szCs w:val="21"/>
          <w:highlight w:val="none"/>
          <w:lang w:val="en-US" w:eastAsia="zh-CN"/>
        </w:rPr>
        <w:t>各方</w:t>
      </w:r>
      <w:r>
        <w:rPr>
          <w:rFonts w:hint="eastAsia" w:ascii="宋体" w:hAnsi="宋体" w:eastAsia="宋体" w:cs="宋体"/>
          <w:bCs/>
          <w:color w:val="auto"/>
          <w:kern w:val="2"/>
          <w:sz w:val="21"/>
          <w:szCs w:val="21"/>
          <w:highlight w:val="none"/>
        </w:rPr>
        <w:t>签字</w:t>
      </w:r>
      <w:r>
        <w:rPr>
          <w:rFonts w:hint="eastAsia" w:ascii="宋体" w:hAnsi="宋体" w:eastAsia="宋体" w:cs="宋体"/>
          <w:bCs/>
          <w:color w:val="auto"/>
          <w:kern w:val="2"/>
          <w:sz w:val="21"/>
          <w:szCs w:val="21"/>
          <w:highlight w:val="none"/>
          <w:lang w:val="en-US" w:eastAsia="zh-CN"/>
        </w:rPr>
        <w:t>30</w:t>
      </w:r>
      <w:r>
        <w:rPr>
          <w:rFonts w:hint="eastAsia" w:ascii="宋体" w:hAnsi="宋体" w:eastAsia="宋体" w:cs="宋体"/>
          <w:bCs/>
          <w:color w:val="auto"/>
          <w:kern w:val="2"/>
          <w:sz w:val="21"/>
          <w:szCs w:val="21"/>
          <w:highlight w:val="none"/>
        </w:rPr>
        <w:t>天内保持有效。</w:t>
      </w:r>
    </w:p>
    <w:p>
      <w:pPr>
        <w:pageBreakBefore w:val="0"/>
        <w:widowControl/>
        <w:kinsoku/>
        <w:overflowPunct/>
        <w:topLinePunct w:val="0"/>
        <w:autoSpaceDE/>
        <w:autoSpaceDN/>
        <w:bidi w:val="0"/>
        <w:adjustRightInd w:val="0"/>
        <w:snapToGrid w:val="0"/>
        <w:spacing w:line="360" w:lineRule="auto"/>
        <w:ind w:left="59" w:leftChars="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违约责任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 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违约责任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不能按约定时间提供施工图纸、相关资料或对乙方问题进行书面答复的，由此，造成时间延长的由甲方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负责，完成时间顺延。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bookmarkStart w:id="147" w:name="_Toc22358"/>
      <w:r>
        <w:rPr>
          <w:rFonts w:hint="eastAsia" w:ascii="宋体" w:hAnsi="宋体" w:eastAsia="宋体" w:cs="宋体"/>
          <w:color w:val="auto"/>
          <w:sz w:val="21"/>
          <w:szCs w:val="21"/>
          <w:highlight w:val="none"/>
          <w:lang w:val="en-US" w:eastAsia="zh-CN"/>
        </w:rPr>
        <w:t>1.2 因甲方过错导致丙方向乙方承担违约责任的，由甲方向丙方支付同等金额的赔偿损失;因丙方过错导致甲方向乙方承担违约责任的，由丙方向甲方支付同等金额的赔偿损失。甲方在履行本合同期间因管理责任承担的损失赔偿额及违约金（包括但不限于对建设方、乙方及/或其他第三方）上限不得超出本合同分摊的甲方应收取的本项目代建服务费额度。</w:t>
      </w:r>
      <w:bookmarkEnd w:id="147"/>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（二）乙方违约责任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w:t>
      </w:r>
      <w:r>
        <w:rPr>
          <w:rFonts w:hint="eastAsia" w:ascii="宋体" w:hAnsi="宋体" w:eastAsia="宋体" w:cs="宋体"/>
          <w:color w:val="auto"/>
          <w:sz w:val="21"/>
          <w:szCs w:val="21"/>
          <w:highlight w:val="none"/>
          <w:lang w:val="en-US" w:eastAsia="zh-CN"/>
        </w:rPr>
        <w:t>向丙方</w:t>
      </w:r>
      <w:r>
        <w:rPr>
          <w:rFonts w:hint="eastAsia" w:ascii="宋体" w:hAnsi="宋体" w:eastAsia="宋体" w:cs="宋体"/>
          <w:color w:val="auto"/>
          <w:sz w:val="21"/>
          <w:szCs w:val="21"/>
          <w:highlight w:val="none"/>
        </w:rPr>
        <w:t>支付违约金每项每天 1000 元（预算核对及签证核对延误扣每项每天1000 元）。并且甲方</w:t>
      </w:r>
      <w:r>
        <w:rPr>
          <w:rFonts w:hint="eastAsia" w:ascii="宋体" w:hAnsi="宋体" w:eastAsia="宋体" w:cs="宋体"/>
          <w:color w:val="auto"/>
          <w:sz w:val="21"/>
          <w:szCs w:val="21"/>
          <w:highlight w:val="none"/>
          <w:lang w:val="en-US" w:eastAsia="zh-CN"/>
        </w:rPr>
        <w:t>及丙方</w:t>
      </w:r>
      <w:r>
        <w:rPr>
          <w:rFonts w:hint="eastAsia" w:ascii="宋体" w:hAnsi="宋体" w:eastAsia="宋体" w:cs="宋体"/>
          <w:color w:val="auto"/>
          <w:sz w:val="21"/>
          <w:szCs w:val="21"/>
          <w:highlight w:val="none"/>
        </w:rPr>
        <w:t>有权将未完成项目重新委托发包，由此产生的额外费用在乙方的咨询服务费中扣除。</w:t>
      </w:r>
    </w:p>
    <w:p>
      <w:pPr>
        <w:pStyle w:val="22"/>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2.2 因乙方原因导致成果文件有严重错误，并造成甲方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color w:val="auto"/>
          <w:sz w:val="21"/>
          <w:szCs w:val="21"/>
          <w:highlight w:val="none"/>
        </w:rPr>
        <w:t>直接经济损失的，乙方应承担赔偿责任。</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合同组成文件</w:t>
      </w:r>
    </w:p>
    <w:p>
      <w:pPr>
        <w:pageBreakBefore w:val="0"/>
        <w:widowControl/>
        <w:kinsoku/>
        <w:overflowPunct/>
        <w:topLinePunct w:val="0"/>
        <w:autoSpaceDE/>
        <w:autoSpaceDN/>
        <w:bidi w:val="0"/>
        <w:adjustRightInd w:val="0"/>
        <w:snapToGrid w:val="0"/>
        <w:spacing w:line="360" w:lineRule="auto"/>
        <w:ind w:left="199"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（一）本合同文件及附件。</w:t>
      </w:r>
    </w:p>
    <w:p>
      <w:pPr>
        <w:pageBreakBefore w:val="0"/>
        <w:widowControl/>
        <w:kinsoku/>
        <w:overflowPunct/>
        <w:topLinePunct w:val="0"/>
        <w:autoSpaceDE/>
        <w:autoSpaceDN/>
        <w:bidi w:val="0"/>
        <w:adjustRightInd w:val="0"/>
        <w:snapToGrid w:val="0"/>
        <w:spacing w:line="360" w:lineRule="auto"/>
        <w:ind w:left="199"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（二）合同执行过程中</w:t>
      </w:r>
      <w:r>
        <w:rPr>
          <w:rFonts w:hint="eastAsia" w:ascii="宋体" w:hAnsi="宋体" w:eastAsia="宋体" w:cs="宋体"/>
          <w:color w:val="auto"/>
          <w:sz w:val="21"/>
          <w:szCs w:val="21"/>
          <w:highlight w:val="none"/>
          <w:lang w:val="en-US" w:eastAsia="zh-CN"/>
        </w:rPr>
        <w:t>各方</w:t>
      </w:r>
      <w:r>
        <w:rPr>
          <w:rFonts w:hint="eastAsia" w:ascii="宋体" w:hAnsi="宋体" w:eastAsia="宋体" w:cs="宋体"/>
          <w:color w:val="auto"/>
          <w:sz w:val="21"/>
          <w:szCs w:val="21"/>
          <w:highlight w:val="none"/>
        </w:rPr>
        <w:t>往来的书面文件等。</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第十五条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乙方在提供工程造价咨询服务期间，不得接受本项目承包单位的请吃、送礼或其他好处，不得向甲方</w:t>
      </w:r>
      <w:r>
        <w:rPr>
          <w:rFonts w:hint="eastAsia" w:ascii="宋体" w:hAnsi="宋体" w:eastAsia="宋体" w:cs="宋体"/>
          <w:color w:val="auto"/>
          <w:sz w:val="21"/>
          <w:szCs w:val="21"/>
          <w:highlight w:val="none"/>
          <w:lang w:val="en-US" w:eastAsia="zh-CN"/>
        </w:rPr>
        <w:t>及（或）丙方</w:t>
      </w:r>
      <w:r>
        <w:rPr>
          <w:rFonts w:hint="eastAsia" w:ascii="宋体" w:hAnsi="宋体" w:eastAsia="宋体" w:cs="宋体"/>
          <w:color w:val="auto"/>
          <w:sz w:val="21"/>
          <w:szCs w:val="21"/>
          <w:highlight w:val="none"/>
        </w:rPr>
        <w:t>工作人员提供请吃、送礼、旅游、行贿、给予回扣或其他好处。否则，乙方违反前列情形之一，将承担本合同总价的</w:t>
      </w:r>
      <w:r>
        <w:rPr>
          <w:rFonts w:hint="eastAsia" w:ascii="宋体" w:hAnsi="宋体" w:eastAsia="宋体" w:cs="宋体"/>
          <w:bCs/>
          <w:color w:val="auto"/>
          <w:sz w:val="21"/>
          <w:szCs w:val="21"/>
          <w:highlight w:val="none"/>
          <w:u w:val="single"/>
        </w:rPr>
        <w:t>10%</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违约金，造成损失的，应予全部赔偿，最高赔偿金额不超过本合同咨询服务费总额。</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第十六条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本合同未尽事宜按住建部、</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省住建厅和</w:t>
      </w:r>
      <w:r>
        <w:rPr>
          <w:rFonts w:hint="eastAsia" w:ascii="宋体" w:hAnsi="宋体" w:eastAsia="宋体" w:cs="宋体"/>
          <w:color w:val="auto"/>
          <w:sz w:val="21"/>
          <w:szCs w:val="21"/>
          <w:highlight w:val="none"/>
          <w:u w:val="single"/>
        </w:rPr>
        <w:t>东莞</w:t>
      </w:r>
      <w:r>
        <w:rPr>
          <w:rFonts w:hint="eastAsia" w:ascii="宋体" w:hAnsi="宋体" w:eastAsia="宋体" w:cs="宋体"/>
          <w:color w:val="auto"/>
          <w:sz w:val="21"/>
          <w:szCs w:val="21"/>
          <w:highlight w:val="none"/>
        </w:rPr>
        <w:t>市住建局有关规定，</w:t>
      </w:r>
      <w:r>
        <w:rPr>
          <w:rFonts w:hint="eastAsia" w:ascii="宋体" w:hAnsi="宋体" w:eastAsia="宋体" w:cs="宋体"/>
          <w:color w:val="auto"/>
          <w:sz w:val="21"/>
          <w:szCs w:val="21"/>
          <w:highlight w:val="none"/>
          <w:lang w:val="en-US" w:eastAsia="zh-CN"/>
        </w:rPr>
        <w:t>三方</w:t>
      </w:r>
      <w:r>
        <w:rPr>
          <w:rFonts w:hint="eastAsia" w:ascii="宋体" w:hAnsi="宋体" w:eastAsia="宋体" w:cs="宋体"/>
          <w:color w:val="auto"/>
          <w:sz w:val="21"/>
          <w:szCs w:val="21"/>
          <w:highlight w:val="none"/>
        </w:rPr>
        <w:t>协商解决，并另行签订补充协议。补充协议与本合同具有同等法律效力。</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第十七条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w:t>
      </w:r>
      <w:r>
        <w:rPr>
          <w:rFonts w:hint="eastAsia" w:ascii="宋体" w:hAnsi="宋体" w:eastAsia="宋体" w:cs="宋体"/>
          <w:color w:val="auto"/>
          <w:sz w:val="21"/>
          <w:szCs w:val="21"/>
          <w:highlight w:val="none"/>
          <w:lang w:val="en-US" w:eastAsia="zh-CN"/>
        </w:rPr>
        <w:t>三方</w:t>
      </w:r>
      <w:r>
        <w:rPr>
          <w:rFonts w:hint="eastAsia" w:ascii="宋体" w:hAnsi="宋体" w:eastAsia="宋体" w:cs="宋体"/>
          <w:color w:val="auto"/>
          <w:sz w:val="21"/>
          <w:szCs w:val="21"/>
          <w:highlight w:val="none"/>
        </w:rPr>
        <w:t>须本着互相理解互相支持的原则，及时沟通配合；若有产生纠纷，须友好协商解决；若协商解决不成时，均可向项目所在地有管辖权的人民法院提起诉讼。</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r>
        <w:rPr>
          <w:rFonts w:hint="eastAsia" w:ascii="宋体" w:hAnsi="宋体" w:eastAsia="宋体" w:cs="宋体"/>
          <w:b/>
          <w:bCs/>
          <w:color w:val="auto"/>
          <w:sz w:val="21"/>
          <w:szCs w:val="21"/>
          <w:highlight w:val="non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各方各自指定履行本合同的联系人，一方资料、文件之交接及意见之传达、接收均通过联系人进行。</w:t>
      </w:r>
    </w:p>
    <w:p>
      <w:pPr>
        <w:pStyle w:val="14"/>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甲方指定联系人：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通讯地址：</w:t>
      </w:r>
      <w:r>
        <w:rPr>
          <w:rFonts w:hint="eastAsia" w:ascii="宋体" w:hAnsi="宋体" w:eastAsia="宋体" w:cs="宋体"/>
          <w:color w:val="auto"/>
          <w:sz w:val="21"/>
          <w:szCs w:val="21"/>
          <w:highlight w:val="none"/>
          <w:u w:val="single"/>
          <w:lang w:val="en-US" w:eastAsia="zh-CN"/>
        </w:rPr>
        <w:t>__</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__</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甲方单位咨询电话：</w:t>
      </w:r>
      <w:r>
        <w:rPr>
          <w:rFonts w:hint="eastAsia" w:ascii="宋体" w:hAnsi="宋体" w:eastAsia="宋体" w:cs="宋体"/>
          <w:color w:val="auto"/>
          <w:sz w:val="21"/>
          <w:szCs w:val="21"/>
          <w:highlight w:val="none"/>
          <w:u w:val="single"/>
          <w:lang w:val="en-US" w:eastAsia="zh-CN"/>
        </w:rPr>
        <w:t xml:space="preserve">  0769-28681293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乙方指定联系人：</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通讯地址：</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丙方指定联系人：</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姓    名：</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电子邮箱：</w:t>
      </w:r>
      <w:r>
        <w:rPr>
          <w:rFonts w:hint="eastAsia" w:ascii="宋体" w:hAnsi="宋体" w:eastAsia="宋体" w:cs="宋体"/>
          <w:color w:val="auto"/>
          <w:sz w:val="21"/>
          <w:szCs w:val="21"/>
          <w:highlight w:val="none"/>
          <w:u w:val="single"/>
          <w:lang w:val="en-US" w:eastAsia="zh-CN"/>
        </w:rPr>
        <w:t xml:space="preserve">    /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通讯地址：</w:t>
      </w:r>
      <w:r>
        <w:rPr>
          <w:rFonts w:hint="eastAsia" w:ascii="宋体" w:hAnsi="宋体" w:eastAsia="宋体" w:cs="宋体"/>
          <w:color w:val="auto"/>
          <w:sz w:val="21"/>
          <w:szCs w:val="21"/>
          <w:highlight w:val="none"/>
          <w:u w:val="single"/>
          <w:lang w:val="en-US" w:eastAsia="zh-CN"/>
        </w:rPr>
        <w:t xml:space="preserve">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  </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lang w:val="en-US" w:eastAsia="zh-CN"/>
        </w:rPr>
        <w:t>三方</w:t>
      </w:r>
      <w:r>
        <w:rPr>
          <w:rFonts w:hint="eastAsia" w:ascii="宋体" w:hAnsi="宋体" w:eastAsia="宋体" w:cs="宋体"/>
          <w:color w:val="auto"/>
          <w:sz w:val="21"/>
          <w:szCs w:val="21"/>
          <w:highlight w:val="none"/>
        </w:rPr>
        <w:t>签订之日起生效。本合同壹式</w:t>
      </w:r>
      <w:r>
        <w:rPr>
          <w:rFonts w:hint="eastAsia" w:ascii="宋体" w:hAnsi="宋体" w:eastAsia="宋体" w:cs="宋体"/>
          <w:bCs/>
          <w:color w:val="auto"/>
          <w:sz w:val="21"/>
          <w:szCs w:val="21"/>
          <w:highlight w:val="none"/>
          <w:u w:val="single"/>
          <w:lang w:val="en-US"/>
        </w:rPr>
        <w:t>捌</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rPr>
        <w:t>甲方执</w:t>
      </w:r>
      <w:r>
        <w:rPr>
          <w:rFonts w:hint="eastAsia" w:ascii="宋体" w:hAnsi="宋体" w:eastAsia="宋体" w:cs="宋体"/>
          <w:bCs/>
          <w:color w:val="auto"/>
          <w:sz w:val="21"/>
          <w:szCs w:val="21"/>
          <w:highlight w:val="none"/>
          <w:u w:val="single"/>
          <w:lang w:val="en-US"/>
        </w:rPr>
        <w:t>肆</w:t>
      </w:r>
      <w:r>
        <w:rPr>
          <w:rFonts w:hint="eastAsia" w:ascii="宋体" w:hAnsi="宋体" w:eastAsia="宋体" w:cs="宋体"/>
          <w:color w:val="auto"/>
          <w:sz w:val="21"/>
          <w:szCs w:val="21"/>
          <w:highlight w:val="none"/>
          <w:lang w:val="en-US"/>
        </w:rPr>
        <w:t>份，乙方执</w:t>
      </w:r>
      <w:r>
        <w:rPr>
          <w:rFonts w:hint="eastAsia" w:ascii="宋体" w:hAnsi="宋体" w:eastAsia="宋体" w:cs="宋体"/>
          <w:bCs/>
          <w:color w:val="auto"/>
          <w:sz w:val="21"/>
          <w:szCs w:val="21"/>
          <w:highlight w:val="none"/>
          <w:u w:val="single"/>
          <w:lang w:val="en-US"/>
        </w:rPr>
        <w:t>贰</w:t>
      </w:r>
      <w:r>
        <w:rPr>
          <w:rFonts w:hint="eastAsia" w:ascii="宋体" w:hAnsi="宋体" w:eastAsia="宋体" w:cs="宋体"/>
          <w:color w:val="auto"/>
          <w:sz w:val="21"/>
          <w:szCs w:val="21"/>
          <w:highlight w:val="none"/>
          <w:lang w:val="en-US"/>
        </w:rPr>
        <w:t>份，</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lang w:val="en-US"/>
        </w:rPr>
        <w:t>方执</w:t>
      </w:r>
      <w:r>
        <w:rPr>
          <w:rFonts w:hint="eastAsia" w:ascii="宋体" w:hAnsi="宋体" w:eastAsia="宋体" w:cs="宋体"/>
          <w:bCs/>
          <w:color w:val="auto"/>
          <w:sz w:val="21"/>
          <w:szCs w:val="21"/>
          <w:highlight w:val="none"/>
          <w:u w:val="single"/>
          <w:lang w:val="en-US"/>
        </w:rPr>
        <w:t>贰</w:t>
      </w:r>
      <w:r>
        <w:rPr>
          <w:rFonts w:hint="eastAsia" w:ascii="宋体" w:hAnsi="宋体" w:eastAsia="宋体" w:cs="宋体"/>
          <w:color w:val="auto"/>
          <w:sz w:val="21"/>
          <w:szCs w:val="21"/>
          <w:highlight w:val="none"/>
          <w:lang w:val="en-US"/>
        </w:rPr>
        <w:t>份</w:t>
      </w:r>
      <w:r>
        <w:rPr>
          <w:rFonts w:hint="eastAsia" w:ascii="宋体" w:hAnsi="宋体" w:eastAsia="宋体" w:cs="宋体"/>
          <w:color w:val="auto"/>
          <w:sz w:val="21"/>
          <w:szCs w:val="21"/>
          <w:highlight w:val="none"/>
        </w:rPr>
        <w:t>，具同等法律效力。</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附件1：《阳光合作协议》</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附件2：《项目保密承诺书》</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附件3：《投入本合同下项目服务人员配置一览表》</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附件4：《广东省建设工程造价咨询服务收费项目和收费标准表》</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附件5：工程造价咨询委托单</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附件6：东实集团及下属单位工程建设项目造价编制工作手册</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附件7：履约保证金或履约保函缴纳凭证复印件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rPr>
        <w:t>附件8：</w:t>
      </w:r>
      <w:r>
        <w:rPr>
          <w:rFonts w:hint="eastAsia" w:ascii="宋体" w:hAnsi="宋体" w:eastAsia="宋体" w:cs="宋体"/>
          <w:b w:val="0"/>
          <w:bCs/>
          <w:color w:val="auto"/>
          <w:sz w:val="21"/>
          <w:szCs w:val="21"/>
          <w:highlight w:val="none"/>
          <w:lang w:val="en-US" w:eastAsia="zh-CN"/>
        </w:rPr>
        <w:t>法人身份证及营业执照</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附件9：中标通知书</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附件10：投标文件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附件11：采购文件(含澄清文件)</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left="4513" w:leftChars="-1" w:hanging="4515" w:hangingChars="215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left="7154" w:leftChars="0" w:hanging="7154" w:hangingChars="3407"/>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 xml:space="preserve">东莞市旗创产业投资有限公司     </w:t>
      </w:r>
      <w:r>
        <w:rPr>
          <w:rFonts w:hint="eastAsia" w:ascii="宋体" w:hAnsi="宋体" w:eastAsia="宋体" w:cs="宋体"/>
          <w:color w:val="auto"/>
          <w:sz w:val="21"/>
          <w:szCs w:val="21"/>
          <w:highlight w:val="none"/>
        </w:rPr>
        <w:t>乙方：</w:t>
      </w:r>
      <w:r>
        <w:rPr>
          <w:rFonts w:hint="eastAsia" w:ascii="宋体" w:hAnsi="宋体" w:eastAsia="宋体" w:cs="宋体"/>
          <w:snapToGrid w:val="0"/>
          <w:color w:val="auto"/>
          <w:sz w:val="21"/>
          <w:szCs w:val="21"/>
          <w:highlight w:val="none"/>
          <w:u w:val="none"/>
          <w:lang w:val="en-US" w:eastAsia="zh-CN" w:bidi="ar-SA"/>
        </w:rPr>
        <w:t xml:space="preserve">                   </w:t>
      </w:r>
      <w:r>
        <w:rPr>
          <w:rFonts w:hint="eastAsia" w:ascii="宋体" w:hAnsi="宋体" w:eastAsia="宋体" w:cs="宋体"/>
          <w:color w:val="auto"/>
          <w:sz w:val="21"/>
          <w:szCs w:val="21"/>
          <w:highlight w:val="none"/>
          <w:u w:val="none"/>
          <w:lang w:val="en-US" w:eastAsia="zh-CN"/>
        </w:rPr>
        <w:t>丙方：</w:t>
      </w:r>
      <w:r>
        <w:rPr>
          <w:rFonts w:hint="eastAsia" w:ascii="宋体" w:hAnsi="宋体" w:cs="宋体"/>
          <w:color w:val="auto"/>
          <w:sz w:val="21"/>
          <w:szCs w:val="21"/>
          <w:highlight w:val="none"/>
          <w:u w:val="none"/>
          <w:lang w:val="en-US" w:eastAsia="zh-CN"/>
        </w:rPr>
        <w:t>东莞市大岭山镇大塘实业投资有限公司</w:t>
      </w:r>
    </w:p>
    <w:p>
      <w:pPr>
        <w:pageBreakBefore w:val="0"/>
        <w:widowControl/>
        <w:kinsoku/>
        <w:overflowPunct/>
        <w:topLinePunct w:val="0"/>
        <w:autoSpaceDE/>
        <w:autoSpaceDN/>
        <w:bidi w:val="0"/>
        <w:adjustRightInd w:val="0"/>
        <w:snapToGrid w:val="0"/>
        <w:spacing w:line="360" w:lineRule="auto"/>
        <w:ind w:left="4513" w:leftChars="299" w:hanging="3885" w:hangingChars="185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w:t>
      </w:r>
    </w:p>
    <w:p>
      <w:pPr>
        <w:pageBreakBefore w:val="0"/>
        <w:widowControl/>
        <w:kinsoku/>
        <w:overflowPunct/>
        <w:topLinePunct w:val="0"/>
        <w:autoSpaceDE/>
        <w:autoSpaceDN/>
        <w:bidi w:val="0"/>
        <w:adjustRightInd w:val="0"/>
        <w:snapToGrid w:val="0"/>
        <w:spacing w:line="360" w:lineRule="auto"/>
        <w:ind w:left="4513" w:leftChars="-1" w:hanging="4515" w:hanging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法定代表人：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 xml:space="preserve">                   法定代表人：</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148" w:name="_Toc9693"/>
      <w:r>
        <w:rPr>
          <w:rFonts w:hint="eastAsia" w:ascii="宋体" w:hAnsi="宋体" w:eastAsia="宋体" w:cs="宋体"/>
          <w:b/>
          <w:color w:val="auto"/>
          <w:sz w:val="21"/>
          <w:szCs w:val="21"/>
          <w:highlight w:val="none"/>
        </w:rPr>
        <w:t>附件1：《阳光合作协议》</w:t>
      </w:r>
      <w:bookmarkEnd w:id="148"/>
    </w:p>
    <w:p>
      <w:pPr>
        <w:pageBreakBefore w:val="0"/>
        <w:widowControl/>
        <w:kinsoku/>
        <w:overflowPunct/>
        <w:topLinePunct w:val="0"/>
        <w:autoSpaceDE/>
        <w:autoSpaceDN/>
        <w:bidi w:val="0"/>
        <w:adjustRightInd w:val="0"/>
        <w:snapToGrid w:val="0"/>
        <w:spacing w:line="360" w:lineRule="auto"/>
        <w:ind w:firstLine="422" w:firstLineChars="20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阳光合作协议</w:t>
      </w:r>
    </w:p>
    <w:p>
      <w:pPr>
        <w:pageBreakBefore w:val="0"/>
        <w:widowControl/>
        <w:kinsoku/>
        <w:overflowPunct/>
        <w:topLinePunct w:val="0"/>
        <w:autoSpaceDE/>
        <w:autoSpaceDN/>
        <w:bidi w:val="0"/>
        <w:adjustRightInd w:val="0"/>
        <w:snapToGrid w:val="0"/>
        <w:spacing w:line="360" w:lineRule="auto"/>
        <w:ind w:firstLine="422" w:firstLineChars="200"/>
        <w:jc w:val="center"/>
        <w:rPr>
          <w:rFonts w:hint="eastAsia" w:ascii="宋体" w:hAnsi="宋体" w:eastAsia="宋体" w:cs="宋体"/>
          <w:b/>
          <w:snapToGrid w:val="0"/>
          <w:color w:val="auto"/>
          <w:sz w:val="21"/>
          <w:szCs w:val="21"/>
          <w:highlight w:val="none"/>
        </w:rPr>
      </w:pPr>
    </w:p>
    <w:p>
      <w:pPr>
        <w:pageBreakBefore w:val="0"/>
        <w:widowControl/>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sz w:val="21"/>
          <w:szCs w:val="21"/>
          <w:highlight w:val="none"/>
          <w:u w:val="single"/>
          <w:lang w:val="en-US" w:eastAsia="zh-CN" w:bidi="ar-SA"/>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val="en-US" w:eastAsia="zh-CN"/>
        </w:rPr>
        <w:t xml:space="preserve">东莞市旗创产业投资有限公司  </w:t>
      </w:r>
    </w:p>
    <w:p>
      <w:pPr>
        <w:pageBreakBefore w:val="0"/>
        <w:widowControl/>
        <w:kinsoku/>
        <w:wordWrap w:val="0"/>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snapToGrid w:val="0"/>
          <w:color w:val="auto"/>
          <w:sz w:val="21"/>
          <w:szCs w:val="21"/>
          <w:highlight w:val="none"/>
          <w:u w:val="single"/>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丙</w:t>
      </w:r>
      <w:r>
        <w:rPr>
          <w:rFonts w:hint="eastAsia" w:ascii="宋体" w:hAnsi="宋体" w:eastAsia="宋体" w:cs="宋体"/>
          <w:color w:val="auto"/>
          <w:sz w:val="21"/>
          <w:szCs w:val="21"/>
          <w:highlight w:val="none"/>
        </w:rPr>
        <w:t>方：</w:t>
      </w:r>
      <w:r>
        <w:rPr>
          <w:rFonts w:hint="eastAsia" w:ascii="宋体" w:hAnsi="宋体" w:cs="宋体"/>
          <w:color w:val="auto"/>
          <w:sz w:val="21"/>
          <w:szCs w:val="21"/>
          <w:highlight w:val="none"/>
          <w:u w:val="single"/>
          <w:lang w:val="en-US" w:eastAsia="zh-CN"/>
        </w:rPr>
        <w:t>东莞市大岭山镇大塘实业投资有限公司</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pStyle w:val="11"/>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w:t>
      </w:r>
      <w:r>
        <w:rPr>
          <w:rFonts w:hint="eastAsia" w:ascii="宋体" w:hAnsi="宋体" w:eastAsia="宋体" w:cs="宋体"/>
          <w:color w:val="auto"/>
          <w:sz w:val="21"/>
          <w:szCs w:val="21"/>
          <w:highlight w:val="none"/>
          <w:lang w:eastAsia="zh-CN"/>
        </w:rPr>
        <w:t>、乙、丙三</w:t>
      </w:r>
      <w:r>
        <w:rPr>
          <w:rFonts w:hint="eastAsia" w:ascii="宋体" w:hAnsi="宋体" w:eastAsia="宋体" w:cs="宋体"/>
          <w:color w:val="auto"/>
          <w:sz w:val="21"/>
          <w:szCs w:val="21"/>
          <w:highlight w:val="none"/>
        </w:rPr>
        <w:t>方于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日签署了《大岭山大塘村优质产业空间项目(北地块)</w:t>
      </w:r>
      <w:r>
        <w:rPr>
          <w:rFonts w:hint="eastAsia" w:ascii="宋体" w:hAnsi="宋体" w:cs="宋体"/>
          <w:color w:val="auto"/>
          <w:sz w:val="21"/>
          <w:szCs w:val="21"/>
          <w:highlight w:val="none"/>
          <w:lang w:eastAsia="zh-CN"/>
        </w:rPr>
        <w:t>二期</w:t>
      </w:r>
      <w:r>
        <w:rPr>
          <w:rFonts w:hint="eastAsia" w:ascii="宋体" w:hAnsi="宋体" w:eastAsia="宋体" w:cs="宋体"/>
          <w:color w:val="auto"/>
          <w:sz w:val="21"/>
          <w:szCs w:val="21"/>
          <w:highlight w:val="none"/>
        </w:rPr>
        <w:t>项目全过程驻场造价咨询</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》（以下简称原合同），为加强</w:t>
      </w:r>
      <w:r>
        <w:rPr>
          <w:rFonts w:hint="eastAsia" w:ascii="宋体" w:hAnsi="宋体" w:eastAsia="宋体" w:cs="宋体"/>
          <w:color w:val="auto"/>
          <w:sz w:val="21"/>
          <w:szCs w:val="21"/>
          <w:highlight w:val="none"/>
          <w:lang w:eastAsia="zh-CN"/>
        </w:rPr>
        <w:t>三方</w:t>
      </w:r>
      <w:r>
        <w:rPr>
          <w:rFonts w:hint="eastAsia" w:ascii="宋体" w:hAnsi="宋体" w:eastAsia="宋体" w:cs="宋体"/>
          <w:color w:val="auto"/>
          <w:sz w:val="21"/>
          <w:szCs w:val="21"/>
          <w:highlight w:val="none"/>
        </w:rPr>
        <w:t>阳光合作，保证职员职业安全，甲</w:t>
      </w:r>
      <w:r>
        <w:rPr>
          <w:rFonts w:hint="eastAsia" w:ascii="宋体" w:hAnsi="宋体" w:eastAsia="宋体" w:cs="宋体"/>
          <w:color w:val="auto"/>
          <w:sz w:val="21"/>
          <w:szCs w:val="21"/>
          <w:highlight w:val="none"/>
          <w:lang w:eastAsia="zh-CN"/>
        </w:rPr>
        <w:t>、乙、丙三</w:t>
      </w:r>
      <w:r>
        <w:rPr>
          <w:rFonts w:hint="eastAsia" w:ascii="宋体" w:hAnsi="宋体" w:eastAsia="宋体" w:cs="宋体"/>
          <w:color w:val="auto"/>
          <w:sz w:val="21"/>
          <w:szCs w:val="21"/>
          <w:highlight w:val="none"/>
        </w:rPr>
        <w:t>方经协商签订本协议并作为</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方共同遵守的阳光合作行为准则。</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甲方责任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1.甲方有责任向乙方</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介绍本单位有关采购管理通用原则和本协议的规定。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2.甲方有责任对本单位相关人员进行阳光合作教育。</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3.甲方人员应严格遵守本单位有关阳光合作管理的规定，不得接受乙方</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 xml:space="preserve">任何形式的回扣、实物、现金、有价证券、礼券等有价物品，不得参加乙方提供的旅游或其他可能影响职务行为公正履行的活动。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4.甲方人员如违反阳光合作管理制度及本协议规定，甲方视情节轻重、影响大小给予行政及经济处罚。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5．对于乙方</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举报甲方人员违反阳光合作规定的情况，甲方应及时进行调查，根据调查情况进行处理，并将调查结果向乙方</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rPr>
        <w:t>反馈。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lang w:eastAsia="zh-CN"/>
        </w:rPr>
        <w:t>及丙方</w:t>
      </w:r>
      <w:r>
        <w:rPr>
          <w:rFonts w:hint="eastAsia" w:ascii="宋体" w:hAnsi="宋体" w:eastAsia="宋体" w:cs="宋体"/>
          <w:b/>
          <w:color w:val="auto"/>
          <w:sz w:val="21"/>
          <w:szCs w:val="21"/>
          <w:highlight w:val="none"/>
        </w:rPr>
        <w:t>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应保证乙方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人员了解甲方有关采购管理通用原则和及本协议的规定，并遵照执行。</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不得以任何形式给予甲方人员回扣、赠送实物、现金、有价证券、礼券等有价物品或提供旅游等其他可能影响职务行为公正履行的活动（以下统称“财物”）。</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有责任接受甲方对乙方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在合作期间阳光合作管理执行情况的监督，并对甲方相关调查工作主动配合。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有义务就甲方人员任何形式的索取或收受财物行为及时向甲方（直接联系人为东莞实业投资控股集团有限公司</w:t>
      </w:r>
      <w:r>
        <w:rPr>
          <w:rFonts w:hint="eastAsia" w:ascii="宋体" w:hAnsi="宋体" w:cs="宋体"/>
          <w:b w:val="0"/>
          <w:bCs w:val="0"/>
          <w:color w:val="auto"/>
          <w:sz w:val="21"/>
          <w:szCs w:val="21"/>
          <w:highlight w:val="none"/>
          <w:lang w:val="en-US" w:eastAsia="zh-CN"/>
        </w:rPr>
        <w:t>风控法务</w:t>
      </w:r>
      <w:r>
        <w:rPr>
          <w:rFonts w:hint="eastAsia" w:ascii="宋体" w:hAnsi="宋体" w:eastAsia="宋体" w:cs="宋体"/>
          <w:b w:val="0"/>
          <w:bCs w:val="0"/>
          <w:color w:val="auto"/>
          <w:sz w:val="21"/>
          <w:szCs w:val="21"/>
          <w:highlight w:val="none"/>
        </w:rPr>
        <w:t>部）举报。如乙方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或其人员向甲方人员给予财物，或甲方人员向乙方索取财物，乙方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满足其要求并且未向甲方举报的，一经查实（包括但不限于被甲方核实属实，或者被司法机关或第三方核实属实的），甲方将在内部通报；乙方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除应向甲方赔偿由此给甲方造成的损失外，乙方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还应向甲方支付相当于原合同总价的10%的违约金，并对乙方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知情不报人员进行相应处罚；连续出现2次及以上类似情况或者如因乙方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在合作期间贿赂甲方人员，被司法机关立案查处核实属实的，甲方有权解除原合同，如甲方解除原合同的，则乙方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应退还甲方所支付的所有款项并按原合同与本合同约定承担违约责任，且五年之内不得作为东实集团（东莞实业投资控股集团有限公司及下属子公司）合格供应商。</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5．甲方接受乙方</w:t>
      </w:r>
      <w:r>
        <w:rPr>
          <w:rFonts w:hint="eastAsia" w:ascii="宋体" w:hAnsi="宋体" w:eastAsia="宋体" w:cs="宋体"/>
          <w:b w:val="0"/>
          <w:bCs w:val="0"/>
          <w:color w:val="auto"/>
          <w:sz w:val="21"/>
          <w:szCs w:val="21"/>
          <w:highlight w:val="none"/>
          <w:lang w:eastAsia="zh-CN"/>
        </w:rPr>
        <w:t>及丙方</w:t>
      </w:r>
      <w:r>
        <w:rPr>
          <w:rFonts w:hint="eastAsia" w:ascii="宋体" w:hAnsi="宋体" w:eastAsia="宋体" w:cs="宋体"/>
          <w:b w:val="0"/>
          <w:bCs w:val="0"/>
          <w:color w:val="auto"/>
          <w:sz w:val="21"/>
          <w:szCs w:val="21"/>
          <w:highlight w:val="none"/>
        </w:rPr>
        <w:t>实名或匿名举报，保证为举报者的信息保密，常设举报部门及电</w:t>
      </w:r>
      <w:r>
        <w:rPr>
          <w:rFonts w:hint="eastAsia" w:ascii="宋体" w:hAnsi="宋体" w:eastAsia="宋体" w:cs="宋体"/>
          <w:b w:val="0"/>
          <w:bCs w:val="0"/>
          <w:color w:val="auto"/>
          <w:sz w:val="21"/>
          <w:szCs w:val="21"/>
          <w:highlight w:val="none"/>
          <w:lang w:val="en-US" w:eastAsia="zh-CN"/>
        </w:rPr>
        <w:t>话</w:t>
      </w:r>
      <w:r>
        <w:rPr>
          <w:rFonts w:hint="eastAsia" w:ascii="宋体" w:hAnsi="宋体" w:eastAsia="宋体" w:cs="宋体"/>
          <w:b w:val="0"/>
          <w:bCs w:val="0"/>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举报受理部门：东莞实业投资控股集团有限公司</w:t>
      </w:r>
      <w:r>
        <w:rPr>
          <w:rFonts w:hint="eastAsia" w:ascii="宋体" w:hAnsi="宋体" w:cs="宋体"/>
          <w:b w:val="0"/>
          <w:bCs w:val="0"/>
          <w:color w:val="auto"/>
          <w:sz w:val="21"/>
          <w:szCs w:val="21"/>
          <w:highlight w:val="none"/>
          <w:lang w:val="en-US" w:eastAsia="zh-CN"/>
        </w:rPr>
        <w:t>风控法务</w:t>
      </w:r>
      <w:r>
        <w:rPr>
          <w:rFonts w:hint="eastAsia" w:ascii="宋体" w:hAnsi="宋体" w:eastAsia="宋体" w:cs="宋体"/>
          <w:b w:val="0"/>
          <w:bCs w:val="0"/>
          <w:color w:val="auto"/>
          <w:sz w:val="21"/>
          <w:szCs w:val="21"/>
          <w:highlight w:val="none"/>
        </w:rPr>
        <w:t>部</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东实集团举报邮箱：dgsyxf@163.com</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东实集团举报电话：0769-28820703（周一至周五9:00-12:00和14:00-18:00）</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邮寄地址：东莞市东城区八一路1号机关二号大院9号楼，东莞实业投资控股集团有限公司</w:t>
      </w:r>
      <w:r>
        <w:rPr>
          <w:rFonts w:hint="eastAsia" w:ascii="宋体" w:hAnsi="宋体" w:cs="宋体"/>
          <w:b w:val="0"/>
          <w:bCs w:val="0"/>
          <w:color w:val="auto"/>
          <w:sz w:val="21"/>
          <w:szCs w:val="21"/>
          <w:highlight w:val="none"/>
          <w:lang w:val="en-US" w:eastAsia="zh-CN"/>
        </w:rPr>
        <w:t>风控法务</w:t>
      </w:r>
      <w:r>
        <w:rPr>
          <w:rFonts w:hint="eastAsia" w:ascii="宋体" w:hAnsi="宋体" w:eastAsia="宋体" w:cs="宋体"/>
          <w:b w:val="0"/>
          <w:bCs w:val="0"/>
          <w:color w:val="auto"/>
          <w:sz w:val="21"/>
          <w:szCs w:val="21"/>
          <w:highlight w:val="none"/>
        </w:rPr>
        <w:t>部收，邮编523000。</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contextualSpacing/>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其他</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1.本协议是原合同的补充协议，与原合同有同等法律效力。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2.本协议一式</w:t>
      </w:r>
      <w:r>
        <w:rPr>
          <w:rFonts w:hint="eastAsia" w:ascii="宋体" w:hAnsi="宋体" w:eastAsia="宋体" w:cs="宋体"/>
          <w:color w:val="auto"/>
          <w:sz w:val="21"/>
          <w:szCs w:val="21"/>
          <w:highlight w:val="none"/>
          <w:u w:val="single"/>
          <w:lang w:val="en-US" w:eastAsia="zh-CN"/>
        </w:rPr>
        <w:t>捌</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lang w:val="en-US" w:eastAsia="zh-CN"/>
        </w:rPr>
        <w:t>肆</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丙方执</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3.本协议经</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方签署后生效。</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法定代表人（授权代表）：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签约日期：   年   月   日</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丙</w:t>
      </w:r>
      <w:r>
        <w:rPr>
          <w:rFonts w:hint="eastAsia" w:ascii="宋体" w:hAnsi="宋体" w:eastAsia="宋体" w:cs="宋体"/>
          <w:color w:val="auto"/>
          <w:sz w:val="21"/>
          <w:szCs w:val="21"/>
          <w:highlight w:val="none"/>
        </w:rPr>
        <w:t xml:space="preserve">方（盖章）：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r>
        <w:rPr>
          <w:rFonts w:hint="eastAsia" w:ascii="宋体" w:hAnsi="宋体" w:eastAsia="宋体" w:cs="宋体"/>
          <w:color w:val="auto"/>
          <w:sz w:val="21"/>
          <w:szCs w:val="21"/>
          <w:highlight w:val="none"/>
        </w:rPr>
        <w:tab/>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w:t>
      </w: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附件2：《项目保密承诺书》</w:t>
      </w:r>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项目保密承诺书</w:t>
      </w:r>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为保证合作</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方实现顺利合作，避免因信息泄露而给受服务企业造成损失，本单位以及本单位派驻本项目人员承诺遵守本保密承诺书内容。</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b/>
          <w:color w:val="auto"/>
          <w:sz w:val="21"/>
          <w:szCs w:val="21"/>
          <w:highlight w:val="none"/>
        </w:rPr>
        <w:t>　1． 保密信息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本书所示保密信息为合作项目中涉及的以及该项目合作过程中获取的受服务企业或其关联公司尚未公开的信息。</w:t>
      </w:r>
    </w:p>
    <w:p>
      <w:pPr>
        <w:pageBreakBefore w:val="0"/>
        <w:widowControl/>
        <w:kinsoku/>
        <w:overflowPunct/>
        <w:topLinePunct w:val="0"/>
        <w:autoSpaceDE/>
        <w:autoSpaceDN/>
        <w:bidi w:val="0"/>
        <w:adjustRightInd w:val="0"/>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b/>
          <w:color w:val="auto"/>
          <w:sz w:val="21"/>
          <w:szCs w:val="21"/>
          <w:highlight w:val="none"/>
        </w:rPr>
        <w:t>信息内容</w:t>
      </w:r>
      <w:r>
        <w:rPr>
          <w:rFonts w:hint="eastAsia" w:ascii="宋体" w:hAnsi="宋体" w:eastAsia="宋体" w:cs="宋体"/>
          <w:color w:val="auto"/>
          <w:sz w:val="21"/>
          <w:szCs w:val="21"/>
          <w:highlight w:val="none"/>
        </w:rPr>
        <w:t>包含符合法律规定条件的商业秘密，也包含尚未达到法律规定商业秘密构成条件的其他保密材料。包含但不限于：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技术资料：技术方案、工程设计、技术报告、检测报告、勘察报告、实验数据、图纸规划方案、CAD数据资料、成本分析及投资测算等；</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商业信息：经营战略、经营方向、经营规划、企划方案、经营项目、项目方案及经营决策等；</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财务信息等。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w:t>
      </w:r>
      <w:r>
        <w:rPr>
          <w:rFonts w:hint="eastAsia" w:ascii="宋体" w:hAnsi="宋体" w:eastAsia="宋体" w:cs="宋体"/>
          <w:b/>
          <w:color w:val="auto"/>
          <w:sz w:val="21"/>
          <w:szCs w:val="21"/>
          <w:highlight w:val="none"/>
        </w:rPr>
        <w:t>信息储存方式</w:t>
      </w:r>
      <w:r>
        <w:rPr>
          <w:rFonts w:hint="eastAsia" w:ascii="宋体" w:hAnsi="宋体" w:eastAsia="宋体" w:cs="宋体"/>
          <w:color w:val="auto"/>
          <w:sz w:val="21"/>
          <w:szCs w:val="21"/>
          <w:highlight w:val="none"/>
        </w:rPr>
        <w:t>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以手写、打印、软件、磁盘、光盘、胶片或其它可存取的方式记载的财务、技术或商业信息；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以口头方式说明需要保密的财务、技术或商业信息；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以软件代码、文字图像、分析注释、备忘录、图纸、研究报告、编辑数据等各种方式出现的财务、技术或商业信息等。</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b/>
          <w:color w:val="auto"/>
          <w:sz w:val="21"/>
          <w:szCs w:val="21"/>
          <w:highlight w:val="none"/>
        </w:rPr>
        <w:t>信息范围</w:t>
      </w:r>
      <w:r>
        <w:rPr>
          <w:rFonts w:hint="eastAsia" w:ascii="宋体" w:hAnsi="宋体" w:eastAsia="宋体" w:cs="宋体"/>
          <w:color w:val="auto"/>
          <w:sz w:val="21"/>
          <w:szCs w:val="21"/>
          <w:highlight w:val="none"/>
        </w:rPr>
        <w:t>包含但不限于：</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信息包含</w:t>
      </w:r>
      <w:r>
        <w:rPr>
          <w:rFonts w:hint="eastAsia" w:ascii="宋体" w:hAnsi="宋体" w:eastAsia="宋体" w:cs="宋体"/>
          <w:color w:val="auto"/>
          <w:sz w:val="21"/>
          <w:szCs w:val="21"/>
          <w:highlight w:val="none"/>
          <w:lang w:val="en-US" w:eastAsia="zh-CN"/>
        </w:rPr>
        <w:t>各方</w:t>
      </w:r>
      <w:r>
        <w:rPr>
          <w:rFonts w:hint="eastAsia" w:ascii="宋体" w:hAnsi="宋体" w:eastAsia="宋体" w:cs="宋体"/>
          <w:color w:val="auto"/>
          <w:sz w:val="21"/>
          <w:szCs w:val="21"/>
          <w:highlight w:val="none"/>
        </w:rPr>
        <w:t>在讨论合作过程中，包括但不限于在受服务企业处参观、考察的过程中以其它形式获得的财务、技术或商业信息；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信息范围不仅包含本项目的各种文件、技术资料等，还包含在</w:t>
      </w:r>
      <w:r>
        <w:rPr>
          <w:rFonts w:hint="eastAsia" w:ascii="宋体" w:hAnsi="宋体" w:eastAsia="宋体" w:cs="宋体"/>
          <w:color w:val="auto"/>
          <w:sz w:val="21"/>
          <w:szCs w:val="21"/>
          <w:highlight w:val="none"/>
          <w:lang w:val="en-US" w:eastAsia="zh-CN"/>
        </w:rPr>
        <w:t>各方</w:t>
      </w:r>
      <w:r>
        <w:rPr>
          <w:rFonts w:hint="eastAsia" w:ascii="宋体" w:hAnsi="宋体" w:eastAsia="宋体" w:cs="宋体"/>
          <w:color w:val="auto"/>
          <w:sz w:val="21"/>
          <w:szCs w:val="21"/>
          <w:highlight w:val="none"/>
        </w:rPr>
        <w:t>合作或会议讨论过程中获得的关于受服务企业或其关联公司的其他财务、技术或商业信息。</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2. 保密义务</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项目未发布公告之前，不能泄露与此项目相关的采购情况。</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采购文件未出正式发布之前，不能泄露采购文件的具体内容。</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在参与受服务企业会议讨论阶段，不能向外透露会议的信息内容。</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向项目报名人提供项目必须配套资料时，必须要求报名人不能对外泄露项目资料与项目相关信息，否则追究报名人法律责任。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2.5项目发布前后，始终对保密资料保密，不在项目之外使用对方提供的保密信息及掌握的公司保密信息。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2.6未经受服务企业同意，不向任何第三方提供保密信息以及可以接触上述保密信息的手段，包括在公开场合展览，公开对外宣传，作为文章、讯息、参考数据发表。</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返还信息</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4．保密期限</w:t>
      </w:r>
    </w:p>
    <w:p>
      <w:pPr>
        <w:pageBreakBefore w:val="0"/>
        <w:widowControl/>
        <w:kinsoku/>
        <w:overflowPunct/>
        <w:topLinePunct w:val="0"/>
        <w:autoSpaceDE/>
        <w:autoSpaceDN/>
        <w:bidi w:val="0"/>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本承诺书的保密期限，从签订起生效，无限期保密，直至受服务企业宣布解密或所获得的信息已经通过合法的方式为公众所知悉为止。</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5、其他责任</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保密期限内，因承诺人的泄密行为给受服务企业造成影响的，受服务企业有权按照法律法规的规定追究承诺人违约、侵权及刑事责任。</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本企业单位或本人已阅读，并理解和同意遵守本承诺书所有条款，如违反承诺，自愿承担党纪、政纪责任和法律后果。</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3150" w:firstLineChars="1500"/>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承诺单位:（盖章）</w:t>
      </w: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法人代表:（签名）</w:t>
      </w:r>
    </w:p>
    <w:p>
      <w:pPr>
        <w:pageBreakBefore w:val="0"/>
        <w:widowControl/>
        <w:kinsoku/>
        <w:overflowPunct/>
        <w:topLinePunct w:val="0"/>
        <w:autoSpaceDE/>
        <w:autoSpaceDN/>
        <w:bidi w:val="0"/>
        <w:adjustRightInd w:val="0"/>
        <w:snapToGrid w:val="0"/>
        <w:spacing w:line="360" w:lineRule="auto"/>
        <w:ind w:firstLine="3885" w:firstLineChars="1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单位拟派人员：（签名）</w:t>
      </w:r>
    </w:p>
    <w:p>
      <w:pPr>
        <w:pageBreakBefore w:val="0"/>
        <w:widowControl/>
        <w:kinsoku/>
        <w:overflowPunct/>
        <w:topLinePunct w:val="0"/>
        <w:autoSpaceDE/>
        <w:autoSpaceDN/>
        <w:bidi w:val="0"/>
        <w:adjustRightInd w:val="0"/>
        <w:snapToGrid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p>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ind w:right="26" w:firstLine="315" w:firstLineChars="150"/>
        <w:contextualSpacing/>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bookmarkStart w:id="149" w:name="_Toc6593"/>
      <w:r>
        <w:rPr>
          <w:rFonts w:hint="eastAsia" w:ascii="宋体" w:hAnsi="宋体" w:eastAsia="宋体" w:cs="宋体"/>
          <w:b/>
          <w:color w:val="auto"/>
          <w:sz w:val="21"/>
          <w:szCs w:val="21"/>
          <w:highlight w:val="none"/>
        </w:rPr>
        <w:t>附件3：投入本合同下项目服务人员配置一览表</w:t>
      </w:r>
      <w:bookmarkEnd w:id="149"/>
    </w:p>
    <w:tbl>
      <w:tblPr>
        <w:tblStyle w:val="39"/>
        <w:tblW w:w="9520" w:type="dxa"/>
        <w:tblInd w:w="93" w:type="dxa"/>
        <w:tblLayout w:type="fixed"/>
        <w:tblCellMar>
          <w:top w:w="0" w:type="dxa"/>
          <w:left w:w="108" w:type="dxa"/>
          <w:bottom w:w="0" w:type="dxa"/>
          <w:right w:w="108" w:type="dxa"/>
        </w:tblCellMar>
      </w:tblPr>
      <w:tblGrid>
        <w:gridCol w:w="532"/>
        <w:gridCol w:w="1405"/>
        <w:gridCol w:w="1415"/>
        <w:gridCol w:w="950"/>
        <w:gridCol w:w="846"/>
        <w:gridCol w:w="1838"/>
        <w:gridCol w:w="845"/>
        <w:gridCol w:w="1689"/>
      </w:tblGrid>
      <w:tr>
        <w:tblPrEx>
          <w:tblLayout w:type="fixed"/>
          <w:tblCellMar>
            <w:top w:w="0" w:type="dxa"/>
            <w:left w:w="108" w:type="dxa"/>
            <w:bottom w:w="0" w:type="dxa"/>
            <w:right w:w="108" w:type="dxa"/>
          </w:tblCellMar>
        </w:tblPrEx>
        <w:trPr>
          <w:trHeight w:val="525" w:hRule="atLeast"/>
        </w:trPr>
        <w:tc>
          <w:tcPr>
            <w:tcW w:w="4302" w:type="dxa"/>
            <w:gridSpan w:val="4"/>
            <w:tcBorders>
              <w:top w:val="nil"/>
              <w:left w:val="nil"/>
              <w:bottom w:val="single" w:color="auto" w:sz="4" w:space="0"/>
              <w:right w:val="nil"/>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单位盖章(</w:t>
            </w:r>
            <w:r>
              <w:rPr>
                <w:rFonts w:hint="eastAsia" w:ascii="宋体" w:hAnsi="宋体" w:cs="宋体"/>
                <w:snapToGrid w:val="0"/>
                <w:color w:val="auto"/>
                <w:sz w:val="21"/>
                <w:szCs w:val="21"/>
                <w:highlight w:val="none"/>
                <w:u w:val="none"/>
                <w:lang w:val="en-US" w:eastAsia="zh-CN" w:bidi="ar-SA"/>
              </w:rPr>
              <w:t>XXX</w:t>
            </w:r>
            <w:r>
              <w:rPr>
                <w:rFonts w:hint="eastAsia" w:ascii="宋体" w:hAnsi="宋体" w:eastAsia="宋体" w:cs="宋体"/>
                <w:snapToGrid w:val="0"/>
                <w:color w:val="auto"/>
                <w:sz w:val="21"/>
                <w:szCs w:val="21"/>
                <w:highlight w:val="none"/>
                <w:u w:val="none"/>
                <w:lang w:val="en-US" w:eastAsia="zh-CN" w:bidi="ar-SA"/>
              </w:rPr>
              <w:t>有限公司</w:t>
            </w:r>
            <w:r>
              <w:rPr>
                <w:rFonts w:hint="eastAsia" w:ascii="宋体" w:hAnsi="宋体" w:eastAsia="宋体" w:cs="宋体"/>
                <w:color w:val="auto"/>
                <w:sz w:val="21"/>
                <w:szCs w:val="21"/>
                <w:highlight w:val="none"/>
              </w:rPr>
              <w:t>)</w:t>
            </w:r>
          </w:p>
        </w:tc>
        <w:tc>
          <w:tcPr>
            <w:tcW w:w="846" w:type="dxa"/>
            <w:tcBorders>
              <w:top w:val="nil"/>
              <w:left w:val="nil"/>
              <w:bottom w:val="single" w:color="auto" w:sz="4" w:space="0"/>
              <w:right w:val="nil"/>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u w:val="single"/>
              </w:rPr>
            </w:pPr>
          </w:p>
        </w:tc>
        <w:tc>
          <w:tcPr>
            <w:tcW w:w="1838" w:type="dxa"/>
            <w:tcBorders>
              <w:top w:val="nil"/>
              <w:left w:val="nil"/>
              <w:bottom w:val="single" w:color="auto" w:sz="4" w:space="0"/>
              <w:right w:val="nil"/>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u w:val="single"/>
              </w:rPr>
            </w:pPr>
          </w:p>
        </w:tc>
        <w:tc>
          <w:tcPr>
            <w:tcW w:w="845" w:type="dxa"/>
            <w:tcBorders>
              <w:top w:val="nil"/>
              <w:left w:val="nil"/>
              <w:bottom w:val="single" w:color="auto" w:sz="4" w:space="0"/>
              <w:right w:val="nil"/>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u w:val="single"/>
              </w:rPr>
            </w:pPr>
          </w:p>
        </w:tc>
        <w:tc>
          <w:tcPr>
            <w:tcW w:w="1689" w:type="dxa"/>
            <w:tcBorders>
              <w:top w:val="nil"/>
              <w:left w:val="nil"/>
              <w:bottom w:val="single" w:color="auto" w:sz="4" w:space="0"/>
              <w:right w:val="nil"/>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bCs/>
                <w:color w:val="auto"/>
                <w:sz w:val="21"/>
                <w:szCs w:val="21"/>
                <w:highlight w:val="none"/>
                <w:u w:val="single"/>
              </w:rPr>
            </w:pPr>
          </w:p>
        </w:tc>
      </w:tr>
      <w:tr>
        <w:tblPrEx>
          <w:tblLayout w:type="fixed"/>
          <w:tblCellMar>
            <w:top w:w="0" w:type="dxa"/>
            <w:left w:w="108" w:type="dxa"/>
            <w:bottom w:w="0" w:type="dxa"/>
            <w:right w:w="108" w:type="dxa"/>
          </w:tblCellMar>
        </w:tblPrEx>
        <w:trPr>
          <w:trHeight w:val="645" w:hRule="atLeast"/>
        </w:trPr>
        <w:tc>
          <w:tcPr>
            <w:tcW w:w="532" w:type="dxa"/>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05" w:type="dxa"/>
            <w:tcBorders>
              <w:top w:val="nil"/>
              <w:left w:val="nil"/>
              <w:bottom w:val="nil"/>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专业人员</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职称或资格</w:t>
            </w: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执业资格注册编号</w:t>
            </w: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联系电话（手机）</w:t>
            </w:r>
          </w:p>
        </w:tc>
      </w:tr>
      <w:tr>
        <w:tblPrEx>
          <w:tblLayout w:type="fixed"/>
          <w:tblCellMar>
            <w:top w:w="0" w:type="dxa"/>
            <w:left w:w="108" w:type="dxa"/>
            <w:bottom w:w="0" w:type="dxa"/>
            <w:right w:w="108" w:type="dxa"/>
          </w:tblCellMar>
        </w:tblPrEx>
        <w:trPr>
          <w:trHeight w:val="658" w:hRule="atLeast"/>
        </w:trPr>
        <w:tc>
          <w:tcPr>
            <w:tcW w:w="532" w:type="dxa"/>
            <w:tcBorders>
              <w:top w:val="nil"/>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1405"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375" w:hRule="atLeast"/>
        </w:trPr>
        <w:tc>
          <w:tcPr>
            <w:tcW w:w="532" w:type="dxa"/>
            <w:vMerge w:val="restart"/>
            <w:tcBorders>
              <w:top w:val="single" w:color="auto" w:sz="4" w:space="0"/>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1405"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专业造价工程师</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375" w:hRule="atLeast"/>
        </w:trPr>
        <w:tc>
          <w:tcPr>
            <w:tcW w:w="532" w:type="dxa"/>
            <w:vMerge w:val="continue"/>
            <w:tcBorders>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405" w:hRule="atLeast"/>
        </w:trPr>
        <w:tc>
          <w:tcPr>
            <w:tcW w:w="532" w:type="dxa"/>
            <w:vMerge w:val="restart"/>
            <w:tcBorders>
              <w:top w:val="single" w:color="auto" w:sz="4" w:space="0"/>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1405"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预、结算人员</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405"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405"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764"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r>
      <w:tr>
        <w:tblPrEx>
          <w:tblLayout w:type="fixed"/>
          <w:tblCellMar>
            <w:top w:w="0" w:type="dxa"/>
            <w:left w:w="108" w:type="dxa"/>
            <w:bottom w:w="0" w:type="dxa"/>
            <w:right w:w="108" w:type="dxa"/>
          </w:tblCellMar>
        </w:tblPrEx>
        <w:trPr>
          <w:cantSplit/>
          <w:trHeight w:val="285"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285"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285" w:hRule="atLeast"/>
        </w:trPr>
        <w:tc>
          <w:tcPr>
            <w:tcW w:w="532"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420" w:hRule="atLeast"/>
        </w:trPr>
        <w:tc>
          <w:tcPr>
            <w:tcW w:w="532"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1405"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校核人员</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r>
      <w:tr>
        <w:tblPrEx>
          <w:tblLayout w:type="fixed"/>
          <w:tblCellMar>
            <w:top w:w="0" w:type="dxa"/>
            <w:left w:w="108" w:type="dxa"/>
            <w:bottom w:w="0" w:type="dxa"/>
            <w:right w:w="108" w:type="dxa"/>
          </w:tblCellMar>
        </w:tblPrEx>
        <w:trPr>
          <w:cantSplit/>
          <w:trHeight w:val="420" w:hRule="atLeast"/>
        </w:trPr>
        <w:tc>
          <w:tcPr>
            <w:tcW w:w="532"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r>
      <w:tr>
        <w:tblPrEx>
          <w:tblLayout w:type="fixed"/>
          <w:tblCellMar>
            <w:top w:w="0" w:type="dxa"/>
            <w:left w:w="108" w:type="dxa"/>
            <w:bottom w:w="0" w:type="dxa"/>
            <w:right w:w="108" w:type="dxa"/>
          </w:tblCellMar>
        </w:tblPrEx>
        <w:trPr>
          <w:cantSplit/>
          <w:trHeight w:val="502" w:hRule="atLeast"/>
        </w:trPr>
        <w:tc>
          <w:tcPr>
            <w:tcW w:w="532"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1405" w:type="dxa"/>
            <w:vMerge w:val="restart"/>
            <w:tcBorders>
              <w:top w:val="nil"/>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审核人员</w:t>
            </w: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kern w:val="2"/>
                <w:sz w:val="21"/>
                <w:szCs w:val="21"/>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390" w:hRule="atLeast"/>
        </w:trPr>
        <w:tc>
          <w:tcPr>
            <w:tcW w:w="532"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bidi="ar-SA"/>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cantSplit/>
          <w:trHeight w:val="390" w:hRule="atLeast"/>
        </w:trPr>
        <w:tc>
          <w:tcPr>
            <w:tcW w:w="532"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5" w:type="dxa"/>
            <w:vMerge w:val="continue"/>
            <w:tcBorders>
              <w:left w:val="single" w:color="auto" w:sz="4" w:space="0"/>
              <w:bottom w:val="single" w:color="000000"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1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950"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846"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1838"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84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c>
          <w:tcPr>
            <w:tcW w:w="1689"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val="0"/>
                <w:bCs/>
                <w:color w:val="auto"/>
                <w:sz w:val="21"/>
                <w:szCs w:val="21"/>
                <w:lang w:val="en-US" w:eastAsia="zh-CN"/>
              </w:rPr>
            </w:pPr>
          </w:p>
        </w:tc>
      </w:tr>
      <w:tr>
        <w:tblPrEx>
          <w:tblLayout w:type="fixed"/>
          <w:tblCellMar>
            <w:top w:w="0" w:type="dxa"/>
            <w:left w:w="108" w:type="dxa"/>
            <w:bottom w:w="0" w:type="dxa"/>
            <w:right w:w="108" w:type="dxa"/>
          </w:tblCellMar>
        </w:tblPrEx>
        <w:trPr>
          <w:trHeight w:val="765" w:hRule="atLeast"/>
        </w:trPr>
        <w:tc>
          <w:tcPr>
            <w:tcW w:w="532" w:type="dxa"/>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1405" w:type="dxa"/>
            <w:tcBorders>
              <w:top w:val="nil"/>
              <w:left w:val="nil"/>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c>
          <w:tcPr>
            <w:tcW w:w="1415"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50"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6"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38"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45"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89" w:type="dxa"/>
            <w:tcBorders>
              <w:top w:val="single" w:color="auto" w:sz="4" w:space="0"/>
              <w:left w:val="nil"/>
              <w:bottom w:val="single" w:color="auto" w:sz="4" w:space="0"/>
              <w:right w:val="single" w:color="000000" w:sz="4" w:space="0"/>
            </w:tcBorders>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rPr>
          <w:trHeight w:val="375" w:hRule="atLeast"/>
        </w:trPr>
        <w:tc>
          <w:tcPr>
            <w:tcW w:w="9520" w:type="dxa"/>
            <w:gridSpan w:val="8"/>
            <w:noWrap w:val="0"/>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技术总负责人：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单位法定代表人：</w:t>
            </w:r>
            <w:r>
              <w:rPr>
                <w:rFonts w:hint="eastAsia" w:ascii="宋体" w:hAnsi="宋体" w:eastAsia="宋体" w:cs="宋体"/>
                <w:color w:val="auto"/>
                <w:sz w:val="21"/>
                <w:szCs w:val="21"/>
                <w:highlight w:val="none"/>
                <w:lang w:val="en-US" w:eastAsia="zh-CN"/>
              </w:rPr>
              <w:t xml:space="preserve"> </w:t>
            </w: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sectPr>
          <w:headerReference r:id="rId11" w:type="default"/>
          <w:footerReference r:id="rId12" w:type="default"/>
          <w:pgSz w:w="11907" w:h="16840"/>
          <w:pgMar w:top="1247" w:right="1191" w:bottom="1247" w:left="1191" w:header="851" w:footer="992" w:gutter="0"/>
          <w:pgNumType w:fmt="decimal"/>
          <w:cols w:space="720" w:num="1"/>
          <w:docGrid w:linePitch="312" w:charSpace="0"/>
        </w:sect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bookmarkStart w:id="150" w:name="_Toc2588"/>
      <w:r>
        <w:rPr>
          <w:rFonts w:hint="eastAsia" w:ascii="宋体" w:hAnsi="宋体" w:eastAsia="宋体" w:cs="宋体"/>
          <w:color w:val="auto"/>
          <w:sz w:val="21"/>
          <w:szCs w:val="21"/>
          <w:highlight w:val="none"/>
        </w:rPr>
        <w:t>附件4：</w:t>
      </w:r>
      <w:bookmarkEnd w:id="150"/>
      <w:r>
        <w:rPr>
          <w:rFonts w:hint="eastAsia" w:ascii="宋体" w:hAnsi="宋体" w:eastAsia="宋体" w:cs="宋体"/>
          <w:b/>
          <w:color w:val="auto"/>
          <w:sz w:val="21"/>
          <w:szCs w:val="21"/>
          <w:highlight w:val="none"/>
        </w:rPr>
        <w:t>广东省建设工程造价咨询服务收费项目和收费标准表</w:t>
      </w:r>
    </w:p>
    <w:tbl>
      <w:tblPr>
        <w:tblStyle w:val="39"/>
        <w:tblW w:w="14376" w:type="dxa"/>
        <w:tblInd w:w="0" w:type="dxa"/>
        <w:tblLayout w:type="fixed"/>
        <w:tblCellMar>
          <w:top w:w="0" w:type="dxa"/>
          <w:left w:w="15" w:type="dxa"/>
          <w:bottom w:w="0" w:type="dxa"/>
          <w:right w:w="15" w:type="dxa"/>
        </w:tblCellMar>
      </w:tblPr>
      <w:tblGrid>
        <w:gridCol w:w="1139"/>
        <w:gridCol w:w="577"/>
        <w:gridCol w:w="195"/>
        <w:gridCol w:w="240"/>
        <w:gridCol w:w="767"/>
        <w:gridCol w:w="2662"/>
        <w:gridCol w:w="1125"/>
        <w:gridCol w:w="1029"/>
        <w:gridCol w:w="1030"/>
        <w:gridCol w:w="1078"/>
        <w:gridCol w:w="1127"/>
        <w:gridCol w:w="1200"/>
        <w:gridCol w:w="932"/>
        <w:gridCol w:w="1275"/>
      </w:tblGrid>
      <w:tr>
        <w:tblPrEx>
          <w:tblLayout w:type="fixed"/>
          <w:tblCellMar>
            <w:top w:w="0" w:type="dxa"/>
            <w:left w:w="15" w:type="dxa"/>
            <w:bottom w:w="0" w:type="dxa"/>
            <w:right w:w="15" w:type="dxa"/>
          </w:tblCellMar>
        </w:tblPrEx>
        <w:trPr>
          <w:trHeight w:val="307"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广东省建设工程造价咨询服务收费项目和收费标准表</w:t>
            </w:r>
            <w:r>
              <w:rPr>
                <w:rFonts w:hint="eastAsia" w:ascii="宋体" w:hAnsi="宋体" w:eastAsia="宋体" w:cs="宋体"/>
                <w:color w:val="auto"/>
                <w:sz w:val="21"/>
                <w:szCs w:val="21"/>
                <w:highlight w:val="none"/>
              </w:rPr>
              <w:t>序号</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咨询项目名称</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收费基数</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最高收费标准</w:t>
            </w:r>
          </w:p>
        </w:tc>
        <w:tc>
          <w:tcPr>
            <w:tcW w:w="1275"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Layout w:type="fixed"/>
          <w:tblCellMar>
            <w:top w:w="0" w:type="dxa"/>
            <w:left w:w="15" w:type="dxa"/>
            <w:bottom w:w="0" w:type="dxa"/>
            <w:right w:w="15" w:type="dxa"/>
          </w:tblCellMar>
        </w:tblPrEx>
        <w:trPr>
          <w:trHeight w:val="55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100万元以内</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101-500万元</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501-1000万元</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1001-5000万元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5001万元-1亿元</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1亿元以上</w:t>
            </w:r>
          </w:p>
        </w:tc>
        <w:tc>
          <w:tcPr>
            <w:tcW w:w="1275" w:type="dxa"/>
            <w:vMerge w:val="continue"/>
            <w:tcBorders>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15" w:type="dxa"/>
            <w:bottom w:w="0" w:type="dxa"/>
            <w:right w:w="15" w:type="dxa"/>
          </w:tblCellMar>
        </w:tblPrEx>
        <w:trPr>
          <w:trHeight w:val="1065"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投资估算的编制或审核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依据建设项目可行性研究方案编制或核对项目投资估算，出具投资估算报告或审核报告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估算价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78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工程概算的编制或审核</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依据初步设计图纸计算或复核工程量，出具工程概算书或审核报告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81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工程预算的编制或审核</w:t>
            </w:r>
          </w:p>
        </w:tc>
        <w:tc>
          <w:tcPr>
            <w:tcW w:w="43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清单计价法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单独编制或审核工程量清单</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依据施工图编制或审核工程量清单，出具工程量清单书或审核报告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2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87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单独编制或审核预算造价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依据施工图、工程量清单编制或审核工程量清单报价，出具工程报价书或审核报告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750"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4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定额计价法</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编制或审核预算造价</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依据施工图编制或审核工程预算，出具工程预算书或审核报告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预算造价（预算价、招标控制价、投标报价）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519"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工程结算的编制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依据竣工图等竣工资料编制工程结算，出具工程结算书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735"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工程结算审核</w:t>
            </w: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（1）基本收费</w:t>
            </w:r>
          </w:p>
        </w:tc>
        <w:tc>
          <w:tcPr>
            <w:tcW w:w="26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依据竣工图、签证资料、工程结算书等进行审核，出具工程结算审核报告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送审结算价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vMerge w:val="restart"/>
            <w:tcBorders>
              <w:top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w:t>
            </w:r>
          </w:p>
        </w:tc>
      </w:tr>
      <w:tr>
        <w:tblPrEx>
          <w:tblLayout w:type="fixed"/>
          <w:tblCellMar>
            <w:top w:w="0" w:type="dxa"/>
            <w:left w:w="15" w:type="dxa"/>
            <w:bottom w:w="0" w:type="dxa"/>
            <w:right w:w="15" w:type="dxa"/>
          </w:tblCellMar>
        </w:tblPrEx>
        <w:trPr>
          <w:trHeight w:val="468"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（2）效益收费</w:t>
            </w:r>
          </w:p>
        </w:tc>
        <w:tc>
          <w:tcPr>
            <w:tcW w:w="26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|核减额|+|核增额|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vMerge w:val="continue"/>
            <w:tcBorders>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15" w:type="dxa"/>
            <w:bottom w:w="0" w:type="dxa"/>
            <w:right w:w="15" w:type="dxa"/>
          </w:tblCellMar>
        </w:tblPrEx>
        <w:trPr>
          <w:trHeight w:val="432"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施工阶段全过程造价控制</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工程量清单编制开始到工程结算审核的造价咨询服务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概算价</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差额定率累进计费，不包括驻场人员的费用</w:t>
            </w:r>
          </w:p>
        </w:tc>
      </w:tr>
      <w:tr>
        <w:tblPrEx>
          <w:tblLayout w:type="fixed"/>
          <w:tblCellMar>
            <w:top w:w="0" w:type="dxa"/>
            <w:left w:w="15" w:type="dxa"/>
            <w:bottom w:w="0" w:type="dxa"/>
            <w:right w:w="15" w:type="dxa"/>
          </w:tblCellMar>
        </w:tblPrEx>
        <w:trPr>
          <w:trHeight w:val="990" w:hRule="atLeast"/>
        </w:trPr>
        <w:tc>
          <w:tcPr>
            <w:tcW w:w="11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7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工程造价纠纷鉴证</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鉴证后标的额</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3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差额定率累进计费；原被告单方有造价或双方均无造价</w:t>
            </w:r>
          </w:p>
        </w:tc>
      </w:tr>
      <w:tr>
        <w:tblPrEx>
          <w:tblLayout w:type="fixed"/>
          <w:tblCellMar>
            <w:top w:w="0" w:type="dxa"/>
            <w:left w:w="15" w:type="dxa"/>
            <w:bottom w:w="0" w:type="dxa"/>
            <w:right w:w="15" w:type="dxa"/>
          </w:tblCellMar>
        </w:tblPrEx>
        <w:trPr>
          <w:trHeight w:val="615" w:hRule="atLeast"/>
        </w:trPr>
        <w:tc>
          <w:tcPr>
            <w:tcW w:w="11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7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受委托进行鉴证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争议差额在1000万以下（含1000万）按5%收取，1000万以上按4%收取</w:t>
            </w:r>
          </w:p>
        </w:tc>
        <w:tc>
          <w:tcPr>
            <w:tcW w:w="1275"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双方各有造价</w:t>
            </w:r>
          </w:p>
        </w:tc>
      </w:tr>
      <w:tr>
        <w:tblPrEx>
          <w:tblLayout w:type="fixed"/>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钢筋及预埋件计算</w:t>
            </w:r>
          </w:p>
        </w:tc>
        <w:tc>
          <w:tcPr>
            <w:tcW w:w="2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依据施工图纸、设计标准和施工操作规程计算或审核钢筋（或铁件）重量，提供完整的钢筋（或铁件）重量计算明细表、汇总表或审核报告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按实际钢筋使用量</w:t>
            </w:r>
          </w:p>
        </w:tc>
        <w:tc>
          <w:tcPr>
            <w:tcW w:w="639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12元/吨</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15" w:type="dxa"/>
            <w:bottom w:w="0" w:type="dxa"/>
            <w:right w:w="15" w:type="dxa"/>
          </w:tblCellMar>
        </w:tblPrEx>
        <w:trPr>
          <w:trHeight w:val="1170" w:hRule="atLeast"/>
        </w:trPr>
        <w:tc>
          <w:tcPr>
            <w:tcW w:w="113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79" w:type="dxa"/>
            <w:gridSpan w:val="4"/>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工程造价咨询工日收费标准</w:t>
            </w:r>
          </w:p>
        </w:tc>
        <w:tc>
          <w:tcPr>
            <w:tcW w:w="26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受委托派出专业人员从事工程造价咨询服务</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工时</w:t>
            </w:r>
          </w:p>
        </w:tc>
        <w:tc>
          <w:tcPr>
            <w:tcW w:w="6396" w:type="dxa"/>
            <w:gridSpan w:val="6"/>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1275" w:type="dxa"/>
            <w:tcBorders>
              <w:top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pStyle w:val="11"/>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color w:val="auto"/>
          <w:sz w:val="21"/>
          <w:szCs w:val="21"/>
        </w:rPr>
      </w:pP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注： </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1.本计费标准均未考虑各咨询人的投标下浮，具体的咨询服务费用应按《东莞市财政性资金投资建设项目工程造价咨询合同》约定的下浮率计算。</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.以上编审预、结算的咨询费用已含编审项目的抽审钢筋实际用量的费用。</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.特殊项目的收费标准另行商议。</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按以上内容计算咨询费后，不另行计算其他一切费用（如现场查勘、外出考察、外聘专家等）。</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.以上咨询费为含税金额。</w:t>
      </w:r>
    </w:p>
    <w:p>
      <w:pPr>
        <w:pageBreakBefore w:val="0"/>
        <w:widowControl/>
        <w:kinsoku/>
        <w:overflowPunct/>
        <w:topLinePunct w:val="0"/>
        <w:autoSpaceDE/>
        <w:autoSpaceDN/>
        <w:bidi w:val="0"/>
        <w:adjustRightInd w:val="0"/>
        <w:snapToGrid w:val="0"/>
        <w:spacing w:line="360" w:lineRule="auto"/>
        <w:ind w:firstLine="422" w:firstLineChars="200"/>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eastAsia="zh-CN"/>
        </w:rPr>
        <w:t>以</w:t>
      </w:r>
      <w:r>
        <w:rPr>
          <w:rFonts w:hint="eastAsia" w:ascii="宋体" w:hAnsi="宋体" w:eastAsia="宋体" w:cs="宋体"/>
          <w:b/>
          <w:bCs/>
          <w:color w:val="auto"/>
          <w:sz w:val="21"/>
          <w:szCs w:val="21"/>
          <w:highlight w:val="none"/>
        </w:rPr>
        <w:t>累计工程预算价</w:t>
      </w:r>
      <w:r>
        <w:rPr>
          <w:rFonts w:hint="eastAsia" w:ascii="宋体" w:hAnsi="宋体" w:eastAsia="宋体" w:cs="宋体"/>
          <w:b/>
          <w:bCs/>
          <w:color w:val="auto"/>
          <w:sz w:val="21"/>
          <w:szCs w:val="21"/>
          <w:highlight w:val="none"/>
          <w:lang w:eastAsia="zh-CN"/>
        </w:rPr>
        <w:t>（下浮前）为计费基数。</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sectPr>
          <w:headerReference r:id="rId15" w:type="first"/>
          <w:headerReference r:id="rId13" w:type="default"/>
          <w:footerReference r:id="rId16" w:type="default"/>
          <w:headerReference r:id="rId14" w:type="even"/>
          <w:pgSz w:w="16840" w:h="11907" w:orient="landscape"/>
          <w:pgMar w:top="1191" w:right="1247" w:bottom="1191" w:left="1247" w:header="851" w:footer="992" w:gutter="0"/>
          <w:pgNumType w:fmt="decimal"/>
          <w:cols w:space="720" w:num="1"/>
          <w:docGrid w:linePitch="312" w:charSpace="0"/>
        </w:sectPr>
      </w:pP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color w:val="auto"/>
          <w:sz w:val="21"/>
          <w:szCs w:val="21"/>
          <w:highlight w:val="none"/>
        </w:rPr>
      </w:pPr>
      <w:bookmarkStart w:id="151" w:name="_Toc21923"/>
      <w:r>
        <w:rPr>
          <w:rFonts w:hint="eastAsia" w:ascii="宋体" w:hAnsi="宋体" w:eastAsia="宋体" w:cs="宋体"/>
          <w:color w:val="auto"/>
          <w:sz w:val="21"/>
          <w:szCs w:val="21"/>
          <w:highlight w:val="none"/>
        </w:rPr>
        <w:t>附件5：工程造价咨询委托单</w:t>
      </w:r>
      <w:bookmarkEnd w:id="151"/>
    </w:p>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工程造价咨询委托单</w:t>
      </w:r>
    </w:p>
    <w:tbl>
      <w:tblPr>
        <w:tblStyle w:val="39"/>
        <w:tblpPr w:leftFromText="180" w:rightFromText="180" w:vertAnchor="page" w:horzAnchor="page" w:tblpX="1335" w:tblpY="2638"/>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bookmarkStart w:id="152" w:name="RANGE!A1:D25"/>
            <w:bookmarkEnd w:id="152"/>
            <w:r>
              <w:rPr>
                <w:rFonts w:hint="eastAsia" w:ascii="宋体" w:hAnsi="宋体" w:eastAsia="宋体" w:cs="宋体"/>
                <w:color w:val="auto"/>
                <w:sz w:val="21"/>
                <w:szCs w:val="21"/>
                <w:highlight w:val="none"/>
              </w:rPr>
              <w:t>委托人（单位）：</w:t>
            </w:r>
          </w:p>
        </w:tc>
        <w:tc>
          <w:tcPr>
            <w:tcW w:w="4959"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3" w:type="dxa"/>
            <w:vMerge w:val="restart"/>
            <w:noWrap w:val="0"/>
            <w:vAlign w:val="top"/>
          </w:tcPr>
          <w:p>
            <w:pPr>
              <w:pageBreakBefore w:val="0"/>
              <w:widowControl/>
              <w:kinsoku/>
              <w:wordWrap w:val="0"/>
              <w:overflowPunct/>
              <w:topLinePunct w:val="0"/>
              <w:autoSpaceDE/>
              <w:autoSpaceDN/>
              <w:bidi w:val="0"/>
              <w:adjustRightInd w:val="0"/>
              <w:snapToGrid w:val="0"/>
              <w:spacing w:line="360" w:lineRule="auto"/>
              <w:ind w:righ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委托编号: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4959"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c>
          <w:tcPr>
            <w:tcW w:w="2583" w:type="dxa"/>
            <w:vMerge w:val="continue"/>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工程名称：</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128" w:type="dxa"/>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工程地点：</w:t>
            </w:r>
          </w:p>
        </w:tc>
        <w:tc>
          <w:tcPr>
            <w:tcW w:w="7542" w:type="dxa"/>
            <w:gridSpan w:val="2"/>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670" w:type="dxa"/>
            <w:gridSpan w:val="3"/>
            <w:noWrap w:val="0"/>
            <w:vAlign w:val="top"/>
          </w:tcPr>
          <w:p>
            <w:pPr>
              <w:pageBreakBefore w:val="0"/>
              <w:widowControl/>
              <w:numPr>
                <w:ilvl w:val="0"/>
                <w:numId w:val="12"/>
              </w:numPr>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咨询内容：1.编制/审核预算( □抽筋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不抽筋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定额模式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清单模式)</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2.编制/审核工程标底预算及工程量清单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3.编制/审核估算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4.编制/审核结算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670" w:type="dxa"/>
            <w:gridSpan w:val="3"/>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二、采用造价依据：(1) 按现行计价办法编制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(2) 其它要求:   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670" w:type="dxa"/>
            <w:gridSpan w:val="3"/>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三、时间要求：</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1.技术交底时间：xx 年xx月xx日上午10：00，交底地点：甲方会议室，请贵司业务负责人及经办人参加；</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2.过程中需协调的问题、及无合同单价须定价的项目，请在xxxx年xx月xx日前全部提交；</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3.成果文件初稿需在xx年xx月 xx日前提交；</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4.成果文件终稿需在 xx年xx月xx日前提交，并退回所有从甲方处领取的资料；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四、电子文件命名要求：</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文件名称+终稿日期（合同编号+XX项目XX工程）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如：存在问题2009-10-18（XXX工程）；</w:t>
            </w:r>
          </w:p>
          <w:p>
            <w:pPr>
              <w:pageBreakBefore w:val="0"/>
              <w:widowControl/>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工程预/结算书2009-10-18（XXX工程）；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预/结算审核工程量表2009-10-18（XXX工程）；</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技术经济指标分析表2009-10-18（XXX工程）；</w:t>
            </w:r>
          </w:p>
          <w:p>
            <w:pPr>
              <w:pageBreakBefore w:val="0"/>
              <w:widowControl/>
              <w:tabs>
                <w:tab w:val="left" w:pos="1440"/>
                <w:tab w:val="left" w:pos="4320"/>
                <w:tab w:val="left" w:pos="4500"/>
                <w:tab w:val="left" w:pos="9720"/>
                <w:tab w:val="left" w:pos="9900"/>
              </w:tabs>
              <w:kinsoku/>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招标工程量清单2009-10-18（XXX工程）；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1.请贵司在接到委托单扫描件后8小时内，联系我司招标成本部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（办公室电话：0769-28681293，手机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），并持贵司签字盖章后的委托单及大容量U盘或硬盘到XXXXX领取相关资料。</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2.其他未尽事项按《XXX》（合同编号： XXXX）中相应条款执行。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东莞市旗</w:t>
            </w:r>
            <w:r>
              <w:rPr>
                <w:rFonts w:hint="eastAsia" w:ascii="宋体" w:hAnsi="宋体" w:cs="宋体"/>
                <w:color w:val="auto"/>
                <w:sz w:val="21"/>
                <w:szCs w:val="21"/>
                <w:highlight w:val="none"/>
                <w:lang w:val="en-US" w:eastAsia="zh-CN"/>
              </w:rPr>
              <w:t>创</w:t>
            </w:r>
            <w:r>
              <w:rPr>
                <w:rFonts w:hint="eastAsia" w:ascii="宋体" w:hAnsi="宋体" w:eastAsia="宋体" w:cs="宋体"/>
                <w:color w:val="auto"/>
                <w:sz w:val="21"/>
                <w:szCs w:val="21"/>
                <w:highlight w:val="none"/>
              </w:rPr>
              <w:t>产业投资有限公司招标成本部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5250" w:firstLine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造价咨询公司法定代表人（授权人）(签字盖章)：_________________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咨询方本次项目负责(经办)人：            , 所负责本次项目的名称：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    机：                              座机:0769--                 .</w:t>
            </w: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QQ号:                        </w:t>
            </w: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val="0"/>
          <w:bCs/>
          <w:color w:val="auto"/>
          <w:sz w:val="21"/>
          <w:szCs w:val="21"/>
          <w:highlight w:val="none"/>
        </w:rPr>
      </w:pPr>
      <w:bookmarkStart w:id="153" w:name="_Toc23352"/>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pStyle w:val="5"/>
        <w:pageBreakBefore w:val="0"/>
        <w:widowControl/>
        <w:kinsoku/>
        <w:overflowPunct/>
        <w:topLinePunct w:val="0"/>
        <w:autoSpaceDE/>
        <w:autoSpaceDN/>
        <w:bidi w:val="0"/>
        <w:adjustRightInd w:val="0"/>
        <w:snapToGrid w:val="0"/>
        <w:spacing w:before="0"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附件6：东实集团及下属单位工程建设项目造价编制工作手册</w:t>
      </w:r>
      <w:bookmarkEnd w:id="153"/>
    </w:p>
    <w:tbl>
      <w:tblPr>
        <w:tblStyle w:val="39"/>
        <w:tblW w:w="9437" w:type="dxa"/>
        <w:jc w:val="center"/>
        <w:tblInd w:w="0" w:type="dxa"/>
        <w:tblLayout w:type="fixed"/>
        <w:tblCellMar>
          <w:top w:w="0" w:type="dxa"/>
          <w:left w:w="0" w:type="dxa"/>
          <w:bottom w:w="0" w:type="dxa"/>
          <w:right w:w="0" w:type="dxa"/>
        </w:tblCellMar>
      </w:tblPr>
      <w:tblGrid>
        <w:gridCol w:w="399"/>
        <w:gridCol w:w="2586"/>
        <w:gridCol w:w="232"/>
        <w:gridCol w:w="1408"/>
        <w:gridCol w:w="692"/>
        <w:gridCol w:w="1314"/>
        <w:gridCol w:w="633"/>
        <w:gridCol w:w="1050"/>
        <w:gridCol w:w="1033"/>
        <w:gridCol w:w="90"/>
      </w:tblGrid>
      <w:tr>
        <w:tblPrEx>
          <w:tblLayout w:type="fixed"/>
          <w:tblCellMar>
            <w:top w:w="0" w:type="dxa"/>
            <w:left w:w="0" w:type="dxa"/>
            <w:bottom w:w="0" w:type="dxa"/>
            <w:right w:w="0" w:type="dxa"/>
          </w:tblCellMar>
        </w:tblPrEx>
        <w:trPr>
          <w:trHeight w:val="1035"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806" w:type="dxa"/>
            <w:gridSpan w:val="4"/>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项目接受编号：</w:t>
            </w:r>
          </w:p>
        </w:tc>
      </w:tr>
      <w:tr>
        <w:tblPrEx>
          <w:tblLayout w:type="fixed"/>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东实集团及下属单位工程建设项目</w:t>
            </w:r>
          </w:p>
        </w:tc>
      </w:tr>
      <w:tr>
        <w:tblPrEx>
          <w:tblLayout w:type="fixed"/>
          <w:tblCellMar>
            <w:top w:w="0" w:type="dxa"/>
            <w:left w:w="0" w:type="dxa"/>
            <w:bottom w:w="0" w:type="dxa"/>
            <w:right w:w="0" w:type="dxa"/>
          </w:tblCellMar>
        </w:tblPrEx>
        <w:trPr>
          <w:trHeight w:val="820"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造价编制工作手册</w:t>
            </w:r>
          </w:p>
        </w:tc>
      </w:tr>
      <w:tr>
        <w:tblPrEx>
          <w:tblLayout w:type="fixed"/>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006" w:type="dxa"/>
            <w:gridSpan w:val="2"/>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1168"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建设项目：</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造价咨询服务单位:</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ind w:firstLine="2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tc>
        <w:tc>
          <w:tcPr>
            <w:tcW w:w="5097" w:type="dxa"/>
            <w:gridSpan w:val="5"/>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bidi="ar"/>
              </w:rPr>
              <w:t xml:space="preserve">                           </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造价咨询专业：</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土建</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安装</w:t>
            </w: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□市政</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装饰</w:t>
            </w: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□水利</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园林绿化</w:t>
            </w: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□港口</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□公路</w:t>
            </w:r>
          </w:p>
        </w:tc>
        <w:tc>
          <w:tcPr>
            <w:tcW w:w="2997" w:type="dxa"/>
            <w:gridSpan w:val="3"/>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□甲供材料及设备</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造价咨询类型：</w:t>
            </w: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□概算</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□预算</w:t>
            </w: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□招标控制价</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□进度款</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87"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□拆迁补偿</w:t>
            </w: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w:t>
            </w: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□工程结算</w:t>
            </w: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14" w:hRule="atLeast"/>
          <w:jc w:val="center"/>
        </w:trPr>
        <w:tc>
          <w:tcPr>
            <w:tcW w:w="399"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586"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3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08"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92"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14"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6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5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033"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0" w:type="dxa"/>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62" w:hRule="atLeast"/>
          <w:jc w:val="center"/>
        </w:trPr>
        <w:tc>
          <w:tcPr>
            <w:tcW w:w="9437" w:type="dxa"/>
            <w:gridSpan w:val="10"/>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年    月    日</w:t>
            </w: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6117590" cy="8651240"/>
            <wp:effectExtent l="0" t="0" r="16510" b="16510"/>
            <wp:docPr id="6"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
                    <pic:cNvPicPr>
                      <a:picLocks noChangeAspect="1"/>
                    </pic:cNvPicPr>
                  </pic:nvPicPr>
                  <pic:blipFill>
                    <a:blip r:embed="rId18"/>
                    <a:stretch>
                      <a:fillRect/>
                    </a:stretch>
                  </pic:blipFill>
                  <pic:spPr>
                    <a:xfrm>
                      <a:off x="0" y="0"/>
                      <a:ext cx="6117590" cy="8651240"/>
                    </a:xfrm>
                    <a:prstGeom prst="rect">
                      <a:avLst/>
                    </a:prstGeom>
                    <a:noFill/>
                    <a:ln>
                      <a:noFill/>
                    </a:ln>
                  </pic:spPr>
                </pic:pic>
              </a:graphicData>
            </a:graphic>
          </wp:inline>
        </w:drawing>
      </w:r>
    </w:p>
    <w:tbl>
      <w:tblPr>
        <w:tblStyle w:val="39"/>
        <w:tblW w:w="9487" w:type="dxa"/>
        <w:jc w:val="center"/>
        <w:tblInd w:w="0" w:type="dxa"/>
        <w:tblLayout w:type="fixed"/>
        <w:tblCellMar>
          <w:top w:w="0" w:type="dxa"/>
          <w:left w:w="0" w:type="dxa"/>
          <w:bottom w:w="0" w:type="dxa"/>
          <w:right w:w="0" w:type="dxa"/>
        </w:tblCellMar>
      </w:tblPr>
      <w:tblGrid>
        <w:gridCol w:w="675"/>
        <w:gridCol w:w="1290"/>
        <w:gridCol w:w="1095"/>
        <w:gridCol w:w="1545"/>
        <w:gridCol w:w="1110"/>
        <w:gridCol w:w="1397"/>
        <w:gridCol w:w="1038"/>
        <w:gridCol w:w="1337"/>
      </w:tblGrid>
      <w:tr>
        <w:tblPrEx>
          <w:tblLayout w:type="fixed"/>
          <w:tblCellMar>
            <w:top w:w="0" w:type="dxa"/>
            <w:left w:w="0" w:type="dxa"/>
            <w:bottom w:w="0" w:type="dxa"/>
            <w:right w:w="0" w:type="dxa"/>
          </w:tblCellMar>
        </w:tblPrEx>
        <w:trPr>
          <w:trHeight w:val="540" w:hRule="atLeast"/>
          <w:jc w:val="center"/>
        </w:trPr>
        <w:tc>
          <w:tcPr>
            <w:tcW w:w="9487" w:type="dxa"/>
            <w:gridSpan w:val="8"/>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项目工作流程表（一）</w:t>
            </w:r>
          </w:p>
        </w:tc>
      </w:tr>
      <w:tr>
        <w:tblPrEx>
          <w:tblLayout w:type="fixed"/>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项目接收编号：</w:t>
            </w:r>
          </w:p>
        </w:tc>
        <w:tc>
          <w:tcPr>
            <w:tcW w:w="10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5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11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9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038"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33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中介接收委托阶段</w:t>
            </w: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收到咨询服务合同</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交接项目资料时间</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签收人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154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25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资料接收清单索引号</w:t>
            </w:r>
          </w:p>
        </w:tc>
        <w:tc>
          <w:tcPr>
            <w:tcW w:w="23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用户需求</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要求完成   时间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28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咨询内容     及范围</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3623"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工程概况及其它应说明的事项</w:t>
            </w:r>
          </w:p>
        </w:tc>
        <w:tc>
          <w:tcPr>
            <w:tcW w:w="642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咨询方</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w:t>
            </w:r>
          </w:p>
        </w:tc>
        <w:tc>
          <w:tcPr>
            <w:tcW w:w="40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联系人</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E-mail</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传真</w:t>
            </w:r>
          </w:p>
        </w:tc>
        <w:tc>
          <w:tcPr>
            <w:tcW w:w="13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电话</w:t>
            </w:r>
          </w:p>
        </w:tc>
        <w:tc>
          <w:tcPr>
            <w:tcW w:w="13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9"/>
        <w:tblW w:w="9487" w:type="dxa"/>
        <w:jc w:val="center"/>
        <w:tblInd w:w="0" w:type="dxa"/>
        <w:tblLayout w:type="fixed"/>
        <w:tblCellMar>
          <w:top w:w="0" w:type="dxa"/>
          <w:left w:w="0" w:type="dxa"/>
          <w:bottom w:w="0" w:type="dxa"/>
          <w:right w:w="0" w:type="dxa"/>
        </w:tblCellMar>
      </w:tblPr>
      <w:tblGrid>
        <w:gridCol w:w="675"/>
        <w:gridCol w:w="1875"/>
        <w:gridCol w:w="1620"/>
        <w:gridCol w:w="1845"/>
        <w:gridCol w:w="1560"/>
        <w:gridCol w:w="1912"/>
      </w:tblGrid>
      <w:tr>
        <w:tblPrEx>
          <w:tblLayout w:type="fixed"/>
          <w:tblCellMar>
            <w:top w:w="0" w:type="dxa"/>
            <w:left w:w="0" w:type="dxa"/>
            <w:bottom w:w="0" w:type="dxa"/>
            <w:right w:w="0" w:type="dxa"/>
          </w:tblCellMar>
        </w:tblPrEx>
        <w:trPr>
          <w:trHeight w:val="45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tblPrEx>
          <w:tblLayout w:type="fixed"/>
          <w:tblCellMar>
            <w:top w:w="0" w:type="dxa"/>
            <w:left w:w="0" w:type="dxa"/>
            <w:bottom w:w="0" w:type="dxa"/>
            <w:right w:w="0" w:type="dxa"/>
          </w:tblCellMar>
        </w:tblPrEx>
        <w:trPr>
          <w:trHeight w:val="435" w:hRule="atLeast"/>
          <w:jc w:val="center"/>
        </w:trPr>
        <w:tc>
          <w:tcPr>
            <w:tcW w:w="2550" w:type="dxa"/>
            <w:gridSpan w:val="2"/>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62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中介咨询计划</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复核人员</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专业技术人员</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132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质量目标</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进度计划</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提交咨询成果文件时间：    年   月   日前。</w:t>
            </w:r>
          </w:p>
        </w:tc>
      </w:tr>
      <w:tr>
        <w:tblPrEx>
          <w:tblLayout w:type="fixed"/>
          <w:tblCellMar>
            <w:top w:w="0" w:type="dxa"/>
            <w:left w:w="0" w:type="dxa"/>
            <w:bottom w:w="0" w:type="dxa"/>
            <w:right w:w="0" w:type="dxa"/>
          </w:tblCellMar>
        </w:tblPrEx>
        <w:trPr>
          <w:trHeight w:val="169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咨询实施方案</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中介机构领导审批</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咨询工作记录</w:t>
            </w:r>
          </w:p>
        </w:tc>
      </w:tr>
      <w:tr>
        <w:tblPrEx>
          <w:tblLayout w:type="fixed"/>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送审资料的完           整性审查意见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1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92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采购文件审查意见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115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合同文件审查意见</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定额版本</w:t>
            </w:r>
          </w:p>
        </w:tc>
        <w:tc>
          <w:tcPr>
            <w:tcW w:w="693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计费程序文件号</w:t>
            </w:r>
          </w:p>
        </w:tc>
        <w:tc>
          <w:tcPr>
            <w:tcW w:w="34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材料价格        计价时点</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9"/>
        <w:tblW w:w="9487" w:type="dxa"/>
        <w:jc w:val="center"/>
        <w:tblInd w:w="0" w:type="dxa"/>
        <w:tblLayout w:type="fixed"/>
        <w:tblCellMar>
          <w:top w:w="0" w:type="dxa"/>
          <w:left w:w="0" w:type="dxa"/>
          <w:bottom w:w="0" w:type="dxa"/>
          <w:right w:w="0" w:type="dxa"/>
        </w:tblCellMar>
      </w:tblPr>
      <w:tblGrid>
        <w:gridCol w:w="675"/>
        <w:gridCol w:w="2042"/>
        <w:gridCol w:w="1453"/>
        <w:gridCol w:w="1845"/>
        <w:gridCol w:w="1560"/>
        <w:gridCol w:w="1912"/>
      </w:tblGrid>
      <w:tr>
        <w:tblPrEx>
          <w:tblLayout w:type="fixed"/>
          <w:tblCellMar>
            <w:top w:w="0" w:type="dxa"/>
            <w:left w:w="0" w:type="dxa"/>
            <w:bottom w:w="0" w:type="dxa"/>
            <w:right w:w="0" w:type="dxa"/>
          </w:tblCellMar>
        </w:tblPrEx>
        <w:trPr>
          <w:trHeight w:val="540" w:hRule="atLeast"/>
          <w:jc w:val="center"/>
        </w:trPr>
        <w:tc>
          <w:tcPr>
            <w:tcW w:w="9487"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项目工作流程表（二）</w:t>
            </w:r>
          </w:p>
        </w:tc>
      </w:tr>
      <w:tr>
        <w:tblPrEx>
          <w:tblLayout w:type="fixed"/>
          <w:tblCellMar>
            <w:top w:w="0" w:type="dxa"/>
            <w:left w:w="0" w:type="dxa"/>
            <w:bottom w:w="0" w:type="dxa"/>
            <w:right w:w="0" w:type="dxa"/>
          </w:tblCellMar>
        </w:tblPrEx>
        <w:trPr>
          <w:trHeight w:val="561" w:hRule="atLeast"/>
          <w:jc w:val="center"/>
        </w:trPr>
        <w:tc>
          <w:tcPr>
            <w:tcW w:w="2717" w:type="dxa"/>
            <w:gridSpan w:val="2"/>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53"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4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56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1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trHeight w:val="897"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中介提供咨询服务阶段</w:t>
            </w: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市场询价情况（询价表作为附件备查）</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5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重大事项处理意见</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832"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其他事项</w:t>
            </w:r>
          </w:p>
        </w:tc>
        <w:tc>
          <w:tcPr>
            <w:tcW w:w="67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现场踏勘情况记录表</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申请现场踏勘时间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实际现场踏勘时间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委托单位主动提出补充资料情况</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收到补充资料时间</w:t>
            </w: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补充资料名称 （注明变更设计编号、时间）         </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85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中介主动提出补充资料情况</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提出补充资料时间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补充资料名称（注明索引号）</w:t>
            </w: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81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申请延期情况</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申请时间</w:t>
            </w: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实际完成时间</w:t>
            </w: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评审期限延缓申请书（注明索引号）</w:t>
            </w:r>
          </w:p>
        </w:tc>
      </w:tr>
      <w:tr>
        <w:tblPrEx>
          <w:tblLayout w:type="fixed"/>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47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649.65pt;width:463.5pt;" o:ole="t" fillcolor="#FFFFFF" filled="t" o:preferrelative="t" stroked="t" coordsize="21600,21600">
            <v:path/>
            <v:fill on="t" color2="#FFFFFF" focussize="0,0"/>
            <v:stroke joinstyle="miter"/>
            <v:imagedata r:id="rId20" o:title=""/>
            <o:lock v:ext="edit" aspectratio="f"/>
            <w10:wrap type="none"/>
            <w10:anchorlock/>
          </v:shape>
          <o:OLEObject Type="Embed" ProgID="Word.Document.8" ShapeID="_x0000_i1025" DrawAspect="Content" ObjectID="_1468075725" r:id="rId19">
            <o:LockedField>false</o:LockedField>
          </o:OLEObject>
        </w:object>
      </w:r>
    </w:p>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9"/>
        <w:tblW w:w="9624" w:type="dxa"/>
        <w:jc w:val="center"/>
        <w:tblInd w:w="0" w:type="dxa"/>
        <w:tblLayout w:type="fixed"/>
        <w:tblCellMar>
          <w:top w:w="0" w:type="dxa"/>
          <w:left w:w="0" w:type="dxa"/>
          <w:bottom w:w="0" w:type="dxa"/>
          <w:right w:w="0" w:type="dxa"/>
        </w:tblCellMar>
      </w:tblPr>
      <w:tblGrid>
        <w:gridCol w:w="1430"/>
        <w:gridCol w:w="1447"/>
        <w:gridCol w:w="1742"/>
        <w:gridCol w:w="1742"/>
        <w:gridCol w:w="1875"/>
        <w:gridCol w:w="1388"/>
      </w:tblGrid>
      <w:tr>
        <w:tblPrEx>
          <w:tblLayout w:type="fixed"/>
          <w:tblCellMar>
            <w:top w:w="0" w:type="dxa"/>
            <w:left w:w="0" w:type="dxa"/>
            <w:bottom w:w="0" w:type="dxa"/>
            <w:right w:w="0" w:type="dxa"/>
          </w:tblCellMar>
        </w:tblPrEx>
        <w:trPr>
          <w:trHeight w:val="499"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项目工作流程表（三）</w:t>
            </w:r>
          </w:p>
        </w:tc>
      </w:tr>
      <w:tr>
        <w:tblPrEx>
          <w:tblLayout w:type="fixed"/>
          <w:tblCellMar>
            <w:top w:w="0" w:type="dxa"/>
            <w:left w:w="0" w:type="dxa"/>
            <w:bottom w:w="0" w:type="dxa"/>
            <w:right w:w="0" w:type="dxa"/>
          </w:tblCellMar>
        </w:tblPrEx>
        <w:trPr>
          <w:trHeight w:val="499" w:hRule="atLeast"/>
          <w:jc w:val="center"/>
        </w:trPr>
        <w:tc>
          <w:tcPr>
            <w:tcW w:w="1430"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1447"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1388"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7" name="Line_4"/>
                  <wp:cNvGraphicFramePr/>
                  <a:graphic xmlns:a="http://schemas.openxmlformats.org/drawingml/2006/main">
                    <a:graphicData uri="http://schemas.openxmlformats.org/drawingml/2006/picture">
                      <pic:pic xmlns:pic="http://schemas.openxmlformats.org/drawingml/2006/picture">
                        <pic:nvPicPr>
                          <pic:cNvPr id="7" name="Line_4"/>
                          <pic:cNvPicPr/>
                        </pic:nvPicPr>
                        <pic:blipFill>
                          <a:blip r:embed="rId21"/>
                          <a:stretch>
                            <a:fillRect/>
                          </a:stretch>
                        </pic:blipFill>
                        <pic:spPr>
                          <a:xfrm>
                            <a:off x="0" y="0"/>
                            <a:ext cx="6324600"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中介提供咨询服务阶段</w:t>
            </w:r>
          </w:p>
        </w:tc>
        <w:tc>
          <w:tcPr>
            <w:tcW w:w="819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咨询成果审批</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初步咨询造价</w:t>
            </w:r>
          </w:p>
        </w:tc>
        <w:tc>
          <w:tcPr>
            <w:tcW w:w="34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内部复核情况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第四次</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项目负责人（或技术负责人）审批情况</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日期：</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签名：</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31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初步咨询结果提交委托人时间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143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委托人评审阶段</w:t>
            </w:r>
          </w:p>
        </w:tc>
        <w:tc>
          <w:tcPr>
            <w:tcW w:w="3189"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委托人接收项目资料时间</w:t>
            </w:r>
          </w:p>
        </w:tc>
        <w:tc>
          <w:tcPr>
            <w:tcW w:w="17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8" name="Text_Box_2"/>
                  <wp:cNvGraphicFramePr/>
                  <a:graphic xmlns:a="http://schemas.openxmlformats.org/drawingml/2006/main">
                    <a:graphicData uri="http://schemas.openxmlformats.org/drawingml/2006/picture">
                      <pic:pic xmlns:pic="http://schemas.openxmlformats.org/drawingml/2006/picture">
                        <pic:nvPicPr>
                          <pic:cNvPr id="8" name="Text_Box_2"/>
                          <pic:cNvPicPr/>
                        </pic:nvPicPr>
                        <pic:blipFill>
                          <a:blip r:embed="rId22"/>
                          <a:stretch>
                            <a:fillRect/>
                          </a:stretch>
                        </pic:blipFill>
                        <pic:spPr>
                          <a:xfrm>
                            <a:off x="0" y="0"/>
                            <a:ext cx="76835" cy="219710"/>
                          </a:xfrm>
                          <a:prstGeom prst="rect">
                            <a:avLst/>
                          </a:prstGeom>
                          <a:noFill/>
                          <a:ln>
                            <a:noFill/>
                          </a:ln>
                        </pic:spPr>
                      </pic:pic>
                    </a:graphicData>
                  </a:graphic>
                </wp:anchor>
              </w:drawing>
            </w:r>
          </w:p>
        </w:tc>
        <w:tc>
          <w:tcPr>
            <w:tcW w:w="187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送审资料是否完整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tblPrEx>
          <w:tblLayout w:type="fixed"/>
          <w:tblCellMar>
            <w:top w:w="0" w:type="dxa"/>
            <w:left w:w="0" w:type="dxa"/>
            <w:bottom w:w="0" w:type="dxa"/>
            <w:right w:w="0" w:type="dxa"/>
          </w:tblCellMar>
        </w:tblPrEx>
        <w:trPr>
          <w:trHeight w:val="6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工作手册填写是否完整</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   □不完整</w:t>
            </w:r>
          </w:p>
        </w:tc>
        <w:tc>
          <w:tcPr>
            <w:tcW w:w="50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缺失情况：</w:t>
            </w:r>
          </w:p>
        </w:tc>
      </w:tr>
      <w:tr>
        <w:tblPrEx>
          <w:tblLayout w:type="fixed"/>
          <w:tblCellMar>
            <w:top w:w="0" w:type="dxa"/>
            <w:left w:w="0" w:type="dxa"/>
            <w:bottom w:w="0" w:type="dxa"/>
            <w:right w:w="0" w:type="dxa"/>
          </w:tblCellMar>
        </w:tblPrEx>
        <w:trPr>
          <w:trHeight w:val="355"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中介初步咨询成果存在的问题及建议(详细复核记录可作为附件备查):</w:t>
            </w: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7"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42"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7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8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90" w:hRule="atLeast"/>
          <w:jc w:val="center"/>
        </w:trPr>
        <w:tc>
          <w:tcPr>
            <w:tcW w:w="143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8194" w:type="dxa"/>
            <w:gridSpan w:val="5"/>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经办人签名:</w:t>
            </w:r>
          </w:p>
        </w:tc>
      </w:tr>
      <w:tr>
        <w:tblPrEx>
          <w:tblLayout w:type="fixed"/>
          <w:tblCellMar>
            <w:top w:w="0" w:type="dxa"/>
            <w:left w:w="0" w:type="dxa"/>
            <w:bottom w:w="0" w:type="dxa"/>
            <w:right w:w="0" w:type="dxa"/>
          </w:tblCellMar>
        </w:tblPrEx>
        <w:trPr>
          <w:trHeight w:val="540" w:hRule="atLeast"/>
          <w:jc w:val="center"/>
        </w:trPr>
        <w:tc>
          <w:tcPr>
            <w:tcW w:w="14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中介与委托人对数情况</w:t>
            </w: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时间（第一次）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时间（第二次）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r>
        <w:tblPrEx>
          <w:tblLayout w:type="fixed"/>
          <w:tblCellMar>
            <w:top w:w="0" w:type="dxa"/>
            <w:left w:w="0" w:type="dxa"/>
            <w:bottom w:w="0" w:type="dxa"/>
            <w:right w:w="0" w:type="dxa"/>
          </w:tblCellMar>
        </w:tblPrEx>
        <w:trPr>
          <w:trHeight w:val="540" w:hRule="atLeast"/>
          <w:jc w:val="center"/>
        </w:trPr>
        <w:tc>
          <w:tcPr>
            <w:tcW w:w="14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时间（第三次）</w:t>
            </w: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3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   □无</w:t>
            </w:r>
          </w:p>
        </w:tc>
      </w:tr>
    </w:tbl>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br w:type="page"/>
      </w:r>
    </w:p>
    <w:tbl>
      <w:tblPr>
        <w:tblStyle w:val="39"/>
        <w:tblW w:w="9624" w:type="dxa"/>
        <w:jc w:val="center"/>
        <w:tblInd w:w="0" w:type="dxa"/>
        <w:tblLayout w:type="fixed"/>
        <w:tblCellMar>
          <w:top w:w="0" w:type="dxa"/>
          <w:left w:w="0" w:type="dxa"/>
          <w:bottom w:w="0" w:type="dxa"/>
          <w:right w:w="0" w:type="dxa"/>
        </w:tblCellMar>
      </w:tblPr>
      <w:tblGrid>
        <w:gridCol w:w="735"/>
        <w:gridCol w:w="735"/>
        <w:gridCol w:w="1635"/>
        <w:gridCol w:w="2295"/>
        <w:gridCol w:w="2295"/>
        <w:gridCol w:w="1929"/>
      </w:tblGrid>
      <w:tr>
        <w:tblPrEx>
          <w:tblLayout w:type="fixed"/>
          <w:tblCellMar>
            <w:top w:w="0" w:type="dxa"/>
            <w:left w:w="0" w:type="dxa"/>
            <w:bottom w:w="0" w:type="dxa"/>
            <w:right w:w="0" w:type="dxa"/>
          </w:tblCellMar>
        </w:tblPrEx>
        <w:trPr>
          <w:trHeight w:val="522" w:hRule="atLeast"/>
          <w:jc w:val="center"/>
        </w:trPr>
        <w:tc>
          <w:tcPr>
            <w:tcW w:w="9624" w:type="dxa"/>
            <w:gridSpan w:val="6"/>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项目工作流程表（四）</w:t>
            </w:r>
          </w:p>
        </w:tc>
      </w:tr>
      <w:tr>
        <w:tblPrEx>
          <w:tblLayout w:type="fixed"/>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分项工程名称：</w:t>
            </w:r>
          </w:p>
        </w:tc>
        <w:tc>
          <w:tcPr>
            <w:tcW w:w="7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929"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9" name="Line_3"/>
                  <wp:cNvGraphicFramePr/>
                  <a:graphic xmlns:a="http://schemas.openxmlformats.org/drawingml/2006/main">
                    <a:graphicData uri="http://schemas.openxmlformats.org/drawingml/2006/picture">
                      <pic:pic xmlns:pic="http://schemas.openxmlformats.org/drawingml/2006/picture">
                        <pic:nvPicPr>
                          <pic:cNvPr id="9" name="Line_3"/>
                          <pic:cNvPicPr/>
                        </pic:nvPicPr>
                        <pic:blipFill>
                          <a:blip r:embed="rId23"/>
                          <a:stretch>
                            <a:fillRect/>
                          </a:stretch>
                        </pic:blipFill>
                        <pic:spPr>
                          <a:xfrm>
                            <a:off x="0" y="0"/>
                            <a:ext cx="1524635" cy="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对数后修改情况</w:t>
            </w:r>
          </w:p>
        </w:tc>
        <w:tc>
          <w:tcPr>
            <w:tcW w:w="6960" w:type="dxa"/>
            <w:gridSpan w:val="4"/>
            <w:tcBorders>
              <w:top w:val="single" w:color="000000" w:sz="4" w:space="0"/>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每一次修改情况说明（修改情况说明书可作为附件备查）：</w:t>
            </w:r>
          </w:p>
        </w:tc>
        <w:tc>
          <w:tcPr>
            <w:tcW w:w="1929" w:type="dxa"/>
            <w:tcBorders>
              <w:top w:val="single" w:color="000000" w:sz="4" w:space="0"/>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35" w:type="dxa"/>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3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117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nil"/>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nil"/>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nil"/>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0" name="Line_2"/>
                  <wp:cNvGraphicFramePr/>
                  <a:graphic xmlns:a="http://schemas.openxmlformats.org/drawingml/2006/main">
                    <a:graphicData uri="http://schemas.openxmlformats.org/drawingml/2006/picture">
                      <pic:pic xmlns:pic="http://schemas.openxmlformats.org/drawingml/2006/picture">
                        <pic:nvPicPr>
                          <pic:cNvPr id="10" name="Line_2"/>
                          <pic:cNvPicPr/>
                        </pic:nvPicPr>
                        <pic:blipFill>
                          <a:blip r:embed="rId24"/>
                          <a:stretch>
                            <a:fillRect/>
                          </a:stretch>
                        </pic:blipFill>
                        <pic:spPr>
                          <a:xfrm>
                            <a:off x="0" y="0"/>
                            <a:ext cx="1514475" cy="0"/>
                          </a:xfrm>
                          <a:prstGeom prst="rect">
                            <a:avLst/>
                          </a:prstGeom>
                          <a:noFill/>
                          <a:ln>
                            <a:noFill/>
                          </a:ln>
                        </pic:spPr>
                      </pic:pic>
                    </a:graphicData>
                  </a:graphic>
                </wp:anchor>
              </w:drawing>
            </w:r>
            <w:r>
              <w:rPr>
                <w:rFonts w:hint="eastAsia" w:ascii="宋体" w:hAnsi="宋体" w:eastAsia="宋体" w:cs="宋体"/>
                <w:color w:val="auto"/>
                <w:sz w:val="21"/>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11" name="图片 6"/>
                  <wp:cNvGraphicFramePr/>
                  <a:graphic xmlns:a="http://schemas.openxmlformats.org/drawingml/2006/main">
                    <a:graphicData uri="http://schemas.openxmlformats.org/drawingml/2006/picture">
                      <pic:pic xmlns:pic="http://schemas.openxmlformats.org/drawingml/2006/picture">
                        <pic:nvPicPr>
                          <pic:cNvPr id="11" name="图片 6"/>
                          <pic:cNvPicPr/>
                        </pic:nvPicPr>
                        <pic:blipFill>
                          <a:blip r:embed="rId25"/>
                          <a:stretch>
                            <a:fillRect/>
                          </a:stretch>
                        </pic:blipFill>
                        <pic:spPr>
                          <a:xfrm>
                            <a:off x="0" y="0"/>
                            <a:ext cx="1524635" cy="266700"/>
                          </a:xfrm>
                          <a:prstGeom prst="rect">
                            <a:avLst/>
                          </a:prstGeom>
                          <a:noFill/>
                          <a:ln>
                            <a:noFill/>
                          </a:ln>
                        </pic:spPr>
                      </pic:pic>
                    </a:graphicData>
                  </a:graphic>
                </wp:anchor>
              </w:drawing>
            </w:r>
            <w:r>
              <w:rPr>
                <w:rFonts w:hint="eastAsia" w:ascii="宋体" w:hAnsi="宋体" w:eastAsia="宋体" w:cs="宋体"/>
                <w:color w:val="auto"/>
                <w:sz w:val="21"/>
                <w:szCs w:val="21"/>
                <w:highlight w:val="none"/>
                <w:lang w:bidi="ar"/>
              </w:rPr>
              <w:t>中介再次提交委托人审核情况</w:t>
            </w:r>
          </w:p>
        </w:tc>
        <w:tc>
          <w:tcPr>
            <w:tcW w:w="735" w:type="dxa"/>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w:t>
            </w:r>
          </w:p>
        </w:tc>
        <w:tc>
          <w:tcPr>
            <w:tcW w:w="1635" w:type="dxa"/>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righ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修改次数</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第一次</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第二次</w:t>
            </w: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第三次</w:t>
            </w:r>
          </w:p>
        </w:tc>
      </w:tr>
      <w:tr>
        <w:tblPrEx>
          <w:tblLayout w:type="fixed"/>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接收时间</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送审金额</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委托部门                  接收人员签名</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9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bl>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9"/>
        <w:tblW w:w="10241" w:type="dxa"/>
        <w:jc w:val="center"/>
        <w:tblInd w:w="0" w:type="dxa"/>
        <w:tblLayout w:type="fixed"/>
        <w:tblCellMar>
          <w:top w:w="0" w:type="dxa"/>
          <w:left w:w="0" w:type="dxa"/>
          <w:bottom w:w="0" w:type="dxa"/>
          <w:right w:w="0" w:type="dxa"/>
        </w:tblCellMar>
      </w:tblPr>
      <w:tblGrid>
        <w:gridCol w:w="561"/>
        <w:gridCol w:w="382"/>
        <w:gridCol w:w="499"/>
        <w:gridCol w:w="26"/>
        <w:gridCol w:w="406"/>
        <w:gridCol w:w="989"/>
        <w:gridCol w:w="339"/>
        <w:gridCol w:w="584"/>
        <w:gridCol w:w="483"/>
        <w:gridCol w:w="483"/>
        <w:gridCol w:w="309"/>
        <w:gridCol w:w="294"/>
        <w:gridCol w:w="320"/>
        <w:gridCol w:w="603"/>
        <w:gridCol w:w="184"/>
        <w:gridCol w:w="414"/>
        <w:gridCol w:w="131"/>
        <w:gridCol w:w="378"/>
        <w:gridCol w:w="742"/>
        <w:gridCol w:w="513"/>
        <w:gridCol w:w="417"/>
        <w:gridCol w:w="450"/>
        <w:gridCol w:w="59"/>
        <w:gridCol w:w="71"/>
        <w:gridCol w:w="203"/>
        <w:gridCol w:w="140"/>
        <w:gridCol w:w="261"/>
      </w:tblGrid>
      <w:tr>
        <w:tblPrEx>
          <w:tblLayout w:type="fixed"/>
          <w:tblCellMar>
            <w:top w:w="0" w:type="dxa"/>
            <w:left w:w="0" w:type="dxa"/>
            <w:bottom w:w="0" w:type="dxa"/>
            <w:right w:w="0" w:type="dxa"/>
          </w:tblCellMar>
        </w:tblPrEx>
        <w:trPr>
          <w:gridAfter w:val="3"/>
          <w:wAfter w:w="604" w:type="dxa"/>
          <w:trHeight w:val="450" w:hRule="atLeast"/>
          <w:jc w:val="center"/>
        </w:trPr>
        <w:tc>
          <w:tcPr>
            <w:tcW w:w="9637" w:type="dxa"/>
            <w:gridSpan w:val="24"/>
            <w:noWrap w:val="0"/>
            <w:tcMar>
              <w:top w:w="15" w:type="dxa"/>
              <w:left w:w="15" w:type="dxa"/>
              <w:right w:w="15" w:type="dxa"/>
            </w:tcMar>
            <w:vAlign w:val="center"/>
          </w:tcPr>
          <w:p>
            <w:pPr>
              <w:pageBreakBefore w:val="0"/>
              <w:widowControl/>
              <w:tabs>
                <w:tab w:val="left" w:pos="5595"/>
              </w:tabs>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bidi="ar"/>
              </w:rPr>
              <w:t>项目工作流程表（五）</w:t>
            </w:r>
          </w:p>
        </w:tc>
      </w:tr>
      <w:tr>
        <w:tblPrEx>
          <w:tblLayout w:type="fixed"/>
          <w:tblCellMar>
            <w:top w:w="0" w:type="dxa"/>
            <w:left w:w="0" w:type="dxa"/>
            <w:bottom w:w="0" w:type="dxa"/>
            <w:right w:w="0" w:type="dxa"/>
          </w:tblCellMar>
        </w:tblPrEx>
        <w:trPr>
          <w:gridAfter w:val="3"/>
          <w:wAfter w:w="604" w:type="dxa"/>
          <w:trHeight w:val="353" w:hRule="atLeast"/>
          <w:jc w:val="center"/>
        </w:trPr>
        <w:tc>
          <w:tcPr>
            <w:tcW w:w="1442" w:type="dxa"/>
            <w:gridSpan w:val="3"/>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1760" w:type="dxa"/>
            <w:gridSpan w:val="4"/>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59" w:type="dxa"/>
            <w:gridSpan w:val="4"/>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1815" w:type="dxa"/>
            <w:gridSpan w:val="5"/>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rPr>
            </w:pPr>
          </w:p>
        </w:tc>
        <w:tc>
          <w:tcPr>
            <w:tcW w:w="2761" w:type="dxa"/>
            <w:gridSpan w:val="8"/>
            <w:tcBorders>
              <w:bottom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gridAfter w:val="3"/>
          <w:wAfter w:w="604" w:type="dxa"/>
          <w:trHeight w:val="386" w:hRule="atLeast"/>
          <w:jc w:val="center"/>
        </w:trPr>
        <w:tc>
          <w:tcPr>
            <w:tcW w:w="9637" w:type="dxa"/>
            <w:gridSpan w:val="2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成果文件阶段</w:t>
            </w:r>
          </w:p>
        </w:tc>
      </w:tr>
      <w:tr>
        <w:tblPrEx>
          <w:tblLayout w:type="fixed"/>
          <w:tblCellMar>
            <w:top w:w="0" w:type="dxa"/>
            <w:left w:w="0" w:type="dxa"/>
            <w:bottom w:w="0" w:type="dxa"/>
            <w:right w:w="0" w:type="dxa"/>
          </w:tblCellMar>
        </w:tblPrEx>
        <w:trPr>
          <w:gridAfter w:val="3"/>
          <w:wAfter w:w="604" w:type="dxa"/>
          <w:trHeight w:val="401" w:hRule="atLeast"/>
          <w:jc w:val="center"/>
        </w:trPr>
        <w:tc>
          <w:tcPr>
            <w:tcW w:w="3202"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项目定案时间</w:t>
            </w:r>
          </w:p>
        </w:tc>
        <w:tc>
          <w:tcPr>
            <w:tcW w:w="1859"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定案造价</w:t>
            </w: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608" w:hRule="atLeast"/>
          <w:jc w:val="center"/>
        </w:trPr>
        <w:tc>
          <w:tcPr>
            <w:tcW w:w="3202"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中介单位项目资料移交归档时间</w:t>
            </w:r>
          </w:p>
        </w:tc>
        <w:tc>
          <w:tcPr>
            <w:tcW w:w="1859"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委托单位接收人员签名</w:t>
            </w: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9637" w:type="dxa"/>
            <w:gridSpan w:val="2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归档资料清单</w:t>
            </w: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资料名称</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资料目录或内容索引号</w:t>
            </w: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图纸</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工程量计算底稿及电子文件</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3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成果文件及电子文件</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备查资料</w:t>
            </w: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401" w:hRule="atLeast"/>
          <w:jc w:val="center"/>
        </w:trPr>
        <w:tc>
          <w:tcPr>
            <w:tcW w:w="144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3619"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1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76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3"/>
          <w:wAfter w:w="604" w:type="dxa"/>
          <w:trHeight w:val="575" w:hRule="atLeast"/>
          <w:jc w:val="center"/>
        </w:trPr>
        <w:tc>
          <w:tcPr>
            <w:tcW w:w="9637" w:type="dxa"/>
            <w:gridSpan w:val="24"/>
            <w:tcBorders>
              <w:top w:val="single" w:color="auto"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说明：1、如资料较多，可另附详细资料清单，在本表记录主要内容和资料页数，在备注栏内注明是否完整和详见X附件。</w:t>
            </w:r>
          </w:p>
        </w:tc>
      </w:tr>
      <w:tr>
        <w:tblPrEx>
          <w:tblLayout w:type="fixed"/>
          <w:tblCellMar>
            <w:top w:w="0" w:type="dxa"/>
            <w:left w:w="0" w:type="dxa"/>
            <w:bottom w:w="0" w:type="dxa"/>
            <w:right w:w="0" w:type="dxa"/>
          </w:tblCellMar>
        </w:tblPrEx>
        <w:trPr>
          <w:gridAfter w:val="3"/>
          <w:wAfter w:w="604" w:type="dxa"/>
          <w:trHeight w:val="401" w:hRule="atLeast"/>
          <w:jc w:val="center"/>
        </w:trPr>
        <w:tc>
          <w:tcPr>
            <w:tcW w:w="9637" w:type="dxa"/>
            <w:gridSpan w:val="24"/>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tblPrEx>
          <w:tblLayout w:type="fixed"/>
          <w:tblCellMar>
            <w:top w:w="0" w:type="dxa"/>
            <w:left w:w="0" w:type="dxa"/>
            <w:bottom w:w="0" w:type="dxa"/>
            <w:right w:w="0" w:type="dxa"/>
          </w:tblCellMar>
        </w:tblPrEx>
        <w:trPr>
          <w:gridAfter w:val="3"/>
          <w:wAfter w:w="604" w:type="dxa"/>
          <w:trHeight w:val="389" w:hRule="atLeast"/>
          <w:jc w:val="center"/>
        </w:trPr>
        <w:tc>
          <w:tcPr>
            <w:tcW w:w="9637" w:type="dxa"/>
            <w:gridSpan w:val="24"/>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3、本评审手册由被委托单位移交委托人存档。</w:t>
            </w:r>
          </w:p>
        </w:tc>
      </w:tr>
      <w:tr>
        <w:tblPrEx>
          <w:tblLayout w:type="fixed"/>
          <w:tblCellMar>
            <w:top w:w="0" w:type="dxa"/>
            <w:left w:w="0" w:type="dxa"/>
            <w:bottom w:w="0" w:type="dxa"/>
            <w:right w:w="0" w:type="dxa"/>
          </w:tblCellMar>
        </w:tblPrEx>
        <w:trPr>
          <w:gridAfter w:val="3"/>
          <w:wAfter w:w="604" w:type="dxa"/>
          <w:trHeight w:val="583" w:hRule="atLeast"/>
          <w:jc w:val="center"/>
        </w:trPr>
        <w:tc>
          <w:tcPr>
            <w:tcW w:w="9637" w:type="dxa"/>
            <w:gridSpan w:val="24"/>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      4、工程量计算底稿如使用专用软件计算的，只打印分楼层分部位的汇总表，不需打印构件明细表。</w:t>
            </w:r>
          </w:p>
        </w:tc>
      </w:tr>
      <w:tr>
        <w:tblPrEx>
          <w:tblLayout w:type="fixed"/>
          <w:tblCellMar>
            <w:top w:w="0" w:type="dxa"/>
            <w:left w:w="0" w:type="dxa"/>
            <w:bottom w:w="0" w:type="dxa"/>
            <w:right w:w="0" w:type="dxa"/>
          </w:tblCellMar>
        </w:tblPrEx>
        <w:trPr>
          <w:gridAfter w:val="4"/>
          <w:wAfter w:w="675" w:type="dxa"/>
          <w:trHeight w:val="204"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11"/>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附件1</w:t>
            </w:r>
          </w:p>
        </w:tc>
      </w:tr>
      <w:tr>
        <w:tblPrEx>
          <w:tblLayout w:type="fixed"/>
          <w:tblCellMar>
            <w:top w:w="0" w:type="dxa"/>
            <w:left w:w="0" w:type="dxa"/>
            <w:bottom w:w="0" w:type="dxa"/>
            <w:right w:w="0" w:type="dxa"/>
          </w:tblCellMar>
        </w:tblPrEx>
        <w:trPr>
          <w:gridAfter w:val="4"/>
          <w:wAfter w:w="675" w:type="dxa"/>
          <w:trHeight w:val="337" w:hRule="atLeast"/>
          <w:jc w:val="center"/>
        </w:trPr>
        <w:tc>
          <w:tcPr>
            <w:tcW w:w="9566" w:type="dxa"/>
            <w:gridSpan w:val="23"/>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咨询项目备查资料清单</w:t>
            </w:r>
          </w:p>
        </w:tc>
      </w:tr>
      <w:tr>
        <w:tblPrEx>
          <w:tblLayout w:type="fixed"/>
          <w:tblCellMar>
            <w:top w:w="0" w:type="dxa"/>
            <w:left w:w="0" w:type="dxa"/>
            <w:bottom w:w="0" w:type="dxa"/>
            <w:right w:w="0" w:type="dxa"/>
          </w:tblCellMar>
        </w:tblPrEx>
        <w:trPr>
          <w:gridAfter w:val="4"/>
          <w:wAfter w:w="675" w:type="dxa"/>
          <w:trHeight w:val="301" w:hRule="atLeast"/>
          <w:jc w:val="center"/>
        </w:trPr>
        <w:tc>
          <w:tcPr>
            <w:tcW w:w="5355" w:type="dxa"/>
            <w:gridSpan w:val="12"/>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923" w:type="dxa"/>
            <w:gridSpan w:val="2"/>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120" w:type="dxa"/>
            <w:gridSpan w:val="2"/>
            <w:tcBorders>
              <w:top w:val="nil"/>
              <w:left w:val="nil"/>
              <w:bottom w:val="nil"/>
              <w:right w:val="nil"/>
            </w:tcBorders>
            <w:noWrap w:val="0"/>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439" w:type="dxa"/>
            <w:gridSpan w:val="4"/>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r>
      <w:tr>
        <w:tblPrEx>
          <w:tblLayout w:type="fixed"/>
          <w:tblCellMar>
            <w:top w:w="0" w:type="dxa"/>
            <w:left w:w="0" w:type="dxa"/>
            <w:bottom w:w="0" w:type="dxa"/>
            <w:right w:w="0" w:type="dxa"/>
          </w:tblCellMar>
        </w:tblPrEx>
        <w:trPr>
          <w:gridAfter w:val="4"/>
          <w:wAfter w:w="675" w:type="dxa"/>
          <w:trHeight w:val="64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序号</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名称或内容</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有无</w:t>
            </w: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页数</w:t>
            </w: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分项底稿      索引号</w:t>
            </w: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备注</w:t>
            </w: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项目操作人员配置一览表</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资料接收清单</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工程造价计算底稿</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工程答疑情况记录</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工程现场查勘情况记录</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对数备忘录</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评审期限延缓申请书</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材料（设备）价格信息电话询价记录表</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材料（设备）价格信息供应商书面报价资料</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详细复核记录</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修改情况说明</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补充资料</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425"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4794"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730" w:hRule="atLeast"/>
          <w:jc w:val="center"/>
        </w:trPr>
        <w:tc>
          <w:tcPr>
            <w:tcW w:w="9566" w:type="dxa"/>
            <w:gridSpan w:val="23"/>
            <w:tcBorders>
              <w:top w:val="single" w:color="000000" w:sz="4" w:space="0"/>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说明：1</w:t>
            </w:r>
            <w:r>
              <w:rPr>
                <w:rStyle w:val="94"/>
                <w:rFonts w:hint="eastAsia" w:ascii="宋体" w:hAnsi="宋体" w:eastAsia="宋体" w:cs="宋体"/>
                <w:color w:val="auto"/>
                <w:sz w:val="21"/>
                <w:szCs w:val="21"/>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tblPrEx>
          <w:tblLayout w:type="fixed"/>
          <w:tblCellMar>
            <w:top w:w="0" w:type="dxa"/>
            <w:left w:w="0" w:type="dxa"/>
            <w:bottom w:w="0" w:type="dxa"/>
            <w:right w:w="0" w:type="dxa"/>
          </w:tblCellMar>
        </w:tblPrEx>
        <w:trPr>
          <w:gridAfter w:val="4"/>
          <w:wAfter w:w="675"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11"/>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r>
              <w:rPr>
                <w:rStyle w:val="94"/>
                <w:rFonts w:hint="eastAsia" w:ascii="宋体" w:hAnsi="宋体" w:eastAsia="宋体" w:cs="宋体"/>
                <w:color w:val="auto"/>
                <w:sz w:val="21"/>
                <w:szCs w:val="21"/>
                <w:highlight w:val="none"/>
                <w:lang w:bidi="ar"/>
              </w:rPr>
              <w:t>、备查资料应附在工作手册后半部分内，并确定索引号，如</w:t>
            </w:r>
            <w:r>
              <w:rPr>
                <w:rFonts w:hint="eastAsia" w:ascii="宋体" w:hAnsi="宋体" w:eastAsia="宋体" w:cs="宋体"/>
                <w:color w:val="auto"/>
                <w:sz w:val="21"/>
                <w:szCs w:val="21"/>
                <w:highlight w:val="none"/>
                <w:lang w:bidi="ar"/>
              </w:rPr>
              <w:t>2-3-1</w:t>
            </w:r>
            <w:r>
              <w:rPr>
                <w:rStyle w:val="94"/>
                <w:rFonts w:hint="eastAsia" w:ascii="宋体" w:hAnsi="宋体" w:eastAsia="宋体" w:cs="宋体"/>
                <w:color w:val="auto"/>
                <w:sz w:val="21"/>
                <w:szCs w:val="21"/>
                <w:highlight w:val="none"/>
                <w:lang w:bidi="ar"/>
              </w:rPr>
              <w:t>。</w:t>
            </w:r>
          </w:p>
        </w:tc>
        <w:tc>
          <w:tcPr>
            <w:tcW w:w="92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11"/>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r>
              <w:rPr>
                <w:rStyle w:val="94"/>
                <w:rFonts w:hint="eastAsia" w:ascii="宋体" w:hAnsi="宋体" w:eastAsia="宋体" w:cs="宋体"/>
                <w:color w:val="auto"/>
                <w:sz w:val="21"/>
                <w:szCs w:val="21"/>
                <w:highlight w:val="none"/>
                <w:lang w:bidi="ar"/>
              </w:rPr>
              <w:t>、有无该项资料可在相应列中打钩。</w:t>
            </w:r>
          </w:p>
        </w:tc>
        <w:tc>
          <w:tcPr>
            <w:tcW w:w="92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4"/>
          <w:wAfter w:w="675"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4794" w:type="dxa"/>
            <w:gridSpan w:val="11"/>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r>
              <w:rPr>
                <w:rStyle w:val="94"/>
                <w:rFonts w:hint="eastAsia" w:ascii="宋体" w:hAnsi="宋体" w:eastAsia="宋体" w:cs="宋体"/>
                <w:color w:val="auto"/>
                <w:sz w:val="21"/>
                <w:szCs w:val="21"/>
                <w:highlight w:val="none"/>
                <w:lang w:bidi="ar"/>
              </w:rPr>
              <w:t>、工程量计算底稿如使用专用软件计算的，只打印分楼层分部位的汇总表，不需打印构件明细表。</w:t>
            </w:r>
          </w:p>
        </w:tc>
        <w:tc>
          <w:tcPr>
            <w:tcW w:w="92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29" w:type="dxa"/>
            <w:gridSpan w:val="3"/>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120"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439"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2"/>
          <w:wAfter w:w="401" w:type="dxa"/>
          <w:trHeight w:val="285" w:hRule="atLeast"/>
          <w:jc w:val="center"/>
        </w:trPr>
        <w:tc>
          <w:tcPr>
            <w:tcW w:w="943"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395"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889"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710" w:type="dxa"/>
            <w:gridSpan w:val="5"/>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1665"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930" w:type="dxa"/>
            <w:gridSpan w:val="2"/>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83" w:type="dxa"/>
            <w:gridSpan w:val="4"/>
            <w:tcBorders>
              <w:top w:val="nil"/>
              <w:left w:val="nil"/>
              <w:bottom w:val="nil"/>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96" w:hRule="atLeast"/>
          <w:jc w:val="center"/>
        </w:trPr>
        <w:tc>
          <w:tcPr>
            <w:tcW w:w="10241" w:type="dxa"/>
            <w:gridSpan w:val="27"/>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中介咨询机构评价意见表</w:t>
            </w:r>
          </w:p>
        </w:tc>
      </w:tr>
      <w:tr>
        <w:tblPrEx>
          <w:tblLayout w:type="fixed"/>
          <w:tblCellMar>
            <w:top w:w="0" w:type="dxa"/>
            <w:left w:w="0" w:type="dxa"/>
            <w:bottom w:w="0" w:type="dxa"/>
            <w:right w:w="0" w:type="dxa"/>
          </w:tblCellMar>
        </w:tblPrEx>
        <w:trPr>
          <w:trHeight w:val="312" w:hRule="atLeast"/>
          <w:jc w:val="center"/>
        </w:trPr>
        <w:tc>
          <w:tcPr>
            <w:tcW w:w="2863" w:type="dxa"/>
            <w:gridSpan w:val="6"/>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工程造价咨询单位（盖章）：</w:t>
            </w:r>
          </w:p>
        </w:tc>
        <w:tc>
          <w:tcPr>
            <w:tcW w:w="1406" w:type="dxa"/>
            <w:gridSpan w:val="3"/>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3116" w:type="dxa"/>
            <w:gridSpan w:val="9"/>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bidi="ar"/>
              </w:rPr>
              <w:t>建设</w:t>
            </w:r>
            <w:r>
              <w:rPr>
                <w:rFonts w:hint="eastAsia" w:ascii="宋体" w:hAnsi="宋体" w:eastAsia="宋体" w:cs="宋体"/>
                <w:color w:val="auto"/>
                <w:sz w:val="21"/>
                <w:szCs w:val="21"/>
                <w:highlight w:val="none"/>
                <w:lang w:bidi="ar"/>
              </w:rPr>
              <w:t>单位（盖章）：</w:t>
            </w:r>
          </w:p>
        </w:tc>
        <w:tc>
          <w:tcPr>
            <w:tcW w:w="1255" w:type="dxa"/>
            <w:gridSpan w:val="2"/>
            <w:tcBorders>
              <w:top w:val="nil"/>
              <w:left w:val="nil"/>
              <w:bottom w:val="nil"/>
              <w:right w:val="nil"/>
            </w:tcBorders>
            <w:noWrap/>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340" w:type="dxa"/>
            <w:gridSpan w:val="6"/>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01"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项目名称</w:t>
            </w:r>
          </w:p>
        </w:tc>
        <w:tc>
          <w:tcPr>
            <w:tcW w:w="3809"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923" w:type="dxa"/>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10" w:type="dxa"/>
            <w:gridSpan w:val="5"/>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□编制  □审核</w:t>
            </w:r>
          </w:p>
        </w:tc>
        <w:tc>
          <w:tcPr>
            <w:tcW w:w="2856"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本项目的主观差错率为       %</w:t>
            </w:r>
          </w:p>
        </w:tc>
      </w:tr>
      <w:tr>
        <w:tblPrEx>
          <w:tblLayout w:type="fixed"/>
          <w:tblCellMar>
            <w:top w:w="0" w:type="dxa"/>
            <w:left w:w="0" w:type="dxa"/>
            <w:bottom w:w="0" w:type="dxa"/>
            <w:right w:w="0" w:type="dxa"/>
          </w:tblCellMar>
        </w:tblPrEx>
        <w:trPr>
          <w:trHeight w:val="462"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项目计划完成时间</w:t>
            </w:r>
          </w:p>
        </w:tc>
        <w:tc>
          <w:tcPr>
            <w:tcW w:w="2843" w:type="dxa"/>
            <w:gridSpan w:val="6"/>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89" w:type="dxa"/>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项目实际完成时间</w:t>
            </w:r>
          </w:p>
        </w:tc>
        <w:tc>
          <w:tcPr>
            <w:tcW w:w="1710" w:type="dxa"/>
            <w:gridSpan w:val="5"/>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right"/>
              <w:rPr>
                <w:rFonts w:hint="eastAsia" w:ascii="宋体" w:hAnsi="宋体" w:eastAsia="宋体" w:cs="宋体"/>
                <w:color w:val="auto"/>
                <w:sz w:val="21"/>
                <w:szCs w:val="21"/>
                <w:highlight w:val="none"/>
              </w:rPr>
            </w:pPr>
          </w:p>
        </w:tc>
        <w:tc>
          <w:tcPr>
            <w:tcW w:w="2856"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□按时完成     □延期完成</w:t>
            </w:r>
          </w:p>
        </w:tc>
      </w:tr>
      <w:tr>
        <w:tblPrEx>
          <w:tblLayout w:type="fixed"/>
          <w:tblCellMar>
            <w:top w:w="0" w:type="dxa"/>
            <w:left w:w="0" w:type="dxa"/>
            <w:bottom w:w="0" w:type="dxa"/>
            <w:right w:w="0" w:type="dxa"/>
          </w:tblCellMar>
        </w:tblPrEx>
        <w:trPr>
          <w:trHeight w:val="462" w:hRule="atLeast"/>
          <w:jc w:val="center"/>
        </w:trPr>
        <w:tc>
          <w:tcPr>
            <w:tcW w:w="9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评价内容</w:t>
            </w:r>
          </w:p>
        </w:tc>
        <w:tc>
          <w:tcPr>
            <w:tcW w:w="52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各项分值</w:t>
            </w: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    体    内    容</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中介机构自评分</w:t>
            </w:r>
          </w:p>
        </w:tc>
        <w:tc>
          <w:tcPr>
            <w:tcW w:w="73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建设单位</w:t>
            </w:r>
            <w:r>
              <w:rPr>
                <w:rFonts w:hint="eastAsia" w:ascii="宋体" w:hAnsi="宋体" w:eastAsia="宋体" w:cs="宋体"/>
                <w:color w:val="auto"/>
                <w:sz w:val="21"/>
                <w:szCs w:val="21"/>
                <w:highlight w:val="none"/>
                <w:lang w:bidi="ar"/>
              </w:rPr>
              <w:t>评分</w:t>
            </w:r>
          </w:p>
        </w:tc>
      </w:tr>
      <w:tr>
        <w:tblPrEx>
          <w:tblLayout w:type="fixed"/>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业务水平</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项目配置的相应专业人员业务能力较强，熟练掌握相应专业计价规范的最高得4分；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积极主动与委托人一起解决咨询问题的最高得3分；</w:t>
            </w:r>
          </w:p>
        </w:tc>
        <w:tc>
          <w:tcPr>
            <w:tcW w:w="8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能积极主动提出优化设计方案以及加强项目管理的合理化建议的最高得2分；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对项目所取用的技术、工艺、设备等比较了解的最高得4分；</w:t>
            </w:r>
          </w:p>
        </w:tc>
        <w:tc>
          <w:tcPr>
            <w:tcW w:w="8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能开展市场调查，了解价格信息，对于非常规项目能作工料单价分析的最高得2分。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完成质量</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项目小组对项目需求有较好的理解，满足造价咨询采购文件、合同文件的服务响应要求的最高得6分；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工程量计算准确，套用定额及计费程序正确合理，材料价格选取恰当的最高得6分；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对设计文件不清晰的内容，能要求委托人澄清，不存在主观臆断的最高得6分；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表格之间沟稽关系正确，咨询成果文件（说明书）真实、完整、准确、有条理的最高得5分；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工作质量良好，无重大的主观差错率的最高得7分。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工作效率</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w:t>
            </w:r>
          </w:p>
        </w:tc>
        <w:tc>
          <w:tcPr>
            <w:tcW w:w="7172"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及时领取委托人的资料开展咨询活动的最高得4分；</w:t>
            </w:r>
          </w:p>
        </w:tc>
        <w:tc>
          <w:tcPr>
            <w:tcW w:w="8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按操作规程及时进行对数、现场查勘的最高得3分；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对数后做到及时修改，对反馈意见及时核实的最高得5分；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及时通知委托人补充相关资料，澄清有关疑问的最高得5分；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能严格按委托人的计划时间完成咨询任务的最高得8分。</w:t>
            </w:r>
          </w:p>
        </w:tc>
        <w:tc>
          <w:tcPr>
            <w:tcW w:w="8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规范服务</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严格按有关行业规范、工作规程和财政管理要求开展咨询活动的最高得5分；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认真执行对数操作规程、现场查勘操作规程的最高得5分；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对非常规的设备、材料的价格选定，以及非常规的工艺、技术的定额计价，能跟委托人协商确定的最高得2分；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能实行三级复核制度的最高得3分。</w:t>
            </w:r>
          </w:p>
        </w:tc>
        <w:tc>
          <w:tcPr>
            <w:tcW w:w="8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职业道德评价</w:t>
            </w:r>
          </w:p>
        </w:tc>
        <w:tc>
          <w:tcPr>
            <w:tcW w:w="52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严格遵守有关廉政建设规定，与委托人和其利益相对人有利害关系的能主动回避；满足要求得5分，有不符合规定行为的不得分；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自觉维护国家利益，做到诚信、客观、公平、公正；满足要求得4分，有不符合规定行为的不得分；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没有未经委托人允许擅自与委托人的利益相对人联系工作事宜的得3分，有此行为的不得分；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40" w:hRule="atLeast"/>
          <w:jc w:val="center"/>
        </w:trPr>
        <w:tc>
          <w:tcPr>
            <w:tcW w:w="94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7172" w:type="dxa"/>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独立完成咨询任务，没有未经委托人允许擅自委托第三方从事咨询活动的得3分，有此行为的不得分。</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333" w:hRule="atLeast"/>
          <w:jc w:val="center"/>
        </w:trPr>
        <w:tc>
          <w:tcPr>
            <w:tcW w:w="8640" w:type="dxa"/>
            <w:gridSpan w:val="2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8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p>
        </w:tc>
        <w:tc>
          <w:tcPr>
            <w:tcW w:w="73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33" w:hRule="atLeast"/>
          <w:jc w:val="center"/>
        </w:trPr>
        <w:tc>
          <w:tcPr>
            <w:tcW w:w="18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中介人员</w:t>
            </w:r>
            <w:r>
              <w:rPr>
                <w:rFonts w:hint="eastAsia" w:ascii="宋体" w:hAnsi="宋体" w:eastAsia="宋体" w:cs="宋体"/>
                <w:color w:val="auto"/>
                <w:sz w:val="21"/>
                <w:szCs w:val="21"/>
                <w:highlight w:val="none"/>
                <w:lang w:bidi="ar"/>
              </w:rPr>
              <w:t xml:space="preserve">评价人员签名 </w:t>
            </w:r>
          </w:p>
        </w:tc>
        <w:tc>
          <w:tcPr>
            <w:tcW w:w="19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8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审批人员</w:t>
            </w:r>
          </w:p>
        </w:tc>
        <w:tc>
          <w:tcPr>
            <w:tcW w:w="17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评价日期</w:t>
            </w:r>
          </w:p>
        </w:tc>
        <w:tc>
          <w:tcPr>
            <w:tcW w:w="1340" w:type="dxa"/>
            <w:gridSpan w:val="6"/>
            <w:tcBorders>
              <w:top w:val="single" w:color="000000" w:sz="4" w:space="0"/>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62" w:hRule="atLeast"/>
          <w:jc w:val="center"/>
        </w:trPr>
        <w:tc>
          <w:tcPr>
            <w:tcW w:w="187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建设单位</w:t>
            </w:r>
            <w:r>
              <w:rPr>
                <w:rFonts w:hint="eastAsia" w:ascii="宋体" w:hAnsi="宋体" w:eastAsia="宋体" w:cs="宋体"/>
                <w:color w:val="auto"/>
                <w:sz w:val="21"/>
                <w:szCs w:val="21"/>
                <w:highlight w:val="none"/>
                <w:lang w:bidi="ar"/>
              </w:rPr>
              <w:t xml:space="preserve">评价人员签名                </w:t>
            </w:r>
          </w:p>
        </w:tc>
        <w:tc>
          <w:tcPr>
            <w:tcW w:w="19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88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审批人员</w:t>
            </w:r>
          </w:p>
        </w:tc>
        <w:tc>
          <w:tcPr>
            <w:tcW w:w="17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2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评价日期</w:t>
            </w:r>
          </w:p>
        </w:tc>
        <w:tc>
          <w:tcPr>
            <w:tcW w:w="1340" w:type="dxa"/>
            <w:gridSpan w:val="6"/>
            <w:tcBorders>
              <w:top w:val="single" w:color="000000" w:sz="4" w:space="0"/>
              <w:left w:val="nil"/>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trHeight w:val="462" w:hRule="atLeast"/>
          <w:jc w:val="center"/>
        </w:trPr>
        <w:tc>
          <w:tcPr>
            <w:tcW w:w="10241" w:type="dxa"/>
            <w:gridSpan w:val="2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评分说明：</w:t>
            </w:r>
          </w:p>
          <w:p>
            <w:pPr>
              <w:pageBreakBefore w:val="0"/>
              <w:widowControl/>
              <w:kinsoku/>
              <w:overflowPunct/>
              <w:topLinePunct w:val="0"/>
              <w:autoSpaceDE/>
              <w:autoSpaceDN/>
              <w:bidi w:val="0"/>
              <w:adjustRightInd w:val="0"/>
              <w:snapToGrid w:val="0"/>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综合得分在90分以上为优秀；80~90分为良好；70~80分为一般；60~70分为合格；60分以下为不合格。</w:t>
            </w:r>
          </w:p>
          <w:p>
            <w:pPr>
              <w:pageBreakBefore w:val="0"/>
              <w:widowControl/>
              <w:kinsoku/>
              <w:overflowPunct/>
              <w:topLinePunct w:val="0"/>
              <w:autoSpaceDE/>
              <w:autoSpaceDN/>
              <w:bidi w:val="0"/>
              <w:adjustRightInd w:val="0"/>
              <w:snapToGrid w:val="0"/>
              <w:spacing w:line="360" w:lineRule="auto"/>
              <w:ind w:firstLine="36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综合得分为优秀的，浮动酬金计费系数为100%。综合得分为良好的，浮动酬金计费系数为80%。综合得分为一般的，</w:t>
            </w:r>
          </w:p>
          <w:p>
            <w:pPr>
              <w:pageBreakBefore w:val="0"/>
              <w:widowControl/>
              <w:kinsoku/>
              <w:overflowPunct/>
              <w:topLinePunct w:val="0"/>
              <w:autoSpaceDE/>
              <w:autoSpaceDN/>
              <w:bidi w:val="0"/>
              <w:adjustRightInd w:val="0"/>
              <w:snapToGrid w:val="0"/>
              <w:spacing w:line="360" w:lineRule="auto"/>
              <w:ind w:firstLine="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浮动酬金计费系数为60%。综合得分为合格的，浮动酬金计费系数为40%。综合得分为不合格的，浮动酬金计费系数为0%。</w:t>
            </w:r>
          </w:p>
        </w:tc>
      </w:tr>
    </w:tbl>
    <w:p>
      <w:pPr>
        <w:pageBreakBefore w:val="0"/>
        <w:widowControl/>
        <w:kinsoku/>
        <w:overflowPunct/>
        <w:topLinePunct w:val="0"/>
        <w:autoSpaceDE/>
        <w:autoSpaceDN/>
        <w:bidi w:val="0"/>
        <w:adjustRightInd w:val="0"/>
        <w:snapToGrid w:val="0"/>
        <w:spacing w:line="360" w:lineRule="auto"/>
        <w:jc w:val="both"/>
        <w:textAlignment w:val="center"/>
        <w:rPr>
          <w:rFonts w:hint="eastAsia" w:ascii="宋体" w:hAnsi="宋体" w:eastAsia="宋体" w:cs="宋体"/>
          <w:b/>
          <w:color w:val="auto"/>
          <w:sz w:val="21"/>
          <w:szCs w:val="21"/>
          <w:highlight w:val="none"/>
          <w:lang w:bidi="ar"/>
        </w:rPr>
      </w:pPr>
    </w:p>
    <w:p>
      <w:pPr>
        <w:pStyle w:val="14"/>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b/>
          <w:color w:val="auto"/>
          <w:sz w:val="21"/>
          <w:szCs w:val="21"/>
          <w:highlight w:val="none"/>
          <w:lang w:bidi="ar"/>
        </w:rPr>
      </w:pPr>
    </w:p>
    <w:p>
      <w:pPr>
        <w:pStyle w:val="14"/>
        <w:pageBreakBefore w:val="0"/>
        <w:widowControl/>
        <w:kinsoku/>
        <w:overflowPunct/>
        <w:topLinePunct w:val="0"/>
        <w:autoSpaceDE/>
        <w:autoSpaceDN/>
        <w:bidi w:val="0"/>
        <w:adjustRightInd w:val="0"/>
        <w:snapToGrid w:val="0"/>
        <w:spacing w:before="0" w:line="360" w:lineRule="auto"/>
        <w:rPr>
          <w:rFonts w:hint="eastAsia" w:ascii="宋体" w:hAnsi="宋体" w:eastAsia="宋体" w:cs="宋体"/>
          <w:b/>
          <w:color w:val="auto"/>
          <w:sz w:val="21"/>
          <w:szCs w:val="21"/>
          <w:highlight w:val="none"/>
          <w:lang w:bidi="ar"/>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39"/>
        <w:tblW w:w="9750" w:type="dxa"/>
        <w:jc w:val="center"/>
        <w:tblInd w:w="0" w:type="dxa"/>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tblPrEx>
          <w:tblLayout w:type="fixed"/>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bidi="ar"/>
              </w:rPr>
              <w:t>咨询单位驻场人员</w:t>
            </w:r>
            <w:r>
              <w:rPr>
                <w:rFonts w:hint="eastAsia" w:ascii="宋体" w:hAnsi="宋体" w:eastAsia="宋体" w:cs="宋体"/>
                <w:b/>
                <w:color w:val="auto"/>
                <w:sz w:val="21"/>
                <w:szCs w:val="21"/>
                <w:highlight w:val="none"/>
                <w:lang w:bidi="ar"/>
              </w:rPr>
              <w:t>考核表</w:t>
            </w:r>
          </w:p>
        </w:tc>
      </w:tr>
      <w:tr>
        <w:tblPrEx>
          <w:tblLayout w:type="fixed"/>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1731" w:type="dxa"/>
            <w:tcBorders>
              <w:top w:val="nil"/>
              <w:left w:val="nil"/>
              <w:bottom w:val="nil"/>
              <w:right w:val="nil"/>
            </w:tcBorders>
            <w:noWrap/>
            <w:tcMar>
              <w:top w:w="15" w:type="dxa"/>
              <w:left w:w="15" w:type="dxa"/>
              <w:right w:w="15" w:type="dxa"/>
            </w:tcMar>
            <w:vAlign w:val="top"/>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b/>
                <w:color w:val="auto"/>
                <w:sz w:val="21"/>
                <w:szCs w:val="21"/>
                <w:highlight w:val="none"/>
              </w:rPr>
            </w:pPr>
          </w:p>
        </w:tc>
        <w:tc>
          <w:tcPr>
            <w:tcW w:w="2031" w:type="dxa"/>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textAlignment w:val="bottom"/>
              <w:rPr>
                <w:rFonts w:hint="eastAsia" w:ascii="宋体" w:hAnsi="宋体" w:eastAsia="宋体" w:cs="宋体"/>
                <w:color w:val="auto"/>
                <w:sz w:val="21"/>
                <w:szCs w:val="21"/>
                <w:highlight w:val="none"/>
              </w:rPr>
            </w:pPr>
          </w:p>
        </w:tc>
        <w:tc>
          <w:tcPr>
            <w:tcW w:w="1465" w:type="dxa"/>
            <w:gridSpan w:val="3"/>
            <w:tcBorders>
              <w:top w:val="nil"/>
              <w:left w:val="nil"/>
              <w:bottom w:val="nil"/>
              <w:right w:val="nil"/>
            </w:tcBorders>
            <w:noWrap/>
            <w:tcMar>
              <w:top w:w="15" w:type="dxa"/>
              <w:left w:w="15" w:type="dxa"/>
              <w:right w:w="15" w:type="dxa"/>
            </w:tcMar>
            <w:vAlign w:val="bottom"/>
          </w:tcPr>
          <w:p>
            <w:pPr>
              <w:pageBreakBefore w:val="0"/>
              <w:widowControl/>
              <w:kinsoku/>
              <w:overflowPunct/>
              <w:topLinePunct w:val="0"/>
              <w:autoSpaceDE/>
              <w:autoSpaceDN/>
              <w:bidi w:val="0"/>
              <w:adjustRightInd w:val="0"/>
              <w:snapToGrid w:val="0"/>
              <w:spacing w:line="360" w:lineRule="auto"/>
              <w:jc w:val="both"/>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bidi="ar"/>
              </w:rPr>
              <w:t>姓名</w:t>
            </w:r>
            <w:r>
              <w:rPr>
                <w:rFonts w:hint="eastAsia" w:ascii="宋体" w:hAnsi="宋体" w:eastAsia="宋体" w:cs="宋体"/>
                <w:color w:val="auto"/>
                <w:sz w:val="21"/>
                <w:szCs w:val="21"/>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  体  内  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驻场人员自</w:t>
            </w:r>
            <w:r>
              <w:rPr>
                <w:rFonts w:hint="eastAsia" w:ascii="宋体" w:hAnsi="宋体" w:eastAsia="宋体" w:cs="宋体"/>
                <w:color w:val="auto"/>
                <w:sz w:val="21"/>
                <w:szCs w:val="21"/>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建设单位评分</w:t>
            </w: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业务能力</w:t>
            </w:r>
            <w:r>
              <w:rPr>
                <w:rFonts w:hint="eastAsia" w:ascii="宋体" w:hAnsi="宋体" w:eastAsia="宋体" w:cs="宋体"/>
                <w:color w:val="auto"/>
                <w:sz w:val="21"/>
                <w:szCs w:val="21"/>
                <w:highlight w:val="none"/>
                <w:lang w:eastAsia="zh-CN" w:bidi="ar"/>
              </w:rPr>
              <w:t>水平</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工作</w:t>
            </w:r>
            <w:r>
              <w:rPr>
                <w:rFonts w:hint="eastAsia" w:ascii="宋体" w:hAnsi="宋体" w:eastAsia="宋体" w:cs="宋体"/>
                <w:color w:val="auto"/>
                <w:sz w:val="21"/>
                <w:szCs w:val="21"/>
                <w:highlight w:val="none"/>
                <w:lang w:bidi="ar"/>
              </w:rPr>
              <w:t>积极主动</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对工程做法、合约管理等通过内外部项目对标分析等方式，提出成本优化建议的</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对项目</w:t>
            </w:r>
            <w:r>
              <w:rPr>
                <w:rFonts w:hint="eastAsia" w:ascii="宋体" w:hAnsi="宋体" w:eastAsia="宋体" w:cs="宋体"/>
                <w:color w:val="auto"/>
                <w:sz w:val="21"/>
                <w:szCs w:val="21"/>
                <w:highlight w:val="none"/>
                <w:lang w:eastAsia="zh-CN" w:bidi="ar"/>
              </w:rPr>
              <w:t>执行过程的</w:t>
            </w:r>
            <w:r>
              <w:rPr>
                <w:rFonts w:hint="eastAsia" w:ascii="宋体" w:hAnsi="宋体" w:eastAsia="宋体" w:cs="宋体"/>
                <w:color w:val="auto"/>
                <w:sz w:val="21"/>
                <w:szCs w:val="21"/>
                <w:highlight w:val="none"/>
                <w:lang w:bidi="ar"/>
              </w:rPr>
              <w:t>了解</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成本台账管理，</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计量的准确性，</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进度管理效果，</w:t>
            </w:r>
            <w:r>
              <w:rPr>
                <w:rFonts w:hint="eastAsia" w:ascii="宋体" w:hAnsi="宋体" w:eastAsia="宋体" w:cs="宋体"/>
                <w:color w:val="auto"/>
                <w:sz w:val="21"/>
                <w:szCs w:val="21"/>
                <w:highlight w:val="none"/>
                <w:lang w:bidi="ar"/>
              </w:rPr>
              <w:t>最高得6分；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工作成果文件</w:t>
            </w:r>
            <w:r>
              <w:rPr>
                <w:rFonts w:hint="eastAsia" w:ascii="宋体" w:hAnsi="宋体" w:eastAsia="宋体" w:cs="宋体"/>
                <w:color w:val="auto"/>
                <w:sz w:val="21"/>
                <w:szCs w:val="21"/>
                <w:highlight w:val="none"/>
                <w:lang w:eastAsia="zh-CN" w:bidi="ar"/>
              </w:rPr>
              <w:t>的质量，</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是否有</w:t>
            </w:r>
            <w:r>
              <w:rPr>
                <w:rFonts w:hint="eastAsia" w:ascii="宋体" w:hAnsi="宋体" w:eastAsia="宋体" w:cs="宋体"/>
                <w:color w:val="auto"/>
                <w:sz w:val="21"/>
                <w:szCs w:val="21"/>
                <w:highlight w:val="none"/>
                <w:lang w:bidi="ar"/>
              </w:rPr>
              <w:t>重大的主观差错</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开展</w:t>
            </w:r>
            <w:r>
              <w:rPr>
                <w:rFonts w:hint="eastAsia" w:ascii="宋体" w:hAnsi="宋体" w:eastAsia="宋体" w:cs="宋体"/>
                <w:color w:val="auto"/>
                <w:sz w:val="21"/>
                <w:szCs w:val="21"/>
                <w:highlight w:val="none"/>
                <w:lang w:val="en-US" w:eastAsia="zh-CN" w:bidi="ar"/>
              </w:rPr>
              <w:t>成本</w:t>
            </w:r>
            <w:r>
              <w:rPr>
                <w:rFonts w:hint="eastAsia" w:ascii="宋体" w:hAnsi="宋体" w:eastAsia="宋体" w:cs="宋体"/>
                <w:color w:val="auto"/>
                <w:sz w:val="21"/>
                <w:szCs w:val="21"/>
                <w:highlight w:val="none"/>
                <w:lang w:bidi="ar"/>
              </w:rPr>
              <w:t>活动</w:t>
            </w:r>
            <w:r>
              <w:rPr>
                <w:rFonts w:hint="eastAsia" w:ascii="宋体" w:hAnsi="宋体" w:eastAsia="宋体" w:cs="宋体"/>
                <w:color w:val="auto"/>
                <w:sz w:val="21"/>
                <w:szCs w:val="21"/>
                <w:highlight w:val="none"/>
                <w:lang w:eastAsia="zh-CN" w:bidi="ar"/>
              </w:rPr>
              <w:t>的及时性，</w:t>
            </w:r>
            <w:r>
              <w:rPr>
                <w:rFonts w:hint="eastAsia" w:ascii="宋体" w:hAnsi="宋体" w:eastAsia="宋体" w:cs="宋体"/>
                <w:color w:val="auto"/>
                <w:sz w:val="21"/>
                <w:szCs w:val="21"/>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对数、现场查勘</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甲方成本工程师反馈意见后</w:t>
            </w:r>
            <w:r>
              <w:rPr>
                <w:rFonts w:hint="eastAsia" w:ascii="宋体" w:hAnsi="宋体" w:eastAsia="宋体" w:cs="宋体"/>
                <w:color w:val="auto"/>
                <w:sz w:val="21"/>
                <w:szCs w:val="21"/>
                <w:highlight w:val="none"/>
                <w:lang w:bidi="ar"/>
              </w:rPr>
              <w:t>做到及时修改，对反馈意见</w:t>
            </w:r>
            <w:r>
              <w:rPr>
                <w:rFonts w:hint="eastAsia" w:ascii="宋体" w:hAnsi="宋体" w:eastAsia="宋体" w:cs="宋体"/>
                <w:color w:val="auto"/>
                <w:sz w:val="21"/>
                <w:szCs w:val="21"/>
                <w:highlight w:val="none"/>
                <w:lang w:eastAsia="zh-CN" w:bidi="ar"/>
              </w:rPr>
              <w:t>的</w:t>
            </w:r>
            <w:r>
              <w:rPr>
                <w:rFonts w:hint="eastAsia" w:ascii="宋体" w:hAnsi="宋体" w:eastAsia="宋体" w:cs="宋体"/>
                <w:color w:val="auto"/>
                <w:sz w:val="21"/>
                <w:szCs w:val="21"/>
                <w:highlight w:val="none"/>
                <w:lang w:bidi="ar"/>
              </w:rPr>
              <w:t>及时</w:t>
            </w:r>
            <w:r>
              <w:rPr>
                <w:rFonts w:hint="eastAsia" w:ascii="宋体" w:hAnsi="宋体" w:eastAsia="宋体" w:cs="宋体"/>
                <w:color w:val="auto"/>
                <w:sz w:val="21"/>
                <w:szCs w:val="21"/>
                <w:highlight w:val="none"/>
                <w:lang w:eastAsia="zh-CN" w:bidi="ar"/>
              </w:rPr>
              <w:t>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通知委托人补充相关资料，澄清有关疑问的</w:t>
            </w:r>
            <w:r>
              <w:rPr>
                <w:rFonts w:hint="eastAsia" w:ascii="宋体" w:hAnsi="宋体" w:eastAsia="宋体" w:cs="宋体"/>
                <w:color w:val="auto"/>
                <w:sz w:val="21"/>
                <w:szCs w:val="21"/>
                <w:highlight w:val="none"/>
                <w:lang w:eastAsia="zh-CN" w:bidi="ar"/>
              </w:rPr>
              <w:t>及时性，</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按</w:t>
            </w:r>
            <w:r>
              <w:rPr>
                <w:rFonts w:hint="eastAsia" w:ascii="宋体" w:hAnsi="宋体" w:eastAsia="宋体" w:cs="宋体"/>
                <w:color w:val="auto"/>
                <w:sz w:val="21"/>
                <w:szCs w:val="21"/>
                <w:highlight w:val="none"/>
                <w:lang w:bidi="ar"/>
              </w:rPr>
              <w:t>计划时间完成咨询任务的最高得</w:t>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按有关行业规范、工作规程和财政管理要求开展咨询活动的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认真执行对数操作规程、现场查勘操作规程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最高得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对非常规的设备、材料的价格选定，以及非常规的工艺、技术的定额计价</w:t>
            </w:r>
            <w:r>
              <w:rPr>
                <w:rFonts w:hint="eastAsia" w:ascii="宋体" w:hAnsi="宋体" w:eastAsia="宋体" w:cs="宋体"/>
                <w:color w:val="auto"/>
                <w:sz w:val="21"/>
                <w:szCs w:val="21"/>
                <w:highlight w:val="none"/>
                <w:lang w:eastAsia="zh-CN" w:bidi="ar"/>
              </w:rPr>
              <w:t>的处理，</w:t>
            </w:r>
            <w:r>
              <w:rPr>
                <w:rFonts w:hint="eastAsia" w:ascii="宋体" w:hAnsi="宋体" w:eastAsia="宋体" w:cs="宋体"/>
                <w:color w:val="auto"/>
                <w:sz w:val="21"/>
                <w:szCs w:val="21"/>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遵守有关廉政建设规定</w:t>
            </w:r>
            <w:r>
              <w:rPr>
                <w:rFonts w:hint="eastAsia" w:ascii="宋体" w:hAnsi="宋体" w:eastAsia="宋体" w:cs="宋体"/>
                <w:color w:val="auto"/>
                <w:sz w:val="21"/>
                <w:szCs w:val="21"/>
                <w:highlight w:val="none"/>
                <w:lang w:eastAsia="zh-CN" w:bidi="ar"/>
              </w:rPr>
              <w:t>方面，最高得</w:t>
            </w:r>
            <w:r>
              <w:rPr>
                <w:rFonts w:hint="eastAsia" w:ascii="宋体" w:hAnsi="宋体" w:eastAsia="宋体" w:cs="宋体"/>
                <w:color w:val="auto"/>
                <w:sz w:val="21"/>
                <w:szCs w:val="21"/>
                <w:highlight w:val="none"/>
                <w:lang w:val="en-US" w:eastAsia="zh-CN" w:bidi="ar"/>
              </w:rPr>
              <w:t>5分</w:t>
            </w:r>
            <w:r>
              <w:rPr>
                <w:rFonts w:hint="eastAsia" w:ascii="宋体" w:hAnsi="宋体" w:eastAsia="宋体" w:cs="宋体"/>
                <w:color w:val="auto"/>
                <w:sz w:val="21"/>
                <w:szCs w:val="21"/>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执行保密规定方面，最高得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没有未经委托人允许擅自与委托人的利益相对人联系工作事宜的得3分，有此行为的不得分；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做好成本复核任务</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不做二传手</w:t>
            </w:r>
            <w:r>
              <w:rPr>
                <w:rFonts w:hint="eastAsia" w:ascii="宋体" w:hAnsi="宋体" w:eastAsia="宋体" w:cs="宋体"/>
                <w:color w:val="auto"/>
                <w:sz w:val="21"/>
                <w:szCs w:val="21"/>
                <w:highlight w:val="none"/>
                <w:lang w:bidi="ar"/>
              </w:rPr>
              <w:t>得3分，</w:t>
            </w:r>
            <w:r>
              <w:rPr>
                <w:rFonts w:hint="eastAsia" w:ascii="宋体" w:hAnsi="宋体" w:eastAsia="宋体" w:cs="宋体"/>
                <w:color w:val="auto"/>
                <w:sz w:val="21"/>
                <w:szCs w:val="21"/>
                <w:highlight w:val="none"/>
                <w:lang w:val="en-US" w:eastAsia="zh-CN" w:bidi="ar"/>
              </w:rPr>
              <w:t>若发现无审核记录直接采用报送成果，</w:t>
            </w:r>
            <w:r>
              <w:rPr>
                <w:rFonts w:hint="eastAsia" w:ascii="宋体" w:hAnsi="宋体" w:eastAsia="宋体" w:cs="宋体"/>
                <w:color w:val="auto"/>
                <w:sz w:val="21"/>
                <w:szCs w:val="21"/>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textAlignment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eastAsia="zh-CN"/>
              </w:rPr>
              <w:t>工作纪律（</w:t>
            </w:r>
            <w:r>
              <w:rPr>
                <w:rFonts w:hint="eastAsia" w:ascii="宋体" w:hAnsi="宋体" w:eastAsia="宋体" w:cs="宋体"/>
                <w:color w:val="auto"/>
                <w:sz w:val="21"/>
                <w:szCs w:val="21"/>
                <w:highlight w:val="none"/>
                <w:lang w:eastAsia="zh-CN" w:bidi="ar"/>
              </w:rPr>
              <w:t>上下班，迟到早退情况</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sz w:val="21"/>
                <w:szCs w:val="21"/>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rPr>
            </w:pPr>
          </w:p>
        </w:tc>
      </w:tr>
      <w:tr>
        <w:tblPrEx>
          <w:tblLayout w:type="fixed"/>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评分说明：</w:t>
            </w:r>
          </w:p>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综合得分在</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分以上为优秀；</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85</w:t>
            </w:r>
            <w:r>
              <w:rPr>
                <w:rFonts w:hint="eastAsia" w:ascii="宋体" w:hAnsi="宋体" w:eastAsia="宋体" w:cs="宋体"/>
                <w:color w:val="auto"/>
                <w:sz w:val="21"/>
                <w:szCs w:val="21"/>
                <w:highlight w:val="none"/>
                <w:lang w:bidi="ar"/>
              </w:rPr>
              <w:t>分为良好；60~70分为合格；60分以下为不合格。</w:t>
            </w:r>
          </w:p>
          <w:p>
            <w:pPr>
              <w:pageBreakBefore w:val="0"/>
              <w:widowControl/>
              <w:kinsoku/>
              <w:overflowPunct/>
              <w:topLinePunct w:val="0"/>
              <w:autoSpaceDE/>
              <w:autoSpaceDN/>
              <w:bidi w:val="0"/>
              <w:adjustRightInd w:val="0"/>
              <w:snapToGrid w:val="0"/>
              <w:spacing w:line="360" w:lineRule="auto"/>
              <w:ind w:firstLine="36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综合得分为优秀的，</w:t>
            </w:r>
            <w:r>
              <w:rPr>
                <w:rFonts w:hint="eastAsia" w:ascii="宋体" w:hAnsi="宋体" w:eastAsia="宋体" w:cs="宋体"/>
                <w:color w:val="auto"/>
                <w:sz w:val="21"/>
                <w:szCs w:val="21"/>
                <w:highlight w:val="none"/>
                <w:lang w:eastAsia="zh-CN" w:bidi="ar"/>
              </w:rPr>
              <w:t>发放优秀奖奖金</w:t>
            </w:r>
            <w:r>
              <w:rPr>
                <w:rFonts w:hint="eastAsia" w:ascii="宋体" w:hAnsi="宋体" w:eastAsia="宋体" w:cs="宋体"/>
                <w:color w:val="auto"/>
                <w:sz w:val="21"/>
                <w:szCs w:val="21"/>
                <w:highlight w:val="none"/>
                <w:lang w:val="en-US" w:eastAsia="zh-CN" w:bidi="ar"/>
              </w:rPr>
              <w:t>3000元/月；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良好</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2000元/月；</w:t>
            </w:r>
            <w:r>
              <w:rPr>
                <w:rFonts w:hint="eastAsia" w:ascii="宋体" w:hAnsi="宋体" w:eastAsia="宋体" w:cs="宋体"/>
                <w:color w:val="auto"/>
                <w:sz w:val="21"/>
                <w:szCs w:val="21"/>
                <w:highlight w:val="none"/>
                <w:lang w:bidi="ar"/>
              </w:rPr>
              <w:t>综合得分为</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eastAsia="zh-CN" w:bidi="ar"/>
              </w:rPr>
              <w:t>发放奖金</w:t>
            </w:r>
            <w:r>
              <w:rPr>
                <w:rFonts w:hint="eastAsia" w:ascii="宋体" w:hAnsi="宋体" w:eastAsia="宋体" w:cs="宋体"/>
                <w:color w:val="auto"/>
                <w:sz w:val="21"/>
                <w:szCs w:val="21"/>
                <w:highlight w:val="none"/>
                <w:lang w:val="en-US" w:eastAsia="zh-CN" w:bidi="ar"/>
              </w:rPr>
              <w:t>1000元/月；综合得分为不合格的，不发放奖金。</w:t>
            </w:r>
          </w:p>
        </w:tc>
      </w:tr>
    </w:tbl>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pageBreakBefore w:val="0"/>
        <w:widowControl/>
        <w:kinsoku/>
        <w:overflowPunct/>
        <w:topLinePunct w:val="0"/>
        <w:autoSpaceDE/>
        <w:autoSpaceDN/>
        <w:bidi w:val="0"/>
        <w:adjustRightInd w:val="0"/>
        <w:snapToGrid w:val="0"/>
        <w:spacing w:line="360" w:lineRule="auto"/>
        <w:ind w:firstLine="422" w:firstLineChars="200"/>
        <w:outlineLvl w:val="0"/>
        <w:rPr>
          <w:rFonts w:hint="eastAsia" w:ascii="宋体" w:hAnsi="宋体" w:eastAsia="宋体" w:cs="宋体"/>
          <w:b/>
          <w:bCs w:val="0"/>
          <w:color w:val="auto"/>
          <w:sz w:val="21"/>
          <w:szCs w:val="21"/>
          <w:highlight w:val="none"/>
        </w:rPr>
      </w:pPr>
      <w:bookmarkStart w:id="154" w:name="_Toc27524"/>
      <w:r>
        <w:rPr>
          <w:rFonts w:hint="eastAsia" w:ascii="宋体" w:hAnsi="宋体" w:eastAsia="宋体" w:cs="宋体"/>
          <w:b/>
          <w:bCs w:val="0"/>
          <w:color w:val="auto"/>
          <w:sz w:val="21"/>
          <w:szCs w:val="21"/>
          <w:highlight w:val="none"/>
        </w:rPr>
        <w:t>附件7：履约保证金或履约保函缴纳凭证复印件</w:t>
      </w:r>
      <w:bookmarkEnd w:id="154"/>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lang w:val="en-US" w:eastAsia="zh-CN"/>
        </w:rPr>
      </w:pPr>
    </w:p>
    <w:p>
      <w:pPr>
        <w:pStyle w:val="13"/>
        <w:spacing w:line="360" w:lineRule="auto"/>
        <w:ind w:firstLine="0" w:firstLineChars="0"/>
        <w:rPr>
          <w:rFonts w:hint="eastAsia" w:cs="宋体"/>
          <w:b/>
          <w:bCs/>
          <w:color w:val="auto"/>
          <w:highlight w:val="none"/>
        </w:rPr>
      </w:pPr>
    </w:p>
    <w:p>
      <w:pPr>
        <w:pStyle w:val="13"/>
        <w:spacing w:line="360" w:lineRule="auto"/>
        <w:ind w:firstLine="0" w:firstLineChars="0"/>
        <w:rPr>
          <w:rFonts w:hint="eastAsia" w:ascii="宋体" w:hAnsi="宋体" w:eastAsia="宋体" w:cs="宋体"/>
          <w:b/>
          <w:bCs/>
          <w:color w:val="auto"/>
          <w:highlight w:val="none"/>
        </w:rPr>
      </w:pPr>
    </w:p>
    <w:p>
      <w:pPr>
        <w:pStyle w:val="13"/>
        <w:spacing w:line="360" w:lineRule="auto"/>
        <w:ind w:firstLine="0" w:firstLineChars="0"/>
        <w:rPr>
          <w:rFonts w:hint="eastAsia" w:ascii="宋体" w:hAnsi="宋体" w:eastAsia="宋体" w:cs="宋体"/>
          <w:b/>
          <w:bCs/>
          <w:color w:val="auto"/>
          <w:highlight w:val="none"/>
        </w:rPr>
      </w:pPr>
    </w:p>
    <w:p>
      <w:pPr>
        <w:pStyle w:val="13"/>
        <w:spacing w:line="360" w:lineRule="auto"/>
        <w:ind w:firstLine="0" w:firstLineChars="0"/>
        <w:rPr>
          <w:rFonts w:hint="eastAsia" w:ascii="宋体" w:hAnsi="宋体" w:eastAsia="宋体" w:cs="宋体"/>
          <w:b/>
          <w:bCs/>
          <w:color w:val="auto"/>
          <w:highlight w:val="none"/>
        </w:rPr>
      </w:pPr>
    </w:p>
    <w:p>
      <w:pPr>
        <w:pStyle w:val="13"/>
        <w:spacing w:line="360" w:lineRule="auto"/>
        <w:ind w:firstLine="0" w:firstLineChars="0"/>
        <w:rPr>
          <w:b w:val="0"/>
          <w:bCs/>
          <w:color w:val="auto"/>
          <w:highlight w:val="none"/>
        </w:rPr>
      </w:pPr>
    </w:p>
    <w:p>
      <w:pPr>
        <w:rPr>
          <w:color w:val="auto"/>
          <w:highlight w:val="none"/>
        </w:rPr>
      </w:pPr>
    </w:p>
    <w:p>
      <w:pPr>
        <w:rPr>
          <w:color w:val="auto"/>
          <w:highlight w:val="none"/>
        </w:rPr>
      </w:pPr>
    </w:p>
    <w:p>
      <w:pPr>
        <w:rPr>
          <w:color w:val="auto"/>
          <w:highlight w:val="none"/>
        </w:rPr>
      </w:pPr>
      <w:r>
        <w:rPr>
          <w:color w:val="auto"/>
          <w:highlight w:val="none"/>
          <w:lang w:bidi="zh-CN"/>
        </w:rPr>
        <w:br w:type="page"/>
      </w:r>
    </w:p>
    <w:p>
      <w:pPr>
        <w:pStyle w:val="4"/>
        <w:spacing w:before="0" w:after="0" w:line="240" w:lineRule="auto"/>
        <w:rPr>
          <w:color w:val="auto"/>
          <w:sz w:val="28"/>
          <w:szCs w:val="28"/>
          <w:highlight w:val="none"/>
        </w:rPr>
      </w:pPr>
      <w:bookmarkStart w:id="155"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55"/>
    </w:p>
    <w:p>
      <w:pPr>
        <w:rPr>
          <w:color w:val="auto"/>
          <w:highlight w:val="none"/>
        </w:rPr>
      </w:pPr>
    </w:p>
    <w:p>
      <w:pPr>
        <w:pStyle w:val="2"/>
        <w:widowControl w:val="0"/>
        <w:overflowPunct w:val="0"/>
        <w:spacing w:line="240" w:lineRule="auto"/>
        <w:rPr>
          <w:rFonts w:ascii="宋体" w:hAnsi="宋体"/>
          <w:color w:val="auto"/>
          <w:sz w:val="21"/>
          <w:szCs w:val="21"/>
          <w:highlight w:val="none"/>
        </w:rPr>
      </w:pPr>
      <w:bookmarkStart w:id="156" w:name="_Toc25786"/>
      <w:r>
        <w:rPr>
          <w:rFonts w:hint="eastAsia" w:ascii="宋体" w:hAnsi="宋体"/>
          <w:color w:val="auto"/>
          <w:sz w:val="21"/>
          <w:szCs w:val="21"/>
          <w:highlight w:val="none"/>
        </w:rPr>
        <w:t>投标文件目录</w:t>
      </w:r>
      <w:bookmarkEnd w:id="156"/>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pPr>
        <w:pStyle w:val="2"/>
        <w:widowControl w:val="0"/>
        <w:overflowPunct w:val="0"/>
        <w:spacing w:line="240" w:lineRule="auto"/>
        <w:rPr>
          <w:rFonts w:ascii="宋体" w:hAnsi="宋体"/>
          <w:color w:val="auto"/>
          <w:sz w:val="21"/>
          <w:szCs w:val="21"/>
          <w:highlight w:val="none"/>
        </w:rPr>
      </w:pPr>
      <w:bookmarkStart w:id="157" w:name="_Toc18792"/>
      <w:r>
        <w:rPr>
          <w:rFonts w:hint="eastAsia" w:ascii="宋体" w:hAnsi="宋体"/>
          <w:color w:val="auto"/>
          <w:sz w:val="21"/>
          <w:szCs w:val="21"/>
          <w:highlight w:val="none"/>
        </w:rPr>
        <w:t>附件1.评分标准索引表</w:t>
      </w:r>
      <w:bookmarkEnd w:id="157"/>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4"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c>
          <w:tcPr>
            <w:tcW w:w="1705" w:type="dxa"/>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13"/>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pPr>
        <w:pStyle w:val="11"/>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158" w:name="_Toc30918"/>
      <w:bookmarkStart w:id="159" w:name="_Toc18450"/>
      <w:bookmarkStart w:id="160" w:name="_Toc28154"/>
      <w:bookmarkStart w:id="161" w:name="_Toc20335"/>
      <w:bookmarkStart w:id="162" w:name="_Toc21746"/>
    </w:p>
    <w:p>
      <w:pPr>
        <w:pStyle w:val="4"/>
        <w:spacing w:before="0" w:after="0" w:line="360" w:lineRule="auto"/>
        <w:jc w:val="center"/>
        <w:rPr>
          <w:color w:val="auto"/>
          <w:sz w:val="72"/>
          <w:szCs w:val="72"/>
          <w:highlight w:val="none"/>
        </w:rPr>
      </w:pPr>
      <w:bookmarkStart w:id="163" w:name="_Toc9213"/>
      <w:r>
        <w:rPr>
          <w:rFonts w:hint="eastAsia"/>
          <w:color w:val="auto"/>
          <w:sz w:val="72"/>
          <w:szCs w:val="72"/>
          <w:highlight w:val="none"/>
        </w:rPr>
        <w:t>价格文件</w:t>
      </w:r>
      <w:bookmarkEnd w:id="158"/>
      <w:bookmarkEnd w:id="159"/>
      <w:bookmarkEnd w:id="163"/>
      <w:bookmarkStart w:id="164" w:name="_Hlt10456397"/>
      <w:bookmarkEnd w:id="164"/>
      <w:bookmarkStart w:id="165" w:name="_Hlt10519799"/>
      <w:bookmarkEnd w:id="165"/>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60"/>
      <w:bookmarkEnd w:id="161"/>
      <w:bookmarkEnd w:id="162"/>
    </w:p>
    <w:p>
      <w:pPr>
        <w:rPr>
          <w:color w:val="auto"/>
          <w:highlight w:val="none"/>
        </w:rPr>
      </w:pPr>
    </w:p>
    <w:p>
      <w:pPr>
        <w:pStyle w:val="11"/>
        <w:rPr>
          <w:color w:val="auto"/>
          <w:highlight w:val="none"/>
        </w:rPr>
      </w:pPr>
    </w:p>
    <w:p>
      <w:pPr>
        <w:pStyle w:val="1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0"/>
        </w:rPr>
        <w:t>项目名称：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
        </w:rPr>
      </w:pPr>
      <w:r>
        <w:rPr>
          <w:rFonts w:hint="eastAsia" w:ascii="宋体" w:hAnsi="宋体" w:eastAsia="宋体" w:cs="宋体"/>
          <w:b/>
          <w:bCs/>
          <w:color w:val="auto"/>
          <w:spacing w:val="0"/>
          <w:kern w:val="0"/>
          <w:sz w:val="32"/>
          <w:szCs w:val="32"/>
          <w:highlight w:val="none"/>
          <w:fitText w:val="1600" w:id="1"/>
        </w:rPr>
        <w:t>项目编号：</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rPr>
        <w:t>包组号（如有）</w:t>
      </w:r>
      <w:r>
        <w:rPr>
          <w:rFonts w:hint="eastAsia" w:ascii="宋体" w:hAnsi="宋体" w:eastAsia="宋体" w:cs="宋体"/>
          <w:b/>
          <w:bCs/>
          <w:color w:val="auto"/>
          <w:spacing w:val="0"/>
          <w:w w:val="62"/>
          <w:kern w:val="0"/>
          <w:sz w:val="32"/>
          <w:szCs w:val="32"/>
          <w:highlight w:val="none"/>
          <w:fitText w:val="1600" w:id="2"/>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4"/>
        </w:rPr>
      </w:pPr>
      <w:r>
        <w:rPr>
          <w:rFonts w:hint="eastAsia" w:ascii="宋体" w:hAnsi="宋体" w:eastAsia="宋体" w:cs="宋体"/>
          <w:b/>
          <w:bCs/>
          <w:color w:val="auto"/>
          <w:spacing w:val="80"/>
          <w:kern w:val="0"/>
          <w:sz w:val="32"/>
          <w:szCs w:val="32"/>
          <w:highlight w:val="none"/>
          <w:fitText w:val="1600" w:id="4"/>
        </w:rPr>
        <w:t>日 期</w:t>
      </w:r>
      <w:r>
        <w:rPr>
          <w:rFonts w:hint="eastAsia" w:ascii="宋体" w:hAnsi="宋体" w:eastAsia="宋体" w:cs="宋体"/>
          <w:b/>
          <w:bCs/>
          <w:color w:val="auto"/>
          <w:spacing w:val="0"/>
          <w:kern w:val="0"/>
          <w:sz w:val="32"/>
          <w:szCs w:val="32"/>
          <w:highlight w:val="none"/>
          <w:fitText w:val="1600" w:id="4"/>
        </w:rPr>
        <w:t>：</w:t>
      </w:r>
    </w:p>
    <w:p>
      <w:pPr>
        <w:rPr>
          <w:color w:val="auto"/>
          <w:highlight w:val="none"/>
        </w:rPr>
      </w:pPr>
    </w:p>
    <w:p>
      <w:pPr>
        <w:pStyle w:val="11"/>
        <w:rPr>
          <w:color w:val="auto"/>
          <w:spacing w:val="86"/>
          <w:kern w:val="0"/>
          <w:highlight w:val="none"/>
          <w:fitText w:val="1600" w:id="5"/>
        </w:rPr>
      </w:pPr>
    </w:p>
    <w:p>
      <w:pPr>
        <w:pStyle w:val="10"/>
        <w:ind w:firstLine="240"/>
        <w:rPr>
          <w:color w:val="auto"/>
          <w:spacing w:val="86"/>
          <w:kern w:val="0"/>
          <w:highlight w:val="none"/>
          <w:fitText w:val="1600" w:id="6"/>
        </w:rPr>
      </w:pPr>
    </w:p>
    <w:p>
      <w:pPr>
        <w:pStyle w:val="28"/>
        <w:rPr>
          <w:color w:val="auto"/>
          <w:spacing w:val="86"/>
          <w:kern w:val="0"/>
          <w:highlight w:val="none"/>
          <w:fitText w:val="1600" w:id="7"/>
        </w:rPr>
      </w:pPr>
    </w:p>
    <w:p>
      <w:pPr>
        <w:rPr>
          <w:color w:val="auto"/>
          <w:spacing w:val="86"/>
          <w:kern w:val="0"/>
          <w:highlight w:val="none"/>
          <w:fitText w:val="1600" w:id="8"/>
        </w:rPr>
      </w:pPr>
    </w:p>
    <w:p>
      <w:pPr>
        <w:pStyle w:val="11"/>
        <w:rPr>
          <w:color w:val="auto"/>
          <w:spacing w:val="86"/>
          <w:kern w:val="0"/>
          <w:highlight w:val="none"/>
          <w:fitText w:val="1600" w:id="9"/>
        </w:rPr>
      </w:pPr>
    </w:p>
    <w:p>
      <w:pPr>
        <w:pStyle w:val="10"/>
        <w:ind w:firstLine="240"/>
        <w:rPr>
          <w:color w:val="auto"/>
          <w:spacing w:val="0"/>
          <w:kern w:val="0"/>
          <w:highlight w:val="none"/>
          <w:fitText w:val="1600" w:id="10"/>
        </w:rPr>
      </w:pPr>
    </w:p>
    <w:p>
      <w:pPr>
        <w:pStyle w:val="28"/>
        <w:rPr>
          <w:color w:val="auto"/>
          <w:highlight w:val="none"/>
        </w:rPr>
      </w:pPr>
    </w:p>
    <w:p>
      <w:pPr>
        <w:pStyle w:val="28"/>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2"/>
        <w:widowControl w:val="0"/>
        <w:overflowPunct w:val="0"/>
        <w:spacing w:line="240" w:lineRule="auto"/>
        <w:rPr>
          <w:rFonts w:ascii="宋体" w:hAnsi="宋体"/>
          <w:color w:val="auto"/>
          <w:sz w:val="21"/>
          <w:szCs w:val="21"/>
          <w:highlight w:val="none"/>
        </w:rPr>
      </w:pPr>
      <w:bookmarkStart w:id="166" w:name="_Toc1232"/>
      <w:r>
        <w:rPr>
          <w:rFonts w:hint="eastAsia" w:ascii="宋体" w:hAnsi="宋体"/>
          <w:color w:val="auto"/>
          <w:sz w:val="21"/>
          <w:szCs w:val="21"/>
          <w:highlight w:val="none"/>
        </w:rPr>
        <w:t>附件2.开标一览表格式</w:t>
      </w:r>
      <w:bookmarkEnd w:id="166"/>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投标人名称：</w:t>
      </w:r>
    </w:p>
    <w:p>
      <w:pPr>
        <w:rPr>
          <w:color w:val="auto"/>
          <w:highlight w:val="none"/>
        </w:rPr>
      </w:pPr>
      <w:r>
        <w:rPr>
          <w:rFonts w:hint="eastAsia" w:ascii="宋体" w:hAnsi="宋体"/>
          <w:color w:val="auto"/>
          <w:szCs w:val="21"/>
          <w:highlight w:val="none"/>
        </w:rPr>
        <w:t>采购项目编号：</w:t>
      </w:r>
    </w:p>
    <w:tbl>
      <w:tblPr>
        <w:tblStyle w:val="3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49" w:hRule="atLeast"/>
          <w:jc w:val="center"/>
        </w:trPr>
        <w:tc>
          <w:tcPr>
            <w:tcW w:w="1684" w:type="dxa"/>
            <w:vAlign w:val="center"/>
          </w:tcPr>
          <w:p>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167" w:hRule="atLeast"/>
          <w:jc w:val="center"/>
        </w:trPr>
        <w:tc>
          <w:tcPr>
            <w:tcW w:w="168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大岭山大塘村优质产业空间项目(北地块)</w:t>
            </w:r>
            <w:r>
              <w:rPr>
                <w:rFonts w:hint="eastAsia" w:ascii="宋体" w:hAnsi="宋体" w:cs="宋体"/>
                <w:color w:val="auto"/>
                <w:szCs w:val="21"/>
                <w:highlight w:val="none"/>
                <w:lang w:eastAsia="zh-CN"/>
              </w:rPr>
              <w:t>二期</w:t>
            </w:r>
            <w:r>
              <w:rPr>
                <w:rFonts w:hint="eastAsia" w:ascii="宋体" w:hAnsi="宋体" w:cs="宋体"/>
                <w:color w:val="auto"/>
                <w:szCs w:val="21"/>
                <w:highlight w:val="none"/>
              </w:rPr>
              <w:t>项目全过程驻场造价咨询服务</w:t>
            </w:r>
          </w:p>
        </w:tc>
        <w:tc>
          <w:tcPr>
            <w:tcW w:w="1942" w:type="dxa"/>
            <w:vAlign w:val="center"/>
          </w:tcPr>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小写：</w:t>
            </w:r>
          </w:p>
          <w:p>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308" w:type="dxa"/>
            <w:vAlign w:val="center"/>
          </w:tcPr>
          <w:p>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从合同签订之日起至咨询合同结算完毕经三方确认后结束。</w:t>
            </w:r>
          </w:p>
        </w:tc>
        <w:tc>
          <w:tcPr>
            <w:tcW w:w="2089" w:type="dxa"/>
            <w:vAlign w:val="center"/>
          </w:tcPr>
          <w:p>
            <w:pPr>
              <w:pStyle w:val="68"/>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rPr>
              <w:t>全过程驻场造价咨询服务收费系数的有效区间：≤0.64，保留小数点后两位</w:t>
            </w:r>
            <w:r>
              <w:rPr>
                <w:rFonts w:hint="eastAsia" w:hAnsi="宋体"/>
                <w:color w:val="auto"/>
                <w:sz w:val="21"/>
                <w:szCs w:val="21"/>
                <w:highlight w:val="none"/>
                <w:lang w:eastAsia="zh-CN"/>
              </w:rPr>
              <w:t>。</w:t>
            </w:r>
          </w:p>
        </w:tc>
      </w:tr>
    </w:tbl>
    <w:p>
      <w:pPr>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pPr>
        <w:rPr>
          <w:rFonts w:ascii="宋体" w:hAnsi="宋体"/>
          <w:color w:val="auto"/>
          <w:szCs w:val="21"/>
          <w:highlight w:val="none"/>
        </w:rPr>
      </w:pPr>
      <w:r>
        <w:rPr>
          <w:rFonts w:hint="eastAsia" w:ascii="宋体" w:hAnsi="宋体"/>
          <w:color w:val="auto"/>
          <w:szCs w:val="21"/>
          <w:highlight w:val="none"/>
        </w:rPr>
        <w:br w:type="page"/>
      </w:r>
    </w:p>
    <w:p>
      <w:pPr>
        <w:rPr>
          <w:color w:val="auto"/>
          <w:sz w:val="52"/>
          <w:szCs w:val="52"/>
          <w:highlight w:val="none"/>
        </w:rPr>
      </w:pPr>
    </w:p>
    <w:p>
      <w:pPr>
        <w:pStyle w:val="4"/>
        <w:spacing w:before="0" w:after="0" w:line="360" w:lineRule="auto"/>
        <w:jc w:val="center"/>
        <w:rPr>
          <w:color w:val="auto"/>
          <w:sz w:val="72"/>
          <w:szCs w:val="72"/>
          <w:highlight w:val="none"/>
        </w:rPr>
      </w:pPr>
      <w:bookmarkStart w:id="167" w:name="_Toc7358"/>
      <w:r>
        <w:rPr>
          <w:rFonts w:hint="eastAsia"/>
          <w:color w:val="auto"/>
          <w:sz w:val="72"/>
          <w:szCs w:val="72"/>
          <w:highlight w:val="none"/>
        </w:rPr>
        <w:t>商务文件</w:t>
      </w:r>
      <w:bookmarkEnd w:id="167"/>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11"/>
        <w:rPr>
          <w:color w:val="auto"/>
          <w:highlight w:val="none"/>
        </w:rPr>
      </w:pPr>
    </w:p>
    <w:p>
      <w:pPr>
        <w:pStyle w:val="10"/>
        <w:ind w:firstLine="240"/>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1"/>
        </w:rPr>
      </w:pPr>
      <w:r>
        <w:rPr>
          <w:rFonts w:hint="eastAsia" w:ascii="宋体" w:hAnsi="宋体" w:eastAsia="宋体" w:cs="宋体"/>
          <w:b/>
          <w:bCs/>
          <w:color w:val="auto"/>
          <w:spacing w:val="0"/>
          <w:kern w:val="0"/>
          <w:sz w:val="32"/>
          <w:szCs w:val="32"/>
          <w:highlight w:val="none"/>
          <w:fitText w:val="1600" w:id="11"/>
        </w:rPr>
        <w:t>项目名称：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2"/>
        </w:rPr>
      </w:pPr>
      <w:r>
        <w:rPr>
          <w:rFonts w:hint="eastAsia" w:ascii="宋体" w:hAnsi="宋体" w:eastAsia="宋体" w:cs="宋体"/>
          <w:b/>
          <w:bCs/>
          <w:color w:val="auto"/>
          <w:spacing w:val="0"/>
          <w:kern w:val="0"/>
          <w:sz w:val="32"/>
          <w:szCs w:val="32"/>
          <w:highlight w:val="none"/>
          <w:fitText w:val="1600" w:id="12"/>
        </w:rPr>
        <w:t>项目编号：</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3"/>
        </w:rPr>
      </w:pPr>
      <w:r>
        <w:rPr>
          <w:rFonts w:hint="eastAsia" w:ascii="宋体" w:hAnsi="宋体" w:eastAsia="宋体" w:cs="宋体"/>
          <w:b/>
          <w:bCs/>
          <w:color w:val="auto"/>
          <w:spacing w:val="1"/>
          <w:w w:val="62"/>
          <w:kern w:val="0"/>
          <w:sz w:val="32"/>
          <w:szCs w:val="32"/>
          <w:highlight w:val="none"/>
          <w:fitText w:val="1600" w:id="13"/>
          <w:lang w:val="en-US"/>
        </w:rPr>
        <w:t>包组号（如有）</w:t>
      </w:r>
      <w:r>
        <w:rPr>
          <w:rFonts w:hint="eastAsia" w:ascii="宋体" w:hAnsi="宋体" w:eastAsia="宋体" w:cs="宋体"/>
          <w:b/>
          <w:bCs/>
          <w:color w:val="auto"/>
          <w:spacing w:val="0"/>
          <w:w w:val="62"/>
          <w:kern w:val="0"/>
          <w:sz w:val="32"/>
          <w:szCs w:val="32"/>
          <w:highlight w:val="none"/>
          <w:fitText w:val="1600" w:id="13"/>
          <w:lang w:val="en-US"/>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4"/>
        </w:rPr>
      </w:pPr>
      <w:r>
        <w:rPr>
          <w:rFonts w:hint="eastAsia" w:ascii="宋体" w:hAnsi="宋体" w:eastAsia="宋体" w:cs="宋体"/>
          <w:b/>
          <w:bCs/>
          <w:color w:val="auto"/>
          <w:spacing w:val="0"/>
          <w:w w:val="83"/>
          <w:kern w:val="0"/>
          <w:sz w:val="32"/>
          <w:szCs w:val="32"/>
          <w:highlight w:val="none"/>
          <w:fitText w:val="1600" w:id="14"/>
        </w:rPr>
        <w:t>投标人名称：</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5"/>
        </w:rPr>
      </w:pPr>
      <w:r>
        <w:rPr>
          <w:rFonts w:hint="eastAsia" w:ascii="宋体" w:hAnsi="宋体" w:eastAsia="宋体" w:cs="宋体"/>
          <w:b/>
          <w:bCs/>
          <w:color w:val="auto"/>
          <w:spacing w:val="0"/>
          <w:kern w:val="0"/>
          <w:sz w:val="32"/>
          <w:szCs w:val="32"/>
          <w:highlight w:val="none"/>
          <w:fitText w:val="1600" w:id="15"/>
        </w:rPr>
        <w:t>日    期：</w:t>
      </w:r>
    </w:p>
    <w:p>
      <w:pPr>
        <w:pStyle w:val="11"/>
        <w:rPr>
          <w:b/>
          <w:color w:val="auto"/>
          <w:sz w:val="32"/>
          <w:szCs w:val="32"/>
          <w:highlight w:val="none"/>
        </w:rPr>
      </w:pPr>
    </w:p>
    <w:p>
      <w:pPr>
        <w:pStyle w:val="10"/>
        <w:ind w:firstLine="321"/>
        <w:rPr>
          <w:b/>
          <w:color w:val="auto"/>
          <w:spacing w:val="0"/>
          <w:w w:val="94"/>
          <w:kern w:val="0"/>
          <w:sz w:val="32"/>
          <w:szCs w:val="32"/>
          <w:highlight w:val="none"/>
          <w:fitText w:val="1600" w:id="16"/>
        </w:rPr>
      </w:pPr>
    </w:p>
    <w:p>
      <w:pPr>
        <w:pStyle w:val="28"/>
        <w:rPr>
          <w:rFonts w:ascii="宋体" w:hAnsi="宋体" w:cs="宋体"/>
          <w:b/>
          <w:color w:val="auto"/>
          <w:spacing w:val="0"/>
          <w:w w:val="94"/>
          <w:kern w:val="0"/>
          <w:sz w:val="32"/>
          <w:szCs w:val="32"/>
          <w:highlight w:val="none"/>
          <w:fitText w:val="1600" w:id="17"/>
        </w:rPr>
      </w:pPr>
    </w:p>
    <w:p>
      <w:pPr>
        <w:rPr>
          <w:rFonts w:ascii="宋体" w:hAnsi="宋体" w:cs="宋体"/>
          <w:b/>
          <w:color w:val="auto"/>
          <w:spacing w:val="0"/>
          <w:w w:val="94"/>
          <w:kern w:val="0"/>
          <w:sz w:val="32"/>
          <w:szCs w:val="32"/>
          <w:highlight w:val="none"/>
          <w:fitText w:val="1600" w:id="18"/>
        </w:rPr>
      </w:pPr>
    </w:p>
    <w:p>
      <w:pPr>
        <w:pStyle w:val="11"/>
        <w:rPr>
          <w:b/>
          <w:color w:val="auto"/>
          <w:spacing w:val="0"/>
          <w:w w:val="94"/>
          <w:kern w:val="0"/>
          <w:sz w:val="32"/>
          <w:szCs w:val="32"/>
          <w:highlight w:val="none"/>
          <w:fitText w:val="1600" w:id="19"/>
        </w:rPr>
      </w:pPr>
    </w:p>
    <w:p>
      <w:pPr>
        <w:rPr>
          <w:color w:val="auto"/>
          <w:spacing w:val="0"/>
          <w:w w:val="94"/>
          <w:kern w:val="0"/>
          <w:highlight w:val="none"/>
          <w:fitText w:val="1600" w:id="20"/>
        </w:rPr>
      </w:pPr>
    </w:p>
    <w:p>
      <w:pPr>
        <w:rPr>
          <w:rFonts w:ascii="宋体" w:hAnsi="宋体"/>
          <w:color w:val="auto"/>
          <w:szCs w:val="21"/>
          <w:highlight w:val="none"/>
        </w:rPr>
      </w:pPr>
      <w:r>
        <w:rPr>
          <w:rFonts w:hint="eastAsia" w:ascii="宋体" w:hAnsi="宋体"/>
          <w:color w:val="auto"/>
          <w:spacing w:val="2"/>
          <w:w w:val="94"/>
          <w:kern w:val="0"/>
          <w:szCs w:val="21"/>
          <w:highlight w:val="none"/>
          <w:fitText w:val="1600" w:id="21"/>
        </w:rPr>
        <w:br w:type="page"/>
      </w:r>
    </w:p>
    <w:p>
      <w:pPr>
        <w:pStyle w:val="2"/>
        <w:widowControl w:val="0"/>
        <w:overflowPunct w:val="0"/>
        <w:spacing w:line="240" w:lineRule="auto"/>
        <w:rPr>
          <w:color w:val="auto"/>
          <w:highlight w:val="none"/>
        </w:rPr>
      </w:pPr>
      <w:bookmarkStart w:id="168"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68"/>
    </w:p>
    <w:p>
      <w:pPr>
        <w:jc w:val="center"/>
        <w:rPr>
          <w:rFonts w:ascii="宋体" w:hAnsi="宋体"/>
          <w:color w:val="auto"/>
          <w:szCs w:val="21"/>
          <w:highlight w:val="none"/>
        </w:rPr>
      </w:pPr>
      <w:r>
        <w:rPr>
          <w:rFonts w:hint="eastAsia" w:ascii="黑体" w:eastAsia="黑体"/>
          <w:color w:val="auto"/>
          <w:sz w:val="32"/>
          <w:szCs w:val="32"/>
          <w:highlight w:val="none"/>
        </w:rPr>
        <w:t>投标书</w:t>
      </w: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pPr>
        <w:widowControl w:val="0"/>
        <w:numPr>
          <w:ilvl w:val="0"/>
          <w:numId w:val="14"/>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pPr>
        <w:widowControl w:val="0"/>
        <w:numPr>
          <w:ilvl w:val="0"/>
          <w:numId w:val="14"/>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投标人名称（全称）： </w:t>
      </w:r>
    </w:p>
    <w:p>
      <w:pPr>
        <w:rPr>
          <w:rFonts w:ascii="宋体" w:hAnsi="宋体"/>
          <w:color w:val="auto"/>
          <w:szCs w:val="21"/>
          <w:highlight w:val="none"/>
        </w:rPr>
      </w:pPr>
      <w:r>
        <w:rPr>
          <w:rFonts w:hint="eastAsia" w:ascii="宋体" w:hAnsi="宋体"/>
          <w:color w:val="auto"/>
          <w:szCs w:val="21"/>
          <w:highlight w:val="none"/>
        </w:rPr>
        <w:t xml:space="preserve">投标人盖章：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2"/>
        <w:widowControl w:val="0"/>
        <w:overflowPunct w:val="0"/>
        <w:spacing w:line="240" w:lineRule="auto"/>
        <w:rPr>
          <w:rFonts w:ascii="宋体" w:hAnsi="宋体"/>
          <w:color w:val="auto"/>
          <w:sz w:val="21"/>
          <w:szCs w:val="21"/>
          <w:highlight w:val="none"/>
        </w:rPr>
      </w:pPr>
      <w:bookmarkStart w:id="169"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69"/>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7"/>
        <w:spacing w:line="420" w:lineRule="atLeast"/>
        <w:ind w:firstLine="433"/>
        <w:rPr>
          <w:rFonts w:ascii="宋体" w:eastAsia="宋体"/>
          <w:color w:val="auto"/>
          <w:sz w:val="21"/>
          <w:szCs w:val="21"/>
          <w:highlight w:val="none"/>
        </w:rPr>
      </w:pP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9"/>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PrEx>
        <w:trPr>
          <w:trHeight w:val="2517" w:hRule="atLeast"/>
          <w:jc w:val="center"/>
        </w:trPr>
        <w:tc>
          <w:tcPr>
            <w:tcW w:w="418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2"/>
        <w:widowControl w:val="0"/>
        <w:overflowPunct w:val="0"/>
        <w:spacing w:line="240" w:lineRule="auto"/>
        <w:rPr>
          <w:color w:val="auto"/>
          <w:highlight w:val="none"/>
        </w:rPr>
      </w:pPr>
      <w:bookmarkStart w:id="170"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70"/>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7"/>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7"/>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39"/>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171" w:name="_Toc22486"/>
      <w:r>
        <w:rPr>
          <w:rFonts w:hint="eastAsia" w:ascii="宋体" w:hAnsi="宋体"/>
          <w:color w:val="auto"/>
          <w:szCs w:val="21"/>
          <w:highlight w:val="none"/>
        </w:rPr>
        <w:br w:type="page"/>
      </w:r>
    </w:p>
    <w:p>
      <w:pPr>
        <w:pStyle w:val="2"/>
        <w:widowControl w:val="0"/>
        <w:overflowPunct w:val="0"/>
        <w:spacing w:line="240" w:lineRule="auto"/>
        <w:rPr>
          <w:rFonts w:ascii="宋体" w:hAnsi="宋体"/>
          <w:color w:val="auto"/>
          <w:sz w:val="21"/>
          <w:szCs w:val="21"/>
          <w:highlight w:val="none"/>
        </w:rPr>
      </w:pPr>
      <w:bookmarkStart w:id="172"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72"/>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3517" w:firstLineChars="1675"/>
        <w:rPr>
          <w:rFonts w:ascii="宋体" w:eastAsia="宋体"/>
          <w:color w:val="auto"/>
          <w:sz w:val="21"/>
          <w:szCs w:val="21"/>
          <w:highlight w:val="none"/>
        </w:rPr>
      </w:pP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2"/>
        <w:widowControl w:val="0"/>
        <w:overflowPunct w:val="0"/>
        <w:spacing w:line="240" w:lineRule="auto"/>
        <w:rPr>
          <w:rFonts w:ascii="宋体" w:hAnsi="宋体"/>
          <w:color w:val="auto"/>
          <w:sz w:val="21"/>
          <w:szCs w:val="21"/>
          <w:highlight w:val="none"/>
        </w:rPr>
      </w:pPr>
      <w:bookmarkStart w:id="173"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73"/>
    </w:p>
    <w:p>
      <w:pPr>
        <w:jc w:val="center"/>
        <w:rPr>
          <w:rFonts w:ascii="黑体" w:eastAsia="黑体"/>
          <w:color w:val="auto"/>
          <w:sz w:val="28"/>
          <w:szCs w:val="28"/>
          <w:highlight w:val="none"/>
        </w:rPr>
      </w:pPr>
      <w:bookmarkStart w:id="174" w:name="_Toc5919"/>
      <w:bookmarkStart w:id="175" w:name="_Toc4926"/>
      <w:bookmarkStart w:id="176" w:name="_Toc24210"/>
      <w:bookmarkStart w:id="177" w:name="_Toc17470"/>
      <w:bookmarkStart w:id="178" w:name="_Toc1511"/>
      <w:r>
        <w:rPr>
          <w:rFonts w:hint="eastAsia" w:ascii="黑体" w:eastAsia="黑体"/>
          <w:color w:val="auto"/>
          <w:sz w:val="28"/>
          <w:szCs w:val="28"/>
          <w:highlight w:val="none"/>
        </w:rPr>
        <w:t>营业执照</w:t>
      </w:r>
      <w:bookmarkEnd w:id="174"/>
      <w:bookmarkEnd w:id="175"/>
      <w:bookmarkEnd w:id="176"/>
      <w:bookmarkEnd w:id="177"/>
      <w:bookmarkEnd w:id="178"/>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2"/>
        <w:widowControl w:val="0"/>
        <w:overflowPunct w:val="0"/>
        <w:spacing w:line="240" w:lineRule="auto"/>
        <w:rPr>
          <w:rFonts w:ascii="宋体" w:hAnsi="宋体"/>
          <w:color w:val="auto"/>
          <w:sz w:val="21"/>
          <w:szCs w:val="21"/>
          <w:highlight w:val="none"/>
        </w:rPr>
      </w:pPr>
      <w:bookmarkStart w:id="179"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79"/>
    </w:p>
    <w:p>
      <w:pPr>
        <w:rPr>
          <w:color w:val="auto"/>
          <w:highlight w:val="none"/>
        </w:rPr>
      </w:pPr>
    </w:p>
    <w:p>
      <w:pPr>
        <w:jc w:val="center"/>
        <w:rPr>
          <w:rFonts w:ascii="黑体" w:eastAsia="黑体"/>
          <w:color w:val="auto"/>
          <w:sz w:val="28"/>
          <w:szCs w:val="28"/>
          <w:highlight w:val="none"/>
        </w:rPr>
      </w:pPr>
      <w:bookmarkStart w:id="180" w:name="_Toc13458"/>
      <w:bookmarkStart w:id="181" w:name="_Toc30307"/>
      <w:bookmarkStart w:id="182" w:name="_Toc16233"/>
      <w:bookmarkStart w:id="183" w:name="_Toc16698"/>
      <w:bookmarkStart w:id="184" w:name="_Toc9592"/>
      <w:r>
        <w:rPr>
          <w:rFonts w:hint="eastAsia" w:ascii="黑体" w:eastAsia="黑体"/>
          <w:color w:val="auto"/>
          <w:sz w:val="28"/>
          <w:szCs w:val="28"/>
          <w:highlight w:val="none"/>
        </w:rPr>
        <w:t>相关资质证明文件</w:t>
      </w:r>
      <w:bookmarkEnd w:id="171"/>
      <w:bookmarkEnd w:id="180"/>
      <w:bookmarkEnd w:id="181"/>
      <w:bookmarkEnd w:id="182"/>
      <w:bookmarkEnd w:id="183"/>
      <w:bookmarkEnd w:id="184"/>
    </w:p>
    <w:p>
      <w:pPr>
        <w:numPr>
          <w:ilvl w:val="0"/>
          <w:numId w:val="15"/>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15"/>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2"/>
        <w:widowControl w:val="0"/>
        <w:overflowPunct w:val="0"/>
        <w:spacing w:line="240" w:lineRule="auto"/>
        <w:rPr>
          <w:rFonts w:ascii="楷体_GB2312" w:eastAsia="楷体_GB2312"/>
          <w:color w:val="auto"/>
          <w:highlight w:val="none"/>
        </w:rPr>
      </w:pPr>
      <w:bookmarkStart w:id="185"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85"/>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color w:val="auto"/>
          <w:highlight w:val="none"/>
        </w:rPr>
      </w:pPr>
    </w:p>
    <w:p>
      <w:pPr>
        <w:pStyle w:val="2"/>
        <w:widowControl w:val="0"/>
        <w:overflowPunct w:val="0"/>
        <w:spacing w:line="240" w:lineRule="auto"/>
        <w:rPr>
          <w:rFonts w:ascii="楷体_GB2312" w:eastAsia="楷体_GB2312"/>
          <w:color w:val="auto"/>
          <w:highlight w:val="none"/>
        </w:rPr>
      </w:pPr>
      <w:bookmarkStart w:id="186"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86"/>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p>
    <w:p>
      <w:pPr>
        <w:jc w:val="center"/>
        <w:rPr>
          <w:rFonts w:ascii="宋体" w:hAnsi="宋体" w:cs="宋体"/>
          <w:color w:val="auto"/>
          <w:szCs w:val="21"/>
          <w:highlight w:val="none"/>
        </w:rPr>
      </w:pPr>
    </w:p>
    <w:p>
      <w:pPr>
        <w:pStyle w:val="47"/>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7"/>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rFonts w:ascii="宋体" w:hAnsi="宋体"/>
          <w:color w:val="auto"/>
          <w:szCs w:val="21"/>
          <w:highlight w:val="none"/>
        </w:rPr>
      </w:pPr>
    </w:p>
    <w:p>
      <w:pPr>
        <w:pStyle w:val="11"/>
        <w:rPr>
          <w:color w:val="auto"/>
          <w:sz w:val="21"/>
          <w:szCs w:val="21"/>
          <w:highlight w:val="none"/>
        </w:rPr>
      </w:pPr>
    </w:p>
    <w:p>
      <w:pPr>
        <w:rPr>
          <w:color w:val="auto"/>
          <w:highlight w:val="none"/>
        </w:rPr>
      </w:pPr>
    </w:p>
    <w:p>
      <w:pPr>
        <w:pStyle w:val="2"/>
        <w:widowControl w:val="0"/>
        <w:overflowPunct w:val="0"/>
        <w:spacing w:line="240" w:lineRule="auto"/>
        <w:rPr>
          <w:rFonts w:ascii="宋体" w:hAnsi="宋体"/>
          <w:color w:val="auto"/>
          <w:sz w:val="21"/>
          <w:szCs w:val="21"/>
          <w:highlight w:val="none"/>
        </w:rPr>
      </w:pPr>
      <w:bookmarkStart w:id="187"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87"/>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9"/>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ascii="宋体" w:hAnsi="宋体"/>
                <w:color w:val="auto"/>
                <w:szCs w:val="21"/>
                <w:highlight w:val="none"/>
              </w:rPr>
            </w:pPr>
          </w:p>
        </w:tc>
        <w:tc>
          <w:tcPr>
            <w:tcW w:w="1620" w:type="dxa"/>
            <w:vAlign w:val="center"/>
          </w:tcPr>
          <w:p>
            <w:pPr>
              <w:jc w:val="center"/>
              <w:rPr>
                <w:rFonts w:ascii="宋体" w:hAnsi="宋体"/>
                <w:color w:val="auto"/>
                <w:szCs w:val="21"/>
                <w:highlight w:val="none"/>
              </w:rPr>
            </w:pPr>
          </w:p>
        </w:tc>
        <w:tc>
          <w:tcPr>
            <w:tcW w:w="1360" w:type="dxa"/>
            <w:vAlign w:val="center"/>
          </w:tcPr>
          <w:p>
            <w:pPr>
              <w:jc w:val="center"/>
              <w:rPr>
                <w:rFonts w:ascii="宋体" w:hAnsi="宋体"/>
                <w:color w:val="auto"/>
                <w:szCs w:val="21"/>
                <w:highlight w:val="none"/>
              </w:rPr>
            </w:pPr>
          </w:p>
        </w:tc>
        <w:tc>
          <w:tcPr>
            <w:tcW w:w="1587" w:type="dxa"/>
            <w:vAlign w:val="center"/>
          </w:tcPr>
          <w:p>
            <w:pPr>
              <w:jc w:val="center"/>
              <w:rPr>
                <w:rFonts w:ascii="宋体" w:hAnsi="宋体"/>
                <w:color w:val="auto"/>
                <w:szCs w:val="21"/>
                <w:highlight w:val="none"/>
              </w:rPr>
            </w:pPr>
          </w:p>
        </w:tc>
        <w:tc>
          <w:tcPr>
            <w:tcW w:w="1133" w:type="dxa"/>
            <w:vAlign w:val="center"/>
          </w:tcPr>
          <w:p>
            <w:pPr>
              <w:jc w:val="center"/>
              <w:rPr>
                <w:rFonts w:ascii="宋体" w:hAnsi="宋体"/>
                <w:color w:val="auto"/>
                <w:szCs w:val="21"/>
                <w:highlight w:val="none"/>
              </w:rPr>
            </w:pPr>
          </w:p>
        </w:tc>
        <w:tc>
          <w:tcPr>
            <w:tcW w:w="1730"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2"/>
        <w:widowControl w:val="0"/>
        <w:overflowPunct w:val="0"/>
        <w:spacing w:line="240" w:lineRule="auto"/>
        <w:rPr>
          <w:rFonts w:ascii="宋体" w:hAnsi="宋体"/>
          <w:color w:val="auto"/>
          <w:sz w:val="30"/>
          <w:szCs w:val="30"/>
          <w:highlight w:val="none"/>
        </w:rPr>
      </w:pPr>
      <w:bookmarkStart w:id="188"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88"/>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40"/>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706" w:type="dxa"/>
            <w:vAlign w:val="center"/>
          </w:tcPr>
          <w:p>
            <w:pPr>
              <w:adjustRightInd/>
              <w:snapToGrid/>
              <w:jc w:val="center"/>
              <w:rPr>
                <w:rFonts w:ascii="宋体" w:hAnsi="宋体"/>
                <w:color w:val="auto"/>
                <w:szCs w:val="21"/>
                <w:highlight w:val="none"/>
              </w:rPr>
            </w:pPr>
          </w:p>
        </w:tc>
        <w:tc>
          <w:tcPr>
            <w:tcW w:w="1705" w:type="dxa"/>
            <w:vAlign w:val="center"/>
          </w:tcPr>
          <w:p>
            <w:pPr>
              <w:adjustRightInd/>
              <w:snapToGrid/>
              <w:jc w:val="center"/>
              <w:rPr>
                <w:rFonts w:ascii="宋体" w:hAnsi="宋体"/>
                <w:color w:val="auto"/>
                <w:szCs w:val="21"/>
                <w:highlight w:val="none"/>
              </w:rPr>
            </w:pPr>
          </w:p>
        </w:tc>
        <w:tc>
          <w:tcPr>
            <w:tcW w:w="1697" w:type="dxa"/>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706" w:type="dxa"/>
          </w:tcPr>
          <w:p>
            <w:pPr>
              <w:adjustRightInd/>
              <w:snapToGrid/>
              <w:rPr>
                <w:rFonts w:ascii="宋体" w:hAnsi="宋体"/>
                <w:color w:val="auto"/>
                <w:szCs w:val="21"/>
                <w:highlight w:val="none"/>
              </w:rPr>
            </w:pPr>
          </w:p>
        </w:tc>
        <w:tc>
          <w:tcPr>
            <w:tcW w:w="1705" w:type="dxa"/>
          </w:tcPr>
          <w:p>
            <w:pPr>
              <w:adjustRightInd/>
              <w:snapToGrid/>
              <w:rPr>
                <w:rFonts w:ascii="宋体" w:hAnsi="宋体"/>
                <w:color w:val="auto"/>
                <w:szCs w:val="21"/>
                <w:highlight w:val="none"/>
              </w:rPr>
            </w:pPr>
          </w:p>
        </w:tc>
        <w:tc>
          <w:tcPr>
            <w:tcW w:w="1697" w:type="dxa"/>
          </w:tcPr>
          <w:p>
            <w:pPr>
              <w:adjustRightInd/>
              <w:snapToGrid/>
              <w:rPr>
                <w:rFonts w:ascii="宋体" w:hAnsi="宋体"/>
                <w:color w:val="auto"/>
                <w:szCs w:val="21"/>
                <w:highlight w:val="none"/>
              </w:rPr>
            </w:pPr>
          </w:p>
        </w:tc>
      </w:tr>
    </w:tbl>
    <w:p>
      <w:pPr>
        <w:pStyle w:val="44"/>
        <w:rPr>
          <w:rFonts w:ascii="宋体" w:hAnsi="宋体"/>
          <w:color w:val="auto"/>
          <w:szCs w:val="21"/>
          <w:highlight w:val="none"/>
        </w:rPr>
      </w:pPr>
    </w:p>
    <w:p>
      <w:pPr>
        <w:pStyle w:val="44"/>
        <w:rPr>
          <w:rFonts w:ascii="宋体" w:hAnsi="宋体"/>
          <w:color w:val="auto"/>
          <w:szCs w:val="21"/>
          <w:highlight w:val="none"/>
        </w:rPr>
      </w:pPr>
      <w:r>
        <w:rPr>
          <w:rFonts w:hint="eastAsia" w:ascii="宋体" w:hAnsi="宋体"/>
          <w:color w:val="auto"/>
          <w:szCs w:val="21"/>
          <w:highlight w:val="none"/>
        </w:rPr>
        <w:t>注：</w:t>
      </w:r>
    </w:p>
    <w:p>
      <w:pPr>
        <w:pStyle w:val="44"/>
        <w:numPr>
          <w:ilvl w:val="0"/>
          <w:numId w:val="16"/>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pPr>
        <w:pStyle w:val="44"/>
        <w:numPr>
          <w:ilvl w:val="0"/>
          <w:numId w:val="16"/>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rFonts w:ascii="宋体" w:hAnsi="宋体"/>
          <w:color w:val="auto"/>
          <w:szCs w:val="21"/>
          <w:highlight w:val="none"/>
        </w:rPr>
      </w:pPr>
      <w:r>
        <w:rPr>
          <w:rFonts w:hint="eastAsia" w:ascii="宋体" w:hAnsi="宋体"/>
          <w:color w:val="auto"/>
          <w:szCs w:val="21"/>
          <w:highlight w:val="none"/>
        </w:rPr>
        <w:br w:type="page"/>
      </w:r>
    </w:p>
    <w:p>
      <w:pPr>
        <w:pStyle w:val="2"/>
        <w:widowControl w:val="0"/>
        <w:overflowPunct w:val="0"/>
        <w:spacing w:line="240" w:lineRule="auto"/>
        <w:rPr>
          <w:color w:val="auto"/>
          <w:highlight w:val="none"/>
        </w:rPr>
      </w:pPr>
      <w:bookmarkStart w:id="189"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89"/>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Ansi="宋体" w:cs="宋体"/>
          <w:color w:val="auto"/>
          <w:szCs w:val="21"/>
          <w:highlight w:val="none"/>
        </w:rPr>
      </w:pPr>
      <w:r>
        <w:rPr>
          <w:rFonts w:hint="eastAsia" w:hAnsi="宋体" w:cs="宋体"/>
          <w:color w:val="auto"/>
          <w:szCs w:val="21"/>
          <w:highlight w:val="none"/>
        </w:rPr>
        <w:t>（……公司全称）</w:t>
      </w:r>
    </w:p>
    <w:p>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11"/>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11"/>
        <w:rPr>
          <w:color w:val="auto"/>
          <w:sz w:val="21"/>
          <w:szCs w:val="21"/>
          <w:highlight w:val="none"/>
        </w:rPr>
      </w:pPr>
      <w:r>
        <w:rPr>
          <w:rFonts w:hint="eastAsia"/>
          <w:color w:val="auto"/>
          <w:sz w:val="21"/>
          <w:szCs w:val="21"/>
          <w:highlight w:val="none"/>
        </w:rPr>
        <w:t>牵头人名称：_______________________（盖单位公章）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rPr>
          <w:color w:val="auto"/>
          <w:sz w:val="21"/>
          <w:szCs w:val="21"/>
          <w:highlight w:val="none"/>
        </w:rPr>
      </w:pPr>
    </w:p>
    <w:p>
      <w:pPr>
        <w:pStyle w:val="11"/>
        <w:rPr>
          <w:color w:val="auto"/>
          <w:sz w:val="21"/>
          <w:szCs w:val="21"/>
          <w:highlight w:val="none"/>
        </w:rPr>
      </w:pPr>
      <w:r>
        <w:rPr>
          <w:rFonts w:hint="eastAsia"/>
          <w:color w:val="auto"/>
          <w:sz w:val="21"/>
          <w:szCs w:val="21"/>
          <w:highlight w:val="none"/>
        </w:rPr>
        <w:t>成员一名称：_______________________（盖单位公章）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rPr>
          <w:color w:val="auto"/>
          <w:sz w:val="21"/>
          <w:szCs w:val="21"/>
          <w:highlight w:val="none"/>
        </w:rPr>
      </w:pPr>
    </w:p>
    <w:p>
      <w:pPr>
        <w:pStyle w:val="11"/>
        <w:rPr>
          <w:color w:val="auto"/>
          <w:sz w:val="21"/>
          <w:szCs w:val="21"/>
          <w:highlight w:val="none"/>
        </w:rPr>
      </w:pPr>
      <w:r>
        <w:rPr>
          <w:rFonts w:hint="eastAsia"/>
          <w:color w:val="auto"/>
          <w:sz w:val="21"/>
          <w:szCs w:val="21"/>
          <w:highlight w:val="none"/>
        </w:rPr>
        <w:t>成员二名称：_______________________（盖单位公章）</w:t>
      </w:r>
    </w:p>
    <w:p>
      <w:pPr>
        <w:pStyle w:val="11"/>
        <w:rPr>
          <w:color w:val="auto"/>
          <w:sz w:val="21"/>
          <w:szCs w:val="21"/>
          <w:highlight w:val="none"/>
        </w:rPr>
      </w:pPr>
      <w:r>
        <w:rPr>
          <w:rFonts w:hint="eastAsia"/>
          <w:color w:val="auto"/>
          <w:sz w:val="21"/>
          <w:szCs w:val="21"/>
          <w:highlight w:val="none"/>
        </w:rPr>
        <w:t>法定代表人或其委托代理人：_____________（签字）</w:t>
      </w:r>
    </w:p>
    <w:p>
      <w:pPr>
        <w:pStyle w:val="11"/>
        <w:ind w:firstLine="210" w:firstLineChars="100"/>
        <w:jc w:val="both"/>
        <w:rPr>
          <w:color w:val="auto"/>
          <w:sz w:val="21"/>
          <w:szCs w:val="21"/>
          <w:highlight w:val="none"/>
        </w:rPr>
      </w:pPr>
      <w:r>
        <w:rPr>
          <w:rFonts w:hint="eastAsia"/>
          <w:color w:val="auto"/>
          <w:sz w:val="21"/>
          <w:szCs w:val="21"/>
          <w:highlight w:val="none"/>
        </w:rPr>
        <w:t>……</w:t>
      </w:r>
    </w:p>
    <w:p>
      <w:pPr>
        <w:pStyle w:val="11"/>
        <w:rPr>
          <w:color w:val="auto"/>
          <w:highlight w:val="none"/>
          <w:lang w:val="en-US"/>
        </w:rPr>
        <w:sectPr>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pPr>
        <w:pStyle w:val="11"/>
        <w:rPr>
          <w:color w:val="auto"/>
          <w:highlight w:val="none"/>
        </w:rPr>
      </w:pPr>
    </w:p>
    <w:p>
      <w:pPr>
        <w:pStyle w:val="4"/>
        <w:spacing w:before="0" w:after="0" w:line="360" w:lineRule="auto"/>
        <w:jc w:val="center"/>
        <w:rPr>
          <w:color w:val="auto"/>
          <w:sz w:val="72"/>
          <w:szCs w:val="72"/>
          <w:highlight w:val="none"/>
        </w:rPr>
      </w:pPr>
      <w:bookmarkStart w:id="190" w:name="_Toc17454"/>
      <w:r>
        <w:rPr>
          <w:rFonts w:hint="eastAsia"/>
          <w:color w:val="auto"/>
          <w:sz w:val="72"/>
          <w:szCs w:val="72"/>
          <w:highlight w:val="none"/>
        </w:rPr>
        <w:t>技术文件</w:t>
      </w:r>
      <w:bookmarkEnd w:id="190"/>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11"/>
        <w:rPr>
          <w:color w:val="auto"/>
          <w:highlight w:val="none"/>
        </w:rPr>
      </w:pPr>
    </w:p>
    <w:p>
      <w:pPr>
        <w:pStyle w:val="10"/>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2"/>
        </w:rPr>
        <w:t>项目名</w:t>
      </w:r>
      <w:r>
        <w:rPr>
          <w:rFonts w:hint="eastAsia" w:ascii="宋体" w:hAnsi="宋体" w:cs="宋体"/>
          <w:b/>
          <w:bCs/>
          <w:color w:val="auto"/>
          <w:spacing w:val="1"/>
          <w:kern w:val="0"/>
          <w:sz w:val="32"/>
          <w:szCs w:val="32"/>
          <w:highlight w:val="none"/>
          <w:fitText w:val="1600" w:id="22"/>
        </w:rPr>
        <w:t>称</w:t>
      </w:r>
      <w:r>
        <w:rPr>
          <w:rFonts w:hint="eastAsia" w:ascii="宋体" w:hAnsi="宋体" w:cs="宋体"/>
          <w:b/>
          <w:bCs/>
          <w:color w:val="auto"/>
          <w:spacing w:val="-6"/>
          <w:sz w:val="32"/>
          <w:szCs w:val="32"/>
          <w:highlight w:val="none"/>
        </w:rPr>
        <w:t>：</w:t>
      </w:r>
    </w:p>
    <w:p>
      <w:pPr>
        <w:rPr>
          <w:rFonts w:ascii="宋体" w:hAnsi="宋体" w:cs="宋体"/>
          <w:b/>
          <w:bCs/>
          <w:color w:val="auto"/>
          <w:spacing w:val="64"/>
          <w:kern w:val="0"/>
          <w:sz w:val="32"/>
          <w:szCs w:val="32"/>
          <w:highlight w:val="none"/>
          <w:fitText w:val="1600" w:id="23"/>
        </w:rPr>
      </w:pPr>
      <w:r>
        <w:rPr>
          <w:rFonts w:hint="eastAsia" w:ascii="宋体" w:hAnsi="宋体" w:cs="宋体"/>
          <w:b/>
          <w:bCs/>
          <w:color w:val="auto"/>
          <w:spacing w:val="0"/>
          <w:kern w:val="0"/>
          <w:sz w:val="32"/>
          <w:szCs w:val="32"/>
          <w:highlight w:val="none"/>
          <w:fitText w:val="1600" w:id="23"/>
        </w:rPr>
        <w:t>项目编号：</w:t>
      </w:r>
    </w:p>
    <w:p>
      <w:pPr>
        <w:pStyle w:val="11"/>
        <w:ind w:left="0"/>
        <w:rPr>
          <w:b/>
          <w:color w:val="auto"/>
          <w:spacing w:val="1280"/>
          <w:sz w:val="32"/>
          <w:szCs w:val="32"/>
          <w:highlight w:val="none"/>
        </w:rPr>
      </w:pPr>
      <w:r>
        <w:rPr>
          <w:b/>
          <w:color w:val="auto"/>
          <w:spacing w:val="640"/>
          <w:kern w:val="0"/>
          <w:sz w:val="32"/>
          <w:szCs w:val="32"/>
          <w:highlight w:val="none"/>
          <w:fitText w:val="1600" w:id="24"/>
          <w:lang w:val="en-US" w:bidi="ar-SA"/>
        </w:rPr>
        <w:t>包</w:t>
      </w:r>
      <w:r>
        <w:rPr>
          <w:b/>
          <w:color w:val="auto"/>
          <w:spacing w:val="106"/>
          <w:sz w:val="32"/>
          <w:szCs w:val="32"/>
          <w:highlight w:val="none"/>
          <w:lang w:val="en-US" w:bidi="ar-SA"/>
        </w:rPr>
        <w:t>组号</w:t>
      </w:r>
      <w:r>
        <w:rPr>
          <w:b/>
          <w:color w:val="auto"/>
          <w:spacing w:val="53"/>
          <w:kern w:val="0"/>
          <w:sz w:val="32"/>
          <w:szCs w:val="32"/>
          <w:highlight w:val="none"/>
          <w:fitText w:val="1600" w:id="24"/>
          <w:lang w:val="en-US" w:bidi="ar-SA"/>
        </w:rPr>
        <w:t>（如有</w:t>
      </w:r>
      <w:r>
        <w:rPr>
          <w:b/>
          <w:color w:val="auto"/>
          <w:spacing w:val="1"/>
          <w:kern w:val="0"/>
          <w:sz w:val="32"/>
          <w:szCs w:val="32"/>
          <w:highlight w:val="none"/>
          <w:fitText w:val="1600" w:id="24"/>
          <w:lang w:val="en-US" w:bidi="ar-SA"/>
        </w:rPr>
        <w:t>）</w:t>
      </w:r>
      <w:r>
        <w:rPr>
          <w:b/>
          <w:color w:val="auto"/>
          <w:spacing w:val="106"/>
          <w:sz w:val="32"/>
          <w:szCs w:val="32"/>
          <w:highlight w:val="none"/>
          <w:lang w:val="en-US" w:bidi="ar-SA"/>
        </w:rPr>
        <w:t>：</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5"/>
        </w:rPr>
        <w:t>投标人名称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6"/>
        </w:rPr>
        <w:t>日    期：</w:t>
      </w:r>
    </w:p>
    <w:p>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pPr>
        <w:pStyle w:val="2"/>
        <w:widowControl w:val="0"/>
        <w:overflowPunct w:val="0"/>
        <w:spacing w:line="240" w:lineRule="auto"/>
        <w:rPr>
          <w:rFonts w:hint="eastAsia" w:ascii="宋体" w:hAnsi="宋体"/>
          <w:color w:val="auto"/>
          <w:sz w:val="21"/>
          <w:szCs w:val="21"/>
          <w:highlight w:val="none"/>
        </w:rPr>
      </w:pPr>
      <w:bookmarkStart w:id="191"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91"/>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ascii="宋体" w:hAnsi="宋体"/>
                <w:color w:val="auto"/>
                <w:szCs w:val="21"/>
                <w:highlight w:val="none"/>
              </w:rPr>
            </w:pPr>
          </w:p>
        </w:tc>
        <w:tc>
          <w:tcPr>
            <w:tcW w:w="1902" w:type="dxa"/>
            <w:vAlign w:val="center"/>
          </w:tcPr>
          <w:p>
            <w:pPr>
              <w:jc w:val="center"/>
              <w:rPr>
                <w:rFonts w:ascii="宋体" w:hAnsi="宋体"/>
                <w:color w:val="auto"/>
                <w:szCs w:val="21"/>
                <w:highlight w:val="none"/>
              </w:rPr>
            </w:pPr>
          </w:p>
        </w:tc>
        <w:tc>
          <w:tcPr>
            <w:tcW w:w="1370" w:type="dxa"/>
            <w:vAlign w:val="center"/>
          </w:tcPr>
          <w:p>
            <w:pPr>
              <w:jc w:val="center"/>
              <w:rPr>
                <w:rFonts w:ascii="宋体" w:hAnsi="宋体"/>
                <w:color w:val="auto"/>
                <w:szCs w:val="21"/>
                <w:highlight w:val="none"/>
              </w:rPr>
            </w:pPr>
          </w:p>
        </w:tc>
        <w:tc>
          <w:tcPr>
            <w:tcW w:w="1629" w:type="dxa"/>
            <w:vAlign w:val="center"/>
          </w:tcPr>
          <w:p>
            <w:pPr>
              <w:jc w:val="center"/>
              <w:rPr>
                <w:rFonts w:ascii="宋体" w:hAnsi="宋体"/>
                <w:color w:val="auto"/>
                <w:szCs w:val="21"/>
                <w:highlight w:val="none"/>
              </w:rPr>
            </w:pPr>
          </w:p>
        </w:tc>
        <w:tc>
          <w:tcPr>
            <w:tcW w:w="1239" w:type="dxa"/>
            <w:vAlign w:val="center"/>
          </w:tcPr>
          <w:p>
            <w:pPr>
              <w:jc w:val="center"/>
              <w:rPr>
                <w:rFonts w:ascii="宋体" w:hAnsi="宋体"/>
                <w:color w:val="auto"/>
                <w:szCs w:val="21"/>
                <w:highlight w:val="none"/>
              </w:rPr>
            </w:pPr>
          </w:p>
        </w:tc>
        <w:tc>
          <w:tcPr>
            <w:tcW w:w="1544" w:type="dxa"/>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投标人代表签字：</w:t>
      </w:r>
    </w:p>
    <w:p>
      <w:pPr>
        <w:rPr>
          <w:rFonts w:ascii="宋体" w:hAnsi="宋体"/>
          <w:color w:val="auto"/>
          <w:szCs w:val="21"/>
          <w:highlight w:val="none"/>
        </w:rPr>
      </w:pPr>
      <w:r>
        <w:rPr>
          <w:rFonts w:hint="eastAsia" w:ascii="宋体" w:hAnsi="宋体"/>
          <w:color w:val="auto"/>
          <w:szCs w:val="21"/>
          <w:highlight w:val="none"/>
        </w:rPr>
        <w:t>投标人盖章：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color w:val="auto"/>
          <w:szCs w:val="21"/>
          <w:highlight w:val="none"/>
        </w:rPr>
      </w:pPr>
      <w:bookmarkStart w:id="192" w:name="_Toc17691"/>
      <w:r>
        <w:rPr>
          <w:rFonts w:hint="eastAsia" w:ascii="宋体" w:hAnsi="宋体"/>
          <w:color w:val="auto"/>
          <w:szCs w:val="21"/>
          <w:highlight w:val="none"/>
        </w:rPr>
        <w:br w:type="page"/>
      </w:r>
    </w:p>
    <w:bookmarkEnd w:id="192"/>
    <w:p>
      <w:pPr>
        <w:pStyle w:val="2"/>
        <w:widowControl w:val="0"/>
        <w:overflowPunct w:val="0"/>
        <w:spacing w:line="240" w:lineRule="auto"/>
        <w:rPr>
          <w:rFonts w:ascii="宋体" w:hAnsi="宋体"/>
          <w:color w:val="auto"/>
          <w:sz w:val="21"/>
          <w:szCs w:val="21"/>
          <w:highlight w:val="none"/>
        </w:rPr>
      </w:pPr>
      <w:bookmarkStart w:id="193"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93"/>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2"/>
        <w:widowControl w:val="0"/>
        <w:overflowPunct w:val="0"/>
        <w:spacing w:line="240" w:lineRule="auto"/>
        <w:rPr>
          <w:rFonts w:ascii="宋体" w:hAnsi="宋体"/>
          <w:color w:val="auto"/>
          <w:sz w:val="21"/>
          <w:szCs w:val="21"/>
          <w:highlight w:val="none"/>
        </w:rPr>
      </w:pPr>
      <w:bookmarkStart w:id="194"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94"/>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9"/>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861"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702" w:type="dxa"/>
            <w:vAlign w:val="center"/>
          </w:tcPr>
          <w:p>
            <w:pPr>
              <w:spacing w:line="288" w:lineRule="auto"/>
              <w:jc w:val="center"/>
              <w:rPr>
                <w:rFonts w:ascii="宋体" w:hAnsi="宋体"/>
                <w:color w:val="auto"/>
                <w:szCs w:val="21"/>
                <w:highlight w:val="none"/>
              </w:rPr>
            </w:pPr>
          </w:p>
        </w:tc>
        <w:tc>
          <w:tcPr>
            <w:tcW w:w="1164" w:type="dxa"/>
            <w:vAlign w:val="center"/>
          </w:tcPr>
          <w:p>
            <w:pPr>
              <w:spacing w:line="288" w:lineRule="auto"/>
              <w:jc w:val="center"/>
              <w:rPr>
                <w:rFonts w:ascii="宋体" w:hAnsi="宋体"/>
                <w:color w:val="auto"/>
                <w:szCs w:val="21"/>
                <w:highlight w:val="none"/>
              </w:rPr>
            </w:pPr>
          </w:p>
        </w:tc>
        <w:tc>
          <w:tcPr>
            <w:tcW w:w="818" w:type="dxa"/>
            <w:vAlign w:val="center"/>
          </w:tcPr>
          <w:p>
            <w:pPr>
              <w:spacing w:line="288" w:lineRule="auto"/>
              <w:jc w:val="center"/>
              <w:rPr>
                <w:rFonts w:ascii="宋体" w:hAnsi="宋体"/>
                <w:color w:val="auto"/>
                <w:szCs w:val="21"/>
                <w:highlight w:val="none"/>
              </w:rPr>
            </w:pPr>
          </w:p>
        </w:tc>
        <w:tc>
          <w:tcPr>
            <w:tcW w:w="1165" w:type="dxa"/>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pPr>
        <w:rPr>
          <w:rFonts w:ascii="宋体" w:hAnsi="宋体"/>
          <w:color w:val="auto"/>
          <w:szCs w:val="21"/>
          <w:highlight w:val="none"/>
        </w:rPr>
      </w:pPr>
      <w:r>
        <w:rPr>
          <w:rFonts w:hint="eastAsia" w:ascii="宋体" w:hAnsi="宋体"/>
          <w:color w:val="auto"/>
          <w:szCs w:val="21"/>
          <w:highlight w:val="none"/>
        </w:rPr>
        <w:t>注：</w:t>
      </w:r>
    </w:p>
    <w:p>
      <w:pPr>
        <w:pStyle w:val="44"/>
        <w:numPr>
          <w:ilvl w:val="0"/>
          <w:numId w:val="17"/>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pPr>
        <w:pStyle w:val="44"/>
        <w:numPr>
          <w:ilvl w:val="0"/>
          <w:numId w:val="17"/>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pPr>
        <w:pStyle w:val="44"/>
        <w:numPr>
          <w:ilvl w:val="0"/>
          <w:numId w:val="17"/>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pPr>
        <w:pStyle w:val="2"/>
        <w:widowControl w:val="0"/>
        <w:overflowPunct w:val="0"/>
        <w:spacing w:line="240" w:lineRule="auto"/>
        <w:rPr>
          <w:color w:val="auto"/>
          <w:highlight w:val="none"/>
        </w:rPr>
      </w:pPr>
      <w:bookmarkStart w:id="195"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95"/>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9"/>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953" w:type="dxa"/>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2"/>
        <w:numPr>
          <w:ilvl w:val="255"/>
          <w:numId w:val="0"/>
        </w:numPr>
        <w:tabs>
          <w:tab w:val="left" w:pos="720"/>
          <w:tab w:val="left" w:pos="3840"/>
        </w:tabs>
        <w:ind w:left="283"/>
        <w:jc w:val="both"/>
        <w:rPr>
          <w:rFonts w:ascii="宋体" w:hAnsi="宋体"/>
          <w:color w:val="auto"/>
          <w:sz w:val="21"/>
          <w:szCs w:val="21"/>
          <w:highlight w:val="none"/>
        </w:rPr>
      </w:pPr>
      <w:bookmarkStart w:id="196" w:name="_Toc19947"/>
      <w:bookmarkStart w:id="197" w:name="_Toc4866"/>
      <w:bookmarkStart w:id="198" w:name="_Toc14605"/>
      <w:bookmarkStart w:id="199" w:name="_Toc29855"/>
      <w:bookmarkStart w:id="200" w:name="_Toc17028"/>
      <w:bookmarkStart w:id="201" w:name="_Toc25861"/>
      <w:bookmarkStart w:id="202" w:name="_Toc1562"/>
      <w:bookmarkStart w:id="203" w:name="_Toc18296"/>
      <w:bookmarkStart w:id="204" w:name="_Toc2801"/>
      <w:bookmarkStart w:id="205" w:name="_Toc28623"/>
      <w:bookmarkStart w:id="206" w:name="_Toc214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96"/>
      <w:bookmarkEnd w:id="197"/>
      <w:bookmarkEnd w:id="198"/>
      <w:bookmarkEnd w:id="199"/>
      <w:bookmarkEnd w:id="200"/>
      <w:bookmarkEnd w:id="201"/>
      <w:bookmarkEnd w:id="202"/>
      <w:bookmarkEnd w:id="203"/>
      <w:bookmarkEnd w:id="204"/>
      <w:bookmarkEnd w:id="205"/>
      <w:bookmarkEnd w:id="206"/>
    </w:p>
    <w:p>
      <w:pPr>
        <w:jc w:val="center"/>
        <w:rPr>
          <w:rFonts w:ascii="宋体" w:hAnsi="宋体"/>
          <w:color w:val="auto"/>
          <w:highlight w:val="none"/>
        </w:rPr>
      </w:pPr>
      <w:r>
        <w:rPr>
          <w:rFonts w:hint="eastAsia" w:ascii="宋体" w:hAnsi="宋体"/>
          <w:color w:val="auto"/>
          <w:highlight w:val="none"/>
        </w:rPr>
        <w:t>银行编号：</w:t>
      </w:r>
    </w:p>
    <w:p>
      <w:pP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东莞市旗创产业投资有限公司  </w:t>
      </w:r>
      <w:r>
        <w:rPr>
          <w:rFonts w:hint="eastAsia" w:ascii="宋体" w:hAnsi="宋体"/>
          <w:color w:val="auto"/>
          <w:highlight w:val="none"/>
        </w:rPr>
        <w:t>（</w:t>
      </w:r>
      <w:r>
        <w:rPr>
          <w:rFonts w:hint="eastAsia" w:ascii="宋体" w:hAnsi="宋体"/>
          <w:color w:val="auto"/>
          <w:highlight w:val="none"/>
          <w:lang w:val="en-US" w:eastAsia="zh-CN"/>
        </w:rPr>
        <w:t>甲</w:t>
      </w:r>
      <w:r>
        <w:rPr>
          <w:rFonts w:hint="eastAsia"/>
          <w:color w:val="auto"/>
          <w:highlight w:val="none"/>
        </w:rPr>
        <w:t>方</w:t>
      </w:r>
      <w:r>
        <w:rPr>
          <w:rFonts w:hint="eastAsia" w:ascii="宋体" w:hAnsi="宋体"/>
          <w:color w:val="auto"/>
          <w:highlight w:val="none"/>
        </w:rPr>
        <w:t>）</w:t>
      </w:r>
    </w:p>
    <w:p>
      <w:pPr>
        <w:ind w:firstLine="420" w:firstLineChars="200"/>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u w:val="single"/>
          <w:lang w:eastAsia="zh-CN"/>
        </w:rPr>
        <w:t>东莞市大岭山镇大塘实业投资有限公司</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lang w:val="en-US" w:eastAsia="zh-CN"/>
        </w:rPr>
        <w:t>丙</w:t>
      </w:r>
      <w:r>
        <w:rPr>
          <w:rFonts w:hint="eastAsia"/>
          <w:color w:val="auto"/>
          <w:highlight w:val="none"/>
        </w:rPr>
        <w:t>方</w:t>
      </w:r>
      <w:r>
        <w:rPr>
          <w:rFonts w:hint="eastAsia" w:ascii="宋体" w:hAnsi="宋体"/>
          <w:color w:val="auto"/>
          <w:highlight w:val="none"/>
        </w:rPr>
        <w:t>）</w:t>
      </w:r>
    </w:p>
    <w:p>
      <w:pP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pP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ascii="宋体" w:hAnsi="宋体"/>
          <w:color w:val="auto"/>
          <w:highlight w:val="none"/>
          <w:lang w:val="en-US" w:eastAsia="zh-CN"/>
        </w:rPr>
        <w:t>丙</w:t>
      </w:r>
      <w:r>
        <w:rPr>
          <w:rFonts w:hint="eastAsia"/>
          <w:color w:val="auto"/>
          <w:highlight w:val="none"/>
        </w:rPr>
        <w:t>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pP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ascii="宋体" w:hAnsi="宋体"/>
          <w:color w:val="auto"/>
          <w:highlight w:val="none"/>
          <w:lang w:val="en-US" w:eastAsia="zh-CN"/>
        </w:rPr>
        <w:t>甲方</w:t>
      </w:r>
      <w:r>
        <w:rPr>
          <w:rFonts w:hint="eastAsia" w:ascii="宋体" w:hAnsi="宋体"/>
          <w:color w:val="auto"/>
          <w:highlight w:val="none"/>
        </w:rPr>
        <w:t>提出因乙方没有履行上述合同规定，而要求扣划保证金的书面要求后，7个工作日内为</w:t>
      </w:r>
      <w:r>
        <w:rPr>
          <w:rFonts w:hint="eastAsia" w:ascii="宋体" w:hAnsi="宋体"/>
          <w:color w:val="auto"/>
          <w:highlight w:val="none"/>
          <w:lang w:val="en-US" w:eastAsia="zh-CN"/>
        </w:rPr>
        <w:t>丙</w:t>
      </w:r>
      <w:r>
        <w:rPr>
          <w:rFonts w:hint="eastAsia"/>
          <w:color w:val="auto"/>
          <w:highlight w:val="none"/>
        </w:rPr>
        <w:t>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pP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w:t>
      </w:r>
      <w:r>
        <w:rPr>
          <w:rFonts w:hint="eastAsia"/>
          <w:color w:val="auto"/>
          <w:highlight w:val="none"/>
          <w:lang w:eastAsia="zh-CN"/>
        </w:rPr>
        <w:t>、</w:t>
      </w:r>
      <w:r>
        <w:rPr>
          <w:rFonts w:hint="eastAsia"/>
          <w:color w:val="auto"/>
          <w:highlight w:val="none"/>
        </w:rPr>
        <w:t>乙方</w:t>
      </w:r>
      <w:r>
        <w:rPr>
          <w:rFonts w:hint="eastAsia"/>
          <w:color w:val="auto"/>
          <w:highlight w:val="none"/>
          <w:lang w:val="en-US" w:eastAsia="zh-CN"/>
        </w:rPr>
        <w:t>与丙方</w:t>
      </w:r>
      <w:r>
        <w:rPr>
          <w:rFonts w:hint="eastAsia"/>
          <w:color w:val="auto"/>
          <w:highlight w:val="none"/>
        </w:rPr>
        <w:t>之间可能对合同条款的修改、规范或其他合同文件的变动补充，都不能免除我方按本保函所承担的责任。因此，有关上述变动、补充和修改无须通知我方。</w:t>
      </w:r>
    </w:p>
    <w:p>
      <w:pPr>
        <w:ind w:firstLine="420" w:firstLineChars="200"/>
        <w:rPr>
          <w:color w:val="auto"/>
          <w:highlight w:val="none"/>
        </w:rPr>
      </w:pPr>
      <w:r>
        <w:rPr>
          <w:rFonts w:hint="eastAsia"/>
          <w:color w:val="auto"/>
          <w:highlight w:val="none"/>
        </w:rPr>
        <w:t>本保函从上述合同签订之日起至项目服务期结束验收合格并完成结算后，双方签字之日起</w:t>
      </w:r>
      <w:r>
        <w:rPr>
          <w:rFonts w:hint="eastAsia"/>
          <w:color w:val="auto"/>
          <w:highlight w:val="none"/>
          <w:lang w:val="en-US" w:eastAsia="zh-CN"/>
        </w:rPr>
        <w:t>30</w:t>
      </w:r>
      <w:r>
        <w:rPr>
          <w:rFonts w:hint="eastAsia"/>
          <w:color w:val="auto"/>
          <w:highlight w:val="none"/>
        </w:rPr>
        <w:t>天内保持有效。</w:t>
      </w:r>
    </w:p>
    <w:p>
      <w:pPr>
        <w:ind w:firstLine="2824" w:firstLineChars="1345"/>
        <w:rPr>
          <w:rFonts w:ascii="宋体" w:hAnsi="宋体"/>
          <w:color w:val="auto"/>
          <w:highlight w:val="none"/>
        </w:rPr>
      </w:pPr>
    </w:p>
    <w:p>
      <w:pP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pP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pP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pPr>
        <w:pStyle w:val="15"/>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2"/>
        <w:numPr>
          <w:ilvl w:val="255"/>
          <w:numId w:val="0"/>
        </w:numPr>
        <w:tabs>
          <w:tab w:val="left" w:pos="720"/>
          <w:tab w:val="left" w:pos="3840"/>
        </w:tabs>
        <w:ind w:left="283"/>
        <w:jc w:val="both"/>
        <w:rPr>
          <w:rFonts w:ascii="宋体" w:hAnsi="宋体"/>
          <w:color w:val="auto"/>
          <w:sz w:val="21"/>
          <w:szCs w:val="21"/>
          <w:highlight w:val="none"/>
        </w:rPr>
      </w:pPr>
      <w:bookmarkStart w:id="207"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207"/>
    </w:p>
    <w:p>
      <w:pPr>
        <w:pStyle w:val="15"/>
        <w:rPr>
          <w:color w:val="auto"/>
          <w:szCs w:val="24"/>
          <w:highlight w:val="none"/>
        </w:rPr>
      </w:pPr>
    </w:p>
    <w:p>
      <w:pPr>
        <w:jc w:val="center"/>
        <w:rPr>
          <w:rFonts w:ascii="黑体" w:eastAsia="黑体"/>
          <w:color w:val="auto"/>
          <w:sz w:val="28"/>
          <w:szCs w:val="28"/>
          <w:highlight w:val="none"/>
        </w:rPr>
      </w:pPr>
      <w:bookmarkStart w:id="208" w:name="_Toc5034"/>
      <w:bookmarkStart w:id="209" w:name="_Toc1039"/>
      <w:bookmarkStart w:id="210" w:name="_Toc31418"/>
      <w:bookmarkStart w:id="211" w:name="_Toc27545"/>
      <w:bookmarkStart w:id="212" w:name="_Toc6877"/>
      <w:bookmarkStart w:id="213" w:name="_Toc3295"/>
      <w:bookmarkStart w:id="214" w:name="_Toc25494"/>
      <w:bookmarkStart w:id="215" w:name="_Toc29728"/>
      <w:bookmarkStart w:id="216" w:name="_Toc10315"/>
      <w:bookmarkStart w:id="217" w:name="_Toc7374"/>
      <w:bookmarkStart w:id="218" w:name="_Toc29054"/>
      <w:bookmarkStart w:id="219" w:name="_Toc20669"/>
      <w:r>
        <w:rPr>
          <w:rFonts w:hint="eastAsia" w:ascii="黑体" w:eastAsia="黑体"/>
          <w:color w:val="auto"/>
          <w:sz w:val="28"/>
          <w:szCs w:val="28"/>
          <w:highlight w:val="none"/>
        </w:rPr>
        <w:t>不可撤销预付款保函</w:t>
      </w:r>
      <w:bookmarkEnd w:id="208"/>
      <w:bookmarkEnd w:id="209"/>
      <w:bookmarkEnd w:id="210"/>
      <w:bookmarkEnd w:id="211"/>
      <w:bookmarkEnd w:id="212"/>
      <w:bookmarkEnd w:id="213"/>
      <w:bookmarkEnd w:id="214"/>
      <w:bookmarkEnd w:id="215"/>
      <w:bookmarkEnd w:id="216"/>
      <w:bookmarkEnd w:id="217"/>
      <w:bookmarkEnd w:id="218"/>
      <w:bookmarkEnd w:id="219"/>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5"/>
        <w:rPr>
          <w:color w:val="auto"/>
          <w:szCs w:val="21"/>
          <w:highlight w:val="none"/>
        </w:rPr>
      </w:pPr>
    </w:p>
    <w:p>
      <w:pPr>
        <w:pStyle w:val="15"/>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11"/>
        <w:rPr>
          <w:color w:val="auto"/>
          <w:highlight w:val="none"/>
        </w:rPr>
      </w:pPr>
      <w:bookmarkStart w:id="220" w:name="_Toc1968"/>
    </w:p>
    <w:p>
      <w:pPr>
        <w:jc w:val="center"/>
        <w:outlineLvl w:val="1"/>
        <w:rPr>
          <w:rFonts w:eastAsia="黑体"/>
          <w:color w:val="auto"/>
          <w:sz w:val="72"/>
          <w:szCs w:val="72"/>
          <w:highlight w:val="none"/>
        </w:rPr>
      </w:pPr>
      <w:bookmarkStart w:id="221" w:name="_Toc16601"/>
      <w:r>
        <w:rPr>
          <w:rFonts w:hint="eastAsia" w:eastAsia="黑体"/>
          <w:color w:val="auto"/>
          <w:sz w:val="72"/>
          <w:szCs w:val="72"/>
          <w:highlight w:val="none"/>
        </w:rPr>
        <w:t>唱标信封</w:t>
      </w:r>
      <w:bookmarkEnd w:id="221"/>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11"/>
        <w:rPr>
          <w:color w:val="auto"/>
          <w:highlight w:val="none"/>
        </w:rPr>
      </w:pPr>
    </w:p>
    <w:p>
      <w:pPr>
        <w:pStyle w:val="10"/>
        <w:ind w:firstLine="240"/>
        <w:rPr>
          <w:color w:val="auto"/>
          <w:highlight w:val="none"/>
        </w:rPr>
      </w:pPr>
    </w:p>
    <w:p>
      <w:pPr>
        <w:pStyle w:val="10"/>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11"/>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rFonts w:ascii="宋体" w:hAnsi="宋体"/>
          <w:color w:val="auto"/>
          <w:szCs w:val="21"/>
          <w:highlight w:val="none"/>
        </w:rPr>
      </w:pPr>
      <w:r>
        <w:rPr>
          <w:rFonts w:hint="eastAsia" w:ascii="宋体" w:hAnsi="宋体"/>
          <w:color w:val="auto"/>
          <w:szCs w:val="21"/>
          <w:highlight w:val="none"/>
        </w:rPr>
        <w:br w:type="page"/>
      </w:r>
    </w:p>
    <w:bookmarkEnd w:id="220"/>
    <w:p>
      <w:pPr>
        <w:pStyle w:val="2"/>
        <w:numPr>
          <w:ilvl w:val="255"/>
          <w:numId w:val="0"/>
        </w:numPr>
        <w:tabs>
          <w:tab w:val="left" w:pos="720"/>
          <w:tab w:val="left" w:pos="3840"/>
        </w:tabs>
        <w:ind w:left="283"/>
        <w:jc w:val="both"/>
        <w:rPr>
          <w:rFonts w:ascii="宋体" w:hAnsi="宋体"/>
          <w:color w:val="auto"/>
          <w:sz w:val="21"/>
          <w:szCs w:val="21"/>
          <w:highlight w:val="none"/>
        </w:rPr>
      </w:pPr>
      <w:bookmarkStart w:id="222"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22"/>
    </w:p>
    <w:p>
      <w:pPr>
        <w:numPr>
          <w:ilvl w:val="0"/>
          <w:numId w:val="18"/>
        </w:numPr>
        <w:ind w:firstLineChars="200"/>
        <w:rPr>
          <w:rFonts w:hAnsi="宋体"/>
          <w:color w:val="auto"/>
          <w:szCs w:val="21"/>
          <w:highlight w:val="none"/>
        </w:rPr>
      </w:pPr>
      <w:r>
        <w:rPr>
          <w:rFonts w:hint="eastAsia" w:hAnsi="宋体"/>
          <w:color w:val="auto"/>
          <w:szCs w:val="21"/>
          <w:highlight w:val="none"/>
        </w:rPr>
        <w:t>开标一览表加盖公章；</w:t>
      </w:r>
    </w:p>
    <w:p>
      <w:pPr>
        <w:numPr>
          <w:ilvl w:val="0"/>
          <w:numId w:val="18"/>
        </w:numPr>
        <w:ind w:firstLineChars="200"/>
        <w:rPr>
          <w:rFonts w:hAnsi="宋体"/>
          <w:color w:val="auto"/>
          <w:szCs w:val="21"/>
          <w:highlight w:val="none"/>
        </w:rPr>
      </w:pPr>
      <w:r>
        <w:rPr>
          <w:rFonts w:hint="eastAsia" w:hAnsi="宋体"/>
          <w:color w:val="auto"/>
          <w:szCs w:val="21"/>
          <w:highlight w:val="none"/>
        </w:rPr>
        <w:t>法定代表人证明书加盖公章；</w:t>
      </w:r>
    </w:p>
    <w:p>
      <w:pPr>
        <w:numPr>
          <w:ilvl w:val="0"/>
          <w:numId w:val="18"/>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pPr>
        <w:numPr>
          <w:ilvl w:val="0"/>
          <w:numId w:val="18"/>
        </w:numPr>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pPr>
        <w:numPr>
          <w:ilvl w:val="0"/>
          <w:numId w:val="18"/>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pPr>
        <w:rPr>
          <w:rFonts w:ascii="宋体" w:hAnsi="宋体" w:cs="宋体"/>
          <w:color w:val="auto"/>
          <w:szCs w:val="21"/>
          <w:highlight w:val="none"/>
        </w:rPr>
      </w:pPr>
    </w:p>
    <w:p>
      <w:pPr>
        <w:pStyle w:val="11"/>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70EDFBC"/>
    <w:multiLevelType w:val="singleLevel"/>
    <w:tmpl w:val="170EDFBC"/>
    <w:lvl w:ilvl="0" w:tentative="0">
      <w:start w:val="1"/>
      <w:numFmt w:val="chineseCounting"/>
      <w:suff w:val="nothing"/>
      <w:lvlText w:val="（%1）"/>
      <w:lvlJc w:val="left"/>
      <w:rPr>
        <w:rFonts w:hint="eastAsia"/>
        <w:b/>
        <w:bCs/>
      </w:rPr>
    </w:lvl>
  </w:abstractNum>
  <w:abstractNum w:abstractNumId="9">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0">
    <w:nsid w:val="20D2348B"/>
    <w:multiLevelType w:val="singleLevel"/>
    <w:tmpl w:val="20D2348B"/>
    <w:lvl w:ilvl="0" w:tentative="0">
      <w:start w:val="1"/>
      <w:numFmt w:val="chineseCounting"/>
      <w:suff w:val="nothing"/>
      <w:lvlText w:val="（%1）"/>
      <w:lvlJc w:val="left"/>
      <w:rPr>
        <w:rFonts w:hint="eastAsia"/>
      </w:rPr>
    </w:lvl>
  </w:abstractNum>
  <w:abstractNum w:abstractNumId="11">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F88662E"/>
    <w:multiLevelType w:val="singleLevel"/>
    <w:tmpl w:val="3F88662E"/>
    <w:lvl w:ilvl="0" w:tentative="0">
      <w:start w:val="1"/>
      <w:numFmt w:val="decimal"/>
      <w:suff w:val="space"/>
      <w:lvlText w:val="%1)"/>
      <w:lvlJc w:val="left"/>
    </w:lvl>
  </w:abstractNum>
  <w:abstractNum w:abstractNumId="14">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6">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4"/>
  </w:num>
  <w:num w:numId="2">
    <w:abstractNumId w:val="11"/>
  </w:num>
  <w:num w:numId="3">
    <w:abstractNumId w:val="1"/>
  </w:num>
  <w:num w:numId="4">
    <w:abstractNumId w:val="17"/>
  </w:num>
  <w:num w:numId="5">
    <w:abstractNumId w:val="13"/>
  </w:num>
  <w:num w:numId="6">
    <w:abstractNumId w:val="6"/>
  </w:num>
  <w:num w:numId="7">
    <w:abstractNumId w:val="0"/>
  </w:num>
  <w:num w:numId="8">
    <w:abstractNumId w:val="7"/>
  </w:num>
  <w:num w:numId="9">
    <w:abstractNumId w:val="4"/>
  </w:num>
  <w:num w:numId="10">
    <w:abstractNumId w:val="9"/>
  </w:num>
  <w:num w:numId="11">
    <w:abstractNumId w:val="8"/>
  </w:num>
  <w:num w:numId="12">
    <w:abstractNumId w:val="12"/>
  </w:num>
  <w:num w:numId="13">
    <w:abstractNumId w:val="2"/>
  </w:num>
  <w:num w:numId="14">
    <w:abstractNumId w:val="5"/>
  </w:num>
  <w:num w:numId="15">
    <w:abstractNumId w:val="10"/>
  </w:num>
  <w:num w:numId="16">
    <w:abstractNumId w:val="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ZDAwOTZkOGMwZDIzZTExMGYxYWE0OWFmOTJlZD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D7585"/>
    <w:rsid w:val="0A462748"/>
    <w:rsid w:val="0A4D0C81"/>
    <w:rsid w:val="0A723E95"/>
    <w:rsid w:val="0A733243"/>
    <w:rsid w:val="0AA534D5"/>
    <w:rsid w:val="0AA650EB"/>
    <w:rsid w:val="0AA7129C"/>
    <w:rsid w:val="0ADE5C60"/>
    <w:rsid w:val="0AF47339"/>
    <w:rsid w:val="0B121934"/>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15754E"/>
    <w:rsid w:val="0D2D75C9"/>
    <w:rsid w:val="0D305390"/>
    <w:rsid w:val="0D3A0F98"/>
    <w:rsid w:val="0D5D37FD"/>
    <w:rsid w:val="0D6A4502"/>
    <w:rsid w:val="0D6B1B49"/>
    <w:rsid w:val="0D7415CA"/>
    <w:rsid w:val="0D890E47"/>
    <w:rsid w:val="0DC64A00"/>
    <w:rsid w:val="0DCF786E"/>
    <w:rsid w:val="0DEB5FFA"/>
    <w:rsid w:val="0DF75C46"/>
    <w:rsid w:val="0DFC60BA"/>
    <w:rsid w:val="0E045D30"/>
    <w:rsid w:val="0E1C06B2"/>
    <w:rsid w:val="0E35000C"/>
    <w:rsid w:val="0E69691B"/>
    <w:rsid w:val="0E6C6D0C"/>
    <w:rsid w:val="0E7900C2"/>
    <w:rsid w:val="0EBB5484"/>
    <w:rsid w:val="0EBD5AA3"/>
    <w:rsid w:val="0F085784"/>
    <w:rsid w:val="0F545DE3"/>
    <w:rsid w:val="0F5723EF"/>
    <w:rsid w:val="0F7C5FF6"/>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1144AFE"/>
    <w:rsid w:val="11200D07"/>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3614B"/>
    <w:rsid w:val="12856FF3"/>
    <w:rsid w:val="129671FB"/>
    <w:rsid w:val="12A576FF"/>
    <w:rsid w:val="12C60D80"/>
    <w:rsid w:val="130523B3"/>
    <w:rsid w:val="13097496"/>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E8061B"/>
    <w:rsid w:val="14F43330"/>
    <w:rsid w:val="152509D7"/>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7EF1458"/>
    <w:rsid w:val="180F4499"/>
    <w:rsid w:val="182201B4"/>
    <w:rsid w:val="18221ECE"/>
    <w:rsid w:val="18303840"/>
    <w:rsid w:val="183C3D90"/>
    <w:rsid w:val="18504A07"/>
    <w:rsid w:val="1859036F"/>
    <w:rsid w:val="18681814"/>
    <w:rsid w:val="18B0649B"/>
    <w:rsid w:val="18BE634E"/>
    <w:rsid w:val="18C8297B"/>
    <w:rsid w:val="18D418FC"/>
    <w:rsid w:val="18FC7745"/>
    <w:rsid w:val="19027053"/>
    <w:rsid w:val="190313DD"/>
    <w:rsid w:val="19152597"/>
    <w:rsid w:val="191677A6"/>
    <w:rsid w:val="19353F17"/>
    <w:rsid w:val="19DD405E"/>
    <w:rsid w:val="1A460CF5"/>
    <w:rsid w:val="1A7A6BB4"/>
    <w:rsid w:val="1A7F297D"/>
    <w:rsid w:val="1A9B268C"/>
    <w:rsid w:val="1A9D6244"/>
    <w:rsid w:val="1AAF6004"/>
    <w:rsid w:val="1AB16AC1"/>
    <w:rsid w:val="1ABF1CEA"/>
    <w:rsid w:val="1B014DDE"/>
    <w:rsid w:val="1B0320FB"/>
    <w:rsid w:val="1B034A52"/>
    <w:rsid w:val="1B45344E"/>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DF3532"/>
    <w:rsid w:val="1EE7283A"/>
    <w:rsid w:val="1F1102B0"/>
    <w:rsid w:val="1F1747AA"/>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9E09D5"/>
    <w:rsid w:val="22AB3B7D"/>
    <w:rsid w:val="22AF3A08"/>
    <w:rsid w:val="22F92F75"/>
    <w:rsid w:val="239634D6"/>
    <w:rsid w:val="23BB4E7D"/>
    <w:rsid w:val="23C172D6"/>
    <w:rsid w:val="23CB1286"/>
    <w:rsid w:val="23D77537"/>
    <w:rsid w:val="23DA1C6C"/>
    <w:rsid w:val="23E6195D"/>
    <w:rsid w:val="23F04F64"/>
    <w:rsid w:val="240F09D1"/>
    <w:rsid w:val="242654AA"/>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5ED105C"/>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E6655"/>
    <w:rsid w:val="2780046C"/>
    <w:rsid w:val="27933DEA"/>
    <w:rsid w:val="27B36A67"/>
    <w:rsid w:val="27D9633F"/>
    <w:rsid w:val="280B2E27"/>
    <w:rsid w:val="281E404F"/>
    <w:rsid w:val="28302479"/>
    <w:rsid w:val="2846581F"/>
    <w:rsid w:val="284A5CA4"/>
    <w:rsid w:val="28563873"/>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1042CA"/>
    <w:rsid w:val="2B51141C"/>
    <w:rsid w:val="2B590601"/>
    <w:rsid w:val="2B710DB7"/>
    <w:rsid w:val="2B7408CF"/>
    <w:rsid w:val="2B7E4054"/>
    <w:rsid w:val="2BBA6A76"/>
    <w:rsid w:val="2BCC03D1"/>
    <w:rsid w:val="2BDF1FBA"/>
    <w:rsid w:val="2BE52FB1"/>
    <w:rsid w:val="2C0C6D59"/>
    <w:rsid w:val="2C5B0D4B"/>
    <w:rsid w:val="2C8903AA"/>
    <w:rsid w:val="2C987C56"/>
    <w:rsid w:val="2CA156F3"/>
    <w:rsid w:val="2CC11460"/>
    <w:rsid w:val="2CC15BAA"/>
    <w:rsid w:val="2CC72A61"/>
    <w:rsid w:val="2CDC3153"/>
    <w:rsid w:val="2CDF621C"/>
    <w:rsid w:val="2CE136D7"/>
    <w:rsid w:val="2CFE7A11"/>
    <w:rsid w:val="2CFF149A"/>
    <w:rsid w:val="2D012636"/>
    <w:rsid w:val="2D201865"/>
    <w:rsid w:val="2D2B6EDE"/>
    <w:rsid w:val="2D450775"/>
    <w:rsid w:val="2D4B5CEA"/>
    <w:rsid w:val="2D4C5B4C"/>
    <w:rsid w:val="2D542188"/>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AB2B70"/>
    <w:rsid w:val="31B41AD3"/>
    <w:rsid w:val="31B91526"/>
    <w:rsid w:val="31BA7402"/>
    <w:rsid w:val="31EF0041"/>
    <w:rsid w:val="320107F5"/>
    <w:rsid w:val="324175CB"/>
    <w:rsid w:val="3265022A"/>
    <w:rsid w:val="326A0524"/>
    <w:rsid w:val="327B7EDF"/>
    <w:rsid w:val="32AB70C5"/>
    <w:rsid w:val="32EA5D3A"/>
    <w:rsid w:val="32EF2122"/>
    <w:rsid w:val="32F17F41"/>
    <w:rsid w:val="332038B4"/>
    <w:rsid w:val="33247607"/>
    <w:rsid w:val="333014B0"/>
    <w:rsid w:val="335D0AF5"/>
    <w:rsid w:val="336917EF"/>
    <w:rsid w:val="336B2EA4"/>
    <w:rsid w:val="336B3E67"/>
    <w:rsid w:val="3370088C"/>
    <w:rsid w:val="33872039"/>
    <w:rsid w:val="339A687B"/>
    <w:rsid w:val="33DC2F78"/>
    <w:rsid w:val="33FD528D"/>
    <w:rsid w:val="3428227C"/>
    <w:rsid w:val="343230D5"/>
    <w:rsid w:val="3439428E"/>
    <w:rsid w:val="34571EF7"/>
    <w:rsid w:val="347918A5"/>
    <w:rsid w:val="34802E4C"/>
    <w:rsid w:val="349D37D5"/>
    <w:rsid w:val="34A61BDE"/>
    <w:rsid w:val="34BB7B5F"/>
    <w:rsid w:val="34C964E5"/>
    <w:rsid w:val="3522586C"/>
    <w:rsid w:val="35572473"/>
    <w:rsid w:val="35602226"/>
    <w:rsid w:val="356B72E7"/>
    <w:rsid w:val="356D2AC8"/>
    <w:rsid w:val="356F216E"/>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50543"/>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E4145"/>
    <w:rsid w:val="387C5ABE"/>
    <w:rsid w:val="38B66D0C"/>
    <w:rsid w:val="38D41643"/>
    <w:rsid w:val="38EB6119"/>
    <w:rsid w:val="39044996"/>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4806CB"/>
    <w:rsid w:val="3B793A48"/>
    <w:rsid w:val="3B7E3699"/>
    <w:rsid w:val="3B85393E"/>
    <w:rsid w:val="3BB1188D"/>
    <w:rsid w:val="3BCA4B8A"/>
    <w:rsid w:val="3BCD72F7"/>
    <w:rsid w:val="3BFC2F5F"/>
    <w:rsid w:val="3C37146A"/>
    <w:rsid w:val="3C3D3625"/>
    <w:rsid w:val="3C414142"/>
    <w:rsid w:val="3C5B725E"/>
    <w:rsid w:val="3C84047F"/>
    <w:rsid w:val="3C88055A"/>
    <w:rsid w:val="3C9E57AB"/>
    <w:rsid w:val="3CAF79B9"/>
    <w:rsid w:val="3CB35097"/>
    <w:rsid w:val="3CC66D60"/>
    <w:rsid w:val="3CF737A2"/>
    <w:rsid w:val="3D10295A"/>
    <w:rsid w:val="3D18404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F66B2E"/>
    <w:rsid w:val="3F217914"/>
    <w:rsid w:val="3F4C7379"/>
    <w:rsid w:val="3FD10810"/>
    <w:rsid w:val="3FD70BB0"/>
    <w:rsid w:val="3FFB55AC"/>
    <w:rsid w:val="40017152"/>
    <w:rsid w:val="401C5F9D"/>
    <w:rsid w:val="401C690C"/>
    <w:rsid w:val="401D7195"/>
    <w:rsid w:val="405C1C05"/>
    <w:rsid w:val="407A652F"/>
    <w:rsid w:val="40825D97"/>
    <w:rsid w:val="40836C36"/>
    <w:rsid w:val="40870EA3"/>
    <w:rsid w:val="409928E7"/>
    <w:rsid w:val="40997CFE"/>
    <w:rsid w:val="40B633BC"/>
    <w:rsid w:val="40C34607"/>
    <w:rsid w:val="40CE3DC0"/>
    <w:rsid w:val="40D7455A"/>
    <w:rsid w:val="40D92C20"/>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7D6687"/>
    <w:rsid w:val="438351F5"/>
    <w:rsid w:val="438D35EA"/>
    <w:rsid w:val="43BC1E57"/>
    <w:rsid w:val="43D23F8D"/>
    <w:rsid w:val="43D43F1D"/>
    <w:rsid w:val="43FA5777"/>
    <w:rsid w:val="44023422"/>
    <w:rsid w:val="44184A2D"/>
    <w:rsid w:val="441C1611"/>
    <w:rsid w:val="443C440B"/>
    <w:rsid w:val="44514F52"/>
    <w:rsid w:val="44761C8F"/>
    <w:rsid w:val="449722E3"/>
    <w:rsid w:val="449D7B09"/>
    <w:rsid w:val="44AE3FD4"/>
    <w:rsid w:val="44D0586F"/>
    <w:rsid w:val="44FA2D53"/>
    <w:rsid w:val="453C4912"/>
    <w:rsid w:val="45687813"/>
    <w:rsid w:val="4571374F"/>
    <w:rsid w:val="458A16BB"/>
    <w:rsid w:val="458B1BB0"/>
    <w:rsid w:val="45A41560"/>
    <w:rsid w:val="45AD31D6"/>
    <w:rsid w:val="45B93426"/>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9499C"/>
    <w:rsid w:val="477B6530"/>
    <w:rsid w:val="47801172"/>
    <w:rsid w:val="479D1D34"/>
    <w:rsid w:val="47B609C0"/>
    <w:rsid w:val="47EC1049"/>
    <w:rsid w:val="47EC3B04"/>
    <w:rsid w:val="47EC6277"/>
    <w:rsid w:val="48021483"/>
    <w:rsid w:val="481A219B"/>
    <w:rsid w:val="482D31EA"/>
    <w:rsid w:val="48447D02"/>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85213F"/>
    <w:rsid w:val="4B8C2DEB"/>
    <w:rsid w:val="4BFA3C9F"/>
    <w:rsid w:val="4BFA7F6C"/>
    <w:rsid w:val="4C107F48"/>
    <w:rsid w:val="4C3117D0"/>
    <w:rsid w:val="4C3277BC"/>
    <w:rsid w:val="4C5C442D"/>
    <w:rsid w:val="4C6D42A9"/>
    <w:rsid w:val="4C716A38"/>
    <w:rsid w:val="4CC0351C"/>
    <w:rsid w:val="4CC353EB"/>
    <w:rsid w:val="4CE64E14"/>
    <w:rsid w:val="4CE95EE5"/>
    <w:rsid w:val="4CF36F3C"/>
    <w:rsid w:val="4D007BC8"/>
    <w:rsid w:val="4D0602E5"/>
    <w:rsid w:val="4D063625"/>
    <w:rsid w:val="4D1470BD"/>
    <w:rsid w:val="4D154882"/>
    <w:rsid w:val="4D1C3C50"/>
    <w:rsid w:val="4D603399"/>
    <w:rsid w:val="4D6A7284"/>
    <w:rsid w:val="4D6E30E1"/>
    <w:rsid w:val="4D867EE1"/>
    <w:rsid w:val="4DBC4C65"/>
    <w:rsid w:val="4DC9105D"/>
    <w:rsid w:val="4DE2009B"/>
    <w:rsid w:val="4DF86974"/>
    <w:rsid w:val="4E0F235E"/>
    <w:rsid w:val="4E157689"/>
    <w:rsid w:val="4E471216"/>
    <w:rsid w:val="4E533FA5"/>
    <w:rsid w:val="4E550010"/>
    <w:rsid w:val="4E5F14CB"/>
    <w:rsid w:val="4E6808B0"/>
    <w:rsid w:val="4E77514F"/>
    <w:rsid w:val="4E780BC4"/>
    <w:rsid w:val="4EBA42F2"/>
    <w:rsid w:val="4EC00DDD"/>
    <w:rsid w:val="4EC449BB"/>
    <w:rsid w:val="4ED908C5"/>
    <w:rsid w:val="4EF04B82"/>
    <w:rsid w:val="4EF265BE"/>
    <w:rsid w:val="4EFB1C45"/>
    <w:rsid w:val="4F0C2A48"/>
    <w:rsid w:val="4F0C3F06"/>
    <w:rsid w:val="4F26273B"/>
    <w:rsid w:val="4F2D3A8A"/>
    <w:rsid w:val="4F32478A"/>
    <w:rsid w:val="4F3705F8"/>
    <w:rsid w:val="4F913A9A"/>
    <w:rsid w:val="4F9714A0"/>
    <w:rsid w:val="4FAA3F91"/>
    <w:rsid w:val="4FAC3540"/>
    <w:rsid w:val="4FCF1583"/>
    <w:rsid w:val="4FD23E66"/>
    <w:rsid w:val="4FD44D1B"/>
    <w:rsid w:val="4FDC066D"/>
    <w:rsid w:val="4FFA7625"/>
    <w:rsid w:val="50332D5C"/>
    <w:rsid w:val="50453E7E"/>
    <w:rsid w:val="50594CF7"/>
    <w:rsid w:val="507D2599"/>
    <w:rsid w:val="5096229D"/>
    <w:rsid w:val="509E157D"/>
    <w:rsid w:val="50A6165E"/>
    <w:rsid w:val="50DC4184"/>
    <w:rsid w:val="50FB6146"/>
    <w:rsid w:val="512F4CA0"/>
    <w:rsid w:val="51361FFF"/>
    <w:rsid w:val="513D4C38"/>
    <w:rsid w:val="514C3EA7"/>
    <w:rsid w:val="51AC4D00"/>
    <w:rsid w:val="51D642AB"/>
    <w:rsid w:val="51FF3C99"/>
    <w:rsid w:val="522A20E4"/>
    <w:rsid w:val="52363D4D"/>
    <w:rsid w:val="524A2AC9"/>
    <w:rsid w:val="52521A20"/>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B1398B"/>
    <w:rsid w:val="54C341E7"/>
    <w:rsid w:val="54D933CD"/>
    <w:rsid w:val="551751CF"/>
    <w:rsid w:val="5522558F"/>
    <w:rsid w:val="55244D7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584F50"/>
    <w:rsid w:val="5881703E"/>
    <w:rsid w:val="58A16855"/>
    <w:rsid w:val="58E26731"/>
    <w:rsid w:val="58EB1371"/>
    <w:rsid w:val="59091D98"/>
    <w:rsid w:val="590E4A97"/>
    <w:rsid w:val="591250FF"/>
    <w:rsid w:val="5920012C"/>
    <w:rsid w:val="593700E7"/>
    <w:rsid w:val="595578DE"/>
    <w:rsid w:val="597B384D"/>
    <w:rsid w:val="59996DA8"/>
    <w:rsid w:val="59C30F1B"/>
    <w:rsid w:val="59CE4759"/>
    <w:rsid w:val="59D90B78"/>
    <w:rsid w:val="5A63681D"/>
    <w:rsid w:val="5A814766"/>
    <w:rsid w:val="5A8C20D0"/>
    <w:rsid w:val="5AA47962"/>
    <w:rsid w:val="5ABC29E4"/>
    <w:rsid w:val="5AC7121C"/>
    <w:rsid w:val="5AD90B8D"/>
    <w:rsid w:val="5AE12927"/>
    <w:rsid w:val="5AE35472"/>
    <w:rsid w:val="5AF41CF3"/>
    <w:rsid w:val="5AF87CC9"/>
    <w:rsid w:val="5B07329F"/>
    <w:rsid w:val="5B4E1A44"/>
    <w:rsid w:val="5B873201"/>
    <w:rsid w:val="5B967767"/>
    <w:rsid w:val="5B9D1624"/>
    <w:rsid w:val="5BBF73E2"/>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4A5E05"/>
    <w:rsid w:val="5D580A8A"/>
    <w:rsid w:val="5D7E6D71"/>
    <w:rsid w:val="5D893B14"/>
    <w:rsid w:val="5DB42C29"/>
    <w:rsid w:val="5E1219F7"/>
    <w:rsid w:val="5E18541D"/>
    <w:rsid w:val="5E291636"/>
    <w:rsid w:val="5E48511F"/>
    <w:rsid w:val="5E57286E"/>
    <w:rsid w:val="5E655B72"/>
    <w:rsid w:val="5E8B0770"/>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292845"/>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6B603F"/>
    <w:rsid w:val="65032F85"/>
    <w:rsid w:val="651304A7"/>
    <w:rsid w:val="65136B50"/>
    <w:rsid w:val="6531690D"/>
    <w:rsid w:val="65320485"/>
    <w:rsid w:val="654C15C6"/>
    <w:rsid w:val="655A12F3"/>
    <w:rsid w:val="657E2A35"/>
    <w:rsid w:val="65A94E9D"/>
    <w:rsid w:val="65B43F2F"/>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961D8"/>
    <w:rsid w:val="68AD17BB"/>
    <w:rsid w:val="68D6620B"/>
    <w:rsid w:val="68D94D22"/>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7C52F6"/>
    <w:rsid w:val="6AA23DFF"/>
    <w:rsid w:val="6AAA6F38"/>
    <w:rsid w:val="6AC61F6F"/>
    <w:rsid w:val="6AD34E53"/>
    <w:rsid w:val="6AD83EA1"/>
    <w:rsid w:val="6ADE74F0"/>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325918"/>
    <w:rsid w:val="6D3933CA"/>
    <w:rsid w:val="6D401810"/>
    <w:rsid w:val="6D474833"/>
    <w:rsid w:val="6D6261FE"/>
    <w:rsid w:val="6D7B222A"/>
    <w:rsid w:val="6D7B61EC"/>
    <w:rsid w:val="6D8E03AA"/>
    <w:rsid w:val="6DB67396"/>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E16A8"/>
    <w:rsid w:val="74B42AE4"/>
    <w:rsid w:val="74C54993"/>
    <w:rsid w:val="74EB68F6"/>
    <w:rsid w:val="750A429D"/>
    <w:rsid w:val="752739E7"/>
    <w:rsid w:val="75474B47"/>
    <w:rsid w:val="75533AB0"/>
    <w:rsid w:val="75614792"/>
    <w:rsid w:val="75761866"/>
    <w:rsid w:val="75784473"/>
    <w:rsid w:val="7592164A"/>
    <w:rsid w:val="75B10995"/>
    <w:rsid w:val="75B161B3"/>
    <w:rsid w:val="75DC6C44"/>
    <w:rsid w:val="75F05CC0"/>
    <w:rsid w:val="762F6A19"/>
    <w:rsid w:val="76341B33"/>
    <w:rsid w:val="764F157E"/>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2A3EA3"/>
    <w:rsid w:val="78490703"/>
    <w:rsid w:val="78A50513"/>
    <w:rsid w:val="78C43087"/>
    <w:rsid w:val="78D37FAF"/>
    <w:rsid w:val="78EF7AB5"/>
    <w:rsid w:val="790D6849"/>
    <w:rsid w:val="795767E3"/>
    <w:rsid w:val="79586707"/>
    <w:rsid w:val="796518DD"/>
    <w:rsid w:val="796E5F2A"/>
    <w:rsid w:val="79724BEF"/>
    <w:rsid w:val="797264AC"/>
    <w:rsid w:val="79AA0532"/>
    <w:rsid w:val="79FA22BC"/>
    <w:rsid w:val="79FE1DDD"/>
    <w:rsid w:val="7A075767"/>
    <w:rsid w:val="7A0C15B3"/>
    <w:rsid w:val="7A212062"/>
    <w:rsid w:val="7A2522C9"/>
    <w:rsid w:val="7A282A11"/>
    <w:rsid w:val="7A3A59B8"/>
    <w:rsid w:val="7A5D0F75"/>
    <w:rsid w:val="7A7137F7"/>
    <w:rsid w:val="7A715CD2"/>
    <w:rsid w:val="7A85177D"/>
    <w:rsid w:val="7A921E9A"/>
    <w:rsid w:val="7A9E53BF"/>
    <w:rsid w:val="7AA914B9"/>
    <w:rsid w:val="7ABF2475"/>
    <w:rsid w:val="7AC21562"/>
    <w:rsid w:val="7AD474A4"/>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6"/>
    <w:qFormat/>
    <w:uiPriority w:val="9"/>
    <w:pPr>
      <w:keepNext/>
      <w:keepLines/>
      <w:spacing w:before="340" w:after="330" w:line="576" w:lineRule="auto"/>
      <w:outlineLvl w:val="0"/>
    </w:pPr>
    <w:rPr>
      <w:b/>
      <w:kern w:val="44"/>
      <w:sz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unhideWhenUsed/>
    <w:qFormat/>
    <w:uiPriority w:val="9"/>
    <w:pPr>
      <w:keepNext/>
      <w:keepLines/>
      <w:spacing w:before="280" w:after="290" w:line="372" w:lineRule="auto"/>
      <w:outlineLvl w:val="4"/>
    </w:pPr>
    <w:rPr>
      <w:b/>
      <w:sz w:val="28"/>
    </w:rPr>
  </w:style>
  <w:style w:type="character" w:default="1" w:styleId="33">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5"/>
    <w:unhideWhenUsed/>
    <w:qFormat/>
    <w:uiPriority w:val="99"/>
    <w:rPr>
      <w:b/>
      <w:bCs/>
    </w:rPr>
  </w:style>
  <w:style w:type="paragraph" w:styleId="8">
    <w:name w:val="annotation text"/>
    <w:basedOn w:val="1"/>
    <w:link w:val="64"/>
    <w:unhideWhenUsed/>
    <w:qFormat/>
    <w:uiPriority w:val="99"/>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Body Text First Indent"/>
    <w:basedOn w:val="11"/>
    <w:next w:val="12"/>
    <w:qFormat/>
    <w:uiPriority w:val="0"/>
    <w:pPr>
      <w:spacing w:after="120"/>
      <w:ind w:firstLine="420" w:firstLineChars="100"/>
    </w:pPr>
    <w:rPr>
      <w:bCs/>
      <w:szCs w:val="21"/>
    </w:rPr>
  </w:style>
  <w:style w:type="paragraph" w:styleId="11">
    <w:name w:val="Body Text"/>
    <w:basedOn w:val="1"/>
    <w:link w:val="67"/>
    <w:qFormat/>
    <w:uiPriority w:val="1"/>
    <w:pPr>
      <w:spacing w:before="161"/>
      <w:ind w:left="120"/>
    </w:pPr>
    <w:rPr>
      <w:rFonts w:ascii="宋体" w:hAnsi="宋体" w:cs="宋体"/>
      <w:sz w:val="24"/>
      <w:lang w:val="zh-CN" w:bidi="zh-CN"/>
    </w:rPr>
  </w:style>
  <w:style w:type="paragraph" w:customStyle="1" w:styleId="12">
    <w:name w:val="样式 正文首行缩进 + 首行缩进:  1 字符"/>
    <w:basedOn w:val="1"/>
    <w:next w:val="1"/>
    <w:qFormat/>
    <w:uiPriority w:val="0"/>
    <w:pPr>
      <w:ind w:firstLine="200" w:firstLineChars="200"/>
    </w:pPr>
    <w:rPr>
      <w:rFonts w:cs="宋体"/>
      <w:szCs w:val="20"/>
    </w:rPr>
  </w:style>
  <w:style w:type="paragraph" w:styleId="13">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14">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5">
    <w:name w:val="Body Text Indent"/>
    <w:basedOn w:val="1"/>
    <w:next w:val="16"/>
    <w:qFormat/>
    <w:uiPriority w:val="0"/>
    <w:pPr>
      <w:ind w:left="359" w:leftChars="171" w:firstLine="179" w:firstLineChars="85"/>
    </w:pPr>
    <w:rPr>
      <w:rFonts w:ascii="宋体" w:hAnsi="宋体"/>
      <w:b/>
      <w:bCs/>
      <w:szCs w:val="26"/>
    </w:rPr>
  </w:style>
  <w:style w:type="paragraph" w:styleId="16">
    <w:name w:val="envelope return"/>
    <w:basedOn w:val="1"/>
    <w:unhideWhenUsed/>
    <w:qFormat/>
    <w:uiPriority w:val="99"/>
  </w:style>
  <w:style w:type="paragraph" w:styleId="17">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8">
    <w:name w:val="toc 3"/>
    <w:basedOn w:val="1"/>
    <w:next w:val="1"/>
    <w:unhideWhenUsed/>
    <w:qFormat/>
    <w:uiPriority w:val="39"/>
    <w:pPr>
      <w:tabs>
        <w:tab w:val="right" w:leader="dot" w:pos="8296"/>
      </w:tabs>
      <w:ind w:left="838" w:leftChars="381"/>
    </w:pPr>
    <w:rPr>
      <w:szCs w:val="21"/>
    </w:rPr>
  </w:style>
  <w:style w:type="paragraph" w:styleId="19">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20">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21">
    <w:name w:val="Balloon Text"/>
    <w:basedOn w:val="1"/>
    <w:link w:val="59"/>
    <w:unhideWhenUsed/>
    <w:qFormat/>
    <w:uiPriority w:val="99"/>
    <w:rPr>
      <w:sz w:val="18"/>
      <w:szCs w:val="18"/>
    </w:rPr>
  </w:style>
  <w:style w:type="paragraph" w:styleId="22">
    <w:name w:val="footer"/>
    <w:basedOn w:val="1"/>
    <w:link w:val="58"/>
    <w:unhideWhenUsed/>
    <w:qFormat/>
    <w:uiPriority w:val="99"/>
    <w:pPr>
      <w:tabs>
        <w:tab w:val="center" w:pos="4153"/>
        <w:tab w:val="right" w:pos="8306"/>
      </w:tabs>
    </w:pPr>
    <w:rPr>
      <w:sz w:val="18"/>
      <w:szCs w:val="18"/>
    </w:rPr>
  </w:style>
  <w:style w:type="paragraph" w:styleId="23">
    <w:name w:val="Body Text First Indent 2"/>
    <w:basedOn w:val="15"/>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paragraph" w:styleId="24">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tabs>
        <w:tab w:val="right" w:leader="dot" w:pos="8296"/>
      </w:tabs>
      <w:spacing w:after="120"/>
      <w:ind w:left="1320" w:leftChars="600"/>
    </w:pPr>
  </w:style>
  <w:style w:type="paragraph" w:styleId="27">
    <w:name w:val="footnote text"/>
    <w:basedOn w:val="1"/>
    <w:unhideWhenUsed/>
    <w:qFormat/>
    <w:uiPriority w:val="99"/>
    <w:rPr>
      <w:sz w:val="18"/>
    </w:rPr>
  </w:style>
  <w:style w:type="paragraph" w:styleId="28">
    <w:name w:val="toc 6"/>
    <w:basedOn w:val="1"/>
    <w:next w:val="1"/>
    <w:qFormat/>
    <w:uiPriority w:val="39"/>
    <w:pPr>
      <w:ind w:left="1200"/>
    </w:pPr>
    <w:rPr>
      <w:rFonts w:ascii="Calibri" w:cs="Calibri"/>
      <w:sz w:val="18"/>
      <w:szCs w:val="18"/>
    </w:rPr>
  </w:style>
  <w:style w:type="paragraph" w:styleId="29">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30">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link w:val="61"/>
    <w:qFormat/>
    <w:uiPriority w:val="0"/>
    <w:pPr>
      <w:widowControl w:val="0"/>
      <w:adjustRightInd/>
      <w:snapToGrid/>
      <w:jc w:val="both"/>
    </w:pPr>
    <w:rPr>
      <w:rFonts w:asciiTheme="minorHAnsi" w:hAnsiTheme="minorHAnsi"/>
      <w:kern w:val="2"/>
      <w:sz w:val="24"/>
      <w:szCs w:val="24"/>
    </w:rPr>
  </w:style>
  <w:style w:type="character" w:styleId="34">
    <w:name w:val="page number"/>
    <w:basedOn w:val="33"/>
    <w:qFormat/>
    <w:uiPriority w:val="0"/>
  </w:style>
  <w:style w:type="character" w:styleId="35">
    <w:name w:val="Emphasis"/>
    <w:basedOn w:val="33"/>
    <w:qFormat/>
    <w:uiPriority w:val="20"/>
    <w:rPr>
      <w:i/>
      <w:iCs/>
    </w:rPr>
  </w:style>
  <w:style w:type="character" w:styleId="36">
    <w:name w:val="Hyperlink"/>
    <w:qFormat/>
    <w:uiPriority w:val="99"/>
    <w:rPr>
      <w:rFonts w:hint="eastAsia" w:ascii="宋体" w:hAnsi="宋体" w:eastAsia="宋体" w:cs="宋体"/>
      <w:b/>
      <w:color w:val="0031C1"/>
      <w:kern w:val="0"/>
      <w:sz w:val="18"/>
      <w:szCs w:val="18"/>
      <w:u w:val="none"/>
      <w:lang w:eastAsia="en-US"/>
    </w:rPr>
  </w:style>
  <w:style w:type="character" w:styleId="37">
    <w:name w:val="annotation reference"/>
    <w:basedOn w:val="33"/>
    <w:unhideWhenUsed/>
    <w:qFormat/>
    <w:uiPriority w:val="99"/>
    <w:rPr>
      <w:sz w:val="21"/>
      <w:szCs w:val="21"/>
    </w:rPr>
  </w:style>
  <w:style w:type="character" w:styleId="38">
    <w:name w:val="footnote reference"/>
    <w:basedOn w:val="33"/>
    <w:unhideWhenUsed/>
    <w:qFormat/>
    <w:uiPriority w:val="99"/>
    <w:rPr>
      <w:vertAlign w:val="superscript"/>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3"/>
    <w:link w:val="4"/>
    <w:qFormat/>
    <w:uiPriority w:val="9"/>
    <w:rPr>
      <w:rFonts w:asciiTheme="majorHAnsi" w:hAnsiTheme="majorHAnsi" w:eastAsiaTheme="majorEastAsia" w:cstheme="majorBidi"/>
      <w:b/>
      <w:bCs/>
      <w:sz w:val="32"/>
      <w:szCs w:val="32"/>
    </w:rPr>
  </w:style>
  <w:style w:type="character" w:customStyle="1" w:styleId="43">
    <w:name w:val="标题 3 字符"/>
    <w:basedOn w:val="33"/>
    <w:link w:val="5"/>
    <w:qFormat/>
    <w:uiPriority w:val="9"/>
    <w:rPr>
      <w:rFonts w:ascii="Tahoma" w:hAnsi="Tahoma"/>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3"/>
    <w:link w:val="2"/>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5"/>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3"/>
    <w:link w:val="19"/>
    <w:semiHidden/>
    <w:qFormat/>
    <w:uiPriority w:val="99"/>
    <w:rPr>
      <w:rFonts w:ascii="宋体" w:hAnsi="Courier New" w:eastAsia="宋体" w:cs="Courier New"/>
      <w:sz w:val="21"/>
      <w:szCs w:val="21"/>
    </w:rPr>
  </w:style>
  <w:style w:type="character" w:customStyle="1" w:styleId="57">
    <w:name w:val="页眉 字符"/>
    <w:basedOn w:val="33"/>
    <w:link w:val="24"/>
    <w:qFormat/>
    <w:uiPriority w:val="99"/>
    <w:rPr>
      <w:rFonts w:ascii="Tahoma" w:hAnsi="Tahoma"/>
      <w:sz w:val="18"/>
      <w:szCs w:val="18"/>
    </w:rPr>
  </w:style>
  <w:style w:type="character" w:customStyle="1" w:styleId="58">
    <w:name w:val="页脚 字符"/>
    <w:basedOn w:val="33"/>
    <w:link w:val="22"/>
    <w:qFormat/>
    <w:uiPriority w:val="99"/>
    <w:rPr>
      <w:rFonts w:ascii="Tahoma" w:hAnsi="Tahoma"/>
      <w:sz w:val="18"/>
      <w:szCs w:val="18"/>
    </w:rPr>
  </w:style>
  <w:style w:type="character" w:customStyle="1" w:styleId="59">
    <w:name w:val="批注框文本 字符"/>
    <w:basedOn w:val="33"/>
    <w:link w:val="21"/>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32"/>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3"/>
    <w:link w:val="8"/>
    <w:qFormat/>
    <w:uiPriority w:val="99"/>
    <w:rPr>
      <w:rFonts w:ascii="Tahoma" w:hAnsi="Tahoma" w:eastAsia="微软雅黑" w:cstheme="minorBidi"/>
      <w:sz w:val="22"/>
      <w:szCs w:val="22"/>
    </w:rPr>
  </w:style>
  <w:style w:type="character" w:customStyle="1" w:styleId="65">
    <w:name w:val="批注主题 字符"/>
    <w:basedOn w:val="64"/>
    <w:link w:val="7"/>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3"/>
    <w:link w:val="11"/>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character" w:customStyle="1" w:styleId="76">
    <w:name w:val="标题 1 字符"/>
    <w:link w:val="3"/>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Layout w:type="fixed"/>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3"/>
    <w:qFormat/>
    <w:uiPriority w:val="0"/>
    <w:rPr>
      <w:rFonts w:hint="eastAsia" w:ascii="宋体" w:hAnsi="宋体" w:eastAsia="宋体" w:cs="宋体"/>
      <w:color w:val="000000"/>
      <w:sz w:val="21"/>
      <w:szCs w:val="21"/>
      <w:u w:val="none"/>
    </w:rPr>
  </w:style>
  <w:style w:type="character" w:customStyle="1" w:styleId="90">
    <w:name w:val="font31"/>
    <w:basedOn w:val="33"/>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107</Pages>
  <Words>54053</Words>
  <Characters>56506</Characters>
  <Lines>66</Lines>
  <Paragraphs>65</Paragraphs>
  <TotalTime>0</TotalTime>
  <ScaleCrop>false</ScaleCrop>
  <LinksUpToDate>false</LinksUpToDate>
  <CharactersWithSpaces>59833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彬</cp:lastModifiedBy>
  <cp:lastPrinted>2022-12-01T06:09:00Z</cp:lastPrinted>
  <dcterms:modified xsi:type="dcterms:W3CDTF">2025-12-31T06:23:27Z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56290A0D00904D5EA9F62BD0CA89206F_13</vt:lpwstr>
  </property>
  <property fmtid="{D5CDD505-2E9C-101B-9397-08002B2CF9AE}" pid="4" name="KSOTemplateDocerSaveRecord">
    <vt:lpwstr>eyJoZGlkIjoiOGJiZjQ4OGQ1OGI5OTJmZGQ4NmM3MmIwODZkYWQ0YTQiLCJ1c2VySWQiOiIxNTk3ODc4Mjg0In0=</vt:lpwstr>
  </property>
</Properties>
</file>