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right"/>
        <w:rPr>
          <w:rFonts w:ascii="黑体" w:eastAsia="黑体"/>
          <w:color w:val="auto"/>
          <w:szCs w:val="21"/>
          <w:highlight w:val="none"/>
        </w:rPr>
      </w:pPr>
    </w:p>
    <w:p>
      <w:pPr>
        <w:pStyle w:val="37"/>
        <w:shd w:val="clear"/>
        <w:ind w:firstLine="400"/>
        <w:rPr>
          <w:color w:val="auto"/>
          <w:highlight w:val="none"/>
        </w:rPr>
      </w:pPr>
    </w:p>
    <w:p>
      <w:pPr>
        <w:shd w:val="clear"/>
        <w:rPr>
          <w:color w:val="auto"/>
          <w:highlight w:val="none"/>
        </w:rPr>
      </w:pPr>
    </w:p>
    <w:p>
      <w:pPr>
        <w:shd w:val="clear"/>
        <w:rPr>
          <w:rFonts w:hint="eastAsia" w:eastAsia="宋体"/>
          <w:color w:val="auto"/>
          <w:highlight w:val="none"/>
          <w:lang w:eastAsia="zh-CN"/>
        </w:rPr>
      </w:pPr>
    </w:p>
    <w:p>
      <w:pPr>
        <w:shd w:val="clear"/>
        <w:rPr>
          <w:color w:val="auto"/>
          <w:highlight w:val="none"/>
        </w:rPr>
      </w:pPr>
    </w:p>
    <w:p>
      <w:pPr>
        <w:shd w:val="clea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公开采购文件</w:t>
      </w:r>
    </w:p>
    <w:p>
      <w:pPr>
        <w:shd w:val="clear"/>
        <w:rPr>
          <w:color w:val="auto"/>
          <w:highlight w:val="none"/>
        </w:rPr>
      </w:pPr>
    </w:p>
    <w:p>
      <w:pPr>
        <w:pStyle w:val="11"/>
        <w:shd w:val="clear"/>
        <w:rPr>
          <w:color w:val="auto"/>
          <w:highlight w:val="none"/>
        </w:rPr>
      </w:pPr>
    </w:p>
    <w:p>
      <w:pPr>
        <w:shd w:val="clear"/>
        <w:rPr>
          <w:color w:val="auto"/>
          <w:highlight w:val="none"/>
        </w:rPr>
      </w:pPr>
    </w:p>
    <w:tbl>
      <w:tblPr>
        <w:tblStyle w:val="34"/>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7" w:hRule="atLeast"/>
        </w:trPr>
        <w:tc>
          <w:tcPr>
            <w:tcW w:w="2613"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hd w:val="clear"/>
              <w:spacing w:before="200"/>
              <w:jc w:val="both"/>
              <w:rPr>
                <w:rFonts w:hint="eastAsia" w:ascii="黑体" w:hAnsi="黑体" w:eastAsia="黑体" w:cs="黑体"/>
                <w:bCs/>
                <w:color w:val="auto"/>
                <w:sz w:val="32"/>
                <w:szCs w:val="24"/>
                <w:highlight w:val="none"/>
                <w:u w:val="none"/>
                <w:lang w:eastAsia="zh-CN"/>
              </w:rPr>
            </w:pPr>
            <w:r>
              <w:rPr>
                <w:rFonts w:hint="eastAsia" w:ascii="黑体" w:hAnsi="黑体" w:eastAsia="黑体" w:cs="黑体"/>
                <w:bCs/>
                <w:color w:val="auto"/>
                <w:sz w:val="32"/>
                <w:szCs w:val="24"/>
                <w:highlight w:val="none"/>
                <w:u w:val="none"/>
                <w:lang w:eastAsia="zh-CN"/>
              </w:rPr>
              <w:t>东莞新锋光伏能源科技有限公司万裕实业厂区分布式光伏发电项目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2613"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hd w:val="clear"/>
              <w:spacing w:before="200"/>
              <w:jc w:val="both"/>
              <w:rPr>
                <w:rFonts w:hint="eastAsia" w:ascii="黑体" w:hAnsi="黑体" w:eastAsia="黑体" w:cs="黑体"/>
                <w:bCs/>
                <w:color w:val="auto"/>
                <w:sz w:val="32"/>
                <w:szCs w:val="24"/>
                <w:highlight w:val="none"/>
                <w:u w:val="none"/>
                <w:lang w:eastAsia="zh-CN"/>
              </w:rPr>
            </w:pPr>
            <w:r>
              <w:rPr>
                <w:rFonts w:hint="eastAsia" w:ascii="黑体" w:hAnsi="黑体" w:eastAsia="黑体" w:cs="黑体"/>
                <w:bCs/>
                <w:color w:val="auto"/>
                <w:sz w:val="32"/>
                <w:szCs w:val="24"/>
                <w:highlight w:val="none"/>
                <w:u w:val="none"/>
                <w:shd w:val="clear"/>
                <w:lang w:eastAsia="zh-CN"/>
              </w:rPr>
              <w:t>GXTZ-ZB-2025第（602）号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trPr>
        <w:tc>
          <w:tcPr>
            <w:tcW w:w="2613"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hd w:val="clear"/>
              <w:spacing w:before="200"/>
              <w:jc w:val="both"/>
              <w:rPr>
                <w:rFonts w:hint="eastAsia" w:ascii="黑体" w:hAnsi="黑体" w:eastAsia="黑体" w:cs="黑体"/>
                <w:bCs/>
                <w:color w:val="auto"/>
                <w:sz w:val="32"/>
                <w:szCs w:val="24"/>
                <w:highlight w:val="none"/>
                <w:u w:val="none"/>
                <w:lang w:eastAsia="zh-CN"/>
              </w:rPr>
            </w:pPr>
            <w:r>
              <w:rPr>
                <w:rFonts w:hint="eastAsia" w:ascii="黑体" w:hAnsi="黑体" w:eastAsia="黑体" w:cs="黑体"/>
                <w:bCs/>
                <w:color w:val="auto"/>
                <w:sz w:val="32"/>
                <w:szCs w:val="24"/>
                <w:highlight w:val="none"/>
                <w:u w:val="none"/>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trPr>
        <w:tc>
          <w:tcPr>
            <w:tcW w:w="2613"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203" w:type="dxa"/>
            <w:noWrap/>
            <w:vAlign w:val="center"/>
          </w:tcPr>
          <w:p>
            <w:pPr>
              <w:shd w:val="clear"/>
              <w:spacing w:before="200"/>
              <w:jc w:val="both"/>
              <w:rPr>
                <w:rFonts w:hint="eastAsia" w:ascii="黑体" w:hAnsi="黑体" w:eastAsia="黑体" w:cs="黑体"/>
                <w:bCs/>
                <w:color w:val="auto"/>
                <w:sz w:val="32"/>
                <w:szCs w:val="24"/>
                <w:highlight w:val="none"/>
                <w:u w:val="none"/>
                <w:lang w:eastAsia="zh-CN"/>
              </w:rPr>
            </w:pPr>
            <w:r>
              <w:rPr>
                <w:rFonts w:hint="eastAsia" w:ascii="黑体" w:hAnsi="黑体" w:eastAsia="黑体" w:cs="黑体"/>
                <w:bCs/>
                <w:color w:val="auto"/>
                <w:sz w:val="32"/>
                <w:szCs w:val="24"/>
                <w:highlight w:val="none"/>
                <w:u w:val="none"/>
                <w:lang w:eastAsia="zh-CN"/>
              </w:rPr>
              <w:t>广西同泽工程项目管理股份有限公司</w:t>
            </w:r>
          </w:p>
        </w:tc>
      </w:tr>
    </w:tbl>
    <w:p>
      <w:pPr>
        <w:shd w:val="clear"/>
        <w:jc w:val="center"/>
        <w:rPr>
          <w:rFonts w:ascii="黑体" w:eastAsia="黑体"/>
          <w:color w:val="auto"/>
          <w:szCs w:val="21"/>
          <w:highlight w:val="none"/>
        </w:rPr>
      </w:pPr>
    </w:p>
    <w:p>
      <w:pPr>
        <w:shd w:val="clear"/>
        <w:jc w:val="center"/>
        <w:rPr>
          <w:rFonts w:ascii="黑体" w:eastAsia="黑体"/>
          <w:color w:val="auto"/>
          <w:szCs w:val="21"/>
          <w:highlight w:val="none"/>
        </w:rPr>
      </w:pPr>
    </w:p>
    <w:p>
      <w:pPr>
        <w:shd w:val="clear"/>
        <w:jc w:val="center"/>
        <w:rPr>
          <w:rFonts w:ascii="黑体" w:eastAsia="黑体"/>
          <w:color w:val="auto"/>
          <w:szCs w:val="21"/>
          <w:highlight w:val="none"/>
        </w:rPr>
      </w:pPr>
    </w:p>
    <w:p>
      <w:pPr>
        <w:pStyle w:val="37"/>
        <w:shd w:val="clear"/>
        <w:ind w:firstLine="400"/>
        <w:rPr>
          <w:color w:val="auto"/>
          <w:highlight w:val="none"/>
        </w:rPr>
      </w:pPr>
    </w:p>
    <w:p>
      <w:pPr>
        <w:shd w:val="clear"/>
        <w:jc w:val="center"/>
        <w:rPr>
          <w:rFonts w:ascii="黑体" w:eastAsia="黑体"/>
          <w:color w:val="auto"/>
          <w:szCs w:val="21"/>
          <w:highlight w:val="none"/>
        </w:rPr>
      </w:pPr>
    </w:p>
    <w:p>
      <w:pPr>
        <w:shd w:val="clear"/>
        <w:jc w:val="center"/>
        <w:rPr>
          <w:rFonts w:ascii="黑体" w:eastAsia="黑体"/>
          <w:color w:val="auto"/>
          <w:szCs w:val="21"/>
          <w:highlight w:val="none"/>
        </w:rPr>
      </w:pPr>
    </w:p>
    <w:p>
      <w:pPr>
        <w:shd w:val="clea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hint="eastAsia" w:ascii="黑体" w:hAnsi="黑体" w:eastAsia="黑体" w:cs="黑体"/>
          <w:bCs/>
          <w:color w:val="auto"/>
          <w:sz w:val="32"/>
          <w:szCs w:val="24"/>
          <w:highlight w:val="none"/>
          <w:lang w:val="en-US" w:eastAsia="zh-CN"/>
        </w:rPr>
        <w:t>25</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 xml:space="preserve"> 6 </w:t>
      </w:r>
      <w:r>
        <w:rPr>
          <w:rFonts w:hint="eastAsia" w:ascii="黑体" w:hAnsi="黑体" w:eastAsia="黑体" w:cs="黑体"/>
          <w:bCs/>
          <w:color w:val="auto"/>
          <w:sz w:val="32"/>
          <w:szCs w:val="24"/>
          <w:highlight w:val="none"/>
        </w:rPr>
        <w:t>月</w:t>
      </w:r>
    </w:p>
    <w:p>
      <w:pPr>
        <w:shd w:val="clear"/>
        <w:rPr>
          <w:color w:val="auto"/>
          <w:highlight w:val="none"/>
        </w:rPr>
        <w:sectPr>
          <w:footerReference r:id="rId5" w:type="first"/>
          <w:headerReference r:id="rId3" w:type="even"/>
          <w:footerReference r:id="rId4" w:type="even"/>
          <w:pgSz w:w="11906" w:h="16838"/>
          <w:pgMar w:top="1440" w:right="1800" w:bottom="1440" w:left="1800" w:header="708" w:footer="708" w:gutter="0"/>
          <w:pgNumType w:fmt="decimal" w:start="1"/>
          <w:cols w:space="708" w:num="1"/>
          <w:titlePg/>
          <w:docGrid w:type="lines" w:linePitch="360" w:charSpace="0"/>
        </w:sectPr>
      </w:pPr>
    </w:p>
    <w:p>
      <w:pPr>
        <w:pStyle w:val="24"/>
        <w:shd w:val="clear"/>
        <w:ind w:left="0" w:leftChars="0"/>
        <w:rPr>
          <w:b/>
          <w:bCs/>
          <w:color w:val="auto"/>
          <w:sz w:val="32"/>
          <w:szCs w:val="32"/>
          <w:highlight w:val="none"/>
        </w:rPr>
      </w:pPr>
      <w:r>
        <w:rPr>
          <w:rFonts w:hint="eastAsia"/>
          <w:b/>
          <w:bCs/>
          <w:color w:val="auto"/>
          <w:sz w:val="32"/>
          <w:szCs w:val="32"/>
          <w:highlight w:val="none"/>
        </w:rPr>
        <w:t>目</w:t>
      </w:r>
      <w:r>
        <w:rPr>
          <w:rFonts w:hint="eastAsia"/>
          <w:b/>
          <w:bCs/>
          <w:color w:val="auto"/>
          <w:sz w:val="32"/>
          <w:szCs w:val="32"/>
          <w:highlight w:val="none"/>
          <w:lang w:val="en-US" w:eastAsia="zh-CN"/>
        </w:rPr>
        <w:t xml:space="preserve"> </w:t>
      </w:r>
      <w:r>
        <w:rPr>
          <w:rFonts w:hint="eastAsia"/>
          <w:b/>
          <w:bCs/>
          <w:color w:val="auto"/>
          <w:sz w:val="32"/>
          <w:szCs w:val="32"/>
          <w:highlight w:val="none"/>
        </w:rPr>
        <w:t>录</w:t>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TOC \o "1-4" \h \z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_Toc21898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第二部分相关资料表格</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_Toc19843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附表一：投标资料表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附表二：商务技术评分及价格权重表（满分100分）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_Toc19605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_Toc13216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一、 </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_Toc22675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 </w:t>
      </w:r>
      <w:r>
        <w:rPr>
          <w:rFonts w:hint="eastAsia" w:ascii="宋体" w:hAnsi="宋体" w:eastAsia="宋体" w:cs="宋体"/>
          <w:color w:val="auto"/>
          <w:sz w:val="21"/>
          <w:szCs w:val="21"/>
          <w:highlight w:val="none"/>
        </w:rPr>
        <w:t>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_Toc10232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 </w:t>
      </w:r>
      <w:r>
        <w:rPr>
          <w:rFonts w:hint="eastAsia" w:ascii="宋体" w:hAnsi="宋体" w:eastAsia="宋体" w:cs="宋体"/>
          <w:color w:val="auto"/>
          <w:sz w:val="21"/>
          <w:szCs w:val="21"/>
          <w:highlight w:val="none"/>
        </w:rPr>
        <w:t>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_Toc8736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 </w:t>
      </w:r>
      <w:r>
        <w:rPr>
          <w:rFonts w:hint="eastAsia" w:ascii="宋体" w:hAnsi="宋体" w:eastAsia="宋体" w:cs="宋体"/>
          <w:color w:val="auto"/>
          <w:sz w:val="21"/>
          <w:szCs w:val="21"/>
          <w:highlight w:val="none"/>
        </w:rPr>
        <w:t>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_Toc8736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4. </w:t>
      </w:r>
      <w:r>
        <w:rPr>
          <w:rFonts w:hint="eastAsia" w:ascii="宋体" w:hAnsi="宋体" w:eastAsia="宋体" w:cs="宋体"/>
          <w:color w:val="auto"/>
          <w:sz w:val="21"/>
          <w:szCs w:val="21"/>
          <w:highlight w:val="none"/>
        </w:rPr>
        <w:t>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_Toc7077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5. </w:t>
      </w:r>
      <w:r>
        <w:rPr>
          <w:rFonts w:hint="eastAsia" w:ascii="宋体" w:hAnsi="宋体" w:eastAsia="宋体" w:cs="宋体"/>
          <w:color w:val="auto"/>
          <w:sz w:val="21"/>
          <w:szCs w:val="21"/>
          <w:highlight w:val="none"/>
        </w:rPr>
        <w:t>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_Toc13258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_Toc4209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6. </w:t>
      </w:r>
      <w:r>
        <w:rPr>
          <w:rFonts w:hint="eastAsia" w:ascii="宋体" w:hAnsi="宋体" w:eastAsia="宋体" w:cs="宋体"/>
          <w:color w:val="auto"/>
          <w:sz w:val="21"/>
          <w:szCs w:val="21"/>
          <w:highlight w:val="none"/>
        </w:rPr>
        <w:t>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_Toc4209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7. </w:t>
      </w:r>
      <w:r>
        <w:rPr>
          <w:rFonts w:hint="eastAsia" w:ascii="宋体" w:hAnsi="宋体" w:eastAsia="宋体" w:cs="宋体"/>
          <w:color w:val="auto"/>
          <w:sz w:val="21"/>
          <w:szCs w:val="21"/>
          <w:highlight w:val="none"/>
        </w:rPr>
        <w:t>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_Toc12711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8. </w:t>
      </w:r>
      <w:r>
        <w:rPr>
          <w:rFonts w:hint="eastAsia" w:ascii="宋体" w:hAnsi="宋体" w:eastAsia="宋体" w:cs="宋体"/>
          <w:color w:val="auto"/>
          <w:sz w:val="21"/>
          <w:szCs w:val="21"/>
          <w:highlight w:val="none"/>
        </w:rPr>
        <w:t>踏勘现场</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_Toc30003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二、 </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_Toc3831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_Toc18085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9. </w:t>
      </w:r>
      <w:r>
        <w:rPr>
          <w:rFonts w:hint="eastAsia" w:ascii="宋体" w:hAnsi="宋体" w:eastAsia="宋体" w:cs="宋体"/>
          <w:color w:val="auto"/>
          <w:sz w:val="21"/>
          <w:szCs w:val="21"/>
          <w:highlight w:val="none"/>
        </w:rPr>
        <w:t>采购文件的组成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_Toc18085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_Toc14872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10. </w:t>
      </w:r>
      <w:r>
        <w:rPr>
          <w:rFonts w:hint="eastAsia" w:ascii="宋体" w:hAnsi="宋体" w:eastAsia="宋体" w:cs="宋体"/>
          <w:color w:val="auto"/>
          <w:sz w:val="21"/>
          <w:szCs w:val="21"/>
          <w:highlight w:val="none"/>
        </w:rPr>
        <w:t>采购文件的澄清或修改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_Toc14872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三、 </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_Toc21497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11. </w:t>
      </w:r>
      <w:r>
        <w:rPr>
          <w:rFonts w:hint="eastAsia" w:ascii="宋体" w:hAnsi="宋体" w:eastAsia="宋体" w:cs="宋体"/>
          <w:color w:val="auto"/>
          <w:sz w:val="21"/>
          <w:szCs w:val="21"/>
          <w:highlight w:val="none"/>
        </w:rPr>
        <w:t>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12. </w:t>
      </w:r>
      <w:r>
        <w:rPr>
          <w:rFonts w:hint="eastAsia" w:ascii="宋体" w:hAnsi="宋体" w:eastAsia="宋体" w:cs="宋体"/>
          <w:color w:val="auto"/>
          <w:sz w:val="21"/>
          <w:szCs w:val="21"/>
          <w:highlight w:val="none"/>
        </w:rPr>
        <w:t>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_Toc22289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13. </w:t>
      </w:r>
      <w:r>
        <w:rPr>
          <w:rFonts w:hint="eastAsia" w:ascii="宋体" w:hAnsi="宋体" w:eastAsia="宋体" w:cs="宋体"/>
          <w:color w:val="auto"/>
          <w:sz w:val="21"/>
          <w:szCs w:val="21"/>
          <w:highlight w:val="none"/>
        </w:rPr>
        <w:t>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14. </w:t>
      </w:r>
      <w:r>
        <w:rPr>
          <w:rFonts w:hint="eastAsia" w:ascii="宋体" w:hAnsi="宋体" w:eastAsia="宋体" w:cs="宋体"/>
          <w:color w:val="auto"/>
          <w:sz w:val="21"/>
          <w:szCs w:val="21"/>
          <w:highlight w:val="none"/>
        </w:rPr>
        <w:t>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15. </w:t>
      </w:r>
      <w:r>
        <w:rPr>
          <w:rFonts w:hint="eastAsia" w:ascii="宋体" w:hAnsi="宋体" w:eastAsia="宋体" w:cs="宋体"/>
          <w:color w:val="auto"/>
          <w:sz w:val="21"/>
          <w:szCs w:val="21"/>
          <w:highlight w:val="none"/>
        </w:rPr>
        <w:t>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16. </w:t>
      </w:r>
      <w:r>
        <w:rPr>
          <w:rFonts w:hint="eastAsia" w:ascii="宋体" w:hAnsi="宋体" w:eastAsia="宋体" w:cs="宋体"/>
          <w:color w:val="auto"/>
          <w:sz w:val="21"/>
          <w:szCs w:val="21"/>
          <w:highlight w:val="none"/>
        </w:rPr>
        <w:t>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_Toc16244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17. </w:t>
      </w:r>
      <w:r>
        <w:rPr>
          <w:rFonts w:hint="eastAsia" w:ascii="宋体" w:hAnsi="宋体" w:eastAsia="宋体" w:cs="宋体"/>
          <w:color w:val="auto"/>
          <w:sz w:val="21"/>
          <w:szCs w:val="21"/>
          <w:highlight w:val="none"/>
        </w:rPr>
        <w:t>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_Toc16244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_Toc9011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四、 </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_Toc9011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_Toc30591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18. </w:t>
      </w:r>
      <w:r>
        <w:rPr>
          <w:rFonts w:hint="eastAsia" w:ascii="宋体" w:hAnsi="宋体" w:eastAsia="宋体" w:cs="宋体"/>
          <w:color w:val="auto"/>
          <w:sz w:val="21"/>
          <w:szCs w:val="21"/>
          <w:highlight w:val="none"/>
        </w:rPr>
        <w:t>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19. </w:t>
      </w:r>
      <w:r>
        <w:rPr>
          <w:rFonts w:hint="eastAsia" w:ascii="宋体" w:hAnsi="宋体" w:eastAsia="宋体" w:cs="宋体"/>
          <w:color w:val="auto"/>
          <w:sz w:val="21"/>
          <w:szCs w:val="21"/>
          <w:highlight w:val="none"/>
        </w:rPr>
        <w:t>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20. </w:t>
      </w:r>
      <w:r>
        <w:rPr>
          <w:rFonts w:hint="eastAsia" w:ascii="宋体" w:hAnsi="宋体" w:eastAsia="宋体" w:cs="宋体"/>
          <w:color w:val="auto"/>
          <w:sz w:val="21"/>
          <w:szCs w:val="21"/>
          <w:highlight w:val="none"/>
        </w:rPr>
        <w:t>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_Toc9807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21. </w:t>
      </w:r>
      <w:r>
        <w:rPr>
          <w:rFonts w:hint="eastAsia" w:ascii="宋体" w:hAnsi="宋体" w:eastAsia="宋体" w:cs="宋体"/>
          <w:color w:val="auto"/>
          <w:sz w:val="21"/>
          <w:szCs w:val="21"/>
          <w:highlight w:val="none"/>
        </w:rPr>
        <w:t>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_Toc9807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22. </w:t>
      </w:r>
      <w:r>
        <w:rPr>
          <w:rFonts w:hint="eastAsia" w:ascii="宋体" w:hAnsi="宋体" w:eastAsia="宋体" w:cs="宋体"/>
          <w:color w:val="auto"/>
          <w:sz w:val="21"/>
          <w:szCs w:val="21"/>
          <w:highlight w:val="none"/>
        </w:rPr>
        <w:t>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五、 </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23. </w:t>
      </w:r>
      <w:r>
        <w:rPr>
          <w:rFonts w:hint="eastAsia" w:ascii="宋体" w:hAnsi="宋体" w:eastAsia="宋体" w:cs="宋体"/>
          <w:color w:val="auto"/>
          <w:sz w:val="21"/>
          <w:szCs w:val="21"/>
          <w:highlight w:val="none"/>
        </w:rPr>
        <w:t>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_Toc10227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24. </w:t>
      </w:r>
      <w:r>
        <w:rPr>
          <w:rFonts w:hint="eastAsia" w:ascii="宋体" w:hAnsi="宋体" w:eastAsia="宋体" w:cs="宋体"/>
          <w:color w:val="auto"/>
          <w:sz w:val="21"/>
          <w:szCs w:val="21"/>
          <w:highlight w:val="none"/>
        </w:rPr>
        <w:t>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_Toc2201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25. </w:t>
      </w:r>
      <w:r>
        <w:rPr>
          <w:rFonts w:hint="eastAsia" w:ascii="宋体" w:hAnsi="宋体" w:eastAsia="宋体" w:cs="宋体"/>
          <w:color w:val="auto"/>
          <w:sz w:val="21"/>
          <w:szCs w:val="21"/>
          <w:highlight w:val="none"/>
        </w:rPr>
        <w:t>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26. </w:t>
      </w:r>
      <w:r>
        <w:rPr>
          <w:rFonts w:hint="eastAsia" w:ascii="宋体" w:hAnsi="宋体" w:eastAsia="宋体" w:cs="宋体"/>
          <w:color w:val="auto"/>
          <w:sz w:val="21"/>
          <w:szCs w:val="21"/>
          <w:highlight w:val="none"/>
        </w:rPr>
        <w:t>评标程序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27. </w:t>
      </w:r>
      <w:r>
        <w:rPr>
          <w:rFonts w:hint="eastAsia" w:ascii="宋体" w:hAnsi="宋体" w:eastAsia="宋体" w:cs="宋体"/>
          <w:color w:val="auto"/>
          <w:sz w:val="21"/>
          <w:szCs w:val="21"/>
          <w:highlight w:val="none"/>
        </w:rPr>
        <w:t>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_Toc29686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28. </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_Toc29686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六、 </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29. </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_Toc25927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30. </w:t>
      </w:r>
      <w:r>
        <w:rPr>
          <w:rFonts w:hint="eastAsia" w:ascii="宋体" w:hAnsi="宋体" w:eastAsia="宋体" w:cs="宋体"/>
          <w:color w:val="auto"/>
          <w:sz w:val="21"/>
          <w:szCs w:val="21"/>
          <w:highlight w:val="none"/>
        </w:rPr>
        <w:t>发布中标结果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_Toc25927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31. </w:t>
      </w:r>
      <w:r>
        <w:rPr>
          <w:rFonts w:hint="eastAsia" w:ascii="宋体" w:hAnsi="宋体" w:eastAsia="宋体" w:cs="宋体"/>
          <w:color w:val="auto"/>
          <w:sz w:val="21"/>
          <w:szCs w:val="21"/>
          <w:highlight w:val="none"/>
        </w:rPr>
        <w:t>资格后审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_Toc24468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32. </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_Toc8940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33. </w:t>
      </w:r>
      <w:r>
        <w:rPr>
          <w:rFonts w:hint="eastAsia" w:ascii="宋体" w:hAnsi="宋体" w:eastAsia="宋体" w:cs="宋体"/>
          <w:color w:val="auto"/>
          <w:sz w:val="21"/>
          <w:szCs w:val="21"/>
          <w:highlight w:val="none"/>
        </w:rPr>
        <w:t>履约担保</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_Toc8940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_Toc22173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34. </w:t>
      </w:r>
      <w:r>
        <w:rPr>
          <w:rFonts w:hint="eastAsia" w:ascii="宋体" w:hAnsi="宋体" w:eastAsia="宋体" w:cs="宋体"/>
          <w:color w:val="auto"/>
          <w:sz w:val="21"/>
          <w:szCs w:val="21"/>
          <w:highlight w:val="none"/>
        </w:rPr>
        <w:t>预付款保函（适用于预付款支付）</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_Toc22173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_Toc11038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七、 </w:t>
      </w:r>
      <w:r>
        <w:rPr>
          <w:rFonts w:hint="eastAsia" w:ascii="宋体" w:hAnsi="宋体" w:eastAsia="宋体" w:cs="宋体"/>
          <w:color w:val="auto"/>
          <w:sz w:val="21"/>
          <w:szCs w:val="21"/>
          <w:highlight w:val="none"/>
        </w:rPr>
        <w:t>异议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_Toc11038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35. </w:t>
      </w:r>
      <w:r>
        <w:rPr>
          <w:rFonts w:hint="eastAsia" w:ascii="宋体" w:hAnsi="宋体" w:eastAsia="宋体" w:cs="宋体"/>
          <w:color w:val="auto"/>
          <w:sz w:val="21"/>
          <w:szCs w:val="21"/>
          <w:highlight w:val="none"/>
        </w:rPr>
        <w:t>异议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_Toc24651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八、 </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_Toc24651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_Toc12694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rPr>
        <w:t xml:space="preserve">36. </w:t>
      </w:r>
      <w:r>
        <w:rPr>
          <w:rFonts w:hint="eastAsia" w:ascii="宋体" w:hAnsi="宋体" w:eastAsia="宋体" w:cs="宋体"/>
          <w:color w:val="auto"/>
          <w:sz w:val="21"/>
          <w:szCs w:val="21"/>
          <w:highlight w:val="none"/>
        </w:rPr>
        <w:t>采购文件的解释权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_Toc12694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合同条款格式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_Toc4543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_Toc4543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附件2.开标一览表格式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_Toc25620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_Toc17246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.报价明细表格式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_Toc17246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4.主要设备品牌响应表格式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_Toc11259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_Toc19364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_Toc26145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.法定代表人证明书格式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_Toc26145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.法定代表人授权书格式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_Toc12658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.资格申明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_Toc10647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_Toc29581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_Toc29581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.相关资质证明文件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_Toc29654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.在经营活动中没有重大违法记录的书面声明格式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_Toc29654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.承诺书格式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_Toc17666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.商务需求条款偏离表格式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_Toc28339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_Toc28339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.联合体协议书（如有）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_Toc4230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_Toc14965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技术规格偏离表格式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_Toc27937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_Toc26533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.项目实施方案格式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_Toc26533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.实施本项目的有关人员资料表格式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_Toc5297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.投标保证金汇入情况说明格式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.不可撤销履约保函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_Toc29823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.预付款保函（适用于预付款支付）</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_Toc24863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_Toc13507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唱标信封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_Toc13507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附件2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.唱标信封内装（内容务必与投标文件正本一致）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highlight w:val="none"/>
        </w:rPr>
        <w:fldChar w:fldCharType="end"/>
      </w:r>
    </w:p>
    <w:p>
      <w:pPr>
        <w:pStyle w:val="24"/>
        <w:keepNext w:val="0"/>
        <w:keepLines w:val="0"/>
        <w:pageBreakBefore w:val="0"/>
        <w:widowControl/>
        <w:shd w:val="clear"/>
        <w:tabs>
          <w:tab w:val="right" w:leader="dot" w:pos="8306"/>
          <w:tab w:val="clear" w:pos="8296"/>
        </w:tabs>
        <w:kinsoku/>
        <w:wordWrap/>
        <w:overflowPunct/>
        <w:topLinePunct w:val="0"/>
        <w:autoSpaceDE/>
        <w:autoSpaceDN/>
        <w:bidi w:val="0"/>
        <w:adjustRightInd w:val="0"/>
        <w:snapToGrid w:val="0"/>
        <w:spacing w:line="360" w:lineRule="auto"/>
        <w:ind w:left="0" w:leftChars="0"/>
        <w:textAlignment w:val="auto"/>
        <w:rPr>
          <w:rFonts w:cs="宋体"/>
          <w:color w:val="auto"/>
          <w:sz w:val="21"/>
          <w:szCs w:val="21"/>
          <w:highlight w:val="none"/>
        </w:rPr>
      </w:pPr>
      <w:r>
        <w:rPr>
          <w:rFonts w:hint="eastAsia" w:ascii="宋体" w:hAnsi="宋体" w:eastAsia="宋体" w:cs="宋体"/>
          <w:color w:val="auto"/>
          <w:sz w:val="21"/>
          <w:szCs w:val="21"/>
          <w:highlight w:val="none"/>
        </w:rPr>
        <w:fldChar w:fldCharType="end"/>
      </w:r>
    </w:p>
    <w:p>
      <w:pPr>
        <w:shd w:val="clear"/>
        <w:rPr>
          <w:rFonts w:ascii="宋体" w:hAnsi="宋体" w:cs="宋体"/>
          <w:color w:val="auto"/>
          <w:szCs w:val="21"/>
          <w:highlight w:val="none"/>
        </w:rPr>
      </w:pPr>
      <w:r>
        <w:rPr>
          <w:rFonts w:hint="eastAsia" w:ascii="宋体" w:hAnsi="宋体" w:cs="宋体"/>
          <w:color w:val="auto"/>
          <w:szCs w:val="21"/>
          <w:highlight w:val="none"/>
        </w:rPr>
        <w:br w:type="page"/>
      </w:r>
    </w:p>
    <w:p>
      <w:pPr>
        <w:pStyle w:val="4"/>
        <w:shd w:val="clear"/>
        <w:spacing w:before="0" w:after="0" w:line="240" w:lineRule="auto"/>
        <w:rPr>
          <w:color w:val="auto"/>
          <w:sz w:val="28"/>
          <w:szCs w:val="28"/>
          <w:highlight w:val="none"/>
        </w:rPr>
      </w:pPr>
      <w:bookmarkStart w:id="0" w:name="_Toc21898"/>
      <w:r>
        <w:rPr>
          <w:rFonts w:hint="eastAsia"/>
          <w:color w:val="auto"/>
          <w:sz w:val="28"/>
          <w:szCs w:val="28"/>
          <w:highlight w:val="none"/>
        </w:rPr>
        <w:t>第一部分投标邀请</w:t>
      </w:r>
      <w:bookmarkEnd w:id="0"/>
    </w:p>
    <w:p>
      <w:pPr>
        <w:pStyle w:val="5"/>
        <w:shd w:val="clear"/>
        <w:spacing w:before="0" w:after="0" w:line="360" w:lineRule="auto"/>
        <w:jc w:val="center"/>
        <w:rPr>
          <w:rFonts w:ascii="宋体" w:hAnsi="宋体" w:cs="宋体"/>
          <w:color w:val="auto"/>
          <w:highlight w:val="none"/>
        </w:rPr>
      </w:pPr>
      <w:bookmarkStart w:id="1" w:name="_Toc7709"/>
      <w:r>
        <w:rPr>
          <w:rFonts w:hint="eastAsia" w:ascii="宋体" w:hAnsi="宋体" w:cs="宋体"/>
          <w:color w:val="auto"/>
          <w:highlight w:val="none"/>
        </w:rPr>
        <w:t>投标邀请书</w:t>
      </w:r>
      <w:bookmarkEnd w:id="1"/>
    </w:p>
    <w:p>
      <w:pPr>
        <w:shd w:val="clea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广西同泽工程项目管理股份有限公司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东莞新锋光伏能源科技有限公司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东莞新锋光伏能源科技有限公司万裕实业厂区分布式光伏发电项目</w:t>
      </w:r>
      <w:r>
        <w:rPr>
          <w:rFonts w:hint="eastAsia" w:ascii="宋体" w:hAnsi="宋体"/>
          <w:color w:val="auto"/>
          <w:szCs w:val="21"/>
          <w:highlight w:val="none"/>
        </w:rPr>
        <w:t>（项目编号：</w:t>
      </w:r>
      <w:r>
        <w:rPr>
          <w:rFonts w:hint="eastAsia" w:ascii="宋体" w:hAnsi="宋体"/>
          <w:b/>
          <w:bCs/>
          <w:color w:val="auto"/>
          <w:szCs w:val="21"/>
          <w:highlight w:val="none"/>
          <w:shd w:val="clear"/>
          <w:lang w:eastAsia="zh-CN"/>
        </w:rPr>
        <w:t>GXTZ-ZB-2025第（602）号</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pPr>
        <w:shd w:val="clear"/>
        <w:ind w:firstLine="413" w:firstLineChars="196"/>
        <w:rPr>
          <w:rFonts w:ascii="宋体" w:hAnsi="宋体"/>
          <w:b/>
          <w:color w:val="auto"/>
          <w:szCs w:val="21"/>
          <w:highlight w:val="none"/>
        </w:rPr>
      </w:pPr>
    </w:p>
    <w:p>
      <w:pPr>
        <w:shd w:val="clear"/>
        <w:rPr>
          <w:rFonts w:ascii="宋体" w:hAnsi="宋体"/>
          <w:b/>
          <w:color w:val="auto"/>
          <w:szCs w:val="21"/>
          <w:highlight w:val="none"/>
        </w:rPr>
      </w:pPr>
      <w:r>
        <w:rPr>
          <w:rFonts w:hint="eastAsia" w:ascii="宋体" w:hAnsi="宋体"/>
          <w:b/>
          <w:color w:val="auto"/>
          <w:szCs w:val="21"/>
          <w:highlight w:val="none"/>
        </w:rPr>
        <w:t>一、采购项目概况</w:t>
      </w:r>
    </w:p>
    <w:p>
      <w:pPr>
        <w:shd w:val="clear"/>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b/>
          <w:color w:val="auto"/>
          <w:szCs w:val="21"/>
          <w:highlight w:val="none"/>
          <w:u w:val="single"/>
          <w:lang w:eastAsia="zh-CN"/>
        </w:rPr>
        <w:t>东莞新锋光伏能源科技有限公司万裕实业厂区分布式光伏发电项目</w:t>
      </w:r>
    </w:p>
    <w:p>
      <w:pPr>
        <w:shd w:val="clear"/>
        <w:ind w:firstLine="420" w:firstLineChars="200"/>
        <w:rPr>
          <w:rFonts w:hint="default" w:ascii="宋体" w:hAnsi="宋体"/>
          <w:color w:val="auto"/>
          <w:szCs w:val="21"/>
          <w:highlight w:val="none"/>
          <w:lang w:val="en-US"/>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2,852,113.32元；其中安全防护费：</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132,205.50元</w:t>
      </w:r>
    </w:p>
    <w:p>
      <w:pPr>
        <w:shd w:val="clear"/>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3、最低限价下浮率:</w:t>
      </w:r>
      <w:r>
        <w:rPr>
          <w:rFonts w:hint="eastAsia" w:ascii="宋体" w:hAnsi="宋体"/>
          <w:color w:val="auto"/>
          <w:szCs w:val="21"/>
          <w:highlight w:val="none"/>
          <w:u w:val="single"/>
          <w:lang w:val="en-US" w:eastAsia="zh-CN"/>
        </w:rPr>
        <w:t xml:space="preserve"> 3.00%</w:t>
      </w:r>
    </w:p>
    <w:p>
      <w:pPr>
        <w:shd w:val="clear"/>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eastAsia="宋体"/>
          <w:color w:val="auto"/>
          <w:szCs w:val="21"/>
          <w:highlight w:val="none"/>
          <w:lang w:val="en-US" w:eastAsia="zh-CN"/>
        </w:rPr>
        <w:t>、本项目</w:t>
      </w:r>
      <w:r>
        <w:rPr>
          <w:rFonts w:hint="eastAsia" w:ascii="宋体" w:hAnsi="宋体" w:eastAsia="宋体"/>
          <w:b/>
          <w:bCs/>
          <w:color w:val="auto"/>
          <w:szCs w:val="21"/>
          <w:highlight w:val="none"/>
          <w:lang w:val="en-US" w:eastAsia="zh-CN"/>
        </w:rPr>
        <w:t>接受</w:t>
      </w:r>
      <w:r>
        <w:rPr>
          <w:rFonts w:hint="eastAsia" w:ascii="宋体" w:hAnsi="宋体" w:eastAsia="宋体"/>
          <w:color w:val="auto"/>
          <w:szCs w:val="21"/>
          <w:highlight w:val="none"/>
          <w:lang w:val="en-US" w:eastAsia="zh-CN"/>
        </w:rPr>
        <w:t>联合体投标</w:t>
      </w:r>
      <w:r>
        <w:rPr>
          <w:rFonts w:hint="eastAsia" w:ascii="宋体" w:hAnsi="宋体"/>
          <w:color w:val="auto"/>
          <w:szCs w:val="21"/>
          <w:highlight w:val="none"/>
          <w:lang w:val="en-US" w:eastAsia="zh-CN"/>
        </w:rPr>
        <w:t>。</w:t>
      </w:r>
    </w:p>
    <w:p>
      <w:pPr>
        <w:shd w:val="clear"/>
        <w:ind w:firstLine="420" w:firstLineChars="200"/>
        <w:rPr>
          <w:rFonts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、项目内容</w:t>
      </w:r>
    </w:p>
    <w:tbl>
      <w:tblPr>
        <w:tblStyle w:val="3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4138"/>
        <w:gridCol w:w="1594"/>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jc w:val="center"/>
        </w:trPr>
        <w:tc>
          <w:tcPr>
            <w:tcW w:w="1193" w:type="dxa"/>
            <w:vAlign w:val="center"/>
          </w:tcPr>
          <w:p>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采购包号</w:t>
            </w:r>
          </w:p>
        </w:tc>
        <w:tc>
          <w:tcPr>
            <w:tcW w:w="4138" w:type="dxa"/>
            <w:vAlign w:val="center"/>
          </w:tcPr>
          <w:p>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594" w:type="dxa"/>
            <w:vAlign w:val="center"/>
          </w:tcPr>
          <w:p>
            <w:pPr>
              <w:shd w:val="clear"/>
              <w:spacing w:line="240" w:lineRule="auto"/>
              <w:jc w:val="center"/>
              <w:rPr>
                <w:rFonts w:hint="eastAsia" w:ascii="宋体" w:hAnsi="宋体" w:cs="宋体"/>
                <w:color w:val="auto"/>
                <w:kern w:val="28"/>
                <w:szCs w:val="21"/>
                <w:highlight w:val="none"/>
              </w:rPr>
            </w:pPr>
            <w:r>
              <w:rPr>
                <w:rFonts w:hint="eastAsia" w:ascii="宋体" w:hAnsi="宋体" w:cs="宋体"/>
                <w:color w:val="auto"/>
                <w:kern w:val="28"/>
                <w:szCs w:val="21"/>
                <w:highlight w:val="none"/>
              </w:rPr>
              <w:t>采购供货</w:t>
            </w:r>
          </w:p>
          <w:p>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单位数量</w:t>
            </w:r>
          </w:p>
        </w:tc>
        <w:tc>
          <w:tcPr>
            <w:tcW w:w="1594" w:type="dxa"/>
            <w:vAlign w:val="center"/>
          </w:tcPr>
          <w:p>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lang w:val="en-US" w:eastAsia="zh-CN"/>
              </w:rPr>
              <w:t>完工</w:t>
            </w:r>
            <w:r>
              <w:rPr>
                <w:rFonts w:hint="eastAsia" w:ascii="宋体" w:hAnsi="宋体" w:cs="宋体"/>
                <w:color w:val="auto"/>
                <w:kern w:val="28"/>
                <w:szCs w:val="21"/>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193" w:type="dxa"/>
            <w:vAlign w:val="center"/>
          </w:tcPr>
          <w:p>
            <w:pPr>
              <w:shd w:val="clear"/>
              <w:spacing w:line="240" w:lineRule="auto"/>
              <w:jc w:val="center"/>
              <w:rPr>
                <w:rFonts w:ascii="宋体" w:hAnsi="宋体" w:cs="宋体"/>
                <w:color w:val="auto"/>
                <w:szCs w:val="21"/>
                <w:highlight w:val="none"/>
              </w:rPr>
            </w:pPr>
            <w:r>
              <w:rPr>
                <w:rFonts w:hint="eastAsia" w:ascii="宋体" w:hAnsi="宋体" w:cs="宋体"/>
                <w:color w:val="auto"/>
                <w:szCs w:val="21"/>
                <w:highlight w:val="none"/>
              </w:rPr>
              <w:t>A</w:t>
            </w:r>
          </w:p>
        </w:tc>
        <w:tc>
          <w:tcPr>
            <w:tcW w:w="4138" w:type="dxa"/>
            <w:vAlign w:val="center"/>
          </w:tcPr>
          <w:p>
            <w:pPr>
              <w:shd w:val="clear"/>
              <w:spacing w:line="24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分布式光伏发电</w:t>
            </w:r>
            <w:r>
              <w:rPr>
                <w:rFonts w:hint="eastAsia" w:ascii="宋体" w:hAnsi="宋体" w:cs="宋体"/>
                <w:color w:val="auto"/>
                <w:szCs w:val="21"/>
                <w:highlight w:val="none"/>
                <w:lang w:eastAsia="zh-CN"/>
              </w:rPr>
              <w:t>产品及设计服务采购</w:t>
            </w:r>
          </w:p>
        </w:tc>
        <w:tc>
          <w:tcPr>
            <w:tcW w:w="1594" w:type="dxa"/>
            <w:vAlign w:val="center"/>
          </w:tcPr>
          <w:p>
            <w:pPr>
              <w:shd w:val="clear"/>
              <w:spacing w:line="24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594" w:type="dxa"/>
            <w:vAlign w:val="center"/>
          </w:tcPr>
          <w:p>
            <w:pPr>
              <w:shd w:val="clear"/>
              <w:spacing w:line="24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130天</w:t>
            </w:r>
          </w:p>
        </w:tc>
      </w:tr>
    </w:tbl>
    <w:p>
      <w:pPr>
        <w:shd w:val="clear"/>
        <w:ind w:firstLine="420" w:firstLineChars="200"/>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、项目需求</w:t>
      </w:r>
      <w:r>
        <w:rPr>
          <w:rFonts w:hint="eastAsia" w:ascii="宋体" w:hAnsi="宋体"/>
          <w:color w:val="auto"/>
          <w:szCs w:val="21"/>
          <w:highlight w:val="none"/>
          <w:lang w:eastAsia="zh-CN"/>
        </w:rPr>
        <w:t>：</w:t>
      </w:r>
      <w:r>
        <w:rPr>
          <w:rFonts w:hint="eastAsia" w:ascii="宋体" w:hAnsi="宋体"/>
          <w:color w:val="auto"/>
          <w:szCs w:val="21"/>
          <w:highlight w:val="none"/>
        </w:rPr>
        <w:t>详细内容请参阅采购文件第三部分《用户需求书》。</w:t>
      </w:r>
    </w:p>
    <w:p>
      <w:pPr>
        <w:shd w:val="clear"/>
        <w:ind w:firstLine="413" w:firstLineChars="196"/>
        <w:rPr>
          <w:rFonts w:ascii="宋体" w:hAnsi="宋体"/>
          <w:b/>
          <w:color w:val="auto"/>
          <w:szCs w:val="21"/>
          <w:highlight w:val="none"/>
        </w:rPr>
      </w:pPr>
    </w:p>
    <w:p>
      <w:pPr>
        <w:shd w:val="clear"/>
        <w:rPr>
          <w:rFonts w:ascii="宋体" w:hAnsi="宋体"/>
          <w:b/>
          <w:color w:val="auto"/>
          <w:szCs w:val="21"/>
          <w:highlight w:val="none"/>
        </w:rPr>
      </w:pPr>
      <w:r>
        <w:rPr>
          <w:rFonts w:hint="eastAsia" w:ascii="宋体" w:hAnsi="宋体"/>
          <w:b/>
          <w:color w:val="auto"/>
          <w:szCs w:val="21"/>
          <w:highlight w:val="none"/>
        </w:rPr>
        <w:t>二、投标人资格要求</w:t>
      </w:r>
    </w:p>
    <w:p>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1、一般要求：</w:t>
      </w:r>
    </w:p>
    <w:p>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5）投标人自招标公告发布之日起前两年内，在经营活动中没有因串通投标、弄虚作假、行贿、转包、违法分包、挂靠、死亡事故违法违规行为受到行政、刑事处罚的。以代理机构于投标截止日当天在“信用中国”网站查询结果为准。</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2、其他要求</w:t>
      </w:r>
    </w:p>
    <w:p>
      <w:pPr>
        <w:ind w:firstLine="420" w:firstLineChars="200"/>
        <w:rPr>
          <w:rFonts w:hint="eastAsia" w:ascii="宋体" w:hAnsi="宋体"/>
          <w:color w:val="auto"/>
          <w:szCs w:val="21"/>
        </w:rPr>
      </w:pPr>
      <w:r>
        <w:rPr>
          <w:rFonts w:hint="eastAsia" w:ascii="宋体" w:hAnsi="宋体"/>
          <w:color w:val="auto"/>
          <w:szCs w:val="21"/>
        </w:rPr>
        <w:t>2.1供货安装单位</w:t>
      </w:r>
    </w:p>
    <w:p>
      <w:pPr>
        <w:ind w:firstLine="420" w:firstLineChars="200"/>
        <w:rPr>
          <w:rFonts w:hint="eastAsia" w:ascii="宋体" w:hAnsi="宋体" w:eastAsia="宋体"/>
          <w:color w:val="auto"/>
          <w:szCs w:val="21"/>
          <w:lang w:eastAsia="zh-CN"/>
        </w:rPr>
      </w:pPr>
      <w:r>
        <w:rPr>
          <w:rFonts w:hint="eastAsia" w:ascii="宋体" w:hAnsi="宋体"/>
          <w:color w:val="auto"/>
          <w:szCs w:val="21"/>
        </w:rPr>
        <w:t>（1）投标人具有有效期内的以下其中一种资质：①电力工程施工总承包乙级（或以上）企业资质；②机电工程施工总承包乙级（或以上）企业资质；③输变电工程专业承包乙级（或以上）企业资质</w:t>
      </w:r>
      <w:r>
        <w:rPr>
          <w:rFonts w:hint="eastAsia" w:ascii="宋体" w:hAnsi="宋体"/>
          <w:color w:val="auto"/>
          <w:szCs w:val="21"/>
          <w:lang w:eastAsia="zh-CN"/>
        </w:rPr>
        <w:t>。</w:t>
      </w:r>
    </w:p>
    <w:p>
      <w:pPr>
        <w:ind w:firstLine="420" w:firstLineChars="200"/>
        <w:rPr>
          <w:rFonts w:hint="eastAsia" w:ascii="宋体" w:hAnsi="宋体"/>
          <w:color w:val="auto"/>
          <w:szCs w:val="21"/>
        </w:rPr>
      </w:pPr>
      <w:r>
        <w:rPr>
          <w:rFonts w:hint="eastAsia" w:ascii="宋体" w:hAnsi="宋体"/>
          <w:color w:val="auto"/>
          <w:szCs w:val="21"/>
        </w:rPr>
        <w:t>【或更换资质证书前有效期内：①电力工程施工总承包二级（或以上）企业资质；②机电工程施工总承包二级（或以上）企业资质；③输变电工程专业承包二级（或以上）企业资质</w:t>
      </w:r>
      <w:r>
        <w:rPr>
          <w:rFonts w:hint="eastAsia" w:ascii="宋体" w:hAnsi="宋体"/>
          <w:color w:val="auto"/>
          <w:szCs w:val="21"/>
          <w:lang w:eastAsia="zh-CN"/>
        </w:rPr>
        <w:t>。</w:t>
      </w:r>
      <w:r>
        <w:rPr>
          <w:rFonts w:hint="eastAsia" w:ascii="宋体" w:hAnsi="宋体"/>
          <w:color w:val="auto"/>
          <w:szCs w:val="21"/>
        </w:rPr>
        <w:t>】</w:t>
      </w:r>
    </w:p>
    <w:p>
      <w:pPr>
        <w:ind w:firstLine="420" w:firstLineChars="200"/>
        <w:rPr>
          <w:rFonts w:hint="eastAsia" w:ascii="宋体" w:hAnsi="宋体"/>
          <w:color w:val="auto"/>
          <w:szCs w:val="21"/>
        </w:rPr>
      </w:pPr>
      <w:r>
        <w:rPr>
          <w:rFonts w:hint="eastAsia" w:ascii="宋体" w:hAnsi="宋体"/>
          <w:color w:val="auto"/>
          <w:szCs w:val="21"/>
        </w:rPr>
        <w:t>（2）具有《承装（修、试）电力设施许可证》承装类别三级（10千伏以下）或以上资质。</w:t>
      </w:r>
    </w:p>
    <w:p>
      <w:pPr>
        <w:ind w:firstLine="420" w:firstLineChars="200"/>
        <w:rPr>
          <w:rFonts w:hint="eastAsia" w:ascii="宋体" w:hAnsi="宋体"/>
          <w:color w:val="auto"/>
          <w:szCs w:val="21"/>
        </w:rPr>
      </w:pPr>
      <w:r>
        <w:rPr>
          <w:rFonts w:hint="eastAsia" w:ascii="宋体" w:hAnsi="宋体"/>
          <w:color w:val="auto"/>
          <w:szCs w:val="21"/>
        </w:rPr>
        <w:t>【或更换资质证书前有效期内：《承装（修、试）电力设施许可证》承装类别五级或以上资质】。</w:t>
      </w:r>
    </w:p>
    <w:p>
      <w:pPr>
        <w:ind w:firstLine="420" w:firstLineChars="200"/>
        <w:rPr>
          <w:rFonts w:hint="eastAsia" w:ascii="宋体" w:hAnsi="宋体"/>
          <w:color w:val="auto"/>
          <w:szCs w:val="21"/>
        </w:rPr>
      </w:pPr>
      <w:r>
        <w:rPr>
          <w:rFonts w:hint="eastAsia" w:ascii="宋体" w:hAnsi="宋体"/>
          <w:color w:val="auto"/>
          <w:szCs w:val="21"/>
        </w:rPr>
        <w:t>（3）具有在效期内的《安全生产许可证》。</w:t>
      </w:r>
    </w:p>
    <w:p>
      <w:pPr>
        <w:ind w:firstLine="420" w:firstLineChars="200"/>
        <w:rPr>
          <w:rFonts w:hint="eastAsia" w:ascii="宋体" w:hAnsi="宋体"/>
          <w:color w:val="auto"/>
          <w:szCs w:val="21"/>
        </w:rPr>
      </w:pPr>
      <w:r>
        <w:rPr>
          <w:rFonts w:hint="eastAsia" w:ascii="宋体" w:hAnsi="宋体"/>
          <w:color w:val="auto"/>
          <w:szCs w:val="21"/>
        </w:rPr>
        <w:t>2.2 设计单位</w:t>
      </w:r>
    </w:p>
    <w:p>
      <w:pPr>
        <w:ind w:firstLine="420" w:firstLineChars="200"/>
        <w:rPr>
          <w:rFonts w:hint="eastAsia" w:ascii="宋体" w:hAnsi="宋体" w:eastAsia="宋体"/>
          <w:color w:val="auto"/>
          <w:szCs w:val="21"/>
          <w:lang w:eastAsia="zh-CN"/>
        </w:rPr>
      </w:pPr>
      <w:r>
        <w:rPr>
          <w:rFonts w:hint="eastAsia" w:ascii="宋体" w:hAnsi="宋体"/>
          <w:color w:val="auto"/>
          <w:szCs w:val="21"/>
        </w:rPr>
        <w:t>投标人具有有效期内的以下其中一种资质：①工程设计综合资质；②工程设计电力行业乙级（或以上）资质；③工程设计电力行业（送变电工程）专业乙级（或以上）资质；④工程设计电力行业（新能源发电工程）专业乙级（或以上）资质</w:t>
      </w:r>
      <w:r>
        <w:rPr>
          <w:rFonts w:hint="eastAsia" w:ascii="宋体" w:hAnsi="宋体"/>
          <w:color w:val="auto"/>
          <w:szCs w:val="21"/>
          <w:lang w:eastAsia="zh-CN"/>
        </w:rPr>
        <w:t>。</w:t>
      </w:r>
    </w:p>
    <w:p>
      <w:pPr>
        <w:ind w:firstLine="420" w:firstLineChars="200"/>
        <w:rPr>
          <w:rFonts w:hint="eastAsia" w:ascii="宋体" w:hAnsi="宋体"/>
          <w:color w:val="auto"/>
          <w:szCs w:val="21"/>
        </w:rPr>
      </w:pPr>
      <w:r>
        <w:rPr>
          <w:rFonts w:hint="eastAsia" w:ascii="宋体" w:hAnsi="宋体"/>
          <w:color w:val="auto"/>
          <w:szCs w:val="21"/>
        </w:rPr>
        <w:t>注：①属各省内各级住建主管部门审批的资质证书过期的，如能提供该省有关顺延资质资格有效期有关文件且符合文件规定的，则视为仍然有效。②在本项目采购期间，如投标人的资质已按《住房和城乡建设部关于印发建设工程企业资质管理制度改革方案的通知》（建市〔2020〕94号）对应关系换发新资质证书，则资质标准按其对应关系以及新的资质管理有关规定（如有）执行）。</w:t>
      </w:r>
    </w:p>
    <w:p>
      <w:pPr>
        <w:ind w:firstLine="420" w:firstLineChars="200"/>
        <w:rPr>
          <w:rFonts w:hint="eastAsia" w:ascii="宋体" w:hAnsi="宋体"/>
          <w:color w:val="auto"/>
          <w:szCs w:val="21"/>
        </w:rPr>
      </w:pPr>
      <w:r>
        <w:rPr>
          <w:rFonts w:hint="eastAsia" w:ascii="宋体" w:hAnsi="宋体"/>
          <w:color w:val="auto"/>
          <w:szCs w:val="21"/>
        </w:rPr>
        <w:t>3、业绩要求</w:t>
      </w:r>
    </w:p>
    <w:p>
      <w:pPr>
        <w:ind w:firstLine="420" w:firstLineChars="200"/>
        <w:rPr>
          <w:rFonts w:hint="eastAsia" w:ascii="宋体" w:hAnsi="宋体" w:eastAsia="宋体"/>
          <w:color w:val="auto"/>
          <w:szCs w:val="21"/>
          <w:lang w:eastAsia="zh-CN"/>
        </w:rPr>
      </w:pPr>
      <w:r>
        <w:rPr>
          <w:rFonts w:hint="eastAsia" w:ascii="宋体" w:hAnsi="宋体"/>
          <w:color w:val="auto"/>
          <w:szCs w:val="21"/>
        </w:rPr>
        <w:t>投标人须具有本项目的以下其中一种业绩要求：①提供3个光伏发电系统安装项目业绩；②提供光伏发电系统安装项目业绩累计容量不少于3MW。（须提供合同复印件，若联合体投标，则需联合体中具有施工资质方提供方可</w:t>
      </w:r>
      <w:r>
        <w:rPr>
          <w:rFonts w:hint="eastAsia" w:ascii="宋体" w:hAnsi="宋体"/>
          <w:color w:val="auto"/>
          <w:szCs w:val="21"/>
          <w:lang w:eastAsia="zh-CN"/>
        </w:rPr>
        <w:t>）</w:t>
      </w:r>
    </w:p>
    <w:p>
      <w:pPr>
        <w:shd w:val="clear"/>
        <w:rPr>
          <w:rFonts w:hint="eastAsia" w:ascii="宋体" w:hAnsi="宋体"/>
          <w:b/>
          <w:color w:val="auto"/>
          <w:szCs w:val="21"/>
          <w:highlight w:val="none"/>
        </w:rPr>
      </w:pPr>
    </w:p>
    <w:p>
      <w:pPr>
        <w:shd w:val="clear"/>
        <w:rPr>
          <w:rFonts w:ascii="宋体" w:hAnsi="宋体"/>
          <w:b/>
          <w:color w:val="auto"/>
          <w:szCs w:val="21"/>
          <w:highlight w:val="none"/>
        </w:rPr>
      </w:pPr>
      <w:r>
        <w:rPr>
          <w:rFonts w:hint="eastAsia" w:ascii="宋体" w:hAnsi="宋体"/>
          <w:b/>
          <w:color w:val="auto"/>
          <w:szCs w:val="21"/>
          <w:highlight w:val="none"/>
        </w:rPr>
        <w:t>三、获取采购文件方式及要求</w:t>
      </w:r>
    </w:p>
    <w:p>
      <w:pPr>
        <w:shd w:val="clea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1、采购领购时间：递交投标文件截止时间前（节假日除外）上午9:00—12:00，下午 14:30—17:30（北京时间）。</w:t>
      </w:r>
    </w:p>
    <w:p>
      <w:pPr>
        <w:shd w:val="clea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2、获取方式：现场获取。</w:t>
      </w:r>
    </w:p>
    <w:p>
      <w:pPr>
        <w:shd w:val="clear"/>
        <w:wordWrap w:val="0"/>
        <w:ind w:firstLine="420" w:firstLineChars="200"/>
        <w:rPr>
          <w:rFonts w:hint="eastAsia" w:ascii="宋体" w:hAnsi="宋体" w:cs="宋体"/>
          <w:color w:val="auto"/>
          <w:szCs w:val="21"/>
          <w:highlight w:val="none"/>
          <w:lang w:val="en-US" w:eastAsia="zh-CN"/>
        </w:rPr>
      </w:pPr>
      <w:r>
        <w:rPr>
          <w:rFonts w:hint="eastAsia" w:ascii="宋体" w:hAnsi="宋体" w:cs="宋体"/>
          <w:bCs/>
          <w:color w:val="auto"/>
          <w:sz w:val="21"/>
          <w:szCs w:val="21"/>
          <w:highlight w:val="none"/>
          <w:lang w:val="en-US" w:eastAsia="zh-CN"/>
        </w:rPr>
        <w:t>3、领购地址</w:t>
      </w:r>
      <w:r>
        <w:rPr>
          <w:rFonts w:hint="eastAsia" w:ascii="宋体" w:hAnsi="宋体" w:cs="宋体"/>
          <w:bCs/>
          <w:color w:val="auto"/>
          <w:sz w:val="21"/>
          <w:szCs w:val="21"/>
          <w:highlight w:val="none"/>
        </w:rPr>
        <w:t>：广东省东莞市南城街道胜和路3号胜和广场2栋1006室。</w:t>
      </w:r>
    </w:p>
    <w:p>
      <w:pPr>
        <w:shd w:val="clea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4、须提前准备如下材料：《</w:t>
      </w:r>
      <w:bookmarkStart w:id="173" w:name="_GoBack"/>
      <w:bookmarkEnd w:id="173"/>
      <w:r>
        <w:rPr>
          <w:rFonts w:hint="eastAsia" w:ascii="宋体" w:hAnsi="宋体" w:cs="宋体"/>
          <w:color w:val="auto"/>
          <w:szCs w:val="21"/>
          <w:highlight w:val="none"/>
          <w:lang w:val="en-US" w:eastAsia="zh-CN"/>
        </w:rPr>
        <w:t>营业执照》复印件（加盖公章）或《事业单位法人证书》复印件（加盖公章）或其他主体证明复印件（加盖公章），自然人参加投标须提供自然人的身份证明材料；分支机构投标的，须提供总公司和分公司营业执照副本复印件，以及总公司出具给分支机构的授权书；</w:t>
      </w:r>
    </w:p>
    <w:p>
      <w:pPr>
        <w:shd w:val="clea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5、须在领购时间内进行报名，逾期报名无效，任何投标人因逾期报名或误缴费用而导致报名无效的，自行承担相应责任；</w:t>
      </w:r>
    </w:p>
    <w:p>
      <w:pPr>
        <w:shd w:val="clea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6、领购价格：人民币300.00元整；领购咨询人：张先生；领购咨询电话：0769-21688191</w:t>
      </w:r>
      <w:r>
        <w:rPr>
          <w:rFonts w:hint="eastAsia" w:ascii="宋体" w:hAnsi="宋体" w:cs="宋体"/>
          <w:color w:val="auto"/>
          <w:szCs w:val="21"/>
          <w:highlight w:val="none"/>
        </w:rPr>
        <w:t>。</w:t>
      </w:r>
    </w:p>
    <w:p>
      <w:pPr>
        <w:shd w:val="clear"/>
        <w:rPr>
          <w:color w:val="auto"/>
          <w:highlight w:val="none"/>
        </w:rPr>
      </w:pPr>
    </w:p>
    <w:p>
      <w:pPr>
        <w:shd w:val="clear"/>
        <w:rPr>
          <w:rFonts w:ascii="宋体" w:hAnsi="宋体"/>
          <w:b/>
          <w:color w:val="auto"/>
          <w:szCs w:val="21"/>
          <w:highlight w:val="none"/>
        </w:rPr>
      </w:pPr>
      <w:r>
        <w:rPr>
          <w:rFonts w:hint="eastAsia" w:ascii="宋体" w:hAnsi="宋体"/>
          <w:b/>
          <w:color w:val="auto"/>
          <w:szCs w:val="21"/>
          <w:highlight w:val="none"/>
        </w:rPr>
        <w:t>四、投标文件的递交</w:t>
      </w:r>
    </w:p>
    <w:p>
      <w:pPr>
        <w:shd w:val="clear"/>
        <w:ind w:firstLine="420" w:firstLineChars="200"/>
        <w:rPr>
          <w:rFonts w:ascii="宋体" w:hAnsi="宋体"/>
          <w:color w:val="auto"/>
          <w:szCs w:val="21"/>
          <w:highlight w:val="none"/>
          <w:u w:val="none"/>
        </w:rPr>
      </w:pPr>
      <w:r>
        <w:rPr>
          <w:rFonts w:hint="eastAsia" w:ascii="宋体" w:hAnsi="宋体"/>
          <w:color w:val="auto"/>
          <w:szCs w:val="21"/>
          <w:highlight w:val="none"/>
        </w:rPr>
        <w:t>1、递交投标文件时间：</w:t>
      </w:r>
      <w:r>
        <w:rPr>
          <w:rFonts w:hint="eastAsia" w:ascii="宋体" w:hAnsi="宋体" w:cs="宋体"/>
          <w:color w:val="auto"/>
          <w:szCs w:val="21"/>
          <w:highlight w:val="none"/>
          <w:u w:val="none"/>
        </w:rPr>
        <w:t>20</w:t>
      </w:r>
      <w:r>
        <w:rPr>
          <w:rFonts w:hint="eastAsia" w:ascii="宋体" w:hAnsi="宋体" w:cs="宋体"/>
          <w:color w:val="auto"/>
          <w:szCs w:val="21"/>
          <w:highlight w:val="none"/>
          <w:u w:val="none"/>
          <w:lang w:val="en-US" w:eastAsia="zh-CN"/>
        </w:rPr>
        <w:t>25</w:t>
      </w:r>
      <w:r>
        <w:rPr>
          <w:rFonts w:hint="eastAsia" w:ascii="宋体" w:hAnsi="宋体" w:cs="宋体"/>
          <w:color w:val="auto"/>
          <w:szCs w:val="21"/>
          <w:highlight w:val="none"/>
          <w:u w:val="none"/>
        </w:rPr>
        <w:t>年</w:t>
      </w:r>
      <w:r>
        <w:rPr>
          <w:rFonts w:hint="eastAsia" w:ascii="宋体" w:hAnsi="宋体" w:cs="宋体"/>
          <w:color w:val="auto"/>
          <w:szCs w:val="21"/>
          <w:highlight w:val="none"/>
          <w:u w:val="none"/>
          <w:lang w:val="en-US" w:eastAsia="zh-CN"/>
        </w:rPr>
        <w:t xml:space="preserve"> 07 </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 xml:space="preserve"> 18 </w:t>
      </w:r>
      <w:r>
        <w:rPr>
          <w:rFonts w:hint="eastAsia" w:ascii="宋体" w:hAnsi="宋体" w:cs="宋体"/>
          <w:color w:val="auto"/>
          <w:szCs w:val="21"/>
          <w:highlight w:val="none"/>
          <w:u w:val="none"/>
        </w:rPr>
        <w:t>日（</w:t>
      </w:r>
      <w:r>
        <w:rPr>
          <w:rFonts w:hint="eastAsia" w:ascii="宋体" w:hAnsi="宋体"/>
          <w:color w:val="auto"/>
          <w:szCs w:val="21"/>
          <w:highlight w:val="none"/>
          <w:u w:val="none"/>
        </w:rPr>
        <w:t>北京时间）</w:t>
      </w:r>
      <w:r>
        <w:rPr>
          <w:rFonts w:hint="eastAsia" w:ascii="宋体" w:hAnsi="宋体"/>
          <w:color w:val="auto"/>
          <w:szCs w:val="21"/>
          <w:highlight w:val="none"/>
          <w:u w:val="none"/>
          <w:lang w:val="en-US" w:eastAsia="zh-CN"/>
        </w:rPr>
        <w:t>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00</w:t>
      </w:r>
      <w:r>
        <w:rPr>
          <w:rFonts w:ascii="宋体" w:hAnsi="宋体"/>
          <w:color w:val="auto"/>
          <w:szCs w:val="21"/>
          <w:highlight w:val="none"/>
          <w:u w:val="none"/>
        </w:rPr>
        <w:t>-</w:t>
      </w:r>
      <w:r>
        <w:rPr>
          <w:rFonts w:hint="eastAsia" w:ascii="宋体" w:hAnsi="宋体"/>
          <w:color w:val="auto"/>
          <w:szCs w:val="21"/>
          <w:highlight w:val="none"/>
          <w:u w:val="none"/>
          <w:lang w:val="en-US" w:eastAsia="zh-CN"/>
        </w:rPr>
        <w:t>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rPr>
        <w:t>。</w:t>
      </w:r>
    </w:p>
    <w:p>
      <w:pPr>
        <w:shd w:val="clear"/>
        <w:ind w:firstLine="420" w:firstLineChars="200"/>
        <w:rPr>
          <w:rFonts w:ascii="宋体" w:hAnsi="宋体"/>
          <w:b/>
          <w:color w:val="auto"/>
          <w:szCs w:val="21"/>
          <w:highlight w:val="none"/>
        </w:rPr>
      </w:pPr>
      <w:r>
        <w:rPr>
          <w:rFonts w:hint="eastAsia" w:ascii="宋体" w:hAnsi="宋体"/>
          <w:color w:val="auto"/>
          <w:szCs w:val="21"/>
          <w:highlight w:val="none"/>
          <w:u w:val="none"/>
        </w:rPr>
        <w:t>2、递交投标文件</w:t>
      </w:r>
      <w:r>
        <w:rPr>
          <w:rFonts w:ascii="宋体" w:hAnsi="宋体"/>
          <w:color w:val="auto"/>
          <w:szCs w:val="21"/>
          <w:highlight w:val="none"/>
          <w:u w:val="none"/>
        </w:rPr>
        <w:t>截止</w:t>
      </w:r>
      <w:r>
        <w:rPr>
          <w:rFonts w:hint="eastAsia" w:ascii="宋体" w:hAnsi="宋体"/>
          <w:color w:val="auto"/>
          <w:szCs w:val="21"/>
          <w:highlight w:val="none"/>
          <w:u w:val="none"/>
        </w:rPr>
        <w:t>及开标时间：</w:t>
      </w:r>
      <w:r>
        <w:rPr>
          <w:rFonts w:hint="eastAsia" w:ascii="宋体" w:hAnsi="宋体" w:cs="宋体"/>
          <w:color w:val="auto"/>
          <w:szCs w:val="21"/>
          <w:highlight w:val="none"/>
          <w:u w:val="none"/>
        </w:rPr>
        <w:t>20</w:t>
      </w:r>
      <w:r>
        <w:rPr>
          <w:rFonts w:hint="eastAsia" w:ascii="宋体" w:hAnsi="宋体" w:cs="宋体"/>
          <w:color w:val="auto"/>
          <w:szCs w:val="21"/>
          <w:highlight w:val="none"/>
          <w:u w:val="none"/>
          <w:lang w:val="en-US" w:eastAsia="zh-CN"/>
        </w:rPr>
        <w:t>25</w:t>
      </w:r>
      <w:r>
        <w:rPr>
          <w:rFonts w:hint="eastAsia" w:ascii="宋体" w:hAnsi="宋体" w:cs="宋体"/>
          <w:color w:val="auto"/>
          <w:szCs w:val="21"/>
          <w:highlight w:val="none"/>
          <w:u w:val="none"/>
        </w:rPr>
        <w:t>年</w:t>
      </w:r>
      <w:r>
        <w:rPr>
          <w:rFonts w:hint="eastAsia" w:ascii="宋体" w:hAnsi="宋体" w:cs="宋体"/>
          <w:color w:val="auto"/>
          <w:szCs w:val="21"/>
          <w:highlight w:val="none"/>
          <w:u w:val="none"/>
          <w:lang w:val="en-US" w:eastAsia="zh-CN"/>
        </w:rPr>
        <w:t xml:space="preserve"> 07 </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 xml:space="preserve"> 18  </w:t>
      </w:r>
      <w:r>
        <w:rPr>
          <w:rFonts w:hint="eastAsia" w:ascii="宋体" w:hAnsi="宋体" w:cs="宋体"/>
          <w:color w:val="auto"/>
          <w:szCs w:val="21"/>
          <w:highlight w:val="none"/>
          <w:u w:val="none"/>
        </w:rPr>
        <w:t>日</w:t>
      </w:r>
      <w:r>
        <w:rPr>
          <w:rFonts w:hint="eastAsia" w:ascii="宋体" w:hAnsi="宋体" w:cs="宋体"/>
          <w:color w:val="auto"/>
          <w:szCs w:val="21"/>
          <w:highlight w:val="none"/>
          <w:u w:val="none"/>
          <w:lang w:val="en-US" w:eastAsia="zh-CN"/>
        </w:rPr>
        <w:t>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rPr>
        <w:t>（北京时间）</w:t>
      </w:r>
      <w:r>
        <w:rPr>
          <w:rFonts w:hint="eastAsia" w:ascii="宋体" w:hAnsi="宋体"/>
          <w:color w:val="auto"/>
          <w:szCs w:val="21"/>
          <w:highlight w:val="none"/>
        </w:rPr>
        <w:t>，所有投标文件应于截止时间之前递交，迟交或以电报、传真形式的投标文件将拒绝接收。</w:t>
      </w:r>
    </w:p>
    <w:p>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w:t>
      </w:r>
      <w:r>
        <w:rPr>
          <w:rFonts w:hint="eastAsia" w:ascii="宋体" w:hAnsi="宋体" w:cs="宋体"/>
          <w:bCs/>
          <w:color w:val="auto"/>
          <w:sz w:val="21"/>
          <w:szCs w:val="21"/>
          <w:highlight w:val="none"/>
        </w:rPr>
        <w:t>广东省东莞市南城街道胜和路3号胜和广场2栋</w:t>
      </w:r>
      <w:r>
        <w:rPr>
          <w:rFonts w:ascii="宋体" w:hAnsi="宋体" w:cs="宋体"/>
          <w:bCs/>
          <w:color w:val="auto"/>
          <w:sz w:val="21"/>
          <w:szCs w:val="21"/>
          <w:highlight w:val="none"/>
        </w:rPr>
        <w:t>1007</w:t>
      </w:r>
      <w:r>
        <w:rPr>
          <w:rFonts w:hint="eastAsia" w:ascii="宋体" w:hAnsi="宋体" w:cs="宋体"/>
          <w:bCs/>
          <w:color w:val="auto"/>
          <w:sz w:val="21"/>
          <w:szCs w:val="21"/>
          <w:highlight w:val="none"/>
        </w:rPr>
        <w:t>室</w:t>
      </w:r>
      <w:r>
        <w:rPr>
          <w:rFonts w:hint="eastAsia" w:ascii="宋体" w:hAnsi="宋体"/>
          <w:color w:val="auto"/>
          <w:szCs w:val="21"/>
          <w:highlight w:val="none"/>
          <w:lang w:eastAsia="zh-CN"/>
        </w:rPr>
        <w:t>。</w:t>
      </w:r>
    </w:p>
    <w:p>
      <w:pPr>
        <w:shd w:val="clear"/>
        <w:ind w:firstLine="411" w:firstLineChars="196"/>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rPr>
        <w:t>届时请投标人的法定代表人或其授权代表务必携带有效身份证明出席开标会</w:t>
      </w:r>
      <w:r>
        <w:rPr>
          <w:rFonts w:hint="eastAsia" w:ascii="宋体" w:hAnsi="宋体"/>
          <w:bCs/>
          <w:color w:val="auto"/>
          <w:szCs w:val="21"/>
          <w:highlight w:val="none"/>
        </w:rPr>
        <w:t>。</w:t>
      </w:r>
    </w:p>
    <w:p>
      <w:pPr>
        <w:pStyle w:val="37"/>
        <w:shd w:val="clear"/>
        <w:spacing w:line="360" w:lineRule="auto"/>
        <w:rPr>
          <w:color w:val="auto"/>
          <w:sz w:val="21"/>
          <w:szCs w:val="21"/>
          <w:highlight w:val="none"/>
        </w:rPr>
      </w:pPr>
      <w:r>
        <w:rPr>
          <w:rFonts w:hint="eastAsia" w:ascii="宋体" w:hAnsi="宋体" w:eastAsia="宋体" w:cstheme="minorBidi"/>
          <w:bCs/>
          <w:color w:val="auto"/>
          <w:sz w:val="21"/>
          <w:szCs w:val="21"/>
          <w:highlight w:val="none"/>
          <w:lang w:val="en-US" w:eastAsia="zh-CN" w:bidi="ar-SA"/>
        </w:rPr>
        <w:t>5、出现以</w:t>
      </w:r>
      <w:r>
        <w:rPr>
          <w:rFonts w:hint="eastAsia"/>
          <w:color w:val="auto"/>
          <w:sz w:val="21"/>
          <w:szCs w:val="21"/>
          <w:highlight w:val="none"/>
        </w:rPr>
        <w:t>下情形时，采购代理机构不予接收投标（响应）文件：</w:t>
      </w:r>
    </w:p>
    <w:p>
      <w:pPr>
        <w:pStyle w:val="37"/>
        <w:shd w:val="clear"/>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（1）逾期送达或者未送达指定地点的；</w:t>
      </w:r>
    </w:p>
    <w:p>
      <w:pPr>
        <w:pStyle w:val="37"/>
        <w:shd w:val="clear"/>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（2）未按采购文件要求密封的。</w:t>
      </w:r>
    </w:p>
    <w:p>
      <w:pPr>
        <w:pStyle w:val="37"/>
        <w:shd w:val="clear"/>
        <w:ind w:firstLine="400"/>
        <w:rPr>
          <w:color w:val="auto"/>
          <w:highlight w:val="none"/>
        </w:rPr>
      </w:pPr>
    </w:p>
    <w:p>
      <w:pPr>
        <w:shd w:val="clear"/>
        <w:rPr>
          <w:rFonts w:hint="eastAsia" w:ascii="宋体" w:hAnsi="宋体" w:eastAsia="宋体"/>
          <w:b/>
          <w:color w:val="auto"/>
          <w:szCs w:val="21"/>
          <w:highlight w:val="none"/>
        </w:rPr>
      </w:pPr>
      <w:r>
        <w:rPr>
          <w:rFonts w:hint="eastAsia" w:ascii="宋体" w:hAnsi="宋体" w:eastAsia="宋体"/>
          <w:b/>
          <w:color w:val="auto"/>
          <w:szCs w:val="21"/>
          <w:highlight w:val="none"/>
        </w:rPr>
        <w:t>五、发布公告的媒介</w:t>
      </w:r>
    </w:p>
    <w:p>
      <w:pPr>
        <w:pStyle w:val="37"/>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采购公告</w:t>
      </w:r>
      <w:r>
        <w:rPr>
          <w:rFonts w:hint="eastAsia" w:ascii="宋体" w:hAnsi="宋体" w:eastAsia="宋体" w:cs="宋体"/>
          <w:color w:val="auto"/>
          <w:sz w:val="21"/>
          <w:szCs w:val="21"/>
          <w:highlight w:val="none"/>
          <w:lang w:eastAsia="zh-CN"/>
        </w:rPr>
        <w:t>和</w:t>
      </w:r>
      <w:r>
        <w:rPr>
          <w:rFonts w:hint="eastAsia" w:ascii="宋体" w:hAnsi="宋体" w:eastAsia="宋体" w:cs="宋体"/>
          <w:bCs/>
          <w:color w:val="auto"/>
          <w:sz w:val="21"/>
          <w:szCs w:val="21"/>
          <w:highlight w:val="none"/>
        </w:rPr>
        <w:t>结果公告</w:t>
      </w:r>
      <w:r>
        <w:rPr>
          <w:rFonts w:hint="eastAsia" w:ascii="宋体" w:hAnsi="宋体" w:eastAsia="宋体" w:cs="宋体"/>
          <w:color w:val="auto"/>
          <w:sz w:val="21"/>
          <w:szCs w:val="21"/>
          <w:highlight w:val="none"/>
        </w:rPr>
        <w:t>发布媒介：</w:t>
      </w:r>
    </w:p>
    <w:p>
      <w:pPr>
        <w:pStyle w:val="37"/>
        <w:shd w:val="clear"/>
        <w:spacing w:line="360" w:lineRule="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中国招标投标公共服务平台（http://www.cebpubservice.com/）</w:t>
      </w:r>
    </w:p>
    <w:p>
      <w:pPr>
        <w:pStyle w:val="37"/>
        <w:shd w:val="clear"/>
        <w:spacing w:line="360" w:lineRule="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2、东莞实业投资控股集团有限公司-招标采购栏目（http://www.dgsy.com.cn/）</w:t>
      </w:r>
    </w:p>
    <w:p>
      <w:pPr>
        <w:pStyle w:val="37"/>
        <w:shd w:val="clear"/>
        <w:spacing w:line="360" w:lineRule="auto"/>
        <w:rPr>
          <w:rFonts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3、广西同泽工程项目管理股份有限公司</w:t>
      </w:r>
      <w:r>
        <w:rPr>
          <w:rFonts w:hint="eastAsia" w:ascii="宋体" w:hAnsi="宋体" w:eastAsia="宋体" w:cs="宋体"/>
          <w:color w:val="auto"/>
          <w:sz w:val="21"/>
          <w:szCs w:val="21"/>
          <w:highlight w:val="none"/>
          <w:u w:val="none"/>
        </w:rPr>
        <w:t>网（http://www.gxtzfz.cn/）</w:t>
      </w:r>
    </w:p>
    <w:p>
      <w:pPr>
        <w:shd w:val="clear"/>
        <w:ind w:firstLine="413" w:firstLineChars="196"/>
        <w:rPr>
          <w:rFonts w:hint="eastAsia" w:ascii="宋体" w:hAnsi="宋体"/>
          <w:b/>
          <w:color w:val="auto"/>
          <w:szCs w:val="21"/>
          <w:highlight w:val="none"/>
        </w:rPr>
      </w:pPr>
    </w:p>
    <w:p>
      <w:pPr>
        <w:shd w:val="clear"/>
        <w:rPr>
          <w:rFonts w:hint="eastAsia" w:ascii="宋体" w:hAnsi="宋体" w:eastAsia="宋体"/>
          <w:b/>
          <w:color w:val="auto"/>
          <w:szCs w:val="21"/>
          <w:highlight w:val="none"/>
        </w:rPr>
      </w:pPr>
      <w:r>
        <w:rPr>
          <w:rFonts w:hint="eastAsia" w:ascii="宋体" w:hAnsi="宋体" w:eastAsia="宋体"/>
          <w:b/>
          <w:color w:val="auto"/>
          <w:szCs w:val="21"/>
          <w:highlight w:val="none"/>
        </w:rPr>
        <w:t>六、采购人及采购代理机构的名称、地址和联系方法</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ascii="宋体" w:hAnsi="宋体"/>
          <w:bCs/>
          <w:color w:val="auto"/>
          <w:szCs w:val="21"/>
          <w:highlight w:val="none"/>
          <w:lang w:eastAsia="zh-CN"/>
        </w:rPr>
        <w:t>东</w:t>
      </w:r>
      <w:r>
        <w:rPr>
          <w:rFonts w:hint="eastAsia" w:ascii="宋体" w:hAnsi="宋体"/>
          <w:bCs/>
          <w:color w:val="auto"/>
          <w:szCs w:val="21"/>
          <w:highlight w:val="none"/>
        </w:rPr>
        <w:t>莞新锋光伏能源科技有限公司</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采购人联系人：翟先生</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采购人地址：广东省东莞市松山湖园区新城路5号1栋601室</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采购人联系电话：0769-22899838</w:t>
      </w:r>
      <w:r>
        <w:rPr>
          <w:rFonts w:hint="eastAsia" w:ascii="宋体" w:hAnsi="宋体" w:cs="宋体"/>
          <w:color w:val="auto"/>
          <w:sz w:val="22"/>
          <w:highlight w:val="none"/>
        </w:rPr>
        <w:t xml:space="preserve"> </w:t>
      </w:r>
    </w:p>
    <w:p>
      <w:pPr>
        <w:shd w:val="clear"/>
        <w:ind w:firstLine="420" w:firstLineChars="200"/>
        <w:rPr>
          <w:rFonts w:ascii="宋体" w:hAnsi="宋体"/>
          <w:color w:val="auto"/>
          <w:szCs w:val="21"/>
          <w:highlight w:val="none"/>
        </w:rPr>
      </w:pPr>
    </w:p>
    <w:p>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olor w:val="auto"/>
          <w:szCs w:val="21"/>
          <w:highlight w:val="none"/>
          <w:lang w:eastAsia="zh-CN"/>
        </w:rPr>
        <w:t>广西同泽工程项目管理股份有限公司</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采购代理机构地址：广东省东莞市南城街道胜和路3号胜和广场2栋1006室</w:t>
      </w:r>
    </w:p>
    <w:p>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val="en-US" w:eastAsia="zh-CN"/>
        </w:rPr>
        <w:t>张先生</w:t>
      </w:r>
    </w:p>
    <w:p>
      <w:pPr>
        <w:shd w:val="clea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采购代理机构联系电话：0769-</w:t>
      </w:r>
      <w:r>
        <w:rPr>
          <w:rFonts w:hint="eastAsia" w:ascii="宋体" w:hAnsi="宋体"/>
          <w:color w:val="auto"/>
          <w:szCs w:val="21"/>
          <w:highlight w:val="none"/>
          <w:lang w:val="en-US" w:eastAsia="zh-CN"/>
        </w:rPr>
        <w:t>21688191</w:t>
      </w:r>
    </w:p>
    <w:p>
      <w:pPr>
        <w:shd w:val="clear"/>
        <w:ind w:firstLine="420" w:firstLineChars="200"/>
        <w:rPr>
          <w:color w:val="auto"/>
          <w:highlight w:val="none"/>
        </w:rPr>
      </w:pPr>
      <w:r>
        <w:rPr>
          <w:rFonts w:hint="eastAsia" w:ascii="宋体" w:hAnsi="宋体"/>
          <w:color w:val="auto"/>
          <w:szCs w:val="21"/>
          <w:highlight w:val="none"/>
        </w:rPr>
        <w:t>采购代理机构邮箱：2195953904@qq.com</w:t>
      </w:r>
    </w:p>
    <w:p>
      <w:pPr>
        <w:shd w:val="clear"/>
        <w:ind w:firstLine="420" w:firstLineChars="200"/>
        <w:rPr>
          <w:color w:val="auto"/>
          <w:highlight w:val="none"/>
        </w:rPr>
      </w:pPr>
    </w:p>
    <w:p>
      <w:pPr>
        <w:shd w:val="clear"/>
        <w:ind w:right="752" w:rightChars="358"/>
        <w:jc w:val="right"/>
        <w:rPr>
          <w:color w:val="auto"/>
          <w:highlight w:val="none"/>
        </w:rPr>
      </w:pPr>
    </w:p>
    <w:p>
      <w:pPr>
        <w:keepNext w:val="0"/>
        <w:keepLines w:val="0"/>
        <w:pageBreakBefore w:val="0"/>
        <w:widowControl/>
        <w:shd w:val="clear"/>
        <w:kinsoku/>
        <w:wordWrap/>
        <w:overflowPunct/>
        <w:topLinePunct w:val="0"/>
        <w:autoSpaceDE/>
        <w:autoSpaceDN/>
        <w:bidi w:val="0"/>
        <w:adjustRightInd/>
        <w:snapToGrid/>
        <w:spacing w:line="400" w:lineRule="exact"/>
        <w:ind w:right="752" w:rightChars="358"/>
        <w:jc w:val="right"/>
        <w:textAlignment w:val="auto"/>
        <w:rPr>
          <w:rFonts w:hint="eastAsia" w:ascii="宋体" w:hAnsi="宋体" w:eastAsia="宋体" w:cs="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snapToGrid/>
        <w:spacing w:line="400" w:lineRule="exact"/>
        <w:jc w:val="righ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广西同泽</w:t>
      </w:r>
      <w:r>
        <w:rPr>
          <w:rFonts w:hint="eastAsia" w:ascii="宋体" w:hAnsi="宋体" w:eastAsia="宋体" w:cs="宋体"/>
          <w:color w:val="auto"/>
          <w:sz w:val="21"/>
          <w:szCs w:val="21"/>
          <w:highlight w:val="none"/>
          <w:lang w:eastAsia="zh-CN"/>
        </w:rPr>
        <w:t>工程</w:t>
      </w:r>
      <w:r>
        <w:rPr>
          <w:rFonts w:hint="eastAsia" w:ascii="宋体" w:hAnsi="宋体" w:cs="宋体"/>
          <w:color w:val="auto"/>
          <w:sz w:val="21"/>
          <w:szCs w:val="21"/>
          <w:highlight w:val="none"/>
          <w:lang w:eastAsia="zh-CN"/>
        </w:rPr>
        <w:t>项目管理股份有限公司</w:t>
      </w:r>
    </w:p>
    <w:p>
      <w:pPr>
        <w:keepNext w:val="0"/>
        <w:keepLines w:val="0"/>
        <w:pageBreakBefore w:val="0"/>
        <w:widowControl/>
        <w:shd w:val="clear"/>
        <w:kinsoku/>
        <w:wordWrap/>
        <w:overflowPunct/>
        <w:topLinePunct w:val="0"/>
        <w:autoSpaceDE/>
        <w:autoSpaceDN/>
        <w:bidi w:val="0"/>
        <w:adjustRightInd/>
        <w:snapToGrid/>
        <w:spacing w:line="400" w:lineRule="exact"/>
        <w:jc w:val="right"/>
        <w:textAlignment w:val="auto"/>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 xml:space="preserve">5 </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 xml:space="preserve"> 06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 27 日</w:t>
      </w:r>
    </w:p>
    <w:p>
      <w:pPr>
        <w:shd w:val="clea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4"/>
        <w:shd w:val="clear"/>
        <w:spacing w:before="0" w:after="0" w:line="240" w:lineRule="auto"/>
        <w:rPr>
          <w:color w:val="auto"/>
          <w:sz w:val="28"/>
          <w:szCs w:val="28"/>
          <w:highlight w:val="none"/>
        </w:rPr>
      </w:pPr>
      <w:bookmarkStart w:id="2" w:name="_Toc19843"/>
      <w:r>
        <w:rPr>
          <w:rFonts w:hint="eastAsia"/>
          <w:color w:val="auto"/>
          <w:sz w:val="28"/>
          <w:szCs w:val="28"/>
          <w:highlight w:val="none"/>
        </w:rPr>
        <w:t>第二部分相关资料表格</w:t>
      </w:r>
      <w:bookmarkEnd w:id="2"/>
    </w:p>
    <w:p>
      <w:pPr>
        <w:pStyle w:val="5"/>
        <w:shd w:val="clear"/>
        <w:spacing w:before="0" w:after="0" w:line="240" w:lineRule="auto"/>
        <w:jc w:val="center"/>
        <w:rPr>
          <w:rFonts w:ascii="宋体" w:hAnsi="宋体" w:cs="宋体"/>
          <w:color w:val="auto"/>
          <w:sz w:val="24"/>
          <w:szCs w:val="24"/>
          <w:highlight w:val="none"/>
        </w:rPr>
      </w:pPr>
      <w:bookmarkStart w:id="3" w:name="_Toc31266"/>
      <w:r>
        <w:rPr>
          <w:rFonts w:hint="eastAsia" w:ascii="宋体" w:hAnsi="宋体" w:cs="宋体"/>
          <w:color w:val="auto"/>
          <w:sz w:val="24"/>
          <w:szCs w:val="24"/>
          <w:highlight w:val="none"/>
        </w:rPr>
        <w:t>附表一：投标资料表</w:t>
      </w:r>
      <w:bookmarkEnd w:id="3"/>
    </w:p>
    <w:tbl>
      <w:tblPr>
        <w:tblStyle w:val="33"/>
        <w:tblW w:w="8410" w:type="dxa"/>
        <w:tblInd w:w="-2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2250"/>
        <w:gridCol w:w="5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tcBorders>
              <w:tl2br w:val="nil"/>
              <w:tr2bl w:val="nil"/>
            </w:tcBorders>
            <w:vAlign w:val="center"/>
          </w:tcPr>
          <w:p>
            <w:pPr>
              <w:shd w:val="clear"/>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7609" w:type="dxa"/>
            <w:gridSpan w:val="2"/>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trPr>
        <w:tc>
          <w:tcPr>
            <w:tcW w:w="8410" w:type="dxa"/>
            <w:gridSpan w:val="3"/>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ascii="宋体" w:hAnsi="宋体"/>
                <w:color w:val="auto"/>
                <w:sz w:val="21"/>
                <w:szCs w:val="21"/>
                <w:highlight w:val="none"/>
              </w:rPr>
            </w:pPr>
            <w:r>
              <w:rPr>
                <w:rFonts w:hint="eastAsia" w:ascii="宋体" w:hAnsi="宋体"/>
                <w:color w:val="auto"/>
                <w:sz w:val="21"/>
                <w:szCs w:val="21"/>
                <w:highlight w:val="none"/>
              </w:rPr>
              <w:t>1</w:t>
            </w:r>
          </w:p>
        </w:tc>
        <w:tc>
          <w:tcPr>
            <w:tcW w:w="7609" w:type="dxa"/>
            <w:gridSpan w:val="2"/>
            <w:tcBorders>
              <w:tl2br w:val="nil"/>
              <w:tr2bl w:val="nil"/>
            </w:tcBorders>
            <w:vAlign w:val="center"/>
          </w:tcPr>
          <w:p>
            <w:pPr>
              <w:shd w:val="clear"/>
              <w:rPr>
                <w:rFonts w:ascii="宋体" w:hAnsi="宋体"/>
                <w:b/>
                <w:bCs/>
                <w:color w:val="auto"/>
                <w:sz w:val="21"/>
                <w:szCs w:val="21"/>
                <w:highlight w:val="none"/>
              </w:rPr>
            </w:pPr>
            <w:r>
              <w:rPr>
                <w:rFonts w:hint="eastAsia" w:ascii="宋体" w:hAnsi="宋体"/>
                <w:b/>
                <w:bCs/>
                <w:color w:val="auto"/>
                <w:sz w:val="21"/>
                <w:szCs w:val="21"/>
                <w:highlight w:val="none"/>
              </w:rPr>
              <w:t>项目最高限价（</w:t>
            </w:r>
            <w:r>
              <w:rPr>
                <w:rFonts w:hint="eastAsia" w:ascii="宋体" w:hAnsi="宋体"/>
                <w:b/>
                <w:bCs/>
                <w:color w:val="auto"/>
                <w:sz w:val="21"/>
                <w:szCs w:val="21"/>
                <w:highlight w:val="none"/>
                <w:u w:val="single"/>
              </w:rPr>
              <w:t>单位：元</w:t>
            </w:r>
            <w:r>
              <w:rPr>
                <w:rFonts w:hint="eastAsia" w:ascii="宋体" w:hAnsi="宋体"/>
                <w:b/>
                <w:bCs/>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rPr>
                <w:rFonts w:hint="eastAsia" w:ascii="宋体" w:hAnsi="宋体" w:eastAsia="宋体"/>
                <w:b/>
                <w:bCs/>
                <w:color w:val="auto"/>
                <w:sz w:val="21"/>
                <w:szCs w:val="21"/>
                <w:highlight w:val="none"/>
                <w:lang w:eastAsia="zh-CN"/>
              </w:rPr>
            </w:pPr>
            <w:r>
              <w:rPr>
                <w:rFonts w:hint="eastAsia" w:ascii="宋体" w:hAnsi="宋体"/>
                <w:b w:val="0"/>
                <w:bCs w:val="0"/>
                <w:color w:val="auto"/>
                <w:sz w:val="21"/>
                <w:szCs w:val="21"/>
                <w:highlight w:val="none"/>
              </w:rPr>
              <w:t>与项目预算一致</w:t>
            </w:r>
            <w:r>
              <w:rPr>
                <w:rFonts w:hint="eastAsia" w:ascii="宋体" w:hAnsi="宋体"/>
                <w:b w:val="0"/>
                <w:bCs w:val="0"/>
                <w:color w:val="auto"/>
                <w:sz w:val="21"/>
                <w:szCs w:val="21"/>
                <w:highlight w:val="non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ascii="宋体" w:hAnsi="宋体"/>
                <w:color w:val="auto"/>
                <w:sz w:val="21"/>
                <w:szCs w:val="21"/>
                <w:highlight w:val="none"/>
              </w:rPr>
            </w:pPr>
            <w:r>
              <w:rPr>
                <w:rFonts w:hint="eastAsia" w:ascii="宋体" w:hAnsi="宋体"/>
                <w:color w:val="auto"/>
                <w:sz w:val="21"/>
                <w:szCs w:val="21"/>
                <w:highlight w:val="none"/>
              </w:rPr>
              <w:t>2</w:t>
            </w:r>
          </w:p>
        </w:tc>
        <w:tc>
          <w:tcPr>
            <w:tcW w:w="7609" w:type="dxa"/>
            <w:gridSpan w:val="2"/>
            <w:tcBorders>
              <w:tl2br w:val="nil"/>
              <w:tr2bl w:val="nil"/>
            </w:tcBorders>
            <w:vAlign w:val="center"/>
          </w:tcPr>
          <w:p>
            <w:pPr>
              <w:shd w:val="clear"/>
              <w:rPr>
                <w:rFonts w:ascii="宋体" w:hAnsi="宋体"/>
                <w:b/>
                <w:bCs/>
                <w:color w:val="auto"/>
                <w:sz w:val="21"/>
                <w:szCs w:val="21"/>
                <w:highlight w:val="none"/>
              </w:rPr>
            </w:pPr>
            <w:r>
              <w:rPr>
                <w:rFonts w:hint="eastAsia" w:ascii="宋体" w:hAnsi="宋体"/>
                <w:b/>
                <w:bCs/>
                <w:color w:val="auto"/>
                <w:sz w:val="21"/>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rPr>
                <w:rFonts w:ascii="宋体" w:hAnsi="宋体"/>
                <w:b/>
                <w:bCs/>
                <w:color w:val="auto"/>
                <w:sz w:val="21"/>
                <w:szCs w:val="21"/>
                <w:highlight w:val="none"/>
              </w:rPr>
            </w:pPr>
            <w:r>
              <w:rPr>
                <w:rFonts w:hint="eastAsia" w:ascii="宋体" w:hAnsi="宋体"/>
                <w:b/>
                <w:bCs/>
                <w:color w:val="auto"/>
                <w:sz w:val="21"/>
                <w:szCs w:val="21"/>
                <w:highlight w:val="none"/>
              </w:rPr>
              <w:sym w:font="Wingdings" w:char="00A8"/>
            </w:r>
            <w:r>
              <w:rPr>
                <w:rFonts w:hint="eastAsia" w:ascii="宋体" w:hAnsi="宋体"/>
                <w:b/>
                <w:bCs/>
                <w:color w:val="auto"/>
                <w:sz w:val="21"/>
                <w:szCs w:val="21"/>
                <w:highlight w:val="none"/>
              </w:rPr>
              <w:t>固定总价包干；</w:t>
            </w:r>
          </w:p>
          <w:p>
            <w:pPr>
              <w:shd w:val="clear"/>
              <w:rPr>
                <w:rFonts w:ascii="宋体" w:hAnsi="宋体"/>
                <w:b/>
                <w:bCs/>
                <w:color w:val="auto"/>
                <w:sz w:val="21"/>
                <w:szCs w:val="21"/>
                <w:highlight w:val="none"/>
              </w:rPr>
            </w:pPr>
            <w:r>
              <w:rPr>
                <w:rFonts w:hint="eastAsia" w:ascii="宋体" w:hAnsi="宋体"/>
                <w:b/>
                <w:bCs/>
                <w:color w:val="auto"/>
                <w:sz w:val="21"/>
                <w:szCs w:val="21"/>
                <w:highlight w:val="none"/>
              </w:rPr>
              <w:sym w:font="Wingdings" w:char="00FE"/>
            </w:r>
            <w:r>
              <w:rPr>
                <w:rFonts w:hint="eastAsia" w:ascii="宋体" w:hAnsi="宋体"/>
                <w:b/>
                <w:bCs/>
                <w:color w:val="auto"/>
                <w:sz w:val="21"/>
                <w:szCs w:val="21"/>
                <w:highlight w:val="none"/>
              </w:rPr>
              <w:t>固定单价暂定总价包干；</w:t>
            </w:r>
          </w:p>
          <w:p>
            <w:pPr>
              <w:shd w:val="clear"/>
              <w:rPr>
                <w:rFonts w:ascii="宋体" w:hAnsi="宋体"/>
                <w:b/>
                <w:bCs/>
                <w:color w:val="auto"/>
                <w:sz w:val="21"/>
                <w:szCs w:val="21"/>
                <w:highlight w:val="none"/>
                <w:u w:val="single"/>
              </w:rPr>
            </w:pPr>
            <w:r>
              <w:rPr>
                <w:rFonts w:hint="eastAsia" w:ascii="宋体" w:hAnsi="宋体"/>
                <w:b/>
                <w:bCs/>
                <w:color w:val="auto"/>
                <w:sz w:val="21"/>
                <w:szCs w:val="21"/>
                <w:highlight w:val="none"/>
              </w:rPr>
              <w:sym w:font="Wingdings" w:char="00A8"/>
            </w:r>
            <w:r>
              <w:rPr>
                <w:rFonts w:hint="eastAsia" w:ascii="宋体" w:hAnsi="宋体"/>
                <w:b/>
                <w:bCs/>
                <w:color w:val="auto"/>
                <w:sz w:val="21"/>
                <w:szCs w:val="21"/>
                <w:highlight w:val="none"/>
              </w:rPr>
              <w:t>费率</w:t>
            </w:r>
            <w:r>
              <w:rPr>
                <w:rFonts w:hint="eastAsia" w:ascii="宋体" w:hAnsi="宋体"/>
                <w:b/>
                <w:bCs/>
                <w:color w:val="auto"/>
                <w:sz w:val="21"/>
                <w:szCs w:val="21"/>
                <w:highlight w:val="none"/>
                <w:u w:val="single"/>
              </w:rPr>
              <w:t xml:space="preserve">         ；</w:t>
            </w:r>
          </w:p>
          <w:p>
            <w:pPr>
              <w:shd w:val="clear"/>
              <w:rPr>
                <w:rFonts w:ascii="宋体" w:hAnsi="宋体"/>
                <w:b/>
                <w:bCs/>
                <w:color w:val="auto"/>
                <w:sz w:val="21"/>
                <w:szCs w:val="21"/>
                <w:highlight w:val="none"/>
              </w:rPr>
            </w:pPr>
            <w:r>
              <w:rPr>
                <w:rFonts w:hint="eastAsia" w:ascii="宋体" w:hAnsi="宋体"/>
                <w:b/>
                <w:bCs/>
                <w:color w:val="auto"/>
                <w:sz w:val="21"/>
                <w:szCs w:val="21"/>
                <w:highlight w:val="none"/>
              </w:rPr>
              <w:sym w:font="Wingdings" w:char="00A8"/>
            </w:r>
            <w:r>
              <w:rPr>
                <w:rFonts w:hint="eastAsia" w:ascii="宋体" w:hAnsi="宋体"/>
                <w:b/>
                <w:bCs/>
                <w:color w:val="auto"/>
                <w:sz w:val="21"/>
                <w:szCs w:val="21"/>
                <w:highlight w:val="none"/>
              </w:rPr>
              <w:t>其他</w:t>
            </w:r>
            <w:r>
              <w:rPr>
                <w:rFonts w:hint="eastAsia" w:ascii="宋体" w:hAnsi="宋体"/>
                <w:b/>
                <w:bCs/>
                <w:color w:val="auto"/>
                <w:sz w:val="21"/>
                <w:szCs w:val="21"/>
                <w:highlight w:val="none"/>
                <w:u w:val="single"/>
              </w:rPr>
              <w:t xml:space="preserve">           </w:t>
            </w:r>
            <w:r>
              <w:rPr>
                <w:rFonts w:hint="eastAsia" w:ascii="宋体" w:hAnsi="宋体"/>
                <w:b/>
                <w:bCs/>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609" w:type="dxa"/>
            <w:gridSpan w:val="2"/>
            <w:tcBorders>
              <w:tl2br w:val="nil"/>
              <w:tr2bl w:val="nil"/>
            </w:tcBorders>
            <w:vAlign w:val="center"/>
          </w:tcPr>
          <w:p>
            <w:pPr>
              <w:shd w:val="clear"/>
              <w:rPr>
                <w:rFonts w:ascii="宋体" w:hAnsi="宋体"/>
                <w:b/>
                <w:bCs/>
                <w:color w:val="auto"/>
                <w:sz w:val="21"/>
                <w:szCs w:val="21"/>
                <w:highlight w:val="none"/>
              </w:rPr>
            </w:pPr>
            <w:r>
              <w:rPr>
                <w:rFonts w:hint="eastAsia" w:ascii="宋体" w:hAnsi="宋体"/>
                <w:b/>
                <w:bCs/>
                <w:color w:val="auto"/>
                <w:sz w:val="21"/>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rPr>
                <w:rFonts w:ascii="宋体" w:hAnsi="宋体"/>
                <w:b/>
                <w:bCs/>
                <w:color w:val="auto"/>
                <w:sz w:val="21"/>
                <w:szCs w:val="21"/>
                <w:highlight w:val="none"/>
              </w:rPr>
            </w:pPr>
            <w:r>
              <w:rPr>
                <w:rFonts w:hint="eastAsia" w:ascii="宋体" w:hAnsi="宋体"/>
                <w:color w:val="auto"/>
                <w:sz w:val="21"/>
                <w:szCs w:val="21"/>
                <w:highlight w:val="none"/>
                <w:u w:val="singl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609" w:type="dxa"/>
            <w:gridSpan w:val="2"/>
            <w:tcBorders>
              <w:tl2br w:val="nil"/>
              <w:tr2bl w:val="nil"/>
            </w:tcBorders>
            <w:vAlign w:val="center"/>
          </w:tcPr>
          <w:p>
            <w:pPr>
              <w:shd w:val="clear"/>
              <w:rPr>
                <w:rFonts w:ascii="宋体" w:hAnsi="宋体"/>
                <w:b/>
                <w:color w:val="auto"/>
                <w:sz w:val="21"/>
                <w:szCs w:val="21"/>
                <w:highlight w:val="none"/>
              </w:rPr>
            </w:pPr>
            <w:r>
              <w:rPr>
                <w:rFonts w:hint="eastAsia" w:ascii="宋体" w:hAnsi="宋体"/>
                <w:b/>
                <w:color w:val="auto"/>
                <w:sz w:val="21"/>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rPr>
                <w:rFonts w:ascii="宋体" w:hAnsi="宋体"/>
                <w:bCs/>
                <w:color w:val="auto"/>
                <w:sz w:val="21"/>
                <w:szCs w:val="21"/>
                <w:highlight w:val="none"/>
              </w:rPr>
            </w:pPr>
            <w:r>
              <w:rPr>
                <w:rFonts w:hint="eastAsia" w:ascii="宋体" w:hAnsi="宋体"/>
                <w:b/>
                <w:bCs/>
                <w:color w:val="auto"/>
                <w:sz w:val="21"/>
                <w:szCs w:val="21"/>
                <w:highlight w:val="none"/>
              </w:rPr>
              <w:sym w:font="Wingdings" w:char="00FE"/>
            </w:r>
            <w:r>
              <w:rPr>
                <w:rFonts w:hint="eastAsia" w:ascii="宋体" w:hAnsi="宋体"/>
                <w:bCs/>
                <w:color w:val="auto"/>
                <w:sz w:val="21"/>
                <w:szCs w:val="21"/>
                <w:highlight w:val="none"/>
              </w:rPr>
              <w:t>不组织 。</w:t>
            </w:r>
          </w:p>
          <w:p>
            <w:pPr>
              <w:shd w:val="clear"/>
              <w:rPr>
                <w:rFonts w:ascii="宋体" w:hAnsi="宋体"/>
                <w:bCs/>
                <w:color w:val="auto"/>
                <w:sz w:val="21"/>
                <w:szCs w:val="21"/>
                <w:highlight w:val="none"/>
              </w:rPr>
            </w:pPr>
            <w:r>
              <w:rPr>
                <w:rFonts w:hint="eastAsia" w:ascii="宋体" w:hAnsi="宋体"/>
                <w:b/>
                <w:bCs/>
                <w:color w:val="auto"/>
                <w:sz w:val="21"/>
                <w:szCs w:val="21"/>
                <w:highlight w:val="none"/>
              </w:rPr>
              <w:sym w:font="Wingdings" w:char="00A8"/>
            </w:r>
            <w:r>
              <w:rPr>
                <w:rFonts w:hint="eastAsia" w:ascii="宋体" w:hAnsi="宋体"/>
                <w:bCs/>
                <w:color w:val="auto"/>
                <w:sz w:val="21"/>
                <w:szCs w:val="21"/>
                <w:highlight w:val="none"/>
              </w:rPr>
              <w:t>组织，踏勘现场时间、地点：</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trPr>
        <w:tc>
          <w:tcPr>
            <w:tcW w:w="8410" w:type="dxa"/>
            <w:gridSpan w:val="3"/>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二、投标文件的编制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609" w:type="dxa"/>
            <w:gridSpan w:val="2"/>
            <w:tcBorders>
              <w:tl2br w:val="nil"/>
              <w:tr2bl w:val="nil"/>
            </w:tcBorders>
            <w:vAlign w:val="center"/>
          </w:tcPr>
          <w:p>
            <w:pPr>
              <w:shd w:val="clear"/>
              <w:rPr>
                <w:rFonts w:ascii="宋体" w:hAnsi="宋体"/>
                <w:b/>
                <w:color w:val="auto"/>
                <w:sz w:val="21"/>
                <w:szCs w:val="21"/>
                <w:highlight w:val="none"/>
              </w:rPr>
            </w:pPr>
            <w:r>
              <w:rPr>
                <w:rFonts w:hint="eastAsia" w:ascii="宋体" w:hAnsi="宋体"/>
                <w:b/>
                <w:color w:val="auto"/>
                <w:sz w:val="21"/>
                <w:szCs w:val="21"/>
                <w:highlight w:val="none"/>
              </w:rPr>
              <w:t>投标语言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rPr>
                <w:rFonts w:ascii="宋体" w:hAnsi="宋体"/>
                <w:b/>
                <w:color w:val="auto"/>
                <w:sz w:val="21"/>
                <w:szCs w:val="21"/>
                <w:highlight w:val="none"/>
              </w:rPr>
            </w:pPr>
            <w:r>
              <w:rPr>
                <w:rFonts w:hint="eastAsia" w:ascii="宋体" w:hAnsi="宋体"/>
                <w:color w:val="auto"/>
                <w:sz w:val="21"/>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投标报价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color w:val="auto"/>
                <w:sz w:val="21"/>
                <w:szCs w:val="21"/>
                <w:highlight w:val="none"/>
              </w:rPr>
            </w:pPr>
            <w:r>
              <w:rPr>
                <w:rFonts w:hint="eastAsia" w:ascii="宋体" w:hAnsi="宋体"/>
                <w:color w:val="auto"/>
                <w:sz w:val="21"/>
                <w:szCs w:val="21"/>
                <w:highlight w:val="none"/>
              </w:rPr>
              <w:t>详见投标人须知。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color w:val="auto"/>
                <w:sz w:val="21"/>
                <w:szCs w:val="21"/>
                <w:highlight w:val="none"/>
              </w:rPr>
            </w:pPr>
            <w:r>
              <w:rPr>
                <w:rFonts w:hint="eastAsia" w:ascii="宋体" w:hAnsi="宋体"/>
                <w:color w:val="auto"/>
                <w:sz w:val="21"/>
                <w:szCs w:val="21"/>
                <w:highlight w:val="none"/>
              </w:rPr>
              <w:t>（1）投标保证金金额：</w:t>
            </w:r>
            <w:r>
              <w:rPr>
                <w:rFonts w:hint="eastAsia" w:ascii="宋体" w:hAnsi="宋体" w:eastAsia="宋体"/>
                <w:color w:val="auto"/>
                <w:sz w:val="21"/>
                <w:szCs w:val="21"/>
                <w:highlight w:val="none"/>
              </w:rPr>
              <w:t>人民币</w:t>
            </w:r>
            <w:r>
              <w:rPr>
                <w:rFonts w:hint="eastAsia" w:ascii="宋体" w:hAnsi="宋体"/>
                <w:b/>
                <w:bCs/>
                <w:color w:val="auto"/>
                <w:sz w:val="21"/>
                <w:szCs w:val="21"/>
                <w:highlight w:val="none"/>
                <w:lang w:val="en-US" w:eastAsia="zh-CN"/>
              </w:rPr>
              <w:t>贰万捌仟元整</w:t>
            </w:r>
            <w:r>
              <w:rPr>
                <w:rFonts w:hint="eastAsia" w:ascii="宋体" w:hAnsi="宋体" w:eastAsia="宋体"/>
                <w:color w:val="auto"/>
                <w:sz w:val="21"/>
                <w:szCs w:val="21"/>
                <w:highlight w:val="none"/>
              </w:rPr>
              <w:t>（</w:t>
            </w:r>
            <w:r>
              <w:rPr>
                <w:rFonts w:hint="eastAsia" w:ascii="宋体" w:hAnsi="宋体"/>
                <w:b/>
                <w:bCs/>
                <w:color w:val="auto"/>
                <w:sz w:val="21"/>
                <w:szCs w:val="21"/>
                <w:highlight w:val="none"/>
                <w:lang w:val="en-US" w:eastAsia="zh-CN"/>
              </w:rPr>
              <w:t>¥28</w:t>
            </w:r>
            <w:r>
              <w:rPr>
                <w:rFonts w:hint="eastAsia" w:ascii="宋体" w:hAnsi="宋体" w:eastAsia="宋体"/>
                <w:b/>
                <w:bCs/>
                <w:color w:val="auto"/>
                <w:sz w:val="21"/>
                <w:szCs w:val="21"/>
                <w:highlight w:val="none"/>
                <w:lang w:val="en-US" w:eastAsia="zh-CN"/>
              </w:rPr>
              <w:t>,000.00</w:t>
            </w:r>
            <w:r>
              <w:rPr>
                <w:rFonts w:hint="eastAsia" w:ascii="宋体" w:hAnsi="宋体"/>
                <w:b/>
                <w:bCs/>
                <w:color w:val="auto"/>
                <w:sz w:val="21"/>
                <w:szCs w:val="21"/>
                <w:highlight w:val="none"/>
                <w:lang w:val="en-US" w:eastAsia="zh-CN"/>
              </w:rPr>
              <w:t>元</w:t>
            </w:r>
            <w:r>
              <w:rPr>
                <w:rFonts w:hint="eastAsia" w:ascii="宋体" w:hAnsi="宋体" w:eastAsia="宋体"/>
                <w:color w:val="auto"/>
                <w:sz w:val="21"/>
                <w:szCs w:val="21"/>
                <w:highlight w:val="none"/>
              </w:rPr>
              <w:t>）</w:t>
            </w:r>
            <w:r>
              <w:rPr>
                <w:rFonts w:hint="eastAsia" w:ascii="宋体" w:hAnsi="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tabs>
                <w:tab w:val="left" w:pos="567"/>
              </w:tabs>
              <w:jc w:val="both"/>
              <w:rPr>
                <w:rFonts w:hAnsi="宋体"/>
                <w:color w:val="auto"/>
                <w:kern w:val="2"/>
                <w:sz w:val="21"/>
                <w:szCs w:val="21"/>
                <w:highlight w:val="none"/>
                <w:lang w:val="zh-CN"/>
              </w:rPr>
            </w:pPr>
            <w:r>
              <w:rPr>
                <w:rFonts w:hint="eastAsia" w:ascii="宋体" w:hAnsi="宋体"/>
                <w:color w:val="auto"/>
                <w:sz w:val="21"/>
                <w:szCs w:val="21"/>
                <w:highlight w:val="none"/>
              </w:rPr>
              <w:t>（2）</w:t>
            </w:r>
            <w:r>
              <w:rPr>
                <w:rFonts w:hint="eastAsia" w:hAnsi="宋体"/>
                <w:color w:val="auto"/>
                <w:kern w:val="2"/>
                <w:sz w:val="21"/>
                <w:szCs w:val="21"/>
                <w:highlight w:val="none"/>
                <w:lang w:val="zh-CN"/>
              </w:rPr>
              <w:t>投标保证金采用转帐、电汇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pPr>
              <w:shd w:val="clear"/>
              <w:tabs>
                <w:tab w:val="left" w:pos="567"/>
              </w:tabs>
              <w:ind w:left="567" w:hanging="567"/>
              <w:jc w:val="both"/>
              <w:rPr>
                <w:rFonts w:hAnsi="宋体"/>
                <w:color w:val="auto"/>
                <w:kern w:val="2"/>
                <w:sz w:val="21"/>
                <w:szCs w:val="21"/>
                <w:highlight w:val="none"/>
                <w:lang w:val="zh-CN"/>
              </w:rPr>
            </w:pPr>
            <w:r>
              <w:rPr>
                <w:rFonts w:hint="eastAsia" w:hAnsi="宋体"/>
                <w:color w:val="auto"/>
                <w:kern w:val="2"/>
                <w:sz w:val="21"/>
                <w:szCs w:val="21"/>
                <w:highlight w:val="none"/>
                <w:lang w:val="zh-CN"/>
              </w:rPr>
              <w:t>投标保证金专用账户如下：</w:t>
            </w:r>
          </w:p>
          <w:p>
            <w:pPr>
              <w:shd w:val="clear"/>
              <w:tabs>
                <w:tab w:val="left" w:pos="567"/>
              </w:tabs>
              <w:ind w:firstLine="420" w:firstLineChars="20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 xml:space="preserve">帐户名称： </w:t>
            </w:r>
            <w:r>
              <w:rPr>
                <w:rFonts w:hint="eastAsia" w:hAnsi="宋体" w:cs="宋体"/>
                <w:color w:val="auto"/>
                <w:kern w:val="2"/>
                <w:sz w:val="21"/>
                <w:szCs w:val="21"/>
                <w:highlight w:val="none"/>
                <w:u w:val="single"/>
              </w:rPr>
              <w:t xml:space="preserve">  广西同泽工程项目管理股份有限公司东莞分公司  </w:t>
            </w:r>
            <w:r>
              <w:rPr>
                <w:rFonts w:hint="eastAsia" w:hAnsi="宋体" w:cs="宋体"/>
                <w:color w:val="auto"/>
                <w:kern w:val="2"/>
                <w:sz w:val="21"/>
                <w:szCs w:val="21"/>
                <w:highlight w:val="none"/>
                <w:lang w:val="zh-CN"/>
              </w:rPr>
              <w:t>；</w:t>
            </w:r>
          </w:p>
          <w:p>
            <w:pPr>
              <w:shd w:val="clear"/>
              <w:tabs>
                <w:tab w:val="left" w:pos="567"/>
              </w:tabs>
              <w:ind w:firstLine="420" w:firstLineChars="20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 xml:space="preserve">开户银行： </w:t>
            </w:r>
            <w:r>
              <w:rPr>
                <w:rFonts w:hint="eastAsia" w:hAnsi="宋体" w:cs="宋体"/>
                <w:color w:val="auto"/>
                <w:kern w:val="2"/>
                <w:sz w:val="21"/>
                <w:szCs w:val="21"/>
                <w:highlight w:val="none"/>
                <w:u w:val="single"/>
              </w:rPr>
              <w:t xml:space="preserve">  中国民生银行东莞松山湖支行  </w:t>
            </w:r>
            <w:r>
              <w:rPr>
                <w:rFonts w:hint="eastAsia" w:hAnsi="宋体" w:cs="宋体"/>
                <w:color w:val="auto"/>
                <w:kern w:val="2"/>
                <w:sz w:val="21"/>
                <w:szCs w:val="21"/>
                <w:highlight w:val="none"/>
                <w:lang w:val="zh-CN"/>
              </w:rPr>
              <w:t>；</w:t>
            </w:r>
          </w:p>
          <w:p>
            <w:pPr>
              <w:shd w:val="clear"/>
              <w:tabs>
                <w:tab w:val="left" w:pos="567"/>
              </w:tabs>
              <w:ind w:firstLine="420" w:firstLineChars="20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 xml:space="preserve">银行帐号： </w:t>
            </w:r>
            <w:r>
              <w:rPr>
                <w:rFonts w:hint="eastAsia" w:hAnsi="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u w:val="single"/>
                <w:lang w:val="en-US" w:eastAsia="zh-CN"/>
              </w:rPr>
              <w:t xml:space="preserve"> 641169654 </w:t>
            </w:r>
            <w:r>
              <w:rPr>
                <w:rFonts w:hint="eastAsia" w:hAnsi="宋体" w:cs="宋体"/>
                <w:color w:val="auto"/>
                <w:kern w:val="2"/>
                <w:sz w:val="21"/>
                <w:szCs w:val="21"/>
                <w:highlight w:val="none"/>
                <w:u w:val="single"/>
                <w:lang w:val="en-US" w:eastAsia="zh-CN"/>
              </w:rPr>
              <w:t xml:space="preserve"> </w:t>
            </w:r>
            <w:r>
              <w:rPr>
                <w:rFonts w:hint="eastAsia" w:hAnsi="宋体" w:cs="宋体"/>
                <w:color w:val="auto"/>
                <w:kern w:val="2"/>
                <w:sz w:val="21"/>
                <w:szCs w:val="21"/>
                <w:highlight w:val="none"/>
                <w:lang w:val="zh-CN"/>
              </w:rPr>
              <w:t>；</w:t>
            </w:r>
            <w:r>
              <w:rPr>
                <w:rFonts w:hint="eastAsia" w:hAnsi="宋体" w:cs="宋体"/>
                <w:color w:val="auto"/>
                <w:kern w:val="2"/>
                <w:sz w:val="21"/>
                <w:szCs w:val="21"/>
                <w:highlight w:val="none"/>
                <w:u w:val="single"/>
              </w:rPr>
              <w:t xml:space="preserve">  </w:t>
            </w:r>
          </w:p>
          <w:p>
            <w:pPr>
              <w:shd w:val="clear"/>
              <w:tabs>
                <w:tab w:val="left" w:pos="567"/>
              </w:tabs>
              <w:ind w:firstLine="422" w:firstLineChars="200"/>
              <w:jc w:val="both"/>
              <w:rPr>
                <w:rFonts w:ascii="宋体" w:hAnsi="宋体"/>
                <w:b/>
                <w:color w:val="auto"/>
                <w:sz w:val="21"/>
                <w:szCs w:val="21"/>
                <w:highlight w:val="none"/>
              </w:rPr>
            </w:pPr>
            <w:r>
              <w:rPr>
                <w:rFonts w:hint="eastAsia" w:hAnsi="宋体" w:cs="宋体"/>
                <w:b/>
                <w:color w:val="auto"/>
                <w:sz w:val="21"/>
                <w:szCs w:val="21"/>
                <w:highlight w:val="none"/>
              </w:rPr>
              <w:t>（注：各投标人在转帐或电汇时须在用途栏上备注项目编号，及项目名称，如有字数限制项目名称可简写。）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8</w:t>
            </w:r>
          </w:p>
        </w:tc>
        <w:tc>
          <w:tcPr>
            <w:tcW w:w="7609" w:type="dxa"/>
            <w:gridSpan w:val="2"/>
            <w:tcBorders>
              <w:tl2br w:val="nil"/>
              <w:tr2bl w:val="nil"/>
            </w:tcBorders>
            <w:vAlign w:val="center"/>
          </w:tcPr>
          <w:p>
            <w:pPr>
              <w:shd w:val="clear"/>
              <w:jc w:val="both"/>
              <w:rPr>
                <w:rFonts w:ascii="宋体" w:hAnsi="宋体"/>
                <w:b/>
                <w:bCs/>
                <w:color w:val="auto"/>
                <w:sz w:val="21"/>
                <w:szCs w:val="21"/>
                <w:highlight w:val="none"/>
                <w:lang w:val="zh-CN"/>
              </w:rPr>
            </w:pPr>
            <w:r>
              <w:rPr>
                <w:rFonts w:hint="eastAsia" w:ascii="宋体" w:hAnsi="宋体"/>
                <w:b/>
                <w:bCs/>
                <w:color w:val="auto"/>
                <w:sz w:val="21"/>
                <w:szCs w:val="21"/>
                <w:highlight w:val="none"/>
                <w:lang w:val="zh-CN"/>
              </w:rPr>
              <w:t>投标保证金退还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color w:val="auto"/>
                <w:sz w:val="21"/>
                <w:szCs w:val="21"/>
                <w:highlight w:val="none"/>
                <w:lang w:val="zh-CN"/>
              </w:rPr>
            </w:pPr>
            <w:r>
              <w:rPr>
                <w:rFonts w:hint="eastAsia" w:ascii="宋体" w:hAnsi="宋体"/>
                <w:color w:val="auto"/>
                <w:sz w:val="21"/>
                <w:szCs w:val="21"/>
                <w:highlight w:val="none"/>
                <w:lang w:val="zh-CN"/>
              </w:rPr>
              <w:t>（</w:t>
            </w:r>
            <w:r>
              <w:rPr>
                <w:rFonts w:hint="eastAsia" w:ascii="宋体" w:hAnsi="宋体"/>
                <w:color w:val="auto"/>
                <w:sz w:val="21"/>
                <w:szCs w:val="21"/>
                <w:highlight w:val="none"/>
              </w:rPr>
              <w:t>1</w:t>
            </w:r>
            <w:r>
              <w:rPr>
                <w:rFonts w:hint="eastAsia" w:ascii="宋体" w:hAnsi="宋体"/>
                <w:color w:val="auto"/>
                <w:sz w:val="21"/>
                <w:szCs w:val="21"/>
                <w:highlight w:val="none"/>
                <w:lang w:val="zh-CN"/>
              </w:rPr>
              <w:t>）未中标的投标人的保证金应当在中标通知书发出后退还，中标</w:t>
            </w:r>
            <w:r>
              <w:rPr>
                <w:rFonts w:hint="eastAsia" w:ascii="宋体" w:hAnsi="宋体"/>
                <w:color w:val="auto"/>
                <w:sz w:val="21"/>
                <w:szCs w:val="21"/>
                <w:highlight w:val="none"/>
              </w:rPr>
              <w:t>的</w:t>
            </w:r>
            <w:r>
              <w:rPr>
                <w:rFonts w:hint="eastAsia" w:ascii="宋体" w:hAnsi="宋体"/>
                <w:color w:val="auto"/>
                <w:sz w:val="21"/>
                <w:szCs w:val="21"/>
                <w:highlight w:val="none"/>
                <w:lang w:val="zh-CN"/>
              </w:rPr>
              <w:t>投标人的保证金应当在采购合同签订</w:t>
            </w:r>
            <w:r>
              <w:rPr>
                <w:rFonts w:hint="eastAsia" w:ascii="宋体" w:hAnsi="宋体"/>
                <w:color w:val="auto"/>
                <w:sz w:val="21"/>
                <w:szCs w:val="21"/>
                <w:highlight w:val="none"/>
              </w:rPr>
              <w:t>并缴纳履约保证金</w:t>
            </w:r>
            <w:r>
              <w:rPr>
                <w:rFonts w:hint="eastAsia" w:ascii="宋体" w:hAnsi="宋体"/>
                <w:color w:val="auto"/>
                <w:sz w:val="21"/>
                <w:szCs w:val="21"/>
                <w:highlight w:val="none"/>
                <w:lang w:val="zh-CN"/>
              </w:rPr>
              <w:t>后退还。</w:t>
            </w:r>
          </w:p>
          <w:p>
            <w:pPr>
              <w:shd w:val="clear"/>
              <w:jc w:val="both"/>
              <w:rPr>
                <w:color w:val="auto"/>
                <w:sz w:val="21"/>
                <w:szCs w:val="21"/>
                <w:highlight w:val="none"/>
              </w:rPr>
            </w:pPr>
            <w:r>
              <w:rPr>
                <w:rFonts w:hint="eastAsia" w:ascii="宋体" w:hAnsi="宋体"/>
                <w:color w:val="auto"/>
                <w:sz w:val="21"/>
                <w:szCs w:val="21"/>
                <w:highlight w:val="none"/>
                <w:lang w:val="zh-CN"/>
              </w:rPr>
              <w:t>（</w:t>
            </w:r>
            <w:r>
              <w:rPr>
                <w:rFonts w:hint="eastAsia" w:ascii="宋体" w:hAnsi="宋体"/>
                <w:color w:val="auto"/>
                <w:sz w:val="21"/>
                <w:szCs w:val="21"/>
                <w:highlight w:val="none"/>
              </w:rPr>
              <w:t>2</w:t>
            </w:r>
            <w:r>
              <w:rPr>
                <w:rFonts w:hint="eastAsia" w:ascii="宋体" w:hAnsi="宋体"/>
                <w:color w:val="auto"/>
                <w:sz w:val="21"/>
                <w:szCs w:val="21"/>
                <w:highlight w:val="none"/>
                <w:lang w:val="zh-CN"/>
              </w:rPr>
              <w:t>）为方便退还未中标的投标人的保证金，投标人应制作《投标保证金汇入情况说明》随唱标信封一并递交。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9</w:t>
            </w: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投标有效期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color w:val="auto"/>
                <w:sz w:val="21"/>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609" w:type="dxa"/>
            <w:gridSpan w:val="2"/>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投标文件类型</w:t>
            </w: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唱标信封</w:t>
            </w: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投标文件正本</w:t>
            </w: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投标文件副本</w:t>
            </w: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bCs/>
                <w:color w:val="auto"/>
                <w:sz w:val="21"/>
                <w:szCs w:val="21"/>
                <w:highlight w:val="none"/>
              </w:rPr>
              <w:sym w:font="Wingdings" w:char="00FE"/>
            </w:r>
            <w:r>
              <w:rPr>
                <w:rFonts w:hint="eastAsia" w:ascii="宋体" w:hAnsi="宋体"/>
                <w:b/>
                <w:color w:val="auto"/>
                <w:sz w:val="21"/>
                <w:szCs w:val="21"/>
                <w:highlight w:val="none"/>
              </w:rPr>
              <w:t xml:space="preserve">5  </w:t>
            </w:r>
            <w:r>
              <w:rPr>
                <w:rFonts w:hint="eastAsia" w:ascii="宋体" w:hAnsi="宋体"/>
                <w:b/>
                <w:bCs/>
                <w:color w:val="auto"/>
                <w:sz w:val="21"/>
                <w:szCs w:val="21"/>
                <w:highlight w:val="none"/>
              </w:rPr>
              <w:sym w:font="Wingdings" w:char="00A8"/>
            </w:r>
            <w:r>
              <w:rPr>
                <w:rFonts w:hint="eastAsia" w:ascii="宋体" w:hAnsi="宋体"/>
                <w:b/>
                <w:color w:val="auto"/>
                <w:sz w:val="21"/>
                <w:szCs w:val="21"/>
                <w:highlight w:val="none"/>
              </w:rPr>
              <w:t>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vMerge w:val="restart"/>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电子文档</w:t>
            </w: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2250" w:type="dxa"/>
            <w:vMerge w:val="continue"/>
            <w:tcBorders>
              <w:tl2br w:val="nil"/>
              <w:tr2bl w:val="nil"/>
            </w:tcBorders>
            <w:vAlign w:val="center"/>
          </w:tcPr>
          <w:p>
            <w:pPr>
              <w:shd w:val="clear"/>
              <w:jc w:val="center"/>
              <w:rPr>
                <w:rFonts w:ascii="宋体" w:hAnsi="宋体"/>
                <w:b/>
                <w:color w:val="auto"/>
                <w:sz w:val="21"/>
                <w:szCs w:val="21"/>
                <w:highlight w:val="none"/>
              </w:rPr>
            </w:pPr>
          </w:p>
        </w:tc>
        <w:tc>
          <w:tcPr>
            <w:tcW w:w="5359" w:type="dxa"/>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cs="Times New Roman"/>
                <w:b/>
                <w:color w:val="auto"/>
                <w:sz w:val="21"/>
                <w:szCs w:val="21"/>
                <w:highlight w:val="none"/>
              </w:rPr>
              <w:t>U盘，须含盖章版PDF投标文件和WORD版投标文件各一版，文字采用WORD文档，计算表格采用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410" w:type="dxa"/>
            <w:gridSpan w:val="3"/>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609" w:type="dxa"/>
            <w:gridSpan w:val="2"/>
            <w:tcBorders>
              <w:tl2br w:val="nil"/>
              <w:tr2bl w:val="nil"/>
            </w:tcBorders>
            <w:vAlign w:val="center"/>
          </w:tcPr>
          <w:p>
            <w:pPr>
              <w:shd w:val="clear"/>
              <w:jc w:val="both"/>
              <w:rPr>
                <w:rFonts w:ascii="宋体" w:hAnsi="宋体"/>
                <w:color w:val="auto"/>
                <w:sz w:val="21"/>
                <w:szCs w:val="21"/>
                <w:highlight w:val="none"/>
              </w:rPr>
            </w:pPr>
            <w:r>
              <w:rPr>
                <w:rFonts w:hint="eastAsia" w:ascii="宋体" w:hAnsi="宋体"/>
                <w:b/>
                <w:color w:val="auto"/>
                <w:sz w:val="21"/>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color w:val="auto"/>
                <w:sz w:val="21"/>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综合评分法评分因素和权重分值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color w:val="auto"/>
                <w:sz w:val="21"/>
                <w:szCs w:val="21"/>
                <w:highlight w:val="none"/>
              </w:rPr>
              <w:t>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609" w:type="dxa"/>
            <w:gridSpan w:val="2"/>
            <w:tcBorders>
              <w:tl2br w:val="nil"/>
              <w:tr2bl w:val="nil"/>
            </w:tcBorders>
            <w:vAlign w:val="center"/>
          </w:tcPr>
          <w:p>
            <w:pPr>
              <w:shd w:val="clear"/>
              <w:jc w:val="both"/>
              <w:rPr>
                <w:rFonts w:ascii="宋体" w:hAnsi="宋体"/>
                <w:color w:val="auto"/>
                <w:sz w:val="21"/>
                <w:szCs w:val="21"/>
                <w:highlight w:val="none"/>
              </w:rPr>
            </w:pPr>
            <w:r>
              <w:rPr>
                <w:rFonts w:hint="eastAsia" w:ascii="宋体" w:hAnsi="宋体"/>
                <w:b/>
                <w:color w:val="auto"/>
                <w:sz w:val="21"/>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shd w:val="clear"/>
              <w:jc w:val="both"/>
              <w:rPr>
                <w:rFonts w:ascii="宋体" w:hAnsi="宋体"/>
                <w:color w:val="auto"/>
                <w:sz w:val="21"/>
                <w:szCs w:val="21"/>
                <w:highlight w:val="none"/>
              </w:rPr>
            </w:pPr>
            <w:r>
              <w:rPr>
                <w:rFonts w:hint="eastAsia" w:ascii="宋体" w:hAnsi="宋体"/>
                <w:color w:val="auto"/>
                <w:sz w:val="21"/>
                <w:szCs w:val="21"/>
                <w:highlight w:val="none"/>
              </w:rPr>
              <w:t>评标委员会成员共</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五</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人：</w:t>
            </w:r>
            <w:r>
              <w:rPr>
                <w:rFonts w:hint="eastAsia" w:ascii="宋体" w:hAnsi="宋体"/>
                <w:color w:val="auto"/>
                <w:sz w:val="21"/>
                <w:szCs w:val="21"/>
                <w:highlight w:val="none"/>
                <w:lang w:val="zh-CN"/>
              </w:rPr>
              <w:t>评标委员会由采购人</w:t>
            </w:r>
            <w:r>
              <w:rPr>
                <w:rFonts w:hint="eastAsia" w:ascii="宋体" w:hAnsi="宋体"/>
                <w:color w:val="auto"/>
                <w:sz w:val="21"/>
                <w:szCs w:val="21"/>
                <w:highlight w:val="none"/>
              </w:rPr>
              <w:t>的</w:t>
            </w:r>
            <w:r>
              <w:rPr>
                <w:rFonts w:hint="eastAsia" w:ascii="宋体" w:hAnsi="宋体"/>
                <w:color w:val="auto"/>
                <w:sz w:val="21"/>
                <w:szCs w:val="21"/>
                <w:highlight w:val="none"/>
                <w:lang w:val="zh-CN"/>
              </w:rPr>
              <w:t>代表和</w:t>
            </w:r>
            <w:r>
              <w:rPr>
                <w:rFonts w:hint="eastAsia" w:ascii="宋体" w:hAnsi="宋体"/>
                <w:color w:val="auto"/>
                <w:sz w:val="21"/>
                <w:szCs w:val="21"/>
                <w:highlight w:val="none"/>
              </w:rPr>
              <w:t>有关方面的</w:t>
            </w:r>
            <w:r>
              <w:rPr>
                <w:rFonts w:hint="eastAsia" w:ascii="宋体" w:hAnsi="宋体"/>
                <w:color w:val="auto"/>
                <w:sz w:val="21"/>
                <w:szCs w:val="21"/>
                <w:highlight w:val="none"/>
                <w:lang w:val="zh-CN"/>
              </w:rPr>
              <w:t>专家组成，</w:t>
            </w:r>
            <w:r>
              <w:rPr>
                <w:rFonts w:hint="eastAsia" w:ascii="宋体" w:hAnsi="宋体"/>
                <w:color w:val="auto"/>
                <w:sz w:val="21"/>
                <w:szCs w:val="21"/>
                <w:highlight w:val="none"/>
              </w:rPr>
              <w:t>成员人数为五人或五人以上单数</w:t>
            </w:r>
            <w:r>
              <w:rPr>
                <w:rFonts w:hint="eastAsia" w:ascii="宋体" w:hAnsi="宋体"/>
                <w:color w:val="auto"/>
                <w:sz w:val="21"/>
                <w:szCs w:val="21"/>
                <w:highlight w:val="none"/>
                <w:lang w:val="zh-CN"/>
              </w:rPr>
              <w:t>，其中专家不得少于成员总数的三分之二。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trPr>
        <w:tc>
          <w:tcPr>
            <w:tcW w:w="8410" w:type="dxa"/>
            <w:gridSpan w:val="3"/>
            <w:tcBorders>
              <w:tl2br w:val="nil"/>
              <w:tr2bl w:val="nil"/>
            </w:tcBorders>
            <w:vAlign w:val="center"/>
          </w:tcPr>
          <w:p>
            <w:pPr>
              <w:shd w:val="clear"/>
              <w:jc w:val="center"/>
              <w:rPr>
                <w:rFonts w:ascii="宋体" w:hAnsi="宋体"/>
                <w:b/>
                <w:color w:val="auto"/>
                <w:sz w:val="21"/>
                <w:szCs w:val="21"/>
                <w:highlight w:val="none"/>
              </w:rPr>
            </w:pPr>
            <w:r>
              <w:rPr>
                <w:rFonts w:hint="eastAsia" w:ascii="宋体" w:hAnsi="宋体"/>
                <w:b/>
                <w:color w:val="auto"/>
                <w:sz w:val="21"/>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609" w:type="dxa"/>
            <w:gridSpan w:val="2"/>
            <w:tcBorders>
              <w:tl2br w:val="nil"/>
              <w:tr2bl w:val="nil"/>
            </w:tcBorders>
            <w:shd w:val="clear" w:color="auto" w:fill="auto"/>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shd w:val="clear" w:color="auto" w:fill="auto"/>
            <w:vAlign w:val="center"/>
          </w:tcPr>
          <w:p>
            <w:pPr>
              <w:shd w:val="clear"/>
              <w:jc w:val="both"/>
              <w:rPr>
                <w:rFonts w:ascii="宋体" w:hAnsi="宋体"/>
                <w:color w:val="auto"/>
                <w:sz w:val="21"/>
                <w:szCs w:val="21"/>
                <w:highlight w:val="none"/>
              </w:rPr>
            </w:pPr>
            <w:r>
              <w:rPr>
                <w:rFonts w:hint="eastAsia" w:ascii="宋体" w:hAnsi="宋体"/>
                <w:color w:val="auto"/>
                <w:sz w:val="21"/>
                <w:szCs w:val="21"/>
                <w:highlight w:val="none"/>
              </w:rPr>
              <w:t>1.履约担保金额为：</w:t>
            </w:r>
            <w:r>
              <w:rPr>
                <w:rFonts w:hint="eastAsia" w:ascii="宋体" w:hAnsi="宋体"/>
                <w:color w:val="auto"/>
                <w:sz w:val="21"/>
                <w:szCs w:val="21"/>
                <w:highlight w:val="none"/>
                <w:u w:val="single"/>
              </w:rPr>
              <w:t xml:space="preserve"> 合同金额的10% 。</w:t>
            </w:r>
          </w:p>
          <w:p>
            <w:pPr>
              <w:shd w:val="clear"/>
              <w:jc w:val="both"/>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履约保证金账户信息</w:t>
            </w:r>
            <w:r>
              <w:rPr>
                <w:rFonts w:hint="eastAsia" w:ascii="宋体" w:hAnsi="宋体"/>
                <w:color w:val="auto"/>
                <w:sz w:val="21"/>
                <w:szCs w:val="21"/>
                <w:highlight w:val="none"/>
                <w:lang w:eastAsia="zh-CN"/>
              </w:rPr>
              <w:t>（中标结果公示后待中标单位与采购人协商确认）</w:t>
            </w:r>
          </w:p>
          <w:p>
            <w:pPr>
              <w:shd w:val="clear"/>
              <w:jc w:val="both"/>
              <w:rPr>
                <w:rFonts w:ascii="宋体" w:hAnsi="宋体"/>
                <w:color w:val="auto"/>
                <w:sz w:val="21"/>
                <w:szCs w:val="21"/>
                <w:highlight w:val="none"/>
              </w:rPr>
            </w:pPr>
            <w:r>
              <w:rPr>
                <w:rFonts w:hint="eastAsia" w:ascii="宋体" w:hAnsi="宋体"/>
                <w:color w:val="auto"/>
                <w:sz w:val="21"/>
                <w:szCs w:val="21"/>
                <w:highlight w:val="none"/>
              </w:rPr>
              <w:t>3.中标人在采购（合同签署）时提交履约担保，履约担保金额不超过成交合同金额的10%，如果中标人提交的履约保函的有效期先于合同要求的履约保函有效期到达，中标人应在原提交的履约保函有效期满前15天，无条件办理保函延期手续。否则，视为中标人违约，采购人可在保函到期前将保函金额转为现金存入履约保证金帐户。</w:t>
            </w:r>
          </w:p>
          <w:p>
            <w:pPr>
              <w:shd w:val="clear"/>
              <w:jc w:val="both"/>
              <w:rPr>
                <w:rFonts w:ascii="宋体" w:hAnsi="宋体"/>
                <w:color w:val="auto"/>
                <w:sz w:val="21"/>
                <w:szCs w:val="21"/>
                <w:highlight w:val="none"/>
              </w:rPr>
            </w:pPr>
            <w:r>
              <w:rPr>
                <w:rFonts w:hint="eastAsia" w:ascii="宋体" w:hAnsi="宋体"/>
                <w:color w:val="auto"/>
                <w:sz w:val="21"/>
                <w:szCs w:val="21"/>
                <w:highlight w:val="none"/>
              </w:rPr>
              <w:t>4.履约担保期限从合同签订之日起至项目完工验收合格并结算完毕后，经双方签字</w:t>
            </w:r>
            <w:r>
              <w:rPr>
                <w:rFonts w:hint="eastAsia" w:ascii="宋体" w:hAnsi="宋体"/>
                <w:color w:val="auto"/>
                <w:sz w:val="21"/>
                <w:szCs w:val="21"/>
                <w:highlight w:val="none"/>
                <w:u w:val="single"/>
              </w:rPr>
              <w:t xml:space="preserve"> 7 </w:t>
            </w:r>
            <w:r>
              <w:rPr>
                <w:rFonts w:hint="eastAsia" w:ascii="宋体" w:hAnsi="宋体"/>
                <w:color w:val="auto"/>
                <w:sz w:val="21"/>
                <w:szCs w:val="21"/>
                <w:highlight w:val="none"/>
              </w:rPr>
              <w:t>天内保持有效。</w:t>
            </w:r>
          </w:p>
          <w:p>
            <w:pPr>
              <w:shd w:val="clear"/>
              <w:jc w:val="both"/>
              <w:rPr>
                <w:rFonts w:ascii="宋体" w:hAnsi="宋体"/>
                <w:color w:val="auto"/>
                <w:sz w:val="21"/>
                <w:szCs w:val="21"/>
                <w:highlight w:val="none"/>
              </w:rPr>
            </w:pPr>
            <w:r>
              <w:rPr>
                <w:rFonts w:hint="eastAsia" w:ascii="宋体" w:hAnsi="宋体"/>
                <w:color w:val="auto"/>
                <w:sz w:val="21"/>
                <w:szCs w:val="21"/>
                <w:highlight w:val="none"/>
              </w:rPr>
              <w:t>5、履约担保要求：</w:t>
            </w:r>
          </w:p>
          <w:p>
            <w:pPr>
              <w:shd w:val="clear"/>
              <w:jc w:val="both"/>
              <w:rPr>
                <w:rFonts w:ascii="宋体" w:hAnsi="宋体"/>
                <w:color w:val="auto"/>
                <w:sz w:val="21"/>
                <w:szCs w:val="21"/>
                <w:highlight w:val="none"/>
              </w:rPr>
            </w:pPr>
            <w:r>
              <w:rPr>
                <w:rFonts w:hint="eastAsia" w:ascii="宋体" w:hAnsi="宋体"/>
                <w:color w:val="auto"/>
                <w:sz w:val="21"/>
                <w:szCs w:val="21"/>
                <w:highlight w:val="none"/>
              </w:rPr>
              <w:t>（1）履约保函。如果中标人的履约担保是以银行保函形式提供的，则该银行保函应：</w:t>
            </w:r>
          </w:p>
          <w:p>
            <w:pPr>
              <w:shd w:val="clear"/>
              <w:jc w:val="both"/>
              <w:rPr>
                <w:rFonts w:ascii="宋体" w:hAnsi="宋体"/>
                <w:color w:val="auto"/>
                <w:sz w:val="21"/>
                <w:szCs w:val="21"/>
                <w:highlight w:val="none"/>
              </w:rPr>
            </w:pPr>
            <w:r>
              <w:rPr>
                <w:rFonts w:hint="eastAsia" w:ascii="宋体" w:hAnsi="宋体"/>
                <w:color w:val="auto"/>
                <w:sz w:val="21"/>
                <w:szCs w:val="21"/>
                <w:highlight w:val="none"/>
              </w:rPr>
              <w:t>①保函应由银行支行或以上银行机构开具，非东莞市行政区内的银行开具的保函要由银行所在地公证部门出具的公证书。</w:t>
            </w:r>
          </w:p>
          <w:p>
            <w:pPr>
              <w:shd w:val="clear"/>
              <w:jc w:val="both"/>
              <w:rPr>
                <w:rFonts w:ascii="宋体" w:hAnsi="宋体"/>
                <w:color w:val="auto"/>
                <w:sz w:val="21"/>
                <w:szCs w:val="21"/>
                <w:highlight w:val="none"/>
              </w:rPr>
            </w:pPr>
            <w:r>
              <w:rPr>
                <w:rFonts w:hint="eastAsia" w:ascii="宋体" w:hAnsi="宋体"/>
                <w:color w:val="auto"/>
                <w:sz w:val="21"/>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shd w:val="clear"/>
              <w:jc w:val="both"/>
              <w:rPr>
                <w:rFonts w:ascii="宋体" w:hAnsi="宋体"/>
                <w:color w:val="auto"/>
                <w:sz w:val="21"/>
                <w:szCs w:val="21"/>
                <w:highlight w:val="none"/>
              </w:rPr>
            </w:pPr>
            <w:r>
              <w:rPr>
                <w:rFonts w:hint="eastAsia" w:ascii="宋体" w:hAnsi="宋体"/>
                <w:color w:val="auto"/>
                <w:sz w:val="21"/>
                <w:szCs w:val="21"/>
                <w:highlight w:val="none"/>
              </w:rPr>
              <w:t>③履约保函必须打印，手写、涂改无效。</w:t>
            </w:r>
          </w:p>
          <w:p>
            <w:pPr>
              <w:shd w:val="clear"/>
              <w:jc w:val="both"/>
              <w:rPr>
                <w:rFonts w:ascii="宋体" w:hAnsi="宋体"/>
                <w:color w:val="auto"/>
                <w:sz w:val="21"/>
                <w:szCs w:val="21"/>
                <w:highlight w:val="none"/>
              </w:rPr>
            </w:pPr>
            <w:r>
              <w:rPr>
                <w:rFonts w:hint="eastAsia" w:ascii="宋体" w:hAnsi="宋体"/>
                <w:color w:val="auto"/>
                <w:sz w:val="21"/>
                <w:szCs w:val="21"/>
                <w:highlight w:val="none"/>
              </w:rPr>
              <w:t>（2）履约保证金。可采用电汇、银行汇票等银行转帐方式提交，但不可以采用现金方式提交。中标人必须保证履约保证金以中标人名称在签订合同前提交至采购人指定账户。</w:t>
            </w:r>
          </w:p>
          <w:p>
            <w:pPr>
              <w:shd w:val="clear"/>
              <w:jc w:val="both"/>
              <w:rPr>
                <w:rFonts w:ascii="宋体" w:hAnsi="宋体"/>
                <w:color w:val="auto"/>
                <w:sz w:val="21"/>
                <w:szCs w:val="21"/>
                <w:highlight w:val="none"/>
              </w:rPr>
            </w:pPr>
            <w:r>
              <w:rPr>
                <w:rFonts w:hint="eastAsia" w:ascii="宋体" w:hAnsi="宋体"/>
                <w:color w:val="auto"/>
                <w:sz w:val="21"/>
                <w:szCs w:val="21"/>
                <w:highlight w:val="none"/>
              </w:rPr>
              <w:t>（3）若中标人不能按本采购文件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shd w:val="clear"/>
              <w:jc w:val="both"/>
              <w:rPr>
                <w:rFonts w:ascii="宋体" w:hAnsi="宋体"/>
                <w:color w:val="auto"/>
                <w:sz w:val="21"/>
                <w:szCs w:val="21"/>
                <w:highlight w:val="none"/>
              </w:rPr>
            </w:pPr>
            <w:r>
              <w:rPr>
                <w:rFonts w:hint="eastAsia" w:ascii="宋体" w:hAnsi="宋体"/>
                <w:color w:val="auto"/>
                <w:sz w:val="21"/>
                <w:szCs w:val="21"/>
                <w:highlight w:val="none"/>
              </w:rPr>
              <w:t>（4）为取得履约担保所需的费用，由中标人承担；若工期延误，履约担保时间延长，延长费用由中标人承担。</w:t>
            </w:r>
          </w:p>
          <w:p>
            <w:pPr>
              <w:shd w:val="clear"/>
              <w:jc w:val="both"/>
              <w:rPr>
                <w:rFonts w:ascii="宋体" w:hAnsi="宋体"/>
                <w:color w:val="auto"/>
                <w:sz w:val="21"/>
                <w:szCs w:val="21"/>
                <w:highlight w:val="none"/>
              </w:rPr>
            </w:pPr>
            <w:r>
              <w:rPr>
                <w:rFonts w:hint="eastAsia" w:ascii="宋体" w:hAnsi="宋体"/>
                <w:color w:val="auto"/>
                <w:sz w:val="21"/>
                <w:szCs w:val="21"/>
                <w:highlight w:val="none"/>
              </w:rPr>
              <w:t>（5）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shd w:val="clear"/>
              <w:jc w:val="both"/>
              <w:rPr>
                <w:rFonts w:ascii="宋体" w:hAnsi="宋体"/>
                <w:color w:val="auto"/>
                <w:sz w:val="21"/>
                <w:szCs w:val="21"/>
                <w:highlight w:val="none"/>
              </w:rPr>
            </w:pPr>
            <w:r>
              <w:rPr>
                <w:rFonts w:hint="eastAsia" w:ascii="宋体" w:hAnsi="宋体"/>
                <w:color w:val="auto"/>
                <w:sz w:val="21"/>
                <w:szCs w:val="21"/>
                <w:highlight w:val="none"/>
              </w:rPr>
              <w:t>（6）下列任何情况发生时，采购人有权行使享有的担保权利：</w:t>
            </w:r>
          </w:p>
          <w:p>
            <w:pPr>
              <w:shd w:val="clear"/>
              <w:jc w:val="both"/>
              <w:rPr>
                <w:rFonts w:ascii="宋体" w:hAnsi="宋体"/>
                <w:color w:val="auto"/>
                <w:sz w:val="21"/>
                <w:szCs w:val="21"/>
                <w:highlight w:val="none"/>
              </w:rPr>
            </w:pPr>
            <w:r>
              <w:rPr>
                <w:rFonts w:hint="eastAsia" w:ascii="宋体" w:hAnsi="宋体"/>
                <w:color w:val="auto"/>
                <w:sz w:val="21"/>
                <w:szCs w:val="21"/>
                <w:highlight w:val="none"/>
              </w:rPr>
              <w:t>①中标人将本项目转让给他人，或者在投标文件中未说明，且未经采购人同意，将中标项目分包给他人的；</w:t>
            </w:r>
          </w:p>
          <w:p>
            <w:pPr>
              <w:shd w:val="clear"/>
              <w:jc w:val="both"/>
              <w:rPr>
                <w:rFonts w:ascii="宋体" w:hAnsi="宋体"/>
                <w:color w:val="auto"/>
                <w:sz w:val="21"/>
                <w:szCs w:val="21"/>
                <w:highlight w:val="none"/>
              </w:rPr>
            </w:pPr>
            <w:r>
              <w:rPr>
                <w:rFonts w:hint="eastAsia" w:ascii="宋体" w:hAnsi="宋体"/>
                <w:color w:val="auto"/>
                <w:sz w:val="21"/>
                <w:szCs w:val="21"/>
                <w:highlight w:val="none"/>
              </w:rPr>
              <w:t>②中标人在履行采购合同期间，违反有关法律法规的规定及合同约定的条款，损害了采购人的利益。</w:t>
            </w:r>
          </w:p>
          <w:p>
            <w:pPr>
              <w:shd w:val="clear"/>
              <w:jc w:val="both"/>
              <w:rPr>
                <w:rFonts w:ascii="宋体" w:hAnsi="宋体"/>
                <w:b/>
                <w:color w:val="auto"/>
                <w:sz w:val="21"/>
                <w:szCs w:val="21"/>
                <w:highlight w:val="none"/>
              </w:rPr>
            </w:pPr>
            <w:r>
              <w:rPr>
                <w:rFonts w:hint="eastAsia" w:ascii="宋体" w:hAnsi="宋体"/>
                <w:color w:val="auto"/>
                <w:sz w:val="21"/>
                <w:szCs w:val="21"/>
                <w:highlight w:val="none"/>
              </w:rPr>
              <w:t>（7）在整个项目验收合格后，中标人向采购人提交退回履约担保的申请，采购人办理履约担保退还手续。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restart"/>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609" w:type="dxa"/>
            <w:gridSpan w:val="2"/>
            <w:tcBorders>
              <w:tl2br w:val="nil"/>
              <w:tr2bl w:val="nil"/>
            </w:tcBorders>
            <w:vAlign w:val="center"/>
          </w:tcPr>
          <w:p>
            <w:pPr>
              <w:shd w:val="clear"/>
              <w:jc w:val="both"/>
              <w:rPr>
                <w:rFonts w:ascii="宋体" w:hAnsi="宋体"/>
                <w:b/>
                <w:color w:val="auto"/>
                <w:sz w:val="21"/>
                <w:szCs w:val="21"/>
                <w:highlight w:val="none"/>
              </w:rPr>
            </w:pPr>
            <w:r>
              <w:rPr>
                <w:rFonts w:hint="eastAsia" w:ascii="宋体" w:hAnsi="宋体"/>
                <w:b/>
                <w:color w:val="auto"/>
                <w:sz w:val="21"/>
                <w:szCs w:val="21"/>
                <w:highlight w:val="none"/>
              </w:rPr>
              <w:t>中标服务费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ascii="宋体" w:hAnsi="宋体"/>
                <w:color w:val="auto"/>
                <w:sz w:val="21"/>
                <w:szCs w:val="21"/>
                <w:highlight w:val="none"/>
              </w:rPr>
            </w:pPr>
          </w:p>
        </w:tc>
        <w:tc>
          <w:tcPr>
            <w:tcW w:w="7609" w:type="dxa"/>
            <w:gridSpan w:val="2"/>
            <w:tcBorders>
              <w:tl2br w:val="nil"/>
              <w:tr2bl w:val="nil"/>
            </w:tcBorders>
            <w:vAlign w:val="center"/>
          </w:tcPr>
          <w:p>
            <w:pPr>
              <w:keepNext w:val="0"/>
              <w:keepLines w:val="0"/>
              <w:pageBreakBefore w:val="0"/>
              <w:widowControl w:val="0"/>
              <w:shd w:val="clear"/>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stheme="minorBidi"/>
                <w:color w:val="auto"/>
                <w:sz w:val="21"/>
                <w:szCs w:val="21"/>
                <w:highlight w:val="none"/>
                <w:lang w:val="en-US" w:eastAsia="zh-CN" w:bidi="ar-SA"/>
              </w:rPr>
            </w:pPr>
            <w:r>
              <w:rPr>
                <w:rFonts w:hint="eastAsia" w:ascii="宋体" w:hAnsi="宋体" w:eastAsia="宋体"/>
                <w:color w:val="auto"/>
                <w:sz w:val="21"/>
                <w:szCs w:val="21"/>
                <w:highlight w:val="none"/>
              </w:rPr>
              <w:t>（1）中标服务费</w:t>
            </w:r>
            <w:r>
              <w:rPr>
                <w:rFonts w:hint="eastAsia" w:ascii="宋体" w:hAnsi="宋体" w:eastAsia="宋体"/>
                <w:color w:val="auto"/>
                <w:sz w:val="21"/>
                <w:szCs w:val="21"/>
                <w:highlight w:val="none"/>
                <w:lang w:eastAsia="zh-CN"/>
              </w:rPr>
              <w:t>参照</w:t>
            </w:r>
            <w:r>
              <w:rPr>
                <w:rFonts w:hint="eastAsia" w:ascii="宋体" w:hAnsi="宋体" w:eastAsia="宋体"/>
                <w:color w:val="auto"/>
                <w:sz w:val="21"/>
                <w:szCs w:val="21"/>
                <w:highlight w:val="none"/>
              </w:rPr>
              <w:t>国家计委[计价格[2002]1980号]文和国家发改委[发改价格[2011]534号]文及相关规定</w:t>
            </w:r>
            <w:r>
              <w:rPr>
                <w:rFonts w:hint="eastAsia" w:ascii="宋体" w:hAnsi="宋体" w:eastAsia="宋体"/>
                <w:color w:val="auto"/>
                <w:sz w:val="21"/>
                <w:szCs w:val="21"/>
                <w:highlight w:val="none"/>
                <w:lang w:eastAsia="zh-CN"/>
              </w:rPr>
              <w:t>并下浮</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向中标单位收取，按差额定率累进法计算，以中标通知书中确定的中标总金额作为收费的计算</w:t>
            </w:r>
            <w:r>
              <w:rPr>
                <w:rFonts w:hint="eastAsia" w:ascii="宋体" w:hAnsi="宋体" w:eastAsia="宋体"/>
                <w:color w:val="auto"/>
                <w:sz w:val="21"/>
                <w:szCs w:val="21"/>
                <w:highlight w:val="none"/>
                <w:lang w:eastAsia="zh-CN"/>
              </w:rPr>
              <w:t>参照</w:t>
            </w:r>
            <w:r>
              <w:rPr>
                <w:rFonts w:hint="eastAsia" w:ascii="宋体" w:hAnsi="宋体" w:eastAsia="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01" w:type="dxa"/>
            <w:vMerge w:val="continue"/>
            <w:tcBorders>
              <w:tl2br w:val="nil"/>
              <w:tr2bl w:val="nil"/>
            </w:tcBorders>
            <w:vAlign w:val="center"/>
          </w:tcPr>
          <w:p>
            <w:pPr>
              <w:shd w:val="clear"/>
              <w:jc w:val="center"/>
              <w:rPr>
                <w:rFonts w:hint="default" w:ascii="宋体" w:hAnsi="宋体" w:eastAsia="宋体"/>
                <w:color w:val="auto"/>
                <w:sz w:val="21"/>
                <w:szCs w:val="21"/>
                <w:highlight w:val="none"/>
                <w:lang w:val="en-US" w:eastAsia="zh-CN"/>
              </w:rPr>
            </w:pPr>
          </w:p>
        </w:tc>
        <w:tc>
          <w:tcPr>
            <w:tcW w:w="7609" w:type="dxa"/>
            <w:gridSpan w:val="2"/>
            <w:tcBorders>
              <w:tl2br w:val="nil"/>
              <w:tr2bl w:val="nil"/>
            </w:tcBorders>
            <w:vAlign w:val="center"/>
          </w:tcPr>
          <w:p>
            <w:pPr>
              <w:shd w:val="clea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w:t>
            </w:r>
            <w:r>
              <w:rPr>
                <w:rFonts w:hint="eastAsia" w:ascii="宋体" w:hAnsi="宋体" w:eastAsia="宋体"/>
                <w:color w:val="auto"/>
                <w:sz w:val="21"/>
                <w:szCs w:val="21"/>
                <w:highlight w:val="none"/>
                <w:lang w:eastAsia="zh-CN"/>
              </w:rPr>
              <w:t>招标代理机构</w:t>
            </w:r>
            <w:r>
              <w:rPr>
                <w:rFonts w:hint="eastAsia" w:ascii="宋体" w:hAnsi="宋体" w:eastAsia="宋体"/>
                <w:color w:val="auto"/>
                <w:sz w:val="21"/>
                <w:szCs w:val="21"/>
                <w:highlight w:val="none"/>
              </w:rPr>
              <w:t>服务费汇入账号：</w:t>
            </w:r>
          </w:p>
          <w:p>
            <w:pPr>
              <w:shd w:val="clear"/>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人：广西同泽工程项目管理股份有限公司东莞分公司</w:t>
            </w:r>
          </w:p>
          <w:p>
            <w:pPr>
              <w:shd w:val="clea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开户银行：中国工商银行股份有限公司东莞会展支行</w:t>
            </w:r>
          </w:p>
          <w:p>
            <w:pPr>
              <w:shd w:val="clear"/>
              <w:jc w:val="both"/>
              <w:rPr>
                <w:rFonts w:ascii="宋体" w:hAnsi="宋体" w:eastAsia="宋体" w:cstheme="minorBidi"/>
                <w:color w:val="auto"/>
                <w:sz w:val="21"/>
                <w:szCs w:val="21"/>
                <w:highlight w:val="none"/>
                <w:lang w:val="en-US" w:eastAsia="zh-CN" w:bidi="ar-SA"/>
              </w:rPr>
            </w:pPr>
            <w:r>
              <w:rPr>
                <w:rFonts w:hint="eastAsia" w:ascii="宋体" w:hAnsi="宋体" w:eastAsia="宋体"/>
                <w:color w:val="auto"/>
                <w:sz w:val="21"/>
                <w:szCs w:val="21"/>
                <w:highlight w:val="none"/>
              </w:rPr>
              <w:t>账　　号：2010045209100165935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410" w:type="dxa"/>
            <w:gridSpan w:val="3"/>
            <w:tcBorders>
              <w:tl2br w:val="nil"/>
              <w:tr2bl w:val="nil"/>
            </w:tcBorders>
            <w:vAlign w:val="center"/>
          </w:tcPr>
          <w:p>
            <w:pPr>
              <w:widowControl w:val="0"/>
              <w:shd w:val="clear"/>
              <w:tabs>
                <w:tab w:val="left" w:pos="907"/>
              </w:tabs>
              <w:adjustRightInd/>
              <w:snapToGrid/>
              <w:ind w:firstLine="420" w:firstLineChars="200"/>
              <w:jc w:val="both"/>
              <w:rPr>
                <w:rFonts w:ascii="宋体" w:hAnsi="宋体"/>
                <w:color w:val="auto"/>
                <w:sz w:val="21"/>
                <w:szCs w:val="21"/>
                <w:highlight w:val="none"/>
              </w:rPr>
            </w:pPr>
            <w:r>
              <w:rPr>
                <w:rFonts w:hint="eastAsia" w:ascii="宋体" w:hAnsi="宋体"/>
                <w:color w:val="auto"/>
                <w:sz w:val="21"/>
                <w:szCs w:val="21"/>
                <w:highlight w:val="none"/>
              </w:rPr>
              <w:t>注：本表关于要采购项目的具体资料，是对投标人须知的具体补充和修改，如有矛盾，应以本资料表为准。不满足采购文件中 “★”条款的投标文件将作无效投标处理。</w:t>
            </w:r>
          </w:p>
        </w:tc>
      </w:tr>
    </w:tbl>
    <w:p>
      <w:pPr>
        <w:shd w:val="clear"/>
        <w:jc w:val="center"/>
        <w:rPr>
          <w:color w:val="auto"/>
          <w:highlight w:val="none"/>
        </w:rPr>
      </w:pPr>
      <w:r>
        <w:rPr>
          <w:rFonts w:hint="eastAsia"/>
          <w:color w:val="auto"/>
          <w:highlight w:val="none"/>
        </w:rPr>
        <w:br w:type="page"/>
      </w:r>
    </w:p>
    <w:p>
      <w:pPr>
        <w:pStyle w:val="5"/>
        <w:shd w:val="clear"/>
        <w:spacing w:before="0" w:after="0" w:line="240" w:lineRule="auto"/>
        <w:jc w:val="center"/>
        <w:rPr>
          <w:rFonts w:hAnsi="宋体" w:cs="宋体"/>
          <w:color w:val="auto"/>
          <w:sz w:val="21"/>
          <w:szCs w:val="21"/>
          <w:highlight w:val="none"/>
        </w:rPr>
      </w:pPr>
      <w:bookmarkStart w:id="4" w:name="_Toc31223"/>
      <w:bookmarkStart w:id="5" w:name="_Toc323"/>
      <w:r>
        <w:rPr>
          <w:rFonts w:hint="eastAsia" w:ascii="宋体" w:hAnsi="宋体" w:cs="宋体"/>
          <w:color w:val="auto"/>
          <w:sz w:val="24"/>
          <w:szCs w:val="24"/>
          <w:highlight w:val="none"/>
        </w:rPr>
        <w:t>附表二：商务技术评分及价格权重表（满分100分）</w:t>
      </w:r>
      <w:bookmarkEnd w:id="4"/>
      <w:bookmarkEnd w:id="5"/>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060"/>
        <w:gridCol w:w="167"/>
        <w:gridCol w:w="567"/>
        <w:gridCol w:w="316"/>
        <w:gridCol w:w="5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20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060" w:type="dxa"/>
            <w:tcBorders>
              <w:top w:val="single" w:color="auto" w:sz="4" w:space="0"/>
              <w:left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u w:val="none"/>
                <w:lang w:eastAsia="zh-CN"/>
              </w:rPr>
            </w:pPr>
            <w:r>
              <w:rPr>
                <w:rFonts w:hint="eastAsia" w:ascii="宋体" w:eastAsia="宋体" w:cs="宋体"/>
                <w:color w:val="auto"/>
                <w:sz w:val="21"/>
                <w:szCs w:val="21"/>
                <w:highlight w:val="none"/>
                <w:u w:val="none"/>
              </w:rPr>
              <w:t>体系</w:t>
            </w:r>
            <w:r>
              <w:rPr>
                <w:rFonts w:hint="eastAsia" w:ascii="宋体" w:eastAsia="宋体" w:cs="宋体"/>
                <w:color w:val="auto"/>
                <w:sz w:val="21"/>
                <w:szCs w:val="21"/>
                <w:highlight w:val="none"/>
                <w:u w:val="none"/>
                <w:lang w:eastAsia="zh-CN"/>
              </w:rPr>
              <w:t>认证</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1.5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Cs/>
                <w:color w:val="auto"/>
                <w:sz w:val="21"/>
                <w:szCs w:val="21"/>
                <w:highlight w:val="none"/>
                <w:u w:val="none"/>
              </w:rPr>
            </w:pPr>
            <w:r>
              <w:rPr>
                <w:rFonts w:hint="eastAsia" w:ascii="宋体" w:eastAsia="宋体" w:cs="宋体"/>
                <w:bCs/>
                <w:color w:val="auto"/>
                <w:sz w:val="21"/>
                <w:szCs w:val="21"/>
                <w:highlight w:val="none"/>
                <w:u w:val="none"/>
              </w:rPr>
              <w:t>投标人具有由国家认证认可监督管理部门批准设立的认证机构颁发的有效期内认证证书：</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Cs/>
                <w:color w:val="auto"/>
                <w:sz w:val="21"/>
                <w:szCs w:val="21"/>
                <w:highlight w:val="none"/>
                <w:u w:val="none"/>
              </w:rPr>
            </w:pPr>
            <w:r>
              <w:rPr>
                <w:rFonts w:hint="eastAsia" w:ascii="宋体" w:eastAsia="宋体" w:cs="宋体"/>
                <w:bCs/>
                <w:color w:val="auto"/>
                <w:sz w:val="21"/>
                <w:szCs w:val="21"/>
                <w:highlight w:val="none"/>
                <w:u w:val="none"/>
              </w:rPr>
              <w:t>①质量管理体系认证；</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Cs/>
                <w:color w:val="auto"/>
                <w:sz w:val="21"/>
                <w:szCs w:val="21"/>
                <w:highlight w:val="none"/>
                <w:u w:val="none"/>
              </w:rPr>
            </w:pPr>
            <w:r>
              <w:rPr>
                <w:rFonts w:hint="eastAsia" w:ascii="宋体" w:eastAsia="宋体" w:cs="宋体"/>
                <w:bCs/>
                <w:color w:val="auto"/>
                <w:sz w:val="21"/>
                <w:szCs w:val="21"/>
                <w:highlight w:val="none"/>
                <w:u w:val="none"/>
              </w:rPr>
              <w:t>②环境管理体系认证；</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Cs/>
                <w:color w:val="auto"/>
                <w:sz w:val="21"/>
                <w:szCs w:val="21"/>
                <w:highlight w:val="none"/>
                <w:u w:val="none"/>
              </w:rPr>
            </w:pPr>
            <w:r>
              <w:rPr>
                <w:rFonts w:hint="eastAsia" w:ascii="宋体" w:eastAsia="宋体" w:cs="宋体"/>
                <w:bCs/>
                <w:color w:val="auto"/>
                <w:sz w:val="21"/>
                <w:szCs w:val="21"/>
                <w:highlight w:val="none"/>
                <w:u w:val="none"/>
              </w:rPr>
              <w:t>③职业健康安全管理体系认证；</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ascii="宋体" w:eastAsia="宋体" w:cs="宋体"/>
                <w:bCs/>
                <w:color w:val="auto"/>
                <w:sz w:val="21"/>
                <w:szCs w:val="21"/>
                <w:highlight w:val="none"/>
                <w:u w:val="none"/>
                <w:lang w:val="zh-CN"/>
              </w:rPr>
            </w:pPr>
            <w:r>
              <w:rPr>
                <w:rFonts w:hint="eastAsia" w:ascii="宋体" w:eastAsia="宋体" w:cs="宋体"/>
                <w:b/>
                <w:bCs w:val="0"/>
                <w:color w:val="auto"/>
                <w:sz w:val="21"/>
                <w:szCs w:val="21"/>
                <w:highlight w:val="none"/>
                <w:u w:val="none"/>
                <w:lang w:val="zh-CN"/>
              </w:rPr>
              <w:t>注：投标人</w:t>
            </w:r>
            <w:r>
              <w:rPr>
                <w:rFonts w:hint="eastAsia" w:ascii="宋体" w:eastAsia="宋体" w:cs="宋体"/>
                <w:b/>
                <w:bCs w:val="0"/>
                <w:color w:val="auto"/>
                <w:sz w:val="21"/>
                <w:szCs w:val="21"/>
                <w:highlight w:val="none"/>
                <w:u w:val="none"/>
                <w:lang w:val="en-US" w:eastAsia="zh-CN"/>
              </w:rPr>
              <w:t>(或</w:t>
            </w:r>
            <w:r>
              <w:rPr>
                <w:rFonts w:hint="eastAsia" w:ascii="宋体" w:eastAsia="宋体" w:cs="宋体"/>
                <w:b/>
                <w:bCs w:val="0"/>
                <w:color w:val="auto"/>
                <w:sz w:val="21"/>
                <w:szCs w:val="21"/>
                <w:highlight w:val="none"/>
                <w:u w:val="none"/>
                <w:lang w:val="zh-CN"/>
              </w:rPr>
              <w:t>联合体任意一方</w:t>
            </w:r>
            <w:r>
              <w:rPr>
                <w:rFonts w:hint="eastAsia" w:ascii="宋体" w:eastAsia="宋体" w:cs="宋体"/>
                <w:b/>
                <w:bCs w:val="0"/>
                <w:color w:val="auto"/>
                <w:sz w:val="21"/>
                <w:szCs w:val="21"/>
                <w:highlight w:val="none"/>
                <w:u w:val="none"/>
                <w:lang w:val="en-US" w:eastAsia="zh-CN"/>
              </w:rPr>
              <w:t>)</w:t>
            </w:r>
            <w:r>
              <w:rPr>
                <w:rFonts w:hint="eastAsia" w:ascii="宋体" w:eastAsia="宋体" w:cs="宋体"/>
                <w:b/>
                <w:bCs w:val="0"/>
                <w:color w:val="auto"/>
                <w:sz w:val="21"/>
                <w:szCs w:val="21"/>
                <w:highlight w:val="none"/>
                <w:u w:val="none"/>
              </w:rPr>
              <w:t>每提供一项得</w:t>
            </w:r>
            <w:r>
              <w:rPr>
                <w:rFonts w:hint="eastAsia" w:ascii="宋体" w:eastAsia="宋体" w:cs="宋体"/>
                <w:b/>
                <w:bCs w:val="0"/>
                <w:color w:val="auto"/>
                <w:sz w:val="21"/>
                <w:szCs w:val="21"/>
                <w:highlight w:val="none"/>
                <w:u w:val="none"/>
                <w:lang w:val="en-US" w:eastAsia="zh-CN"/>
              </w:rPr>
              <w:t>0.5</w:t>
            </w:r>
            <w:r>
              <w:rPr>
                <w:rFonts w:hint="eastAsia" w:ascii="宋体" w:eastAsia="宋体" w:cs="宋体"/>
                <w:b/>
                <w:bCs w:val="0"/>
                <w:color w:val="auto"/>
                <w:sz w:val="21"/>
                <w:szCs w:val="21"/>
                <w:highlight w:val="none"/>
                <w:u w:val="none"/>
              </w:rPr>
              <w:t>分，本项最高得</w:t>
            </w:r>
            <w:r>
              <w:rPr>
                <w:rFonts w:hint="eastAsia" w:ascii="宋体" w:eastAsia="宋体" w:cs="宋体"/>
                <w:b/>
                <w:bCs w:val="0"/>
                <w:color w:val="auto"/>
                <w:sz w:val="21"/>
                <w:szCs w:val="21"/>
                <w:highlight w:val="none"/>
                <w:u w:val="none"/>
                <w:lang w:val="en-US" w:eastAsia="zh-CN"/>
              </w:rPr>
              <w:t>1.5</w:t>
            </w:r>
            <w:r>
              <w:rPr>
                <w:rFonts w:hint="eastAsia" w:ascii="宋体" w:eastAsia="宋体" w:cs="宋体"/>
                <w:b/>
                <w:bCs w:val="0"/>
                <w:color w:val="auto"/>
                <w:sz w:val="21"/>
                <w:szCs w:val="21"/>
                <w:highlight w:val="none"/>
                <w:u w:val="none"/>
              </w:rPr>
              <w:t>分</w:t>
            </w:r>
            <w:r>
              <w:rPr>
                <w:rFonts w:hint="eastAsia" w:ascii="宋体" w:eastAsia="宋体" w:cs="宋体"/>
                <w:b/>
                <w:bCs w:val="0"/>
                <w:color w:val="auto"/>
                <w:sz w:val="21"/>
                <w:szCs w:val="21"/>
                <w:highlight w:val="none"/>
                <w:u w:val="none"/>
                <w:lang w:val="en-US" w:eastAsia="zh-CN"/>
              </w:rPr>
              <w:t>,</w:t>
            </w:r>
            <w:r>
              <w:rPr>
                <w:rFonts w:hint="eastAsia" w:ascii="宋体" w:eastAsia="宋体" w:cs="宋体"/>
                <w:b/>
                <w:bCs w:val="0"/>
                <w:color w:val="auto"/>
                <w:sz w:val="21"/>
                <w:szCs w:val="21"/>
                <w:highlight w:val="none"/>
                <w:u w:val="none"/>
                <w:lang w:val="zh-CN"/>
              </w:rPr>
              <w:t>应提供上述有效证书复印件及能显示证书有效状态的全国认证认可信息公共服务平台（http://cx.cnca.cn/）查询结果凭证[凭证界面需显示有“全国认证认可信息公共服务平台”或“认证证书（需显示网址cx.cnca.cn）”]，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u w:val="none"/>
              </w:rPr>
            </w:pPr>
            <w:r>
              <w:rPr>
                <w:rFonts w:hint="eastAsia" w:ascii="宋体" w:eastAsia="宋体" w:cs="宋体"/>
                <w:color w:val="auto"/>
                <w:sz w:val="21"/>
                <w:szCs w:val="21"/>
                <w:highlight w:val="none"/>
                <w:u w:val="none"/>
              </w:rPr>
              <w:t>财务状况</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2</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Cs/>
                <w:color w:val="auto"/>
                <w:sz w:val="21"/>
                <w:szCs w:val="21"/>
                <w:highlight w:val="none"/>
                <w:u w:val="none"/>
                <w:lang w:val="zh-CN"/>
              </w:rPr>
            </w:pPr>
            <w:r>
              <w:rPr>
                <w:rFonts w:hint="eastAsia" w:ascii="宋体" w:eastAsia="宋体" w:cs="宋体"/>
                <w:bCs/>
                <w:color w:val="auto"/>
                <w:sz w:val="21"/>
                <w:szCs w:val="21"/>
                <w:highlight w:val="none"/>
                <w:u w:val="none"/>
                <w:lang w:val="zh-CN"/>
              </w:rPr>
              <w:t>根据各投标人</w:t>
            </w:r>
            <w:r>
              <w:rPr>
                <w:rFonts w:hint="eastAsia" w:ascii="宋体" w:eastAsia="宋体" w:cs="宋体"/>
                <w:bCs/>
                <w:color w:val="auto"/>
                <w:sz w:val="21"/>
                <w:szCs w:val="21"/>
                <w:highlight w:val="none"/>
                <w:u w:val="none"/>
                <w:lang w:val="en-US" w:eastAsia="zh-CN"/>
              </w:rPr>
              <w:t>2021</w:t>
            </w:r>
            <w:r>
              <w:rPr>
                <w:rFonts w:hint="eastAsia" w:ascii="宋体" w:eastAsia="宋体" w:cs="宋体"/>
                <w:bCs/>
                <w:color w:val="auto"/>
                <w:sz w:val="21"/>
                <w:szCs w:val="21"/>
                <w:highlight w:val="none"/>
                <w:u w:val="none"/>
                <w:lang w:val="zh-CN"/>
              </w:rPr>
              <w:t>年</w:t>
            </w:r>
            <w:r>
              <w:rPr>
                <w:rFonts w:hint="eastAsia" w:ascii="宋体" w:eastAsia="宋体" w:cs="宋体"/>
                <w:bCs/>
                <w:color w:val="auto"/>
                <w:sz w:val="21"/>
                <w:szCs w:val="21"/>
                <w:highlight w:val="none"/>
                <w:u w:val="none"/>
                <w:lang w:val="en-US" w:eastAsia="zh-CN"/>
              </w:rPr>
              <w:t>1月1日</w:t>
            </w:r>
            <w:r>
              <w:rPr>
                <w:rFonts w:hint="eastAsia" w:ascii="宋体" w:eastAsia="宋体" w:cs="宋体"/>
                <w:bCs/>
                <w:color w:val="auto"/>
                <w:sz w:val="21"/>
                <w:szCs w:val="21"/>
                <w:highlight w:val="none"/>
                <w:u w:val="none"/>
                <w:lang w:val="zh-CN"/>
              </w:rPr>
              <w:t>至今的财务状况进行评价，三年盈利得</w:t>
            </w:r>
            <w:r>
              <w:rPr>
                <w:rFonts w:hint="eastAsia" w:ascii="宋体" w:eastAsia="宋体" w:cs="宋体"/>
                <w:bCs/>
                <w:color w:val="auto"/>
                <w:sz w:val="21"/>
                <w:szCs w:val="21"/>
                <w:highlight w:val="none"/>
                <w:u w:val="none"/>
                <w:lang w:val="en-US" w:eastAsia="zh-CN"/>
              </w:rPr>
              <w:t>2</w:t>
            </w:r>
            <w:r>
              <w:rPr>
                <w:rFonts w:hint="eastAsia" w:ascii="宋体" w:eastAsia="宋体" w:cs="宋体"/>
                <w:bCs/>
                <w:color w:val="auto"/>
                <w:sz w:val="21"/>
                <w:szCs w:val="21"/>
                <w:highlight w:val="none"/>
                <w:u w:val="none"/>
                <w:lang w:val="zh-CN"/>
              </w:rPr>
              <w:t>分，两年盈利得</w:t>
            </w:r>
            <w:r>
              <w:rPr>
                <w:rFonts w:hint="eastAsia" w:ascii="宋体" w:eastAsia="宋体" w:cs="宋体"/>
                <w:bCs/>
                <w:color w:val="auto"/>
                <w:sz w:val="21"/>
                <w:szCs w:val="21"/>
                <w:highlight w:val="none"/>
                <w:u w:val="none"/>
                <w:lang w:val="en-US" w:eastAsia="zh-CN"/>
              </w:rPr>
              <w:t>1</w:t>
            </w:r>
            <w:r>
              <w:rPr>
                <w:rFonts w:hint="eastAsia" w:ascii="宋体" w:eastAsia="宋体" w:cs="宋体"/>
                <w:bCs/>
                <w:color w:val="auto"/>
                <w:sz w:val="21"/>
                <w:szCs w:val="21"/>
                <w:highlight w:val="none"/>
                <w:u w:val="none"/>
                <w:lang w:val="zh-CN"/>
              </w:rPr>
              <w:t>分，一年盈利得</w:t>
            </w:r>
            <w:r>
              <w:rPr>
                <w:rFonts w:hint="eastAsia" w:ascii="宋体" w:eastAsia="宋体" w:cs="宋体"/>
                <w:bCs/>
                <w:color w:val="auto"/>
                <w:sz w:val="21"/>
                <w:szCs w:val="21"/>
                <w:highlight w:val="none"/>
                <w:u w:val="none"/>
                <w:lang w:val="en-US" w:eastAsia="zh-CN"/>
              </w:rPr>
              <w:t>0.5</w:t>
            </w:r>
            <w:r>
              <w:rPr>
                <w:rFonts w:hint="eastAsia" w:ascii="宋体" w:eastAsia="宋体" w:cs="宋体"/>
                <w:bCs/>
                <w:color w:val="auto"/>
                <w:sz w:val="21"/>
                <w:szCs w:val="21"/>
                <w:highlight w:val="none"/>
                <w:u w:val="none"/>
                <w:lang w:val="zh-CN"/>
              </w:rPr>
              <w:t>分，无盈利不得分。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eastAsia="宋体"/>
                <w:color w:val="auto"/>
                <w:highlight w:val="none"/>
                <w:u w:val="none"/>
                <w:lang w:eastAsia="zh-CN"/>
              </w:rPr>
            </w:pPr>
            <w:r>
              <w:rPr>
                <w:rFonts w:hint="eastAsia" w:ascii="宋体" w:eastAsia="宋体" w:cs="宋体"/>
                <w:b/>
                <w:color w:val="auto"/>
                <w:sz w:val="21"/>
                <w:szCs w:val="21"/>
                <w:highlight w:val="none"/>
                <w:u w:val="none"/>
                <w:lang w:val="zh-CN"/>
              </w:rPr>
              <w:t>注：须提供</w:t>
            </w:r>
            <w:r>
              <w:rPr>
                <w:rFonts w:hint="eastAsia" w:ascii="宋体" w:eastAsia="宋体" w:cs="宋体"/>
                <w:b/>
                <w:bCs/>
                <w:color w:val="auto"/>
                <w:sz w:val="21"/>
                <w:szCs w:val="21"/>
                <w:highlight w:val="none"/>
                <w:u w:val="none"/>
              </w:rPr>
              <w:t>会计师事务所审计的</w:t>
            </w:r>
            <w:r>
              <w:rPr>
                <w:rFonts w:hint="eastAsia" w:ascii="宋体" w:eastAsia="宋体" w:cs="宋体"/>
                <w:b/>
                <w:bCs/>
                <w:color w:val="auto"/>
                <w:sz w:val="21"/>
                <w:szCs w:val="21"/>
                <w:highlight w:val="none"/>
                <w:u w:val="none"/>
                <w:lang w:eastAsia="zh-CN"/>
              </w:rPr>
              <w:t>完整的</w:t>
            </w:r>
            <w:r>
              <w:rPr>
                <w:rFonts w:hint="eastAsia" w:ascii="宋体" w:eastAsia="宋体" w:cs="宋体"/>
                <w:b/>
                <w:bCs/>
                <w:color w:val="auto"/>
                <w:sz w:val="21"/>
                <w:szCs w:val="21"/>
                <w:highlight w:val="none"/>
                <w:u w:val="none"/>
              </w:rPr>
              <w:t>财务报表复印件加盖投标人公章</w:t>
            </w:r>
            <w:r>
              <w:rPr>
                <w:rFonts w:hint="eastAsia" w:ascii="宋体" w:eastAsia="宋体" w:cs="宋体"/>
                <w:b/>
                <w:bCs/>
                <w:color w:val="auto"/>
                <w:sz w:val="21"/>
                <w:szCs w:val="21"/>
                <w:highlight w:val="none"/>
                <w:u w:val="none"/>
                <w:lang w:eastAsia="zh-CN"/>
              </w:rPr>
              <w:t>，联合体成员需同时满足才可得分。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0" w:hRule="atLeast"/>
          <w:jc w:val="center"/>
        </w:trPr>
        <w:tc>
          <w:tcPr>
            <w:tcW w:w="690" w:type="dxa"/>
            <w:tcBorders>
              <w:top w:val="single" w:color="auto" w:sz="4" w:space="0"/>
              <w:left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060" w:type="dxa"/>
            <w:tcBorders>
              <w:top w:val="single" w:color="auto" w:sz="4" w:space="0"/>
              <w:left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u w:val="none"/>
              </w:rPr>
            </w:pPr>
            <w:r>
              <w:rPr>
                <w:rFonts w:hint="eastAsia" w:ascii="宋体" w:eastAsia="宋体" w:cs="宋体"/>
                <w:color w:val="auto"/>
                <w:sz w:val="21"/>
                <w:szCs w:val="21"/>
                <w:highlight w:val="none"/>
                <w:u w:val="none"/>
                <w:lang w:eastAsia="zh-CN"/>
              </w:rPr>
              <w:t>同类</w:t>
            </w:r>
            <w:r>
              <w:rPr>
                <w:rFonts w:hint="eastAsia" w:ascii="宋体" w:eastAsia="宋体" w:cs="宋体"/>
                <w:color w:val="auto"/>
                <w:sz w:val="21"/>
                <w:szCs w:val="21"/>
                <w:highlight w:val="none"/>
                <w:u w:val="none"/>
              </w:rPr>
              <w:t>业绩</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default"/>
                <w:color w:val="auto"/>
                <w:highlight w:val="none"/>
                <w:u w:val="none"/>
                <w:lang w:val="en-US"/>
              </w:rPr>
            </w:pPr>
            <w:r>
              <w:rPr>
                <w:rFonts w:hint="eastAsia" w:ascii="宋体" w:eastAsia="宋体" w:cs="宋体"/>
                <w:color w:val="auto"/>
                <w:sz w:val="21"/>
                <w:szCs w:val="21"/>
                <w:highlight w:val="none"/>
                <w:u w:val="none"/>
                <w:lang w:val="en-US" w:eastAsia="zh-CN"/>
              </w:rPr>
              <w:t>6.5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Cs/>
                <w:color w:val="auto"/>
                <w:sz w:val="21"/>
                <w:szCs w:val="21"/>
                <w:highlight w:val="none"/>
                <w:u w:val="none"/>
                <w:lang w:val="zh-CN" w:eastAsia="zh-CN"/>
              </w:rPr>
            </w:pPr>
            <w:r>
              <w:rPr>
                <w:rFonts w:hint="eastAsia" w:ascii="宋体" w:eastAsia="宋体" w:cs="宋体"/>
                <w:bCs/>
                <w:color w:val="auto"/>
                <w:sz w:val="21"/>
                <w:szCs w:val="21"/>
                <w:highlight w:val="none"/>
                <w:u w:val="none"/>
                <w:lang w:val="en-US" w:eastAsia="zh-CN"/>
              </w:rPr>
              <w:t>1、</w:t>
            </w:r>
            <w:r>
              <w:rPr>
                <w:rFonts w:hint="eastAsia" w:ascii="宋体" w:hAnsi="宋体" w:eastAsia="宋体" w:cs="宋体"/>
                <w:bCs/>
                <w:color w:val="auto"/>
                <w:sz w:val="21"/>
                <w:szCs w:val="21"/>
                <w:highlight w:val="none"/>
                <w:u w:val="none"/>
                <w:lang w:val="zh-CN" w:eastAsia="zh-CN"/>
              </w:rPr>
              <w:t>投标人具有的光伏发电系统</w:t>
            </w:r>
            <w:r>
              <w:rPr>
                <w:rFonts w:hint="eastAsia" w:ascii="宋体" w:eastAsia="宋体" w:cs="宋体"/>
                <w:bCs/>
                <w:color w:val="auto"/>
                <w:sz w:val="21"/>
                <w:szCs w:val="21"/>
                <w:highlight w:val="none"/>
                <w:u w:val="none"/>
                <w:lang w:val="en-US" w:eastAsia="zh-CN"/>
              </w:rPr>
              <w:t>安装</w:t>
            </w:r>
            <w:r>
              <w:rPr>
                <w:rFonts w:hint="eastAsia" w:ascii="宋体" w:hAnsi="宋体" w:eastAsia="宋体" w:cs="宋体"/>
                <w:bCs/>
                <w:color w:val="auto"/>
                <w:sz w:val="21"/>
                <w:szCs w:val="21"/>
                <w:highlight w:val="none"/>
                <w:u w:val="none"/>
                <w:lang w:val="zh-CN" w:eastAsia="zh-CN"/>
              </w:rPr>
              <w:t>项目业绩，每提供一个合同业绩得</w:t>
            </w:r>
            <w:r>
              <w:rPr>
                <w:rFonts w:hint="eastAsia" w:ascii="宋体" w:eastAsia="宋体" w:cs="宋体"/>
                <w:bCs/>
                <w:color w:val="auto"/>
                <w:sz w:val="21"/>
                <w:szCs w:val="21"/>
                <w:highlight w:val="none"/>
                <w:u w:val="none"/>
                <w:lang w:val="en-US" w:eastAsia="zh-CN"/>
              </w:rPr>
              <w:t>1.5</w:t>
            </w:r>
            <w:r>
              <w:rPr>
                <w:rFonts w:hint="eastAsia" w:ascii="宋体" w:hAnsi="宋体" w:eastAsia="宋体" w:cs="宋体"/>
                <w:bCs/>
                <w:color w:val="auto"/>
                <w:sz w:val="21"/>
                <w:szCs w:val="21"/>
                <w:highlight w:val="none"/>
                <w:u w:val="none"/>
                <w:lang w:val="zh-CN" w:eastAsia="zh-CN"/>
              </w:rPr>
              <w:t>分，本项最高得</w:t>
            </w:r>
            <w:r>
              <w:rPr>
                <w:rFonts w:hint="eastAsia" w:ascii="宋体" w:eastAsia="宋体" w:cs="宋体"/>
                <w:bCs/>
                <w:color w:val="auto"/>
                <w:sz w:val="21"/>
                <w:szCs w:val="21"/>
                <w:highlight w:val="none"/>
                <w:u w:val="none"/>
                <w:lang w:val="en-US" w:eastAsia="zh-CN"/>
              </w:rPr>
              <w:t>4.5</w:t>
            </w:r>
            <w:r>
              <w:rPr>
                <w:rFonts w:hint="eastAsia" w:ascii="宋体" w:hAnsi="宋体" w:eastAsia="宋体" w:cs="宋体"/>
                <w:bCs/>
                <w:color w:val="auto"/>
                <w:sz w:val="21"/>
                <w:szCs w:val="21"/>
                <w:highlight w:val="none"/>
                <w:u w:val="none"/>
                <w:lang w:val="zh-CN" w:eastAsia="zh-CN"/>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default" w:ascii="宋体" w:hAnsi="宋体" w:eastAsia="宋体" w:cs="宋体"/>
                <w:b/>
                <w:bCs/>
                <w:color w:val="auto"/>
                <w:sz w:val="21"/>
                <w:szCs w:val="21"/>
                <w:highlight w:val="none"/>
                <w:u w:val="none"/>
                <w:lang w:val="en-US" w:eastAsia="zh-CN"/>
              </w:rPr>
            </w:pPr>
            <w:r>
              <w:rPr>
                <w:rFonts w:hint="eastAsia" w:ascii="宋体" w:hAnsi="宋体" w:eastAsia="宋体" w:cs="宋体"/>
                <w:b/>
                <w:color w:val="auto"/>
                <w:sz w:val="21"/>
                <w:szCs w:val="21"/>
                <w:highlight w:val="none"/>
                <w:u w:val="none"/>
                <w:lang w:val="zh-CN" w:eastAsia="zh-CN"/>
              </w:rPr>
              <w:t>注：须提供合同复印件和并网证明并同时加盖投标人公章，不符合以上要求得不得分。若联合体投标，联合体中具有施工资质方提供方可得分((①若安装与设计为同一项目只按一次计分②资格条件所提供的业绩不得分))</w:t>
            </w:r>
            <w:r>
              <w:rPr>
                <w:rFonts w:hint="eastAsia" w:ascii="宋体" w:eastAsia="宋体" w:cs="宋体"/>
                <w:b/>
                <w:color w:val="auto"/>
                <w:sz w:val="21"/>
                <w:szCs w:val="21"/>
                <w:highlight w:val="none"/>
                <w:u w:val="none"/>
                <w:lang w:val="zh-CN" w:eastAsia="zh-CN"/>
              </w:rPr>
              <w:t>。</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Cs/>
                <w:color w:val="auto"/>
                <w:sz w:val="21"/>
                <w:szCs w:val="21"/>
                <w:highlight w:val="none"/>
                <w:u w:val="none"/>
                <w:lang w:val="zh-CN" w:eastAsia="zh-CN"/>
              </w:rPr>
            </w:pPr>
            <w:r>
              <w:rPr>
                <w:rFonts w:hint="eastAsia" w:asci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lang w:val="zh-CN" w:eastAsia="zh-CN"/>
              </w:rPr>
              <w:t>投标人具有的光伏发电</w:t>
            </w:r>
            <w:r>
              <w:rPr>
                <w:rFonts w:hint="eastAsia" w:ascii="宋体" w:eastAsia="宋体" w:cs="宋体"/>
                <w:bCs/>
                <w:color w:val="auto"/>
                <w:sz w:val="21"/>
                <w:szCs w:val="21"/>
                <w:highlight w:val="none"/>
                <w:u w:val="none"/>
                <w:lang w:val="zh-CN" w:eastAsia="zh-CN"/>
              </w:rPr>
              <w:t>设计</w:t>
            </w:r>
            <w:r>
              <w:rPr>
                <w:rFonts w:hint="eastAsia" w:ascii="宋体" w:hAnsi="宋体" w:eastAsia="宋体" w:cs="宋体"/>
                <w:bCs/>
                <w:color w:val="auto"/>
                <w:sz w:val="21"/>
                <w:szCs w:val="21"/>
                <w:highlight w:val="none"/>
                <w:u w:val="none"/>
                <w:lang w:val="zh-CN" w:eastAsia="zh-CN"/>
              </w:rPr>
              <w:t>项目业绩，每提供一个合同业绩得</w:t>
            </w:r>
            <w:r>
              <w:rPr>
                <w:rFonts w:hint="eastAsia" w:ascii="宋体" w:eastAsia="宋体" w:cs="宋体"/>
                <w:bCs/>
                <w:color w:val="auto"/>
                <w:sz w:val="21"/>
                <w:szCs w:val="21"/>
                <w:highlight w:val="none"/>
                <w:u w:val="none"/>
                <w:lang w:val="en-US" w:eastAsia="zh-CN"/>
              </w:rPr>
              <w:t>1</w:t>
            </w:r>
            <w:r>
              <w:rPr>
                <w:rFonts w:hint="eastAsia" w:ascii="宋体" w:hAnsi="宋体" w:eastAsia="宋体" w:cs="宋体"/>
                <w:bCs/>
                <w:color w:val="auto"/>
                <w:sz w:val="21"/>
                <w:szCs w:val="21"/>
                <w:highlight w:val="none"/>
                <w:u w:val="none"/>
                <w:lang w:val="zh-CN" w:eastAsia="zh-CN"/>
              </w:rPr>
              <w:t>分，本项最高得</w:t>
            </w:r>
            <w:r>
              <w:rPr>
                <w:rFonts w:hint="eastAsia" w:asci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lang w:val="zh-CN" w:eastAsia="zh-CN"/>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ascii="宋体" w:eastAsia="宋体" w:cs="宋体"/>
                <w:bCs/>
                <w:color w:val="auto"/>
                <w:sz w:val="21"/>
                <w:szCs w:val="21"/>
                <w:highlight w:val="none"/>
                <w:u w:val="none"/>
                <w:lang w:val="zh-CN"/>
              </w:rPr>
            </w:pPr>
            <w:r>
              <w:rPr>
                <w:rFonts w:hint="eastAsia" w:ascii="宋体" w:hAnsi="宋体" w:eastAsia="宋体" w:cs="宋体"/>
                <w:b/>
                <w:bCs w:val="0"/>
                <w:color w:val="auto"/>
                <w:sz w:val="21"/>
                <w:szCs w:val="21"/>
                <w:highlight w:val="none"/>
                <w:u w:val="none"/>
                <w:lang w:val="zh-CN" w:eastAsia="zh-CN"/>
              </w:rPr>
              <w:t>注：须提供合同复印件并同时加盖投标人公章，不符合以上要求得不得分。</w:t>
            </w:r>
            <w:r>
              <w:rPr>
                <w:rFonts w:hint="eastAsia" w:ascii="宋体" w:hAnsi="宋体" w:eastAsia="宋体" w:cs="宋体"/>
                <w:b/>
                <w:bCs w:val="0"/>
                <w:color w:val="auto"/>
                <w:sz w:val="21"/>
                <w:szCs w:val="21"/>
                <w:highlight w:val="none"/>
                <w:u w:val="none"/>
                <w:lang w:val="en-US" w:eastAsia="zh-CN"/>
              </w:rPr>
              <w:t>若联合体投标，联合体中具有设计资质方提供方可得分(同一项目只按一次计分)</w:t>
            </w:r>
            <w:r>
              <w:rPr>
                <w:rFonts w:hint="eastAsia" w:ascii="宋体" w:hAnsi="宋体" w:eastAsia="宋体" w:cs="宋体"/>
                <w:b/>
                <w:bCs w:val="0"/>
                <w:color w:val="auto"/>
                <w:sz w:val="21"/>
                <w:szCs w:val="21"/>
                <w:highlight w:val="none"/>
                <w:u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u w:val="none"/>
              </w:rPr>
            </w:pPr>
            <w:r>
              <w:rPr>
                <w:rFonts w:hint="eastAsia" w:ascii="宋体" w:eastAsia="宋体" w:cs="宋体"/>
                <w:color w:val="auto"/>
                <w:sz w:val="21"/>
                <w:szCs w:val="21"/>
                <w:highlight w:val="none"/>
                <w:u w:val="none"/>
              </w:rPr>
              <w:t>人员要求</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default" w:asci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rPr>
              <w:t>根据投标人拟投入的团队人员进行综合评审：</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rPr>
              <w:t>1、团队人员中具有注册于投标人本单位的机电工程专业二级注册建造师执业资格证书和有效的安全生产考核合格证（B证）</w:t>
            </w:r>
            <w:r>
              <w:rPr>
                <w:rFonts w:hint="eastAsia" w:ascii="宋体" w:eastAsia="宋体" w:cs="宋体"/>
                <w:color w:val="auto"/>
                <w:sz w:val="21"/>
                <w:szCs w:val="21"/>
                <w:highlight w:val="none"/>
                <w:u w:val="none"/>
                <w:lang w:val="en-US" w:eastAsia="zh-CN"/>
              </w:rPr>
              <w:t>的</w:t>
            </w:r>
            <w:r>
              <w:rPr>
                <w:rFonts w:hint="eastAsia" w:ascii="宋体" w:eastAsia="宋体" w:cs="宋体"/>
                <w:color w:val="auto"/>
                <w:sz w:val="21"/>
                <w:szCs w:val="21"/>
                <w:highlight w:val="none"/>
                <w:u w:val="none"/>
              </w:rPr>
              <w:t>，得</w:t>
            </w:r>
            <w:r>
              <w:rPr>
                <w:rFonts w:hint="eastAsia" w:ascii="宋体" w:eastAsia="宋体" w:cs="宋体"/>
                <w:color w:val="auto"/>
                <w:sz w:val="21"/>
                <w:szCs w:val="21"/>
                <w:highlight w:val="none"/>
                <w:u w:val="none"/>
                <w:lang w:val="en-US" w:eastAsia="zh-CN"/>
              </w:rPr>
              <w:t>1</w:t>
            </w:r>
            <w:r>
              <w:rPr>
                <w:rFonts w:hint="eastAsia" w:ascii="宋体" w:eastAsia="宋体" w:cs="宋体"/>
                <w:color w:val="auto"/>
                <w:sz w:val="21"/>
                <w:szCs w:val="21"/>
                <w:highlight w:val="none"/>
                <w:u w:val="none"/>
              </w:rPr>
              <w:t>分；机电工程专业一级注册建造师执业资格证书和有效的安全生产考核合格证（B证），得</w:t>
            </w:r>
            <w:r>
              <w:rPr>
                <w:rFonts w:hint="eastAsia" w:ascii="宋体" w:eastAsia="宋体" w:cs="宋体"/>
                <w:color w:val="auto"/>
                <w:sz w:val="21"/>
                <w:szCs w:val="21"/>
                <w:highlight w:val="none"/>
                <w:u w:val="none"/>
                <w:lang w:val="en-US" w:eastAsia="zh-CN"/>
              </w:rPr>
              <w:t>2</w:t>
            </w:r>
            <w:r>
              <w:rPr>
                <w:rFonts w:hint="eastAsia" w:ascii="宋体" w:eastAsia="宋体" w:cs="宋体"/>
                <w:color w:val="auto"/>
                <w:sz w:val="21"/>
                <w:szCs w:val="21"/>
                <w:highlight w:val="none"/>
                <w:u w:val="none"/>
              </w:rPr>
              <w:t>分，最高得</w:t>
            </w:r>
            <w:r>
              <w:rPr>
                <w:rFonts w:hint="eastAsia" w:ascii="宋体" w:eastAsia="宋体" w:cs="宋体"/>
                <w:color w:val="auto"/>
                <w:sz w:val="21"/>
                <w:szCs w:val="21"/>
                <w:highlight w:val="none"/>
                <w:u w:val="none"/>
                <w:lang w:val="en-US" w:eastAsia="zh-CN"/>
              </w:rPr>
              <w:t>2</w:t>
            </w:r>
            <w:r>
              <w:rPr>
                <w:rFonts w:hint="eastAsia" w:ascii="宋体" w:eastAsia="宋体" w:cs="宋体"/>
                <w:color w:val="auto"/>
                <w:sz w:val="21"/>
                <w:szCs w:val="21"/>
                <w:highlight w:val="none"/>
                <w:u w:val="none"/>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rPr>
              <w:t>2、团队人员中具有</w:t>
            </w:r>
            <w:r>
              <w:rPr>
                <w:rFonts w:hint="eastAsia" w:ascii="宋体" w:eastAsia="宋体" w:cs="宋体"/>
                <w:color w:val="auto"/>
                <w:sz w:val="21"/>
                <w:szCs w:val="21"/>
                <w:highlight w:val="none"/>
                <w:u w:val="none"/>
                <w:lang w:val="en-US" w:eastAsia="zh-CN"/>
              </w:rPr>
              <w:t>电工作业证</w:t>
            </w:r>
            <w:r>
              <w:rPr>
                <w:rFonts w:hint="eastAsia" w:ascii="宋体" w:eastAsia="宋体" w:cs="宋体"/>
                <w:color w:val="auto"/>
                <w:sz w:val="21"/>
                <w:szCs w:val="21"/>
                <w:highlight w:val="none"/>
                <w:u w:val="none"/>
                <w:lang w:eastAsia="zh-CN"/>
              </w:rPr>
              <w:t>（</w:t>
            </w:r>
            <w:r>
              <w:rPr>
                <w:rFonts w:hint="eastAsia" w:ascii="宋体" w:eastAsia="宋体" w:cs="宋体"/>
                <w:color w:val="auto"/>
                <w:sz w:val="21"/>
                <w:szCs w:val="21"/>
                <w:highlight w:val="none"/>
                <w:u w:val="none"/>
                <w:lang w:val="en-US" w:eastAsia="zh-CN"/>
              </w:rPr>
              <w:t>特种作业操作证）</w:t>
            </w:r>
            <w:r>
              <w:rPr>
                <w:rFonts w:hint="eastAsia" w:ascii="宋体" w:eastAsia="宋体" w:cs="宋体"/>
                <w:color w:val="auto"/>
                <w:sz w:val="21"/>
                <w:szCs w:val="21"/>
                <w:highlight w:val="none"/>
                <w:u w:val="none"/>
              </w:rPr>
              <w:t>，每提供一人得</w:t>
            </w:r>
            <w:r>
              <w:rPr>
                <w:rFonts w:hint="eastAsia" w:ascii="宋体" w:eastAsia="宋体" w:cs="宋体"/>
                <w:color w:val="auto"/>
                <w:sz w:val="21"/>
                <w:szCs w:val="21"/>
                <w:highlight w:val="none"/>
                <w:u w:val="none"/>
                <w:lang w:val="en-US" w:eastAsia="zh-CN"/>
              </w:rPr>
              <w:t>0.5</w:t>
            </w:r>
            <w:r>
              <w:rPr>
                <w:rFonts w:hint="eastAsia" w:ascii="宋体" w:eastAsia="宋体" w:cs="宋体"/>
                <w:color w:val="auto"/>
                <w:sz w:val="21"/>
                <w:szCs w:val="21"/>
                <w:highlight w:val="none"/>
                <w:u w:val="none"/>
              </w:rPr>
              <w:t>分，最高得</w:t>
            </w:r>
            <w:r>
              <w:rPr>
                <w:rFonts w:hint="eastAsia" w:ascii="宋体" w:eastAsia="宋体" w:cs="宋体"/>
                <w:color w:val="auto"/>
                <w:sz w:val="21"/>
                <w:szCs w:val="21"/>
                <w:highlight w:val="none"/>
                <w:u w:val="none"/>
                <w:lang w:val="en-US" w:eastAsia="zh-CN"/>
              </w:rPr>
              <w:t>1</w:t>
            </w:r>
            <w:r>
              <w:rPr>
                <w:rFonts w:hint="eastAsia" w:ascii="宋体" w:eastAsia="宋体" w:cs="宋体"/>
                <w:color w:val="auto"/>
                <w:sz w:val="21"/>
                <w:szCs w:val="21"/>
                <w:highlight w:val="none"/>
                <w:u w:val="none"/>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rPr>
              <w:t>3、团队人员中具有</w:t>
            </w:r>
            <w:r>
              <w:rPr>
                <w:rFonts w:hint="eastAsia" w:ascii="宋体" w:eastAsia="宋体" w:cs="宋体"/>
                <w:color w:val="auto"/>
                <w:sz w:val="21"/>
                <w:szCs w:val="21"/>
                <w:highlight w:val="none"/>
                <w:u w:val="none"/>
                <w:lang w:val="en-US" w:eastAsia="zh-CN"/>
              </w:rPr>
              <w:t>高处作业</w:t>
            </w:r>
            <w:r>
              <w:rPr>
                <w:rFonts w:hint="eastAsia" w:ascii="宋体" w:eastAsia="宋体" w:cs="宋体"/>
                <w:color w:val="auto"/>
                <w:sz w:val="21"/>
                <w:szCs w:val="21"/>
                <w:highlight w:val="none"/>
                <w:u w:val="none"/>
              </w:rPr>
              <w:t>证</w:t>
            </w:r>
            <w:r>
              <w:rPr>
                <w:rFonts w:hint="eastAsia" w:ascii="宋体" w:eastAsia="宋体" w:cs="宋体"/>
                <w:color w:val="auto"/>
                <w:sz w:val="21"/>
                <w:szCs w:val="21"/>
                <w:highlight w:val="none"/>
                <w:u w:val="none"/>
                <w:lang w:eastAsia="zh-CN"/>
              </w:rPr>
              <w:t>（</w:t>
            </w:r>
            <w:r>
              <w:rPr>
                <w:rFonts w:hint="eastAsia" w:ascii="宋体" w:eastAsia="宋体" w:cs="宋体"/>
                <w:color w:val="auto"/>
                <w:sz w:val="21"/>
                <w:szCs w:val="21"/>
                <w:highlight w:val="none"/>
                <w:u w:val="none"/>
                <w:lang w:val="en-US" w:eastAsia="zh-CN"/>
              </w:rPr>
              <w:t>特种作业操作证）</w:t>
            </w:r>
            <w:r>
              <w:rPr>
                <w:rFonts w:hint="eastAsia" w:ascii="宋体" w:eastAsia="宋体" w:cs="宋体"/>
                <w:color w:val="auto"/>
                <w:sz w:val="21"/>
                <w:szCs w:val="21"/>
                <w:highlight w:val="none"/>
                <w:u w:val="none"/>
              </w:rPr>
              <w:t>，每提供一人得</w:t>
            </w:r>
            <w:r>
              <w:rPr>
                <w:rFonts w:hint="eastAsia" w:ascii="宋体" w:eastAsia="宋体" w:cs="宋体"/>
                <w:color w:val="auto"/>
                <w:sz w:val="21"/>
                <w:szCs w:val="21"/>
                <w:highlight w:val="none"/>
                <w:u w:val="none"/>
                <w:lang w:val="en-US" w:eastAsia="zh-CN"/>
              </w:rPr>
              <w:t>0.5</w:t>
            </w:r>
            <w:r>
              <w:rPr>
                <w:rFonts w:hint="eastAsia" w:ascii="宋体" w:eastAsia="宋体" w:cs="宋体"/>
                <w:color w:val="auto"/>
                <w:sz w:val="21"/>
                <w:szCs w:val="21"/>
                <w:highlight w:val="none"/>
                <w:u w:val="none"/>
              </w:rPr>
              <w:t>分，最高得</w:t>
            </w:r>
            <w:r>
              <w:rPr>
                <w:rFonts w:hint="eastAsia" w:ascii="宋体" w:eastAsia="宋体" w:cs="宋体"/>
                <w:color w:val="auto"/>
                <w:sz w:val="21"/>
                <w:szCs w:val="21"/>
                <w:highlight w:val="none"/>
                <w:u w:val="none"/>
                <w:lang w:val="en-US" w:eastAsia="zh-CN"/>
              </w:rPr>
              <w:t>1</w:t>
            </w:r>
            <w:r>
              <w:rPr>
                <w:rFonts w:hint="eastAsia" w:ascii="宋体" w:eastAsia="宋体" w:cs="宋体"/>
                <w:color w:val="auto"/>
                <w:sz w:val="21"/>
                <w:szCs w:val="21"/>
                <w:highlight w:val="none"/>
                <w:u w:val="none"/>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rPr>
              <w:t>4、团队人员中具有焊接与热切割作业证</w:t>
            </w:r>
            <w:r>
              <w:rPr>
                <w:rFonts w:hint="eastAsia" w:ascii="宋体" w:eastAsia="宋体" w:cs="宋体"/>
                <w:color w:val="auto"/>
                <w:sz w:val="21"/>
                <w:szCs w:val="21"/>
                <w:highlight w:val="none"/>
                <w:u w:val="none"/>
                <w:lang w:eastAsia="zh-CN"/>
              </w:rPr>
              <w:t>（</w:t>
            </w:r>
            <w:r>
              <w:rPr>
                <w:rFonts w:hint="eastAsia" w:ascii="宋体" w:eastAsia="宋体" w:cs="宋体"/>
                <w:color w:val="auto"/>
                <w:sz w:val="21"/>
                <w:szCs w:val="21"/>
                <w:highlight w:val="none"/>
                <w:u w:val="none"/>
                <w:lang w:val="en-US" w:eastAsia="zh-CN"/>
              </w:rPr>
              <w:t>特种作业操作证）</w:t>
            </w:r>
            <w:r>
              <w:rPr>
                <w:rFonts w:hint="eastAsia" w:ascii="宋体" w:eastAsia="宋体" w:cs="宋体"/>
                <w:color w:val="auto"/>
                <w:sz w:val="21"/>
                <w:szCs w:val="21"/>
                <w:highlight w:val="none"/>
                <w:u w:val="none"/>
              </w:rPr>
              <w:t>，每提供一人得</w:t>
            </w:r>
            <w:r>
              <w:rPr>
                <w:rFonts w:hint="eastAsia" w:ascii="宋体" w:eastAsia="宋体" w:cs="宋体"/>
                <w:color w:val="auto"/>
                <w:sz w:val="21"/>
                <w:szCs w:val="21"/>
                <w:highlight w:val="none"/>
                <w:u w:val="none"/>
                <w:lang w:val="en-US" w:eastAsia="zh-CN"/>
              </w:rPr>
              <w:t>0.5</w:t>
            </w:r>
            <w:r>
              <w:rPr>
                <w:rFonts w:hint="eastAsia" w:ascii="宋体" w:eastAsia="宋体" w:cs="宋体"/>
                <w:color w:val="auto"/>
                <w:sz w:val="21"/>
                <w:szCs w:val="21"/>
                <w:highlight w:val="none"/>
                <w:u w:val="none"/>
              </w:rPr>
              <w:t>分，最高得</w:t>
            </w:r>
            <w:r>
              <w:rPr>
                <w:rFonts w:hint="eastAsia" w:ascii="宋体" w:eastAsia="宋体" w:cs="宋体"/>
                <w:color w:val="auto"/>
                <w:sz w:val="21"/>
                <w:szCs w:val="21"/>
                <w:highlight w:val="none"/>
                <w:u w:val="none"/>
                <w:lang w:val="en-US" w:eastAsia="zh-CN"/>
              </w:rPr>
              <w:t>1</w:t>
            </w:r>
            <w:r>
              <w:rPr>
                <w:rFonts w:hint="eastAsia" w:ascii="宋体" w:eastAsia="宋体" w:cs="宋体"/>
                <w:color w:val="auto"/>
                <w:sz w:val="21"/>
                <w:szCs w:val="21"/>
                <w:highlight w:val="none"/>
                <w:u w:val="none"/>
              </w:rPr>
              <w:t>分；</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eastAsia="宋体" w:cs="宋体"/>
                <w:color w:val="auto"/>
                <w:sz w:val="21"/>
                <w:szCs w:val="21"/>
                <w:highlight w:val="none"/>
                <w:u w:val="none"/>
                <w:lang w:eastAsia="zh-CN"/>
              </w:rPr>
            </w:pPr>
            <w:r>
              <w:rPr>
                <w:rFonts w:hint="eastAsia" w:ascii="宋体" w:eastAsia="宋体" w:cs="宋体"/>
                <w:b/>
                <w:bCs/>
                <w:color w:val="auto"/>
                <w:sz w:val="21"/>
                <w:szCs w:val="21"/>
                <w:highlight w:val="none"/>
                <w:u w:val="none"/>
              </w:rPr>
              <w:t>注：以上人员在履行期间，拟投入本项目的所有人员须专职服务本项目，如相关人员有变更应及时向采购人办理变更备案手续；提供的人员不得重复得分；须提供有效的相关证书复印件加盖投标人公章, 并提供社保部门出具的投标人为其购买的近六个月年内任意一个月的社会保险证明材料加盖投标人公章，否则不得分，联合体任意一方提供即可得分</w:t>
            </w:r>
            <w:r>
              <w:rPr>
                <w:rFonts w:hint="eastAsia" w:ascii="宋体" w:eastAsia="宋体" w:cs="宋体"/>
                <w:b/>
                <w:bCs w:val="0"/>
                <w:color w:val="auto"/>
                <w:sz w:val="21"/>
                <w:szCs w:val="21"/>
                <w:highlight w:val="none"/>
                <w:u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u w:val="none"/>
              </w:rPr>
            </w:pPr>
            <w:r>
              <w:rPr>
                <w:rFonts w:hint="eastAsia" w:ascii="宋体" w:eastAsia="宋体" w:cs="宋体"/>
                <w:color w:val="auto"/>
                <w:sz w:val="21"/>
                <w:szCs w:val="21"/>
                <w:highlight w:val="none"/>
                <w:u w:val="none"/>
                <w:lang w:val="en-US" w:eastAsia="zh-CN"/>
              </w:rPr>
              <w:t>企业信誉</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投标人提供2022年1月1日至今未受到相关主管部门的行政处罚或开标前未处在行政处罚内的得5分</w:t>
            </w:r>
            <w:r>
              <w:rPr>
                <w:rFonts w:hint="eastAsia" w:ascii="宋体" w:eastAsia="宋体" w:cs="宋体"/>
                <w:b w:val="0"/>
                <w:bCs w:val="0"/>
                <w:color w:val="auto"/>
                <w:sz w:val="21"/>
                <w:szCs w:val="21"/>
                <w:highlight w:val="none"/>
                <w:u w:val="none"/>
                <w:lang w:eastAsia="zh-CN"/>
              </w:rPr>
              <w:t>；</w:t>
            </w:r>
            <w:r>
              <w:rPr>
                <w:rFonts w:hint="eastAsia" w:ascii="宋体" w:eastAsia="宋体" w:cs="宋体"/>
                <w:b w:val="0"/>
                <w:bCs w:val="0"/>
                <w:color w:val="auto"/>
                <w:sz w:val="21"/>
                <w:szCs w:val="21"/>
                <w:highlight w:val="none"/>
                <w:u w:val="none"/>
              </w:rPr>
              <w:t>未提供证明材料或受到1次以上行政处罚并在开标前处于行政处罚内的不得分。(以信用中国查询截图为准)</w:t>
            </w:r>
          </w:p>
          <w:p>
            <w:pPr>
              <w:pStyle w:val="43"/>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eastAsia="宋体" w:cs="宋体"/>
                <w:b/>
                <w:bCs/>
                <w:color w:val="auto"/>
                <w:sz w:val="21"/>
                <w:szCs w:val="21"/>
                <w:highlight w:val="none"/>
                <w:u w:val="none"/>
              </w:rPr>
            </w:pPr>
            <w:r>
              <w:rPr>
                <w:rFonts w:hint="eastAsia" w:ascii="宋体" w:eastAsia="宋体" w:cs="宋体"/>
                <w:b/>
                <w:bCs/>
                <w:color w:val="auto"/>
                <w:sz w:val="21"/>
                <w:szCs w:val="21"/>
                <w:highlight w:val="none"/>
                <w:u w:val="none"/>
              </w:rPr>
              <w:t>注:此处行政处罚指供应商因违法经营受到的警告、通报批评、200万元以下罚款、限制开展生产经营活动、限制从业的行政处罚。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30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szCs w:val="21"/>
                <w:highlight w:val="none"/>
                <w:u w:val="none"/>
              </w:rPr>
            </w:pPr>
            <w:r>
              <w:rPr>
                <w:rFonts w:hint="eastAsia" w:hAnsi="宋体" w:cs="宋体"/>
                <w:color w:val="auto"/>
                <w:spacing w:val="2"/>
                <w:szCs w:val="21"/>
                <w:highlight w:val="none"/>
                <w:u w:val="none"/>
              </w:rPr>
              <w:t>项目实施（</w:t>
            </w:r>
            <w:r>
              <w:rPr>
                <w:rFonts w:hint="eastAsia" w:hAnsi="宋体" w:cs="宋体"/>
                <w:color w:val="auto"/>
                <w:spacing w:val="2"/>
                <w:szCs w:val="21"/>
                <w:highlight w:val="none"/>
                <w:u w:val="none"/>
                <w:lang w:eastAsia="zh-CN"/>
              </w:rPr>
              <w:t>设计、</w:t>
            </w:r>
            <w:r>
              <w:rPr>
                <w:rFonts w:hint="eastAsia" w:hAnsi="宋体" w:cs="宋体"/>
                <w:color w:val="auto"/>
                <w:spacing w:val="2"/>
                <w:szCs w:val="21"/>
                <w:highlight w:val="none"/>
                <w:u w:val="none"/>
              </w:rPr>
              <w:t>供货、安装）方案及进度计划</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ascii="宋体" w:hAnsi="宋体" w:cs="宋体"/>
                <w:color w:val="auto"/>
                <w:szCs w:val="21"/>
                <w:highlight w:val="none"/>
                <w:u w:val="none"/>
              </w:rPr>
            </w:pPr>
            <w:r>
              <w:rPr>
                <w:rFonts w:hint="eastAsia" w:ascii="宋体" w:hAnsi="宋体" w:cs="宋体"/>
                <w:color w:val="auto"/>
                <w:szCs w:val="21"/>
                <w:highlight w:val="none"/>
                <w:u w:val="none"/>
              </w:rPr>
              <w:t>根据供应商提供的项目实施方案（包括不限于</w:t>
            </w:r>
            <w:r>
              <w:rPr>
                <w:rFonts w:hint="eastAsia" w:ascii="宋体" w:hAnsi="宋体" w:cs="宋体"/>
                <w:color w:val="auto"/>
                <w:szCs w:val="21"/>
                <w:highlight w:val="none"/>
                <w:u w:val="none"/>
                <w:lang w:eastAsia="zh-CN"/>
              </w:rPr>
              <w:t>初步设计方案、</w:t>
            </w:r>
            <w:r>
              <w:rPr>
                <w:rFonts w:hint="eastAsia" w:ascii="宋体" w:hAnsi="宋体" w:cs="宋体"/>
                <w:color w:val="auto"/>
                <w:szCs w:val="21"/>
                <w:highlight w:val="none"/>
                <w:u w:val="none"/>
              </w:rPr>
              <w:t>项目进度安排、项目验收方案、货物运输及保护措施、安装调试方案）进行评审：</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ascii="宋体" w:hAnsi="宋体" w:cs="宋体"/>
                <w:color w:val="auto"/>
                <w:szCs w:val="21"/>
                <w:highlight w:val="none"/>
                <w:u w:val="none"/>
              </w:rPr>
            </w:pPr>
            <w:r>
              <w:rPr>
                <w:rFonts w:hint="eastAsia" w:ascii="宋体" w:hAnsi="宋体" w:cs="宋体"/>
                <w:color w:val="auto"/>
                <w:szCs w:val="21"/>
                <w:highlight w:val="none"/>
                <w:u w:val="none"/>
              </w:rPr>
              <w:t>①针对本项目特征制定的实施方案的可靠性、可行性、安全性非常高的，进度计划安排非常科学合理，可行性强的，得</w:t>
            </w:r>
            <w:r>
              <w:rPr>
                <w:rFonts w:hint="eastAsia" w:ascii="宋体" w:hAnsi="宋体" w:cs="宋体"/>
                <w:color w:val="auto"/>
                <w:szCs w:val="21"/>
                <w:highlight w:val="none"/>
                <w:u w:val="none"/>
                <w:lang w:val="en-US" w:eastAsia="zh-CN"/>
              </w:rPr>
              <w:t>10</w:t>
            </w:r>
            <w:r>
              <w:rPr>
                <w:rFonts w:hint="eastAsia" w:ascii="宋体" w:hAnsi="宋体" w:cs="宋体"/>
                <w:color w:val="auto"/>
                <w:szCs w:val="21"/>
                <w:highlight w:val="none"/>
                <w:u w:val="none"/>
              </w:rPr>
              <w:t>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ascii="宋体" w:hAnsi="宋体" w:cs="宋体"/>
                <w:color w:val="auto"/>
                <w:szCs w:val="21"/>
                <w:highlight w:val="none"/>
                <w:u w:val="none"/>
              </w:rPr>
            </w:pPr>
            <w:r>
              <w:rPr>
                <w:rFonts w:hint="eastAsia" w:ascii="宋体" w:hAnsi="宋体" w:cs="宋体"/>
                <w:color w:val="auto"/>
                <w:szCs w:val="21"/>
                <w:highlight w:val="none"/>
                <w:u w:val="none"/>
              </w:rPr>
              <w:t>②针对本项目特征制定的实施方案的可靠性、可行性、安全性比较高的，进度计划安排比较科学合理，可行性较强的，得</w:t>
            </w:r>
            <w:r>
              <w:rPr>
                <w:rFonts w:hint="eastAsia" w:ascii="宋体" w:hAnsi="宋体" w:cs="宋体"/>
                <w:color w:val="auto"/>
                <w:szCs w:val="21"/>
                <w:highlight w:val="none"/>
                <w:u w:val="none"/>
                <w:lang w:val="en-US" w:eastAsia="zh-CN"/>
              </w:rPr>
              <w:t>6</w:t>
            </w:r>
            <w:r>
              <w:rPr>
                <w:rFonts w:hint="eastAsia" w:ascii="宋体" w:hAnsi="宋体" w:cs="宋体"/>
                <w:color w:val="auto"/>
                <w:szCs w:val="21"/>
                <w:highlight w:val="none"/>
                <w:u w:val="none"/>
              </w:rPr>
              <w:t>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ascii="宋体" w:hAnsi="宋体" w:cs="宋体"/>
                <w:color w:val="auto"/>
                <w:szCs w:val="21"/>
                <w:highlight w:val="none"/>
                <w:u w:val="none"/>
              </w:rPr>
            </w:pPr>
            <w:r>
              <w:rPr>
                <w:rFonts w:hint="eastAsia" w:ascii="宋体" w:hAnsi="宋体" w:cs="宋体"/>
                <w:color w:val="auto"/>
                <w:szCs w:val="21"/>
                <w:highlight w:val="none"/>
                <w:u w:val="none"/>
              </w:rPr>
              <w:t>③针对本项目特征制定的实施方案的可靠性、可行性、安全性一般的，进度计划安排基本科学合理，可行性一般的，得</w:t>
            </w:r>
            <w:r>
              <w:rPr>
                <w:rFonts w:hint="eastAsia" w:ascii="宋体" w:hAnsi="宋体" w:cs="宋体"/>
                <w:color w:val="auto"/>
                <w:szCs w:val="21"/>
                <w:highlight w:val="none"/>
                <w:u w:val="none"/>
                <w:lang w:val="en-US" w:eastAsia="zh-CN"/>
              </w:rPr>
              <w:t>3</w:t>
            </w:r>
            <w:r>
              <w:rPr>
                <w:rFonts w:hint="eastAsia" w:ascii="宋体" w:hAnsi="宋体" w:cs="宋体"/>
                <w:color w:val="auto"/>
                <w:szCs w:val="21"/>
                <w:highlight w:val="none"/>
                <w:u w:val="none"/>
              </w:rPr>
              <w:t>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u w:val="none"/>
              </w:rPr>
              <w:t>④针对本项目特征制定的实施方案的可靠性、可行性、安全性差的，进度计划安排比较简单，可行性差</w:t>
            </w:r>
            <w:r>
              <w:rPr>
                <w:rFonts w:hint="eastAsia" w:ascii="宋体" w:hAnsi="宋体" w:cs="宋体"/>
                <w:color w:val="auto"/>
                <w:szCs w:val="21"/>
                <w:highlight w:val="none"/>
                <w:u w:val="none"/>
                <w:lang w:eastAsia="zh-CN"/>
              </w:rPr>
              <w:t>的，得</w:t>
            </w:r>
            <w:r>
              <w:rPr>
                <w:rFonts w:hint="eastAsia" w:ascii="宋体" w:hAnsi="宋体" w:cs="宋体"/>
                <w:color w:val="auto"/>
                <w:szCs w:val="21"/>
                <w:highlight w:val="none"/>
                <w:u w:val="none"/>
                <w:lang w:val="en-US" w:eastAsia="zh-CN"/>
              </w:rPr>
              <w:t>1分；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lang w:eastAsia="zh-CN"/>
              </w:rPr>
              <w:t>⑤</w:t>
            </w:r>
            <w:r>
              <w:rPr>
                <w:rFonts w:hint="eastAsia" w:ascii="宋体" w:hAnsi="宋体" w:cs="宋体"/>
                <w:color w:val="auto"/>
                <w:szCs w:val="21"/>
                <w:highlight w:val="none"/>
                <w:u w:val="none"/>
              </w:rPr>
              <w:t>未提供</w:t>
            </w:r>
            <w:r>
              <w:rPr>
                <w:rFonts w:hint="eastAsia" w:ascii="宋体" w:hAnsi="宋体" w:cs="宋体"/>
                <w:color w:val="auto"/>
                <w:szCs w:val="21"/>
                <w:highlight w:val="none"/>
                <w:u w:val="none"/>
                <w:lang w:eastAsia="zh-CN"/>
              </w:rPr>
              <w:t>相关方案的</w:t>
            </w:r>
            <w:r>
              <w:rPr>
                <w:rFonts w:hint="eastAsia" w:ascii="宋体" w:hAnsi="宋体" w:cs="宋体"/>
                <w:color w:val="auto"/>
                <w:szCs w:val="21"/>
                <w:highlight w:val="none"/>
                <w:u w:val="none"/>
              </w:rPr>
              <w:t>，不得分</w:t>
            </w:r>
            <w:r>
              <w:rPr>
                <w:rFonts w:hint="eastAsia" w:ascii="宋体" w:hAnsi="宋体" w:cs="宋体"/>
                <w:color w:val="auto"/>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eastAsia" w:ascii="Tahoma" w:hAnsi="宋体" w:eastAsia="宋体" w:cs="宋体"/>
                <w:color w:val="auto"/>
                <w:spacing w:val="2"/>
                <w:sz w:val="21"/>
                <w:szCs w:val="21"/>
                <w:highlight w:val="none"/>
                <w:u w:val="none"/>
                <w:lang w:val="en-US" w:eastAsia="zh-CN" w:bidi="ar-SA"/>
              </w:rPr>
            </w:pPr>
            <w:r>
              <w:rPr>
                <w:rFonts w:hint="eastAsia" w:hAnsi="宋体" w:cs="宋体"/>
                <w:color w:val="auto"/>
                <w:spacing w:val="2"/>
                <w:szCs w:val="21"/>
                <w:highlight w:val="none"/>
                <w:u w:val="none"/>
                <w:lang w:eastAsia="zh-CN"/>
              </w:rPr>
              <w:t>产品性能</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lang w:val="en-US" w:eastAsia="zh-CN"/>
              </w:rPr>
              <w:t>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根据投标人所投设备的综合性能</w:t>
            </w:r>
            <w:r>
              <w:rPr>
                <w:rFonts w:hint="eastAsia" w:ascii="宋体" w:hAnsi="宋体" w:eastAsia="宋体" w:cs="宋体"/>
                <w:color w:val="auto"/>
                <w:szCs w:val="21"/>
                <w:highlight w:val="none"/>
                <w:u w:val="none"/>
                <w:lang w:eastAsia="zh-CN"/>
              </w:rPr>
              <w:t>（包括设计与配置、材质、实用性、耐用性等）</w:t>
            </w:r>
            <w:r>
              <w:rPr>
                <w:rFonts w:hint="eastAsia" w:ascii="宋体" w:hAnsi="宋体" w:eastAsia="宋体" w:cs="宋体"/>
                <w:color w:val="auto"/>
                <w:szCs w:val="21"/>
                <w:highlight w:val="none"/>
                <w:u w:val="none"/>
              </w:rPr>
              <w:t>进行综合评分。</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①</w:t>
            </w:r>
            <w:r>
              <w:rPr>
                <w:rFonts w:hint="eastAsia" w:ascii="宋体" w:hAnsi="宋体" w:eastAsia="宋体" w:cs="宋体"/>
                <w:color w:val="auto"/>
                <w:szCs w:val="21"/>
                <w:highlight w:val="none"/>
                <w:u w:val="none"/>
              </w:rPr>
              <w:t>设备设计及配置先进，材质可靠，实用性、耐用性好，得</w:t>
            </w:r>
            <w:r>
              <w:rPr>
                <w:rFonts w:hint="eastAsia" w:ascii="宋体" w:hAnsi="宋体" w:eastAsia="宋体" w:cs="宋体"/>
                <w:color w:val="auto"/>
                <w:szCs w:val="21"/>
                <w:highlight w:val="none"/>
                <w:u w:val="none"/>
                <w:lang w:val="en-US" w:eastAsia="zh-CN"/>
              </w:rPr>
              <w:t>5</w:t>
            </w:r>
            <w:r>
              <w:rPr>
                <w:rFonts w:hint="eastAsia" w:ascii="宋体" w:hAnsi="宋体" w:eastAsia="宋体" w:cs="宋体"/>
                <w:color w:val="auto"/>
                <w:szCs w:val="21"/>
                <w:highlight w:val="none"/>
                <w:u w:val="none"/>
              </w:rPr>
              <w:t>分</w:t>
            </w:r>
            <w:r>
              <w:rPr>
                <w:rFonts w:hint="eastAsia" w:ascii="宋体" w:hAnsi="宋体" w:eastAsia="宋体" w:cs="宋体"/>
                <w:color w:val="auto"/>
                <w:szCs w:val="21"/>
                <w:highlight w:val="none"/>
                <w:u w:val="none"/>
                <w:lang w:eastAsia="zh-CN"/>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②</w:t>
            </w:r>
            <w:r>
              <w:rPr>
                <w:rFonts w:hint="eastAsia" w:ascii="宋体" w:hAnsi="宋体" w:eastAsia="宋体" w:cs="宋体"/>
                <w:color w:val="auto"/>
                <w:szCs w:val="21"/>
                <w:highlight w:val="none"/>
                <w:u w:val="none"/>
              </w:rPr>
              <w:t>设备设计及配置较为先进，材质可靠，实用性、耐用性一般，得</w:t>
            </w:r>
            <w:r>
              <w:rPr>
                <w:rFonts w:hint="eastAsia" w:ascii="宋体" w:hAnsi="宋体" w:eastAsia="宋体" w:cs="宋体"/>
                <w:color w:val="auto"/>
                <w:szCs w:val="21"/>
                <w:highlight w:val="none"/>
                <w:u w:val="none"/>
                <w:lang w:val="en-US" w:eastAsia="zh-CN"/>
              </w:rPr>
              <w:t>4</w:t>
            </w:r>
            <w:r>
              <w:rPr>
                <w:rFonts w:hint="eastAsia" w:ascii="宋体" w:hAnsi="宋体" w:eastAsia="宋体" w:cs="宋体"/>
                <w:color w:val="auto"/>
                <w:szCs w:val="21"/>
                <w:highlight w:val="none"/>
                <w:u w:val="none"/>
              </w:rPr>
              <w:t>分</w:t>
            </w:r>
            <w:r>
              <w:rPr>
                <w:rFonts w:hint="eastAsia" w:ascii="宋体" w:hAnsi="宋体" w:eastAsia="宋体" w:cs="宋体"/>
                <w:color w:val="auto"/>
                <w:szCs w:val="21"/>
                <w:highlight w:val="none"/>
                <w:u w:val="none"/>
                <w:lang w:eastAsia="zh-CN"/>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③</w:t>
            </w:r>
            <w:r>
              <w:rPr>
                <w:rFonts w:hint="eastAsia" w:ascii="宋体" w:hAnsi="宋体" w:eastAsia="宋体" w:cs="宋体"/>
                <w:color w:val="auto"/>
                <w:szCs w:val="21"/>
                <w:highlight w:val="none"/>
                <w:u w:val="none"/>
              </w:rPr>
              <w:t>设备设计及配置一般，材质一般，实用性、耐用性一般，得</w:t>
            </w:r>
            <w:r>
              <w:rPr>
                <w:rFonts w:hint="eastAsia" w:ascii="宋体" w:hAnsi="宋体" w:eastAsia="宋体" w:cs="宋体"/>
                <w:color w:val="auto"/>
                <w:szCs w:val="21"/>
                <w:highlight w:val="none"/>
                <w:u w:val="none"/>
                <w:lang w:val="en-US" w:eastAsia="zh-CN"/>
              </w:rPr>
              <w:t>3</w:t>
            </w:r>
            <w:r>
              <w:rPr>
                <w:rFonts w:hint="eastAsia" w:ascii="宋体" w:hAnsi="宋体" w:eastAsia="宋体" w:cs="宋体"/>
                <w:color w:val="auto"/>
                <w:szCs w:val="21"/>
                <w:highlight w:val="none"/>
                <w:u w:val="none"/>
              </w:rPr>
              <w:t>分</w:t>
            </w:r>
            <w:r>
              <w:rPr>
                <w:rFonts w:hint="eastAsia" w:ascii="宋体" w:hAnsi="宋体" w:eastAsia="宋体" w:cs="宋体"/>
                <w:color w:val="auto"/>
                <w:szCs w:val="21"/>
                <w:highlight w:val="none"/>
                <w:u w:val="none"/>
                <w:lang w:eastAsia="zh-CN"/>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val="zh-CN"/>
              </w:rPr>
            </w:pPr>
            <w:r>
              <w:rPr>
                <w:rFonts w:hint="eastAsia" w:ascii="宋体" w:hAnsi="宋体" w:eastAsia="宋体" w:cs="宋体"/>
                <w:color w:val="auto"/>
                <w:szCs w:val="21"/>
                <w:highlight w:val="none"/>
                <w:u w:val="none"/>
                <w:lang w:val="zh-CN"/>
              </w:rPr>
              <w:t>④设备设计及配置差，材质差，实用性、耐用性差，得</w:t>
            </w:r>
            <w:r>
              <w:rPr>
                <w:rFonts w:hint="eastAsia" w:ascii="宋体" w:hAnsi="宋体" w:eastAsia="宋体" w:cs="宋体"/>
                <w:color w:val="auto"/>
                <w:szCs w:val="21"/>
                <w:highlight w:val="none"/>
                <w:u w:val="none"/>
              </w:rPr>
              <w:t>1</w:t>
            </w:r>
            <w:r>
              <w:rPr>
                <w:rFonts w:hint="eastAsia" w:ascii="宋体" w:hAnsi="宋体" w:eastAsia="宋体" w:cs="宋体"/>
                <w:color w:val="auto"/>
                <w:szCs w:val="21"/>
                <w:highlight w:val="none"/>
                <w:u w:val="none"/>
                <w:lang w:val="zh-CN"/>
              </w:rPr>
              <w:t>分；</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 w:val="21"/>
                <w:szCs w:val="21"/>
                <w:highlight w:val="none"/>
                <w:u w:val="none"/>
                <w:lang w:val="zh-CN" w:eastAsia="zh-CN" w:bidi="ar-SA"/>
              </w:rPr>
            </w:pPr>
            <w:r>
              <w:rPr>
                <w:rFonts w:hint="eastAsia" w:ascii="宋体" w:hAnsi="宋体" w:eastAsia="宋体" w:cs="宋体"/>
                <w:color w:val="auto"/>
                <w:szCs w:val="21"/>
                <w:highlight w:val="none"/>
                <w:u w:val="none"/>
                <w:lang w:eastAsia="zh-CN"/>
              </w:rPr>
              <w:t>⑤</w:t>
            </w:r>
            <w:r>
              <w:rPr>
                <w:rFonts w:hint="eastAsia" w:ascii="宋体" w:hAnsi="宋体" w:eastAsia="宋体" w:cs="宋体"/>
                <w:color w:val="auto"/>
                <w:szCs w:val="21"/>
                <w:highlight w:val="none"/>
                <w:u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ascii="宋体" w:eastAsia="宋体" w:cs="宋体"/>
                <w:color w:val="auto"/>
                <w:sz w:val="21"/>
                <w:szCs w:val="21"/>
                <w:highlight w:val="none"/>
              </w:rPr>
              <w:t>3</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szCs w:val="21"/>
                <w:highlight w:val="none"/>
                <w:u w:val="none"/>
              </w:rPr>
            </w:pPr>
            <w:r>
              <w:rPr>
                <w:rFonts w:hint="eastAsia" w:hAnsi="宋体" w:cs="宋体"/>
                <w:color w:val="auto"/>
                <w:szCs w:val="21"/>
                <w:highlight w:val="none"/>
                <w:u w:val="none"/>
                <w:lang w:bidi="ar"/>
              </w:rPr>
              <w:t>质量保证措施</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12" w:lineRule="auto"/>
              <w:textAlignment w:val="auto"/>
              <w:rPr>
                <w:rFonts w:ascii="宋体" w:hAnsi="宋体" w:cs="宋体"/>
                <w:color w:val="auto"/>
                <w:szCs w:val="21"/>
                <w:highlight w:val="none"/>
                <w:u w:val="none"/>
              </w:rPr>
            </w:pPr>
            <w:r>
              <w:rPr>
                <w:rFonts w:hint="eastAsia" w:ascii="宋体" w:hAnsi="宋体" w:cs="宋体"/>
                <w:color w:val="auto"/>
                <w:szCs w:val="21"/>
                <w:highlight w:val="none"/>
                <w:u w:val="none"/>
              </w:rPr>
              <w:t>根据供应商提供质量保证措施方案（包括但不限于质量目标、项目质量的控制、质量保证措施等）进行评审；</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cs="宋体"/>
                <w:color w:val="auto"/>
                <w:szCs w:val="21"/>
                <w:highlight w:val="none"/>
                <w:u w:val="none"/>
              </w:rPr>
            </w:pPr>
            <w:r>
              <w:rPr>
                <w:rFonts w:hint="eastAsia" w:ascii="宋体" w:hAnsi="宋体" w:cs="宋体"/>
                <w:color w:val="auto"/>
                <w:szCs w:val="21"/>
                <w:highlight w:val="none"/>
                <w:u w:val="none"/>
              </w:rPr>
              <w:t>①质量目标非常明确、对项目质量的控制非常详细、检验手段非常科学，质量保证措施非常具体，可行</w:t>
            </w:r>
            <w:r>
              <w:rPr>
                <w:rFonts w:hint="eastAsia" w:ascii="宋体" w:hAnsi="宋体" w:cs="宋体"/>
                <w:color w:val="auto"/>
                <w:szCs w:val="21"/>
                <w:highlight w:val="none"/>
                <w:u w:val="none"/>
                <w:lang w:val="en-US" w:eastAsia="zh-CN"/>
              </w:rPr>
              <w:t>性强</w:t>
            </w:r>
            <w:r>
              <w:rPr>
                <w:rFonts w:hint="eastAsia" w:ascii="宋体" w:hAnsi="宋体" w:cs="宋体"/>
                <w:color w:val="auto"/>
                <w:szCs w:val="21"/>
                <w:highlight w:val="none"/>
                <w:u w:val="none"/>
              </w:rPr>
              <w:t>的，得</w:t>
            </w:r>
            <w:r>
              <w:rPr>
                <w:rFonts w:hint="eastAsia" w:ascii="宋体" w:hAnsi="宋体" w:cs="宋体"/>
                <w:color w:val="auto"/>
                <w:szCs w:val="21"/>
                <w:highlight w:val="none"/>
                <w:u w:val="none"/>
                <w:lang w:val="en-US" w:eastAsia="zh-CN"/>
              </w:rPr>
              <w:t>10</w:t>
            </w:r>
            <w:r>
              <w:rPr>
                <w:rFonts w:hint="eastAsia" w:ascii="宋体" w:hAnsi="宋体" w:cs="宋体"/>
                <w:color w:val="auto"/>
                <w:szCs w:val="21"/>
                <w:highlight w:val="none"/>
                <w:u w:val="none"/>
              </w:rPr>
              <w:t>分；</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cs="宋体"/>
                <w:color w:val="auto"/>
                <w:szCs w:val="21"/>
                <w:highlight w:val="none"/>
                <w:u w:val="none"/>
              </w:rPr>
            </w:pPr>
            <w:r>
              <w:rPr>
                <w:rFonts w:hint="eastAsia" w:ascii="宋体" w:hAnsi="宋体" w:cs="宋体"/>
                <w:color w:val="auto"/>
                <w:szCs w:val="21"/>
                <w:highlight w:val="none"/>
                <w:u w:val="none"/>
              </w:rPr>
              <w:t>②质量目标比较明确、对项目质量的控制较为详细、检验手段比较科学，质量保证措施比较具体，可行</w:t>
            </w:r>
            <w:r>
              <w:rPr>
                <w:rFonts w:hint="eastAsia" w:ascii="宋体" w:hAnsi="宋体" w:cs="宋体"/>
                <w:color w:val="auto"/>
                <w:szCs w:val="21"/>
                <w:highlight w:val="none"/>
                <w:u w:val="none"/>
                <w:lang w:val="en-US" w:eastAsia="zh-CN"/>
              </w:rPr>
              <w:t>性较强</w:t>
            </w:r>
            <w:r>
              <w:rPr>
                <w:rFonts w:hint="eastAsia" w:ascii="宋体" w:hAnsi="宋体" w:cs="宋体"/>
                <w:color w:val="auto"/>
                <w:szCs w:val="21"/>
                <w:highlight w:val="none"/>
                <w:u w:val="none"/>
              </w:rPr>
              <w:t>的，得</w:t>
            </w:r>
            <w:r>
              <w:rPr>
                <w:rFonts w:hint="eastAsia" w:ascii="宋体" w:hAnsi="宋体" w:cs="宋体"/>
                <w:color w:val="auto"/>
                <w:szCs w:val="21"/>
                <w:highlight w:val="none"/>
                <w:u w:val="none"/>
                <w:lang w:val="en-US" w:eastAsia="zh-CN"/>
              </w:rPr>
              <w:t>6</w:t>
            </w:r>
            <w:r>
              <w:rPr>
                <w:rFonts w:hint="eastAsia" w:ascii="宋体" w:hAnsi="宋体" w:cs="宋体"/>
                <w:color w:val="auto"/>
                <w:szCs w:val="21"/>
                <w:highlight w:val="none"/>
                <w:u w:val="none"/>
              </w:rPr>
              <w:t>分；</w:t>
            </w:r>
          </w:p>
          <w:p>
            <w:pPr>
              <w:keepNext w:val="0"/>
              <w:keepLines w:val="0"/>
              <w:pageBreakBefore w:val="0"/>
              <w:kinsoku/>
              <w:wordWrap/>
              <w:overflowPunct/>
              <w:topLinePunct w:val="0"/>
              <w:autoSpaceDE/>
              <w:autoSpaceDN/>
              <w:bidi w:val="0"/>
              <w:spacing w:line="312" w:lineRule="auto"/>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u w:val="none"/>
              </w:rPr>
              <w:t>③质量目标基本明确、对项目质量的控制详细程度</w:t>
            </w:r>
            <w:r>
              <w:rPr>
                <w:rFonts w:hint="eastAsia" w:ascii="宋体" w:hAnsi="宋体" w:cs="宋体"/>
                <w:color w:val="auto"/>
                <w:szCs w:val="21"/>
                <w:highlight w:val="none"/>
                <w:u w:val="none"/>
                <w:lang w:val="en-US" w:eastAsia="zh-CN"/>
              </w:rPr>
              <w:t>一般</w:t>
            </w:r>
            <w:r>
              <w:rPr>
                <w:rFonts w:hint="eastAsia" w:ascii="宋体" w:hAnsi="宋体" w:cs="宋体"/>
                <w:color w:val="auto"/>
                <w:szCs w:val="21"/>
                <w:highlight w:val="none"/>
                <w:u w:val="none"/>
              </w:rPr>
              <w:t>、检验手段科学性</w:t>
            </w:r>
            <w:r>
              <w:rPr>
                <w:rFonts w:hint="eastAsia" w:ascii="宋体" w:hAnsi="宋体" w:cs="宋体"/>
                <w:color w:val="auto"/>
                <w:szCs w:val="21"/>
                <w:highlight w:val="none"/>
                <w:u w:val="none"/>
                <w:lang w:eastAsia="zh-CN"/>
              </w:rPr>
              <w:t>一般</w:t>
            </w:r>
            <w:r>
              <w:rPr>
                <w:rFonts w:hint="eastAsia" w:ascii="宋体" w:hAnsi="宋体" w:cs="宋体"/>
                <w:color w:val="auto"/>
                <w:szCs w:val="21"/>
                <w:highlight w:val="none"/>
                <w:u w:val="none"/>
              </w:rPr>
              <w:t>，质量保证措施不够具体，可行性</w:t>
            </w:r>
            <w:r>
              <w:rPr>
                <w:rFonts w:hint="eastAsia" w:ascii="宋体" w:hAnsi="宋体" w:cs="宋体"/>
                <w:color w:val="auto"/>
                <w:szCs w:val="21"/>
                <w:highlight w:val="none"/>
                <w:u w:val="none"/>
                <w:lang w:eastAsia="zh-CN"/>
              </w:rPr>
              <w:t>一般的，得</w:t>
            </w:r>
            <w:r>
              <w:rPr>
                <w:rFonts w:hint="eastAsia" w:ascii="宋体" w:hAnsi="宋体" w:cs="宋体"/>
                <w:color w:val="auto"/>
                <w:szCs w:val="21"/>
                <w:highlight w:val="none"/>
                <w:u w:val="none"/>
                <w:lang w:val="en-US" w:eastAsia="zh-CN"/>
              </w:rPr>
              <w:t>3分；</w:t>
            </w:r>
          </w:p>
          <w:p>
            <w:pPr>
              <w:keepNext w:val="0"/>
              <w:keepLines w:val="0"/>
              <w:pageBreakBefore w:val="0"/>
              <w:kinsoku/>
              <w:wordWrap/>
              <w:overflowPunct/>
              <w:topLinePunct w:val="0"/>
              <w:autoSpaceDE/>
              <w:autoSpaceDN/>
              <w:bidi w:val="0"/>
              <w:spacing w:line="312" w:lineRule="auto"/>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u w:val="none"/>
                <w:lang w:eastAsia="zh-CN"/>
              </w:rPr>
              <w:t>④</w:t>
            </w:r>
            <w:r>
              <w:rPr>
                <w:rFonts w:hint="eastAsia" w:ascii="宋体" w:hAnsi="宋体" w:cs="宋体"/>
                <w:color w:val="auto"/>
                <w:szCs w:val="21"/>
                <w:highlight w:val="none"/>
                <w:u w:val="none"/>
              </w:rPr>
              <w:t>质量目标</w:t>
            </w:r>
            <w:r>
              <w:rPr>
                <w:rFonts w:hint="eastAsia" w:ascii="宋体" w:hAnsi="宋体" w:cs="宋体"/>
                <w:color w:val="auto"/>
                <w:szCs w:val="21"/>
                <w:highlight w:val="none"/>
                <w:u w:val="none"/>
                <w:lang w:eastAsia="zh-CN"/>
              </w:rPr>
              <w:t>不</w:t>
            </w:r>
            <w:r>
              <w:rPr>
                <w:rFonts w:hint="eastAsia" w:ascii="宋体" w:hAnsi="宋体" w:cs="宋体"/>
                <w:color w:val="auto"/>
                <w:szCs w:val="21"/>
                <w:highlight w:val="none"/>
                <w:u w:val="none"/>
              </w:rPr>
              <w:t>明确、对项目质量的控制</w:t>
            </w:r>
            <w:r>
              <w:rPr>
                <w:rFonts w:hint="eastAsia" w:ascii="宋体" w:hAnsi="宋体" w:cs="宋体"/>
                <w:color w:val="auto"/>
                <w:szCs w:val="21"/>
                <w:highlight w:val="none"/>
                <w:u w:val="none"/>
                <w:lang w:eastAsia="zh-CN"/>
              </w:rPr>
              <w:t>方案</w:t>
            </w:r>
            <w:r>
              <w:rPr>
                <w:rFonts w:hint="eastAsia" w:ascii="宋体" w:hAnsi="宋体" w:cs="宋体"/>
                <w:color w:val="auto"/>
                <w:szCs w:val="21"/>
                <w:highlight w:val="none"/>
                <w:u w:val="none"/>
              </w:rPr>
              <w:t>、检验手段科学性</w:t>
            </w:r>
            <w:r>
              <w:rPr>
                <w:rFonts w:hint="eastAsia" w:ascii="宋体" w:hAnsi="宋体" w:cs="宋体"/>
                <w:color w:val="auto"/>
                <w:szCs w:val="21"/>
                <w:highlight w:val="none"/>
                <w:u w:val="none"/>
                <w:lang w:eastAsia="zh-CN"/>
              </w:rPr>
              <w:t>差</w:t>
            </w:r>
            <w:r>
              <w:rPr>
                <w:rFonts w:hint="eastAsia" w:ascii="宋体" w:hAnsi="宋体" w:cs="宋体"/>
                <w:color w:val="auto"/>
                <w:szCs w:val="21"/>
                <w:highlight w:val="none"/>
                <w:u w:val="none"/>
              </w:rPr>
              <w:t>，质量保证措施不具体，</w:t>
            </w:r>
            <w:r>
              <w:rPr>
                <w:rFonts w:hint="eastAsia" w:ascii="宋体" w:hAnsi="宋体" w:cs="宋体"/>
                <w:color w:val="auto"/>
                <w:szCs w:val="21"/>
                <w:highlight w:val="none"/>
                <w:u w:val="none"/>
                <w:lang w:eastAsia="zh-CN"/>
              </w:rPr>
              <w:t>不</w:t>
            </w:r>
            <w:r>
              <w:rPr>
                <w:rFonts w:hint="eastAsia" w:ascii="宋体" w:hAnsi="宋体" w:cs="宋体"/>
                <w:color w:val="auto"/>
                <w:szCs w:val="21"/>
                <w:highlight w:val="none"/>
                <w:u w:val="none"/>
              </w:rPr>
              <w:t>可行</w:t>
            </w:r>
            <w:r>
              <w:rPr>
                <w:rFonts w:hint="eastAsia" w:ascii="宋体" w:hAnsi="宋体" w:cs="宋体"/>
                <w:color w:val="auto"/>
                <w:szCs w:val="21"/>
                <w:highlight w:val="none"/>
                <w:u w:val="none"/>
                <w:lang w:eastAsia="zh-CN"/>
              </w:rPr>
              <w:t>的，得</w:t>
            </w:r>
            <w:r>
              <w:rPr>
                <w:rFonts w:hint="eastAsia" w:ascii="宋体" w:hAnsi="宋体" w:cs="宋体"/>
                <w:color w:val="auto"/>
                <w:szCs w:val="21"/>
                <w:highlight w:val="none"/>
                <w:u w:val="none"/>
                <w:lang w:val="en-US" w:eastAsia="zh-CN"/>
              </w:rPr>
              <w:t>1分；</w:t>
            </w:r>
          </w:p>
          <w:p>
            <w:pPr>
              <w:keepNext w:val="0"/>
              <w:keepLines w:val="0"/>
              <w:pageBreakBefore w:val="0"/>
              <w:kinsoku/>
              <w:wordWrap/>
              <w:overflowPunct/>
              <w:topLinePunct w:val="0"/>
              <w:autoSpaceDE/>
              <w:autoSpaceDN/>
              <w:bidi w:val="0"/>
              <w:spacing w:line="312" w:lineRule="auto"/>
              <w:ind w:firstLine="420" w:firstLineChars="200"/>
              <w:textAlignment w:val="auto"/>
              <w:rPr>
                <w:rFonts w:hAnsi="宋体" w:cs="宋体"/>
                <w:color w:val="auto"/>
                <w:szCs w:val="21"/>
                <w:highlight w:val="none"/>
                <w:u w:val="none"/>
              </w:rPr>
            </w:pPr>
            <w:r>
              <w:rPr>
                <w:rFonts w:hint="eastAsia" w:ascii="宋体" w:hAnsi="宋体" w:cs="宋体"/>
                <w:color w:val="auto"/>
                <w:szCs w:val="21"/>
                <w:highlight w:val="none"/>
                <w:u w:val="none"/>
                <w:lang w:eastAsia="zh-CN"/>
              </w:rPr>
              <w:t>⑤</w:t>
            </w:r>
            <w:r>
              <w:rPr>
                <w:rFonts w:hint="eastAsia" w:ascii="宋体" w:hAnsi="宋体" w:cs="宋体"/>
                <w:color w:val="auto"/>
                <w:szCs w:val="21"/>
                <w:highlight w:val="none"/>
                <w:u w:val="none"/>
              </w:rPr>
              <w:t>未提供</w:t>
            </w:r>
            <w:r>
              <w:rPr>
                <w:rFonts w:hint="eastAsia" w:ascii="宋体" w:hAnsi="宋体" w:cs="宋体"/>
                <w:color w:val="auto"/>
                <w:szCs w:val="21"/>
                <w:highlight w:val="none"/>
                <w:u w:val="none"/>
                <w:lang w:eastAsia="zh-CN"/>
              </w:rPr>
              <w:t>相关方案的</w:t>
            </w:r>
            <w:r>
              <w:rPr>
                <w:rFonts w:hint="eastAsia" w:ascii="宋体" w:hAnsi="宋体" w:cs="宋体"/>
                <w:color w:val="auto"/>
                <w:szCs w:val="21"/>
                <w:highlight w:val="none"/>
                <w:u w:val="none"/>
              </w:rPr>
              <w:t>，不得分</w:t>
            </w:r>
            <w:r>
              <w:rPr>
                <w:rFonts w:hint="eastAsia" w:ascii="宋体" w:hAnsi="宋体" w:cs="宋体"/>
                <w:color w:val="auto"/>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ascii="宋体" w:eastAsia="宋体" w:cs="宋体"/>
                <w:color w:val="auto"/>
                <w:sz w:val="21"/>
                <w:szCs w:val="21"/>
                <w:highlight w:val="none"/>
              </w:rPr>
              <w:t>4</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szCs w:val="21"/>
                <w:highlight w:val="none"/>
                <w:u w:val="none"/>
              </w:rPr>
            </w:pPr>
            <w:r>
              <w:rPr>
                <w:rFonts w:hint="eastAsia" w:hAnsi="宋体" w:cs="宋体"/>
                <w:color w:val="auto"/>
                <w:spacing w:val="2"/>
                <w:szCs w:val="21"/>
                <w:highlight w:val="none"/>
                <w:u w:val="none"/>
              </w:rPr>
              <w:t>售后服务</w:t>
            </w:r>
          </w:p>
        </w:tc>
        <w:tc>
          <w:tcPr>
            <w:tcW w:w="734"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6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根据各投标人提供的售后服务方案（包括售后响应时间、技术支持和售后服务计划、质保期外的维修服务收费标准、服务质量保证、应急方案）进行</w:t>
            </w:r>
            <w:r>
              <w:rPr>
                <w:rFonts w:hint="eastAsia" w:ascii="宋体" w:hAnsi="宋体" w:eastAsia="宋体" w:cs="宋体"/>
                <w:color w:val="auto"/>
                <w:szCs w:val="21"/>
                <w:highlight w:val="none"/>
                <w:u w:val="none"/>
                <w:lang w:eastAsia="zh-CN"/>
              </w:rPr>
              <w:t>评审</w:t>
            </w:r>
            <w:r>
              <w:rPr>
                <w:rFonts w:hint="eastAsia" w:ascii="宋体" w:hAnsi="宋体" w:eastAsia="宋体" w:cs="宋体"/>
                <w:color w:val="auto"/>
                <w:szCs w:val="21"/>
                <w:highlight w:val="none"/>
                <w:u w:val="none"/>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①售后服务方案保障措施详细完整，</w:t>
            </w:r>
            <w:r>
              <w:rPr>
                <w:rFonts w:hint="eastAsia" w:ascii="宋体" w:hAnsi="宋体" w:eastAsia="宋体" w:cs="宋体"/>
                <w:color w:val="auto"/>
                <w:szCs w:val="21"/>
                <w:highlight w:val="none"/>
                <w:u w:val="none"/>
                <w:lang w:eastAsia="zh-CN"/>
              </w:rPr>
              <w:t>科学合理，</w:t>
            </w:r>
            <w:r>
              <w:rPr>
                <w:rFonts w:hint="eastAsia" w:ascii="宋体" w:hAnsi="宋体" w:eastAsia="宋体" w:cs="宋体"/>
                <w:color w:val="auto"/>
                <w:szCs w:val="21"/>
                <w:highlight w:val="none"/>
                <w:u w:val="none"/>
              </w:rPr>
              <w:t>切实可行的</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得</w:t>
            </w:r>
            <w:r>
              <w:rPr>
                <w:rFonts w:hint="eastAsia" w:ascii="宋体" w:hAnsi="宋体" w:eastAsia="宋体" w:cs="宋体"/>
                <w:color w:val="auto"/>
                <w:szCs w:val="21"/>
                <w:highlight w:val="none"/>
                <w:u w:val="none"/>
                <w:lang w:val="en-US" w:eastAsia="zh-CN"/>
              </w:rPr>
              <w:t>5</w:t>
            </w:r>
            <w:r>
              <w:rPr>
                <w:rFonts w:hint="eastAsia" w:ascii="宋体" w:hAnsi="宋体" w:eastAsia="宋体" w:cs="宋体"/>
                <w:color w:val="auto"/>
                <w:szCs w:val="21"/>
                <w:highlight w:val="none"/>
                <w:u w:val="none"/>
              </w:rPr>
              <w:t>分；</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②售后服务方案保障措施基本完整，</w:t>
            </w:r>
            <w:r>
              <w:rPr>
                <w:rFonts w:hint="eastAsia" w:ascii="宋体" w:hAnsi="宋体" w:eastAsia="宋体" w:cs="宋体"/>
                <w:color w:val="auto"/>
                <w:szCs w:val="21"/>
                <w:highlight w:val="none"/>
                <w:u w:val="none"/>
                <w:lang w:eastAsia="zh-CN"/>
              </w:rPr>
              <w:t>较科学合理，</w:t>
            </w:r>
            <w:r>
              <w:rPr>
                <w:rFonts w:hint="eastAsia" w:ascii="宋体" w:hAnsi="宋体" w:eastAsia="宋体" w:cs="宋体"/>
                <w:color w:val="auto"/>
                <w:szCs w:val="21"/>
                <w:highlight w:val="none"/>
                <w:u w:val="none"/>
              </w:rPr>
              <w:t>可行性</w:t>
            </w:r>
            <w:r>
              <w:rPr>
                <w:rFonts w:hint="eastAsia" w:ascii="宋体" w:hAnsi="宋体" w:eastAsia="宋体" w:cs="宋体"/>
                <w:color w:val="auto"/>
                <w:szCs w:val="21"/>
                <w:highlight w:val="none"/>
                <w:u w:val="none"/>
                <w:lang w:val="en-US" w:eastAsia="zh-CN"/>
              </w:rPr>
              <w:t>较强</w:t>
            </w:r>
            <w:r>
              <w:rPr>
                <w:rFonts w:hint="eastAsia" w:ascii="宋体" w:hAnsi="宋体" w:eastAsia="宋体" w:cs="宋体"/>
                <w:color w:val="auto"/>
                <w:szCs w:val="21"/>
                <w:highlight w:val="none"/>
                <w:u w:val="none"/>
              </w:rPr>
              <w:t>的</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得</w:t>
            </w:r>
            <w:r>
              <w:rPr>
                <w:rFonts w:hint="eastAsia" w:ascii="宋体" w:hAnsi="宋体" w:eastAsia="宋体" w:cs="宋体"/>
                <w:color w:val="auto"/>
                <w:szCs w:val="21"/>
                <w:highlight w:val="none"/>
                <w:u w:val="none"/>
                <w:lang w:val="en-US" w:eastAsia="zh-CN"/>
              </w:rPr>
              <w:t>4</w:t>
            </w:r>
            <w:r>
              <w:rPr>
                <w:rFonts w:hint="eastAsia" w:ascii="宋体" w:hAnsi="宋体" w:eastAsia="宋体" w:cs="宋体"/>
                <w:color w:val="auto"/>
                <w:szCs w:val="21"/>
                <w:highlight w:val="none"/>
                <w:u w:val="none"/>
              </w:rPr>
              <w:t>分；</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rPr>
              <w:t>③售后服务方案保障措施可行性</w:t>
            </w:r>
            <w:r>
              <w:rPr>
                <w:rFonts w:hint="eastAsia" w:ascii="宋体" w:hAnsi="宋体" w:eastAsia="宋体" w:cs="宋体"/>
                <w:color w:val="auto"/>
                <w:szCs w:val="21"/>
                <w:highlight w:val="none"/>
                <w:u w:val="none"/>
                <w:lang w:eastAsia="zh-CN"/>
              </w:rPr>
              <w:t>一般，合理性一般，不太可行的，得</w:t>
            </w:r>
            <w:r>
              <w:rPr>
                <w:rFonts w:hint="eastAsia" w:ascii="宋体" w:hAnsi="宋体" w:eastAsia="宋体" w:cs="宋体"/>
                <w:color w:val="auto"/>
                <w:szCs w:val="21"/>
                <w:highlight w:val="none"/>
                <w:u w:val="none"/>
                <w:lang w:val="en-US" w:eastAsia="zh-CN"/>
              </w:rPr>
              <w:t>3分</w:t>
            </w:r>
            <w:r>
              <w:rPr>
                <w:rFonts w:hint="eastAsia" w:ascii="宋体" w:hAnsi="宋体" w:eastAsia="宋体" w:cs="宋体"/>
                <w:color w:val="auto"/>
                <w:szCs w:val="21"/>
                <w:highlight w:val="none"/>
                <w:u w:val="none"/>
                <w:lang w:eastAsia="zh-CN"/>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eastAsia="zh-CN"/>
              </w:rPr>
              <w:t>④</w:t>
            </w:r>
            <w:r>
              <w:rPr>
                <w:rFonts w:hint="eastAsia" w:ascii="宋体" w:hAnsi="宋体" w:eastAsia="宋体" w:cs="宋体"/>
                <w:color w:val="auto"/>
                <w:szCs w:val="21"/>
                <w:highlight w:val="none"/>
                <w:u w:val="none"/>
              </w:rPr>
              <w:t>售后服务方案保障措施可行性</w:t>
            </w:r>
            <w:r>
              <w:rPr>
                <w:rFonts w:hint="eastAsia" w:ascii="宋体" w:hAnsi="宋体" w:eastAsia="宋体" w:cs="宋体"/>
                <w:color w:val="auto"/>
                <w:szCs w:val="21"/>
                <w:highlight w:val="none"/>
                <w:u w:val="none"/>
                <w:lang w:eastAsia="zh-CN"/>
              </w:rPr>
              <w:t>差，不合理的，不可行的，得</w:t>
            </w:r>
            <w:r>
              <w:rPr>
                <w:rFonts w:hint="eastAsia" w:ascii="宋体" w:hAnsi="宋体" w:eastAsia="宋体" w:cs="宋体"/>
                <w:color w:val="auto"/>
                <w:szCs w:val="21"/>
                <w:highlight w:val="none"/>
                <w:u w:val="none"/>
                <w:lang w:val="en-US" w:eastAsia="zh-CN"/>
              </w:rPr>
              <w:t>1分</w:t>
            </w:r>
            <w:r>
              <w:rPr>
                <w:rFonts w:hint="eastAsia" w:ascii="宋体" w:hAnsi="宋体" w:eastAsia="宋体" w:cs="宋体"/>
                <w:color w:val="auto"/>
                <w:szCs w:val="21"/>
                <w:highlight w:val="none"/>
                <w:u w:val="none"/>
                <w:lang w:eastAsia="zh-CN"/>
              </w:rPr>
              <w:t>；</w:t>
            </w:r>
          </w:p>
          <w:p>
            <w:pPr>
              <w:keepNext w:val="0"/>
              <w:keepLines w:val="0"/>
              <w:pageBreakBefore w:val="0"/>
              <w:widowControl/>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zCs w:val="21"/>
                <w:highlight w:val="none"/>
                <w:u w:val="none"/>
                <w:lang w:val="zh-CN"/>
              </w:rPr>
            </w:pPr>
            <w:r>
              <w:rPr>
                <w:rFonts w:hint="eastAsia" w:ascii="宋体" w:hAnsi="宋体" w:eastAsia="宋体" w:cs="宋体"/>
                <w:color w:val="auto"/>
                <w:szCs w:val="21"/>
                <w:highlight w:val="none"/>
                <w:u w:val="none"/>
                <w:lang w:eastAsia="zh-CN"/>
              </w:rPr>
              <w:t>⑤</w:t>
            </w:r>
            <w:r>
              <w:rPr>
                <w:rFonts w:hint="eastAsia" w:ascii="宋体" w:hAnsi="宋体" w:eastAsia="宋体" w:cs="宋体"/>
                <w:color w:val="auto"/>
                <w:szCs w:val="21"/>
                <w:highlight w:val="none"/>
                <w:u w:val="none"/>
              </w:rPr>
              <w:t>未提供</w:t>
            </w:r>
            <w:r>
              <w:rPr>
                <w:rFonts w:hint="eastAsia" w:ascii="宋体" w:hAnsi="宋体" w:eastAsia="宋体" w:cs="宋体"/>
                <w:color w:val="auto"/>
                <w:szCs w:val="21"/>
                <w:highlight w:val="none"/>
                <w:u w:val="none"/>
                <w:lang w:eastAsia="zh-CN"/>
              </w:rPr>
              <w:t>相关方案的</w:t>
            </w:r>
            <w:r>
              <w:rPr>
                <w:rFonts w:hint="eastAsia" w:ascii="宋体" w:hAnsi="宋体" w:eastAsia="宋体" w:cs="宋体"/>
                <w:color w:val="auto"/>
                <w:szCs w:val="21"/>
                <w:highlight w:val="none"/>
                <w:u w:val="none"/>
              </w:rPr>
              <w:t>，不得分</w:t>
            </w:r>
            <w:r>
              <w:rPr>
                <w:rFonts w:hint="eastAsia" w:ascii="宋体" w:hAnsi="宋体" w:eastAsia="宋体" w:cs="宋体"/>
                <w:color w:val="auto"/>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9"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pPr>
              <w:widowControl w:val="0"/>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pPr>
              <w:widowControl w:val="0"/>
              <w:tabs>
                <w:tab w:val="left" w:pos="907"/>
              </w:tabs>
              <w:adjustRightInd/>
              <w:snapToGrid/>
              <w:ind w:firstLine="422" w:firstLineChars="200"/>
              <w:jc w:val="both"/>
              <w:rPr>
                <w:rFonts w:ascii="宋体" w:hAnsi="宋体" w:cs="宋体"/>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val="en-US" w:eastAsia="zh-CN"/>
              </w:rPr>
              <w:t>50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rPr>
              <w:t>投标总价</w:t>
            </w:r>
          </w:p>
        </w:tc>
        <w:tc>
          <w:tcPr>
            <w:tcW w:w="883"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kern w:val="2"/>
                <w:szCs w:val="21"/>
                <w:highlight w:val="none"/>
              </w:rPr>
            </w:pPr>
            <w:r>
              <w:rPr>
                <w:rFonts w:hint="eastAsia" w:ascii="宋体" w:hAnsi="宋体" w:cs="宋体"/>
                <w:color w:val="auto"/>
                <w:kern w:val="2"/>
                <w:szCs w:val="21"/>
                <w:highlight w:val="none"/>
                <w:lang w:val="en-US" w:eastAsia="zh-CN"/>
              </w:rPr>
              <w:t>50</w:t>
            </w:r>
            <w:r>
              <w:rPr>
                <w:rFonts w:ascii="宋体" w:hAnsi="宋体" w:cs="宋体"/>
                <w:color w:val="auto"/>
                <w:kern w:val="2"/>
                <w:szCs w:val="21"/>
                <w:highlight w:val="none"/>
              </w:rPr>
              <w:t xml:space="preserve"> </w:t>
            </w:r>
          </w:p>
        </w:tc>
        <w:tc>
          <w:tcPr>
            <w:tcW w:w="5722"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ind w:firstLine="420" w:firstLineChars="200"/>
              <w:rPr>
                <w:rFonts w:hint="eastAsia" w:ascii="宋体" w:hAnsi="宋体" w:cs="宋体"/>
                <w:color w:val="auto"/>
                <w:kern w:val="2"/>
                <w:szCs w:val="21"/>
                <w:highlight w:val="none"/>
                <w:lang w:val="zh-CN"/>
              </w:rPr>
            </w:pPr>
            <w:r>
              <w:rPr>
                <w:rFonts w:hint="eastAsia" w:ascii="宋体" w:hAnsi="宋体" w:cs="宋体"/>
                <w:color w:val="auto"/>
                <w:kern w:val="2"/>
                <w:szCs w:val="21"/>
                <w:highlight w:val="none"/>
                <w:lang w:val="zh-CN"/>
              </w:rPr>
              <w:t>价格分计算方法：满足采购文件要求且下浮率最多的投标报价为评标基准价，其价格分为满分。其他投标人的价格分统一按照下列公式计算：</w:t>
            </w:r>
          </w:p>
          <w:p>
            <w:pPr>
              <w:widowControl w:val="0"/>
              <w:adjustRightInd/>
              <w:snapToGrid/>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lang w:val="zh-CN"/>
              </w:rPr>
              <w:t>投标报价得分=(</w:t>
            </w:r>
            <w:r>
              <w:rPr>
                <w:rFonts w:hint="eastAsia" w:ascii="宋体" w:hAnsi="宋体" w:cs="宋体"/>
                <w:color w:val="auto"/>
                <w:kern w:val="2"/>
                <w:szCs w:val="21"/>
                <w:highlight w:val="none"/>
                <w:lang w:val="en-US" w:eastAsia="zh-CN"/>
              </w:rPr>
              <w:t>1-</w:t>
            </w:r>
            <w:r>
              <w:rPr>
                <w:rFonts w:hint="eastAsia" w:ascii="宋体" w:hAnsi="宋体" w:cs="宋体"/>
                <w:color w:val="auto"/>
                <w:kern w:val="2"/>
                <w:szCs w:val="21"/>
                <w:highlight w:val="none"/>
                <w:lang w:val="zh-CN"/>
              </w:rPr>
              <w:t>评标基准价）／（</w:t>
            </w:r>
            <w:r>
              <w:rPr>
                <w:rFonts w:hint="eastAsia" w:ascii="宋体" w:hAnsi="宋体" w:cs="宋体"/>
                <w:color w:val="auto"/>
                <w:kern w:val="2"/>
                <w:szCs w:val="21"/>
                <w:highlight w:val="none"/>
                <w:lang w:val="en-US" w:eastAsia="zh-CN"/>
              </w:rPr>
              <w:t>1-</w:t>
            </w:r>
            <w:r>
              <w:rPr>
                <w:rFonts w:hint="eastAsia" w:ascii="宋体" w:hAnsi="宋体" w:cs="宋体"/>
                <w:color w:val="auto"/>
                <w:kern w:val="2"/>
                <w:szCs w:val="21"/>
                <w:highlight w:val="none"/>
                <w:lang w:val="zh-CN"/>
              </w:rPr>
              <w:t>投标报价)×价格权重</w:t>
            </w:r>
          </w:p>
        </w:tc>
      </w:tr>
    </w:tbl>
    <w:p>
      <w:pPr>
        <w:shd w:val="clear"/>
        <w:ind w:firstLine="420" w:firstLineChars="200"/>
        <w:rPr>
          <w:color w:val="auto"/>
          <w:highlight w:val="none"/>
        </w:rPr>
      </w:pPr>
      <w:r>
        <w:rPr>
          <w:rFonts w:hint="eastAsia"/>
          <w:color w:val="auto"/>
          <w:highlight w:val="none"/>
        </w:rPr>
        <w:br w:type="page"/>
      </w:r>
    </w:p>
    <w:p>
      <w:pPr>
        <w:pStyle w:val="4"/>
        <w:shd w:val="clear"/>
        <w:spacing w:before="0" w:after="0" w:line="240" w:lineRule="auto"/>
        <w:rPr>
          <w:color w:val="auto"/>
          <w:sz w:val="36"/>
          <w:szCs w:val="36"/>
          <w:highlight w:val="none"/>
        </w:rPr>
      </w:pPr>
      <w:bookmarkStart w:id="6" w:name="_Toc19605"/>
      <w:r>
        <w:rPr>
          <w:rFonts w:hint="eastAsia"/>
          <w:color w:val="auto"/>
          <w:sz w:val="28"/>
          <w:szCs w:val="28"/>
          <w:highlight w:val="none"/>
        </w:rPr>
        <w:t>第三部分用户需求书</w:t>
      </w:r>
      <w:bookmarkEnd w:id="6"/>
    </w:p>
    <w:p>
      <w:pPr>
        <w:pStyle w:val="5"/>
        <w:shd w:val="clear"/>
        <w:spacing w:before="0" w:after="0" w:line="360" w:lineRule="auto"/>
        <w:jc w:val="center"/>
        <w:rPr>
          <w:rFonts w:ascii="宋体" w:hAnsi="宋体"/>
          <w:color w:val="auto"/>
          <w:highlight w:val="none"/>
        </w:rPr>
      </w:pPr>
      <w:bookmarkStart w:id="7" w:name="_Toc29040"/>
      <w:bookmarkStart w:id="8" w:name="_Toc1593"/>
      <w:bookmarkStart w:id="9" w:name="_Toc308786492"/>
      <w:bookmarkStart w:id="10" w:name="_Toc24679"/>
      <w:bookmarkStart w:id="11" w:name="_Toc31278"/>
      <w:bookmarkStart w:id="12" w:name="_Toc13112"/>
      <w:bookmarkStart w:id="13" w:name="_Toc14462"/>
      <w:r>
        <w:rPr>
          <w:rFonts w:hint="eastAsia" w:ascii="宋体" w:hAnsi="宋体"/>
          <w:color w:val="auto"/>
          <w:highlight w:val="none"/>
        </w:rPr>
        <w:t>第一章 商务需求书</w:t>
      </w:r>
      <w:bookmarkEnd w:id="7"/>
      <w:bookmarkEnd w:id="8"/>
    </w:p>
    <w:tbl>
      <w:tblPr>
        <w:tblStyle w:val="3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6" w:hRule="atLeast"/>
        </w:trPr>
        <w:tc>
          <w:tcPr>
            <w:tcW w:w="718" w:type="dxa"/>
            <w:vAlign w:val="center"/>
          </w:tcPr>
          <w:p>
            <w:pPr>
              <w:shd w:val="clea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501" w:type="dxa"/>
            <w:vAlign w:val="center"/>
          </w:tcPr>
          <w:p>
            <w:pPr>
              <w:shd w:val="clea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条款名称</w:t>
            </w:r>
          </w:p>
        </w:tc>
        <w:tc>
          <w:tcPr>
            <w:tcW w:w="6466" w:type="dxa"/>
            <w:vAlign w:val="center"/>
          </w:tcPr>
          <w:p>
            <w:pPr>
              <w:shd w:val="clea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9" w:hRule="atLeast"/>
        </w:trPr>
        <w:tc>
          <w:tcPr>
            <w:tcW w:w="718" w:type="dxa"/>
            <w:vAlign w:val="center"/>
          </w:tcPr>
          <w:p>
            <w:pPr>
              <w:shd w:val="clea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lang w:eastAsia="zh-CN"/>
              </w:rPr>
              <w:t>完工期</w:t>
            </w:r>
          </w:p>
        </w:tc>
        <w:tc>
          <w:tcPr>
            <w:tcW w:w="6466" w:type="dxa"/>
            <w:vAlign w:val="center"/>
          </w:tcPr>
          <w:p>
            <w:pPr>
              <w:pStyle w:val="37"/>
              <w:spacing w:line="360" w:lineRule="auto"/>
              <w:ind w:firstLine="420" w:firstLineChars="200"/>
              <w:rPr>
                <w:rFonts w:hint="eastAsia" w:ascii="宋体" w:hAnsi="宋体" w:eastAsia="宋体" w:cs="宋体"/>
                <w:color w:val="auto"/>
                <w:sz w:val="20"/>
                <w:szCs w:val="21"/>
                <w:highlight w:val="none"/>
                <w:lang w:val="en-US" w:eastAsia="zh-CN" w:bidi="ar-SA"/>
              </w:rPr>
            </w:pPr>
            <w:r>
              <w:rPr>
                <w:rFonts w:hint="eastAsia" w:ascii="宋体" w:hAnsi="宋体" w:eastAsia="宋体" w:cs="宋体"/>
                <w:color w:val="auto"/>
                <w:kern w:val="2"/>
                <w:sz w:val="21"/>
                <w:szCs w:val="21"/>
                <w:highlight w:val="none"/>
                <w:lang w:val="en-US" w:eastAsia="zh-CN"/>
              </w:rPr>
              <w:t>130</w:t>
            </w:r>
            <w:r>
              <w:rPr>
                <w:rFonts w:hint="eastAsia" w:ascii="宋体" w:hAnsi="宋体" w:eastAsia="宋体" w:cs="宋体"/>
                <w:color w:val="auto"/>
                <w:kern w:val="2"/>
                <w:sz w:val="21"/>
                <w:szCs w:val="21"/>
                <w:highlight w:val="none"/>
              </w:rPr>
              <w:t>天内完成（包括</w:t>
            </w:r>
            <w:r>
              <w:rPr>
                <w:rFonts w:hint="eastAsia" w:ascii="宋体" w:hAnsi="宋体" w:eastAsia="宋体" w:cs="宋体"/>
                <w:color w:val="auto"/>
                <w:kern w:val="2"/>
                <w:sz w:val="21"/>
                <w:szCs w:val="21"/>
                <w:highlight w:val="none"/>
                <w:lang w:eastAsia="zh-CN"/>
              </w:rPr>
              <w:t>设计、</w:t>
            </w:r>
            <w:r>
              <w:rPr>
                <w:rFonts w:hint="eastAsia" w:ascii="宋体" w:hAnsi="宋体" w:eastAsia="宋体" w:cs="宋体"/>
                <w:color w:val="auto"/>
                <w:kern w:val="2"/>
                <w:sz w:val="21"/>
                <w:szCs w:val="21"/>
                <w:highlight w:val="none"/>
              </w:rPr>
              <w:t>供货、</w:t>
            </w:r>
            <w:r>
              <w:rPr>
                <w:rFonts w:hint="eastAsia" w:ascii="宋体" w:hAnsi="宋体" w:eastAsia="宋体" w:cs="宋体"/>
                <w:color w:val="auto"/>
                <w:kern w:val="2"/>
                <w:sz w:val="21"/>
                <w:szCs w:val="21"/>
                <w:highlight w:val="none"/>
                <w:lang w:eastAsia="zh-CN"/>
              </w:rPr>
              <w:t>安装</w:t>
            </w:r>
            <w:r>
              <w:rPr>
                <w:rFonts w:hint="eastAsia" w:ascii="宋体" w:hAnsi="宋体" w:eastAsia="宋体" w:cs="宋体"/>
                <w:color w:val="auto"/>
                <w:kern w:val="2"/>
                <w:sz w:val="21"/>
                <w:szCs w:val="21"/>
                <w:highlight w:val="none"/>
              </w:rPr>
              <w:t>、调试、验收</w:t>
            </w:r>
            <w:r>
              <w:rPr>
                <w:rFonts w:hint="eastAsia" w:ascii="宋体" w:hAnsi="宋体" w:eastAsia="宋体" w:cs="宋体"/>
                <w:color w:val="auto"/>
                <w:kern w:val="2"/>
                <w:sz w:val="21"/>
                <w:szCs w:val="21"/>
                <w:highlight w:val="none"/>
                <w:lang w:eastAsia="zh-CN"/>
              </w:rPr>
              <w:t>等</w:t>
            </w:r>
            <w:r>
              <w:rPr>
                <w:rFonts w:hint="eastAsia" w:ascii="宋体" w:hAnsi="宋体" w:eastAsia="宋体" w:cs="宋体"/>
                <w:color w:val="auto"/>
                <w:kern w:val="2"/>
                <w:sz w:val="21"/>
                <w:szCs w:val="21"/>
                <w:highlight w:val="none"/>
              </w:rPr>
              <w:t>工作）</w:t>
            </w:r>
            <w:r>
              <w:rPr>
                <w:rFonts w:hint="eastAsia" w:ascii="宋体" w:hAnsi="宋体" w:eastAsia="宋体" w:cs="宋体"/>
                <w:color w:val="auto"/>
                <w:kern w:val="2"/>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9" w:hRule="atLeast"/>
        </w:trPr>
        <w:tc>
          <w:tcPr>
            <w:tcW w:w="718" w:type="dxa"/>
            <w:vAlign w:val="center"/>
          </w:tcPr>
          <w:p>
            <w:pPr>
              <w:shd w:val="clea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项目地点</w:t>
            </w:r>
          </w:p>
        </w:tc>
        <w:tc>
          <w:tcPr>
            <w:tcW w:w="6466" w:type="dxa"/>
            <w:vAlign w:val="center"/>
          </w:tcPr>
          <w:p>
            <w:pPr>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19" w:hRule="atLeast"/>
        </w:trPr>
        <w:tc>
          <w:tcPr>
            <w:tcW w:w="718" w:type="dxa"/>
            <w:vAlign w:val="center"/>
          </w:tcPr>
          <w:p>
            <w:pPr>
              <w:shd w:val="clea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报价要求</w:t>
            </w:r>
          </w:p>
        </w:tc>
        <w:tc>
          <w:tcPr>
            <w:tcW w:w="6466" w:type="dxa"/>
            <w:vAlign w:val="center"/>
          </w:tcPr>
          <w:p>
            <w:pPr>
              <w:pStyle w:val="9"/>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投标报价应包括本次采购所有服务内容的费用，包括但不限于</w:t>
            </w:r>
            <w:r>
              <w:rPr>
                <w:rFonts w:hint="eastAsia" w:ascii="宋体" w:hAnsi="宋体" w:cs="宋体"/>
                <w:color w:val="auto"/>
                <w:szCs w:val="21"/>
                <w:highlight w:val="none"/>
                <w:lang w:eastAsia="zh-CN"/>
              </w:rPr>
              <w:t>设计费、</w:t>
            </w:r>
            <w:r>
              <w:rPr>
                <w:rFonts w:hint="eastAsia" w:ascii="宋体" w:hAnsi="宋体" w:eastAsia="宋体" w:cs="宋体"/>
                <w:color w:val="auto"/>
                <w:szCs w:val="21"/>
                <w:highlight w:val="none"/>
              </w:rPr>
              <w:t>人工、材料、成本、利润、机械设备使用费、措施费、税费以及合同实施过程中的不可预见费用等全部费用。</w:t>
            </w:r>
          </w:p>
          <w:p>
            <w:pPr>
              <w:pStyle w:val="9"/>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 w:val="21"/>
                <w:szCs w:val="21"/>
                <w:highlight w:val="none"/>
                <w:lang w:val="en-US" w:eastAsia="zh-CN" w:bidi="zh-CN"/>
              </w:rPr>
              <w:t>2、</w:t>
            </w:r>
            <w:r>
              <w:rPr>
                <w:rFonts w:hint="eastAsia" w:ascii="宋体" w:hAnsi="宋体" w:eastAsia="宋体" w:cs="宋体"/>
                <w:color w:val="auto"/>
                <w:sz w:val="21"/>
                <w:szCs w:val="21"/>
                <w:highlight w:val="none"/>
                <w:lang w:val="en-US" w:eastAsia="zh-CN" w:bidi="zh-CN"/>
              </w:rPr>
              <w:t>设计费报价已包括完成本项目所有设计内容及文件要求的费用，供应商已在报价中考虑所有相关费用，不论</w:t>
            </w:r>
            <w:r>
              <w:rPr>
                <w:rFonts w:hint="eastAsia" w:ascii="宋体" w:hAnsi="宋体" w:cs="宋体"/>
                <w:color w:val="auto"/>
                <w:sz w:val="21"/>
                <w:szCs w:val="21"/>
                <w:highlight w:val="none"/>
                <w:lang w:val="en-US" w:eastAsia="zh-CN" w:bidi="zh-CN"/>
              </w:rPr>
              <w:t>投标人</w:t>
            </w:r>
            <w:r>
              <w:rPr>
                <w:rFonts w:hint="eastAsia" w:ascii="宋体" w:hAnsi="宋体" w:eastAsia="宋体" w:cs="宋体"/>
                <w:color w:val="auto"/>
                <w:sz w:val="21"/>
                <w:szCs w:val="21"/>
                <w:highlight w:val="none"/>
                <w:lang w:val="en-US" w:eastAsia="zh-CN" w:bidi="zh-CN"/>
              </w:rPr>
              <w:t>报价表是否有相应报价，其费用均视为已包含在报价中，采购人不另行计量支付。</w:t>
            </w:r>
          </w:p>
          <w:p>
            <w:pPr>
              <w:pStyle w:val="9"/>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、本项目</w:t>
            </w:r>
            <w:r>
              <w:rPr>
                <w:rFonts w:hint="eastAsia" w:ascii="宋体" w:hAnsi="宋体" w:eastAsia="宋体" w:cs="宋体"/>
                <w:color w:val="auto"/>
                <w:sz w:val="21"/>
                <w:szCs w:val="21"/>
                <w:highlight w:val="none"/>
                <w:lang w:val="en-US" w:eastAsia="zh-CN" w:bidi="zh-CN"/>
              </w:rPr>
              <w:t>安全</w:t>
            </w:r>
            <w:r>
              <w:rPr>
                <w:rFonts w:hint="eastAsia" w:ascii="宋体" w:hAnsi="宋体" w:cs="宋体"/>
                <w:color w:val="auto"/>
                <w:szCs w:val="21"/>
                <w:highlight w:val="none"/>
                <w:lang w:val="en-US" w:eastAsia="zh-CN"/>
              </w:rPr>
              <w:t>防护费</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132,205.50</w:t>
            </w:r>
            <w:r>
              <w:rPr>
                <w:rFonts w:hint="eastAsia" w:ascii="宋体" w:hAnsi="宋体" w:eastAsia="宋体" w:cs="宋体"/>
                <w:color w:val="auto"/>
                <w:szCs w:val="21"/>
                <w:highlight w:val="none"/>
                <w:lang w:val="en-US" w:eastAsia="zh-CN"/>
              </w:rPr>
              <w:t>元。</w:t>
            </w:r>
          </w:p>
          <w:p>
            <w:pPr>
              <w:pStyle w:val="9"/>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4、单价上限表</w:t>
            </w:r>
          </w:p>
          <w:tbl>
            <w:tblPr>
              <w:tblStyle w:val="33"/>
              <w:tblW w:w="6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5"/>
              <w:gridCol w:w="673"/>
              <w:gridCol w:w="854"/>
              <w:gridCol w:w="977"/>
              <w:gridCol w:w="1014"/>
              <w:gridCol w:w="1167"/>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74"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52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装机容量</w:t>
                  </w:r>
                </w:p>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（kWp）</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单价上限</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（元/Wp）</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总价上限</w:t>
                  </w:r>
                </w:p>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（元）</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0" w:hRule="atLeast"/>
              </w:trPr>
              <w:tc>
                <w:tcPr>
                  <w:tcW w:w="455"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平铺式</w:t>
                  </w:r>
                </w:p>
              </w:tc>
              <w:tc>
                <w:tcPr>
                  <w:tcW w:w="97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0" w:hRule="atLeast"/>
              </w:trPr>
              <w:tc>
                <w:tcPr>
                  <w:tcW w:w="455"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阵列式</w:t>
                  </w:r>
                </w:p>
              </w:tc>
              <w:tc>
                <w:tcPr>
                  <w:tcW w:w="97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116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11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0" w:hRule="atLeast"/>
              </w:trPr>
              <w:tc>
                <w:tcPr>
                  <w:tcW w:w="455"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棚架式（方通）</w:t>
                  </w:r>
                </w:p>
              </w:tc>
              <w:tc>
                <w:tcPr>
                  <w:tcW w:w="97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881.37</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3.215</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default" w:ascii="宋体" w:hAnsi="宋体" w:eastAsia="宋体" w:cs="宋体"/>
                      <w:i w:val="0"/>
                      <w:iCs w:val="0"/>
                      <w:color w:val="auto"/>
                      <w:sz w:val="21"/>
                      <w:szCs w:val="21"/>
                      <w:highlight w:val="none"/>
                      <w:u w:val="none"/>
                      <w:lang w:val="en-US" w:eastAsia="zh-CN"/>
                    </w:rPr>
                    <w:t>2,833,604.55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方通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70" w:hRule="atLeast"/>
              </w:trPr>
              <w:tc>
                <w:tcPr>
                  <w:tcW w:w="45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其他</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场地平整</w:t>
                  </w:r>
                </w:p>
              </w:tc>
              <w:tc>
                <w:tcPr>
                  <w:tcW w:w="977" w:type="dxa"/>
                  <w:tcBorders>
                    <w:left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u w:val="none"/>
                      <w:lang w:val="en-US" w:eastAsia="zh-CN"/>
                    </w:rPr>
                    <w:t>881.37</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0.021</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18,508.77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平整面积约600㎡，含楼顶杂物、隔热层清理、棚架拆除等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0" w:hRule="atLeast"/>
              </w:trPr>
              <w:tc>
                <w:tcPr>
                  <w:tcW w:w="112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合计</w:t>
                  </w:r>
                </w:p>
                <w:p>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（含税）：</w:t>
                  </w:r>
                </w:p>
              </w:tc>
              <w:tc>
                <w:tcPr>
                  <w:tcW w:w="5112"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小写：2,852,113.32元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0" w:hRule="atLeast"/>
              </w:trPr>
              <w:tc>
                <w:tcPr>
                  <w:tcW w:w="6240"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注：合同价以限价表中的单价根据投标下浮率进行下浮后保留三位小数（去尾法），总价以单价计算汇总金额结果为准，总价保留两位小数（四舍五入）</w:t>
                  </w:r>
                </w:p>
              </w:tc>
            </w:tr>
          </w:tbl>
          <w:p>
            <w:pPr>
              <w:pStyle w:val="9"/>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 xml:space="preserve">5、本项目采用下浮率方式报价，报价范围：3%-100%，投标下浮率报价不得大于或等于100%，不得为负数，且是固定唯一值。例：若投标人打9.7折，即投标下浮率为：3%。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付款方式</w:t>
            </w:r>
          </w:p>
        </w:tc>
        <w:tc>
          <w:tcPr>
            <w:tcW w:w="6466" w:type="dxa"/>
            <w:vAlign w:val="center"/>
          </w:tcPr>
          <w:p>
            <w:pPr>
              <w:spacing w:line="360" w:lineRule="auto"/>
              <w:ind w:firstLine="422" w:firstLineChars="200"/>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工程款支付：</w:t>
            </w:r>
          </w:p>
          <w:p>
            <w:pPr>
              <w:spacing w:line="360" w:lineRule="auto"/>
              <w:ind w:firstLine="420" w:firstLineChars="200"/>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1、预付款支付：本项目无预付款。</w:t>
            </w:r>
          </w:p>
          <w:p>
            <w:pPr>
              <w:spacing w:line="360" w:lineRule="auto"/>
              <w:ind w:firstLine="420" w:firstLineChars="20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在规定期限内提供相关资料并配合协助发包人取得备案许可证，办理完成各种与本工程相关的报建、报装手续及施工所需开工报审、许可、证件等文件，包括但不限于办理施工许可证、报建手续、物业办电信用报告或供水供电报装证明、项目并网申请已受理、开工令相关文件等工作，同时完成视频监控系统（甲方负责人指定位置）安装投运并移交安全管理部（并网后再移交运营部），乙方可向甲方申请支付合同总金额的30%。</w:t>
            </w:r>
          </w:p>
          <w:p>
            <w:pPr>
              <w:spacing w:line="360" w:lineRule="auto"/>
              <w:ind w:firstLine="420" w:firstLineChars="20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(2)完成施工图纸设计并盖章，同时主设备（光伏组件、并网逆变器、光伏并网柜、交流电缆、独立接地极）到进场工地并经甲方验收合格后，乙方可向甲方申请支付合同总金额的30%。</w:t>
            </w:r>
          </w:p>
          <w:p>
            <w:pPr>
              <w:spacing w:line="360" w:lineRule="auto"/>
              <w:ind w:firstLine="420" w:firstLineChars="20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(3)工程现场安装调试完毕并经相关部门验收合格，同时完成并网投运后,乙方可向甲方申请支付合同总金额的20%。</w:t>
            </w:r>
          </w:p>
          <w:p>
            <w:pPr>
              <w:spacing w:line="360" w:lineRule="auto"/>
              <w:ind w:firstLine="420" w:firstLineChars="200"/>
              <w:rPr>
                <w:rFonts w:hint="eastAsia" w:ascii="宋体" w:hAnsi="宋体" w:eastAsia="宋体" w:cs="宋体"/>
                <w:color w:val="auto"/>
                <w:sz w:val="21"/>
                <w:szCs w:val="22"/>
                <w:highlight w:val="none"/>
                <w:lang w:val="en-US" w:eastAsia="zh-CN" w:bidi="ar-SA"/>
              </w:rPr>
            </w:pPr>
            <w:r>
              <w:rPr>
                <w:rFonts w:hint="eastAsia" w:ascii="宋体" w:hAnsi="宋体" w:eastAsia="宋体" w:cs="宋体"/>
                <w:bCs/>
                <w:color w:val="auto"/>
                <w:kern w:val="2"/>
                <w:sz w:val="21"/>
                <w:szCs w:val="21"/>
                <w:highlight w:val="none"/>
                <w:lang w:val="en-US" w:eastAsia="zh-CN"/>
              </w:rPr>
              <w:t>(4)工程通过采购人竣工验收并移交采购人竣工资料，同时办理完成结算后，中标人可向采购人申请支付至合同总结算金额的97%，留本工程合同总结算金额的3%作为质量保修金留置在采购人处。自本工程保修期届满后，采购人扣除中标人应付的维修、维护及质量损失赔偿金等金额后中标人可向采购人申请无息退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8"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结算说明</w:t>
            </w:r>
          </w:p>
        </w:tc>
        <w:tc>
          <w:tcPr>
            <w:tcW w:w="6466" w:type="dxa"/>
            <w:vAlign w:val="center"/>
          </w:tcPr>
          <w:p>
            <w:pPr>
              <w:tabs>
                <w:tab w:val="center" w:pos="3125"/>
              </w:tabs>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合同价格形式</w:t>
            </w:r>
          </w:p>
          <w:p>
            <w:pPr>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（1）关于合同价格形式的约定：以暂定总价、固定每瓦单价总承包的方式。</w:t>
            </w:r>
          </w:p>
          <w:p>
            <w:pPr>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（2）关于合同价格调整的约定：根据最终容量及国家相关法律法规作相应调整。</w:t>
            </w:r>
          </w:p>
          <w:p>
            <w:pPr>
              <w:ind w:firstLine="0" w:firstLineChars="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注：中标固定每瓦单价=中标报价总价÷装机容量（四舍五入保留小数点后3位小数），按以上公式计算的中标固定每瓦单价在本合同实施过程中不作调整，中标人按中标固定每瓦单价×最终报装容量进行结算；在组件及支架安装数量不变的情况下，如果因单块组件容量增大导致实际装机容量增大，如580Wp改为585Wp，仍按单块组件580Wp计算总装机容量来结算总价，如组件单块容量不变，安装组件数量增多，可按照实际装机容量结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8" w:hRule="atLeast"/>
        </w:trPr>
        <w:tc>
          <w:tcPr>
            <w:tcW w:w="718"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val="en-US" w:eastAsia="zh-CN"/>
              </w:rPr>
              <w:t>质保期</w:t>
            </w:r>
          </w:p>
        </w:tc>
        <w:tc>
          <w:tcPr>
            <w:tcW w:w="6466" w:type="dxa"/>
            <w:vAlign w:val="center"/>
          </w:tcPr>
          <w:p>
            <w:pPr>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质保期为项目验收合格后</w:t>
            </w:r>
            <w:r>
              <w:rPr>
                <w:rFonts w:hint="eastAsia" w:ascii="宋体" w:hAnsi="宋体" w:eastAsia="宋体" w:cs="宋体"/>
                <w:b w:val="0"/>
                <w:bCs/>
                <w:color w:val="auto"/>
                <w:kern w:val="2"/>
                <w:sz w:val="21"/>
                <w:szCs w:val="21"/>
                <w:highlight w:val="none"/>
                <w:u w:val="single"/>
                <w:lang w:val="en-US" w:eastAsia="zh-CN" w:bidi="ar-SA"/>
              </w:rPr>
              <w:t xml:space="preserve">  2  </w:t>
            </w:r>
            <w:r>
              <w:rPr>
                <w:rFonts w:hint="eastAsia" w:ascii="宋体" w:hAnsi="宋体" w:eastAsia="宋体" w:cs="宋体"/>
                <w:b w:val="0"/>
                <w:bCs/>
                <w:color w:val="auto"/>
                <w:kern w:val="2"/>
                <w:sz w:val="21"/>
                <w:szCs w:val="21"/>
                <w:highlight w:val="none"/>
                <w:lang w:val="en-US" w:eastAsia="zh-CN" w:bidi="ar-SA"/>
              </w:rPr>
              <w:t>年，如个体设备有更高要求的，遵循更高要求。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8"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投标有效期</w:t>
            </w:r>
          </w:p>
        </w:tc>
        <w:tc>
          <w:tcPr>
            <w:tcW w:w="6466" w:type="dxa"/>
            <w:vAlign w:val="center"/>
          </w:tcPr>
          <w:p>
            <w:pPr>
              <w:tabs>
                <w:tab w:val="center" w:pos="3125"/>
              </w:tabs>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7"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合同条款</w:t>
            </w:r>
          </w:p>
        </w:tc>
        <w:tc>
          <w:tcPr>
            <w:tcW w:w="6466" w:type="dxa"/>
            <w:vAlign w:val="center"/>
          </w:tcPr>
          <w:p>
            <w:pPr>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rPr>
              <w:t>投标人实质响应合同各条款。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75"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p>
        </w:tc>
        <w:tc>
          <w:tcPr>
            <w:tcW w:w="1501" w:type="dxa"/>
            <w:vAlign w:val="center"/>
          </w:tcPr>
          <w:p>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其他要求</w:t>
            </w:r>
          </w:p>
        </w:tc>
        <w:tc>
          <w:tcPr>
            <w:tcW w:w="646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1、投标人须执行国家、省或行业现行的相关质量验收标准及规范，须达到合格标准，并通过当地相关供电部门的并网验收。</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2、符合国家、省、市安全生产、文明施工管理相关规定，承诺达到合格标准。</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rPr>
              <w:t>遵守采购人下属工程技术部编制的《工程管理制度汇编》中的承包商管理条款。</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val="0"/>
                <w:bCs/>
                <w:color w:val="auto"/>
                <w:kern w:val="2"/>
                <w:sz w:val="21"/>
                <w:szCs w:val="21"/>
                <w:highlight w:val="none"/>
              </w:rPr>
            </w:pPr>
            <w:r>
              <w:rPr>
                <w:rFonts w:hint="eastAsia" w:ascii="宋体" w:hAnsi="宋体" w:cs="宋体"/>
                <w:b w:val="0"/>
                <w:bCs/>
                <w:color w:val="auto"/>
                <w:kern w:val="2"/>
                <w:sz w:val="21"/>
                <w:szCs w:val="21"/>
                <w:highlight w:val="none"/>
                <w:lang w:val="en-US" w:eastAsia="zh-CN"/>
              </w:rPr>
              <w:t>4、</w:t>
            </w:r>
            <w:r>
              <w:rPr>
                <w:rFonts w:hint="eastAsia" w:ascii="宋体" w:hAnsi="宋体" w:eastAsia="宋体" w:cs="宋体"/>
                <w:b w:val="0"/>
                <w:bCs/>
                <w:color w:val="auto"/>
                <w:kern w:val="2"/>
                <w:sz w:val="21"/>
                <w:szCs w:val="21"/>
                <w:highlight w:val="none"/>
              </w:rPr>
              <w:t>本项目的设计过程和成果必须符合国家、广东省、东莞市颁布的有关设计方面的现行标准、规范、规程、定额、办法，满足</w:t>
            </w:r>
            <w:r>
              <w:rPr>
                <w:rFonts w:hint="eastAsia" w:ascii="宋体" w:hAnsi="宋体" w:cs="宋体"/>
                <w:b w:val="0"/>
                <w:bCs/>
                <w:color w:val="auto"/>
                <w:kern w:val="2"/>
                <w:sz w:val="21"/>
                <w:szCs w:val="21"/>
                <w:highlight w:val="none"/>
                <w:lang w:val="en-US" w:eastAsia="zh-CN"/>
              </w:rPr>
              <w:t>采购</w:t>
            </w:r>
            <w:r>
              <w:rPr>
                <w:rFonts w:hint="eastAsia" w:ascii="宋体" w:hAnsi="宋体" w:eastAsia="宋体" w:cs="宋体"/>
                <w:b w:val="0"/>
                <w:bCs/>
                <w:color w:val="auto"/>
                <w:kern w:val="2"/>
                <w:sz w:val="21"/>
                <w:szCs w:val="21"/>
                <w:highlight w:val="none"/>
              </w:rPr>
              <w:t>人的相关功能需求，并通过</w:t>
            </w:r>
            <w:r>
              <w:rPr>
                <w:rFonts w:hint="eastAsia" w:ascii="宋体" w:hAnsi="宋体" w:cs="宋体"/>
                <w:b w:val="0"/>
                <w:bCs/>
                <w:color w:val="auto"/>
                <w:kern w:val="2"/>
                <w:sz w:val="21"/>
                <w:szCs w:val="21"/>
                <w:highlight w:val="none"/>
                <w:lang w:val="en-US" w:eastAsia="zh-CN"/>
              </w:rPr>
              <w:t>采购</w:t>
            </w:r>
            <w:r>
              <w:rPr>
                <w:rFonts w:hint="eastAsia" w:ascii="宋体" w:hAnsi="宋体" w:eastAsia="宋体" w:cs="宋体"/>
                <w:b w:val="0"/>
                <w:bCs/>
                <w:color w:val="auto"/>
                <w:kern w:val="2"/>
                <w:sz w:val="21"/>
                <w:szCs w:val="21"/>
                <w:highlight w:val="none"/>
              </w:rPr>
              <w:t>人及有关部门或专业审图机构的审查。在设计过程中，如果国家或有关部门颁发了新的技术标准或规范，应采用新的标准或规范进行设计。</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宋体" w:hAnsi="宋体" w:cs="宋体"/>
                <w:bCs/>
                <w:color w:val="auto"/>
                <w:kern w:val="2"/>
                <w:szCs w:val="21"/>
                <w:highlight w:val="none"/>
                <w:lang w:val="en-US" w:eastAsia="zh-CN"/>
              </w:rPr>
            </w:pPr>
            <w:r>
              <w:rPr>
                <w:rFonts w:hint="eastAsia" w:ascii="宋体" w:hAnsi="宋体" w:cs="宋体"/>
                <w:bCs/>
                <w:color w:val="auto"/>
                <w:kern w:val="2"/>
                <w:szCs w:val="21"/>
                <w:highlight w:val="none"/>
                <w:lang w:val="en-US" w:eastAsia="zh-CN"/>
              </w:rPr>
              <w:t>5</w:t>
            </w:r>
            <w:r>
              <w:rPr>
                <w:rFonts w:hint="default" w:ascii="宋体" w:hAnsi="宋体" w:cs="宋体"/>
                <w:bCs/>
                <w:color w:val="auto"/>
                <w:kern w:val="2"/>
                <w:szCs w:val="21"/>
                <w:highlight w:val="none"/>
                <w:lang w:val="en-US" w:eastAsia="zh-CN"/>
              </w:rPr>
              <w:t>、</w:t>
            </w:r>
            <w:r>
              <w:rPr>
                <w:rFonts w:hint="eastAsia" w:ascii="宋体" w:hAnsi="宋体" w:cs="宋体"/>
                <w:bCs/>
                <w:color w:val="auto"/>
                <w:kern w:val="2"/>
                <w:szCs w:val="21"/>
                <w:highlight w:val="none"/>
                <w:lang w:val="en-US" w:eastAsia="zh-CN"/>
              </w:rPr>
              <w:t>若光伏项目用能方与采购人的</w:t>
            </w:r>
            <w:r>
              <w:rPr>
                <w:rFonts w:hint="default" w:ascii="宋体" w:hAnsi="宋体" w:cs="宋体"/>
                <w:bCs/>
                <w:color w:val="auto"/>
                <w:kern w:val="2"/>
                <w:szCs w:val="21"/>
                <w:highlight w:val="none"/>
                <w:lang w:val="en-US" w:eastAsia="zh-CN"/>
              </w:rPr>
              <w:t>《</w:t>
            </w:r>
            <w:r>
              <w:rPr>
                <w:rFonts w:hint="eastAsia" w:ascii="宋体" w:hAnsi="宋体" w:cs="宋体"/>
                <w:bCs/>
                <w:color w:val="auto"/>
                <w:kern w:val="2"/>
                <w:szCs w:val="21"/>
                <w:highlight w:val="none"/>
                <w:lang w:val="en-US" w:eastAsia="zh-CN"/>
              </w:rPr>
              <w:t>合同</w:t>
            </w:r>
            <w:r>
              <w:rPr>
                <w:rFonts w:hint="default" w:ascii="宋体" w:hAnsi="宋体" w:cs="宋体"/>
                <w:bCs/>
                <w:color w:val="auto"/>
                <w:kern w:val="2"/>
                <w:szCs w:val="21"/>
                <w:highlight w:val="none"/>
                <w:lang w:val="en-US" w:eastAsia="zh-CN"/>
              </w:rPr>
              <w:t>能源管理合同》</w:t>
            </w:r>
            <w:r>
              <w:rPr>
                <w:rFonts w:hint="eastAsia" w:ascii="宋体" w:hAnsi="宋体" w:cs="宋体"/>
                <w:bCs/>
                <w:color w:val="auto"/>
                <w:kern w:val="2"/>
                <w:szCs w:val="21"/>
                <w:highlight w:val="none"/>
                <w:lang w:val="en-US" w:eastAsia="zh-CN"/>
              </w:rPr>
              <w:t>解除</w:t>
            </w:r>
            <w:r>
              <w:rPr>
                <w:rFonts w:hint="default" w:ascii="宋体" w:hAnsi="宋体" w:cs="宋体"/>
                <w:bCs/>
                <w:color w:val="auto"/>
                <w:kern w:val="2"/>
                <w:szCs w:val="21"/>
                <w:highlight w:val="none"/>
                <w:lang w:val="en-US" w:eastAsia="zh-CN"/>
              </w:rPr>
              <w:t>，</w:t>
            </w:r>
            <w:r>
              <w:rPr>
                <w:rFonts w:hint="eastAsia" w:ascii="宋体" w:hAnsi="宋体" w:cs="宋体"/>
                <w:bCs/>
                <w:color w:val="auto"/>
                <w:kern w:val="2"/>
                <w:szCs w:val="21"/>
                <w:highlight w:val="none"/>
                <w:lang w:val="en-US" w:eastAsia="zh-CN"/>
              </w:rPr>
              <w:t>导致采购人无法实施投资建设光伏项目</w:t>
            </w:r>
            <w:r>
              <w:rPr>
                <w:rFonts w:hint="default" w:ascii="宋体" w:hAnsi="宋体" w:cs="宋体"/>
                <w:bCs/>
                <w:color w:val="auto"/>
                <w:kern w:val="2"/>
                <w:szCs w:val="21"/>
                <w:highlight w:val="none"/>
                <w:lang w:val="en-US" w:eastAsia="zh-CN"/>
              </w:rPr>
              <w:t>，则</w:t>
            </w:r>
            <w:r>
              <w:rPr>
                <w:rFonts w:hint="eastAsia" w:ascii="宋体" w:hAnsi="宋体" w:cs="宋体"/>
                <w:bCs/>
                <w:color w:val="auto"/>
                <w:kern w:val="2"/>
                <w:szCs w:val="21"/>
                <w:highlight w:val="none"/>
                <w:lang w:val="en-US" w:eastAsia="zh-CN"/>
              </w:rPr>
              <w:t>本</w:t>
            </w:r>
            <w:r>
              <w:rPr>
                <w:rFonts w:hint="default" w:ascii="宋体" w:hAnsi="宋体" w:cs="宋体"/>
                <w:bCs/>
                <w:color w:val="auto"/>
                <w:kern w:val="2"/>
                <w:szCs w:val="21"/>
                <w:highlight w:val="none"/>
                <w:lang w:val="en-US" w:eastAsia="zh-CN"/>
              </w:rPr>
              <w:t>《光伏项目总承包合同》同步</w:t>
            </w:r>
            <w:r>
              <w:rPr>
                <w:rFonts w:hint="eastAsia" w:ascii="宋体" w:hAnsi="宋体" w:cs="宋体"/>
                <w:bCs/>
                <w:color w:val="auto"/>
                <w:kern w:val="2"/>
                <w:szCs w:val="21"/>
                <w:highlight w:val="none"/>
                <w:lang w:val="en-US" w:eastAsia="zh-CN"/>
              </w:rPr>
              <w:t>解除</w:t>
            </w:r>
            <w:r>
              <w:rPr>
                <w:rFonts w:hint="default" w:ascii="宋体" w:hAnsi="宋体" w:cs="宋体"/>
                <w:bCs/>
                <w:color w:val="auto"/>
                <w:kern w:val="2"/>
                <w:szCs w:val="21"/>
                <w:highlight w:val="none"/>
                <w:lang w:val="en-US" w:eastAsia="zh-CN"/>
              </w:rPr>
              <w:t>。为参与该项目招采活动而产生的所有费用（包括</w:t>
            </w:r>
            <w:r>
              <w:rPr>
                <w:rFonts w:hint="eastAsia" w:ascii="宋体" w:hAnsi="宋体" w:cs="宋体"/>
                <w:bCs/>
                <w:color w:val="auto"/>
                <w:kern w:val="2"/>
                <w:szCs w:val="21"/>
                <w:highlight w:val="none"/>
                <w:lang w:val="en-US" w:eastAsia="zh-CN"/>
              </w:rPr>
              <w:t>但不限于</w:t>
            </w:r>
            <w:r>
              <w:rPr>
                <w:rFonts w:hint="default" w:ascii="宋体" w:hAnsi="宋体" w:cs="宋体"/>
                <w:bCs/>
                <w:color w:val="auto"/>
                <w:kern w:val="2"/>
                <w:szCs w:val="21"/>
                <w:highlight w:val="none"/>
                <w:lang w:val="en-US" w:eastAsia="zh-CN"/>
              </w:rPr>
              <w:t>交通费、咨询费、标书制作费、打印费、招标代理服务费等）由投标单位自行承担。</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cs="宋体"/>
                <w:bCs/>
                <w:color w:val="auto"/>
                <w:kern w:val="2"/>
                <w:szCs w:val="21"/>
                <w:highlight w:val="none"/>
                <w:lang w:val="en-US" w:eastAsia="zh-CN"/>
              </w:rPr>
              <w:t>6</w:t>
            </w:r>
            <w:r>
              <w:rPr>
                <w:rFonts w:hint="default" w:ascii="宋体" w:hAnsi="宋体" w:cs="宋体"/>
                <w:bCs/>
                <w:color w:val="auto"/>
                <w:kern w:val="2"/>
                <w:szCs w:val="21"/>
                <w:highlight w:val="none"/>
                <w:lang w:val="en-US" w:eastAsia="zh-CN"/>
              </w:rPr>
              <w:t>、中标单位应在中标公示完毕后90天内</w:t>
            </w:r>
            <w:r>
              <w:rPr>
                <w:rFonts w:hint="eastAsia" w:ascii="宋体" w:hAnsi="宋体" w:cs="宋体"/>
                <w:bCs/>
                <w:color w:val="auto"/>
                <w:kern w:val="2"/>
                <w:szCs w:val="21"/>
                <w:highlight w:val="none"/>
                <w:lang w:val="en-US" w:eastAsia="zh-CN"/>
              </w:rPr>
              <w:t>完成供电报装手续</w:t>
            </w:r>
            <w:r>
              <w:rPr>
                <w:rFonts w:hint="default" w:ascii="宋体" w:hAnsi="宋体" w:cs="宋体"/>
                <w:bCs/>
                <w:color w:val="auto"/>
                <w:kern w:val="2"/>
                <w:szCs w:val="21"/>
                <w:highlight w:val="none"/>
                <w:lang w:val="en-US" w:eastAsia="zh-CN"/>
              </w:rPr>
              <w:t>并进场。因中标单位</w:t>
            </w:r>
            <w:r>
              <w:rPr>
                <w:rFonts w:hint="eastAsia" w:ascii="宋体" w:hAnsi="宋体" w:cs="宋体"/>
                <w:bCs/>
                <w:color w:val="auto"/>
                <w:kern w:val="2"/>
                <w:szCs w:val="21"/>
                <w:highlight w:val="none"/>
                <w:lang w:val="en-US" w:eastAsia="zh-CN"/>
              </w:rPr>
              <w:t>无法完成供电报装等原因</w:t>
            </w:r>
            <w:r>
              <w:rPr>
                <w:rFonts w:hint="default" w:ascii="宋体" w:hAnsi="宋体" w:cs="宋体"/>
                <w:bCs/>
                <w:color w:val="auto"/>
                <w:kern w:val="2"/>
                <w:szCs w:val="21"/>
                <w:highlight w:val="none"/>
                <w:lang w:val="en-US" w:eastAsia="zh-CN"/>
              </w:rPr>
              <w:t>导致项目进度滞后，影响采购人的整体规划，采购人有权</w:t>
            </w:r>
            <w:r>
              <w:rPr>
                <w:rFonts w:hint="eastAsia" w:ascii="宋体" w:hAnsi="宋体" w:cs="宋体"/>
                <w:bCs/>
                <w:color w:val="auto"/>
                <w:kern w:val="2"/>
                <w:szCs w:val="21"/>
                <w:highlight w:val="none"/>
                <w:lang w:val="en-US" w:eastAsia="zh-CN"/>
              </w:rPr>
              <w:t>解除</w:t>
            </w:r>
            <w:r>
              <w:rPr>
                <w:rFonts w:hint="default" w:ascii="宋体" w:hAnsi="宋体" w:cs="宋体"/>
                <w:bCs/>
                <w:color w:val="auto"/>
                <w:kern w:val="2"/>
                <w:szCs w:val="21"/>
                <w:highlight w:val="none"/>
                <w:lang w:val="en-US" w:eastAsia="zh-CN"/>
              </w:rPr>
              <w:t>《光伏项目总承包合同》</w:t>
            </w:r>
            <w:r>
              <w:rPr>
                <w:rFonts w:hint="eastAsia" w:ascii="宋体" w:hAnsi="宋体" w:cs="宋体"/>
                <w:bCs/>
                <w:color w:val="auto"/>
                <w:kern w:val="2"/>
                <w:szCs w:val="21"/>
                <w:highlight w:val="none"/>
                <w:lang w:val="en-US" w:eastAsia="zh-CN"/>
              </w:rPr>
              <w:t>并重新招标，中标单位需自行承担相应的损失</w:t>
            </w:r>
            <w:r>
              <w:rPr>
                <w:rFonts w:hint="default" w:ascii="宋体" w:hAnsi="宋体" w:cs="宋体"/>
                <w:bCs/>
                <w:color w:val="auto"/>
                <w:kern w:val="2"/>
                <w:szCs w:val="21"/>
                <w:highlight w:val="none"/>
                <w:lang w:val="en-US" w:eastAsia="zh-CN"/>
              </w:rPr>
              <w:t>。</w:t>
            </w:r>
          </w:p>
        </w:tc>
      </w:tr>
    </w:tbl>
    <w:p>
      <w:pPr>
        <w:shd w:val="clear"/>
        <w:rPr>
          <w:rFonts w:ascii="宋体" w:hAnsi="宋体"/>
          <w:color w:val="auto"/>
          <w:highlight w:val="none"/>
        </w:rPr>
      </w:pPr>
      <w:bookmarkStart w:id="14" w:name="_Toc19316"/>
      <w:r>
        <w:rPr>
          <w:rFonts w:hint="eastAsia" w:ascii="宋体" w:hAnsi="宋体"/>
          <w:color w:val="auto"/>
          <w:highlight w:val="none"/>
        </w:rPr>
        <w:br w:type="page"/>
      </w:r>
    </w:p>
    <w:p>
      <w:pPr>
        <w:pStyle w:val="5"/>
        <w:shd w:val="clear"/>
        <w:spacing w:before="0" w:after="0" w:line="360" w:lineRule="auto"/>
        <w:jc w:val="center"/>
        <w:rPr>
          <w:color w:val="auto"/>
          <w:highlight w:val="none"/>
        </w:rPr>
      </w:pPr>
      <w:bookmarkStart w:id="15" w:name="_Toc13216"/>
      <w:r>
        <w:rPr>
          <w:rFonts w:hint="eastAsia" w:ascii="宋体" w:hAnsi="宋体"/>
          <w:color w:val="auto"/>
          <w:highlight w:val="none"/>
        </w:rPr>
        <w:t>第二章 技术需求书</w:t>
      </w:r>
      <w:bookmarkEnd w:id="14"/>
      <w:bookmarkEnd w:id="15"/>
    </w:p>
    <w:bookmarkEnd w:id="9"/>
    <w:p>
      <w:pPr>
        <w:keepNext/>
        <w:keepLines/>
        <w:widowControl w:val="0"/>
        <w:adjustRightInd/>
        <w:snapToGrid/>
        <w:spacing w:after="0" w:line="360" w:lineRule="auto"/>
        <w:jc w:val="both"/>
        <w:outlineLvl w:val="9"/>
        <w:rPr>
          <w:rFonts w:hint="eastAsia" w:ascii="Calibri Light" w:hAnsi="Calibri Light" w:cs="Times New Roman"/>
          <w:b/>
          <w:bCs/>
          <w:color w:val="auto"/>
          <w:kern w:val="2"/>
          <w:sz w:val="24"/>
          <w:szCs w:val="28"/>
          <w:highlight w:val="none"/>
          <w:lang w:val="en-US" w:eastAsia="zh-CN"/>
        </w:rPr>
      </w:pPr>
      <w:r>
        <w:rPr>
          <w:rFonts w:hint="eastAsia" w:ascii="Calibri Light" w:hAnsi="Calibri Light" w:cs="Times New Roman"/>
          <w:b/>
          <w:bCs/>
          <w:color w:val="auto"/>
          <w:kern w:val="2"/>
          <w:sz w:val="24"/>
          <w:szCs w:val="28"/>
          <w:highlight w:val="none"/>
          <w:lang w:val="en-US" w:eastAsia="zh-CN"/>
        </w:rPr>
        <w:t>一、项目概况</w:t>
      </w:r>
    </w:p>
    <w:p>
      <w:pPr>
        <w:numPr>
          <w:ilvl w:val="0"/>
          <w:numId w:val="0"/>
        </w:num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1.1现场图片</w:t>
      </w:r>
    </w:p>
    <w:p>
      <w:pPr>
        <w:numPr>
          <w:ilvl w:val="0"/>
          <w:numId w:val="0"/>
        </w:numPr>
        <w:rPr>
          <w:rFonts w:hint="eastAsia" w:ascii="宋体" w:hAnsi="宋体" w:eastAsia="宋体" w:cs="宋体"/>
          <w:color w:val="auto"/>
          <w:sz w:val="21"/>
          <w:szCs w:val="21"/>
          <w:lang w:eastAsia="zh-CN"/>
        </w:rPr>
      </w:pPr>
      <w:r>
        <w:rPr>
          <w:color w:val="auto"/>
        </w:rPr>
        <w:drawing>
          <wp:inline distT="0" distB="0" distL="114300" distR="114300">
            <wp:extent cx="5269865" cy="29654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9865" cy="296545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 1-1 现场航拍图</w:t>
      </w:r>
    </w:p>
    <w:p>
      <w:pPr>
        <w:numPr>
          <w:ilvl w:val="0"/>
          <w:numId w:val="0"/>
        </w:numPr>
        <w:jc w:val="left"/>
        <w:rPr>
          <w:rFonts w:hint="eastAsia" w:ascii="宋体" w:hAnsi="宋体" w:eastAsia="宋体" w:cs="宋体"/>
          <w:color w:val="auto"/>
          <w:sz w:val="21"/>
          <w:szCs w:val="21"/>
        </w:rPr>
      </w:pPr>
      <w:r>
        <w:rPr>
          <w:color w:val="auto"/>
        </w:rPr>
        <w:drawing>
          <wp:inline distT="0" distB="0" distL="114300" distR="114300">
            <wp:extent cx="5269865" cy="2965450"/>
            <wp:effectExtent l="0" t="0" r="317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69865" cy="296545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 1-2 现场航拍图</w:t>
      </w:r>
    </w:p>
    <w:p>
      <w:pPr>
        <w:numPr>
          <w:ilvl w:val="0"/>
          <w:numId w:val="0"/>
        </w:numPr>
        <w:jc w:val="center"/>
        <w:rPr>
          <w:rFonts w:hint="eastAsia" w:ascii="宋体" w:hAnsi="宋体" w:eastAsia="宋体" w:cs="宋体"/>
          <w:color w:val="auto"/>
          <w:sz w:val="21"/>
          <w:szCs w:val="21"/>
        </w:rPr>
      </w:pPr>
    </w:p>
    <w:p>
      <w:pPr>
        <w:pStyle w:val="2"/>
        <w:ind w:left="0" w:leftChars="0" w:firstLine="0" w:firstLineChars="0"/>
        <w:rPr>
          <w:rFonts w:hint="eastAsia" w:ascii="宋体" w:hAnsi="宋体" w:eastAsia="宋体" w:cs="宋体"/>
          <w:color w:val="auto"/>
          <w:sz w:val="21"/>
          <w:szCs w:val="21"/>
        </w:rPr>
      </w:pPr>
      <w:r>
        <w:rPr>
          <w:color w:val="auto"/>
        </w:rPr>
        <w:drawing>
          <wp:inline distT="0" distB="0" distL="114300" distR="114300">
            <wp:extent cx="5268595" cy="3951605"/>
            <wp:effectExtent l="0" t="0" r="4445"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68595" cy="3951605"/>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 1-</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 xml:space="preserve"> 内部电房图</w:t>
      </w:r>
    </w:p>
    <w:p>
      <w:pPr>
        <w:numPr>
          <w:ilvl w:val="0"/>
          <w:numId w:val="0"/>
        </w:numPr>
        <w:jc w:val="center"/>
        <w:rPr>
          <w:rFonts w:hint="eastAsia" w:ascii="宋体" w:hAnsi="宋体" w:eastAsia="宋体" w:cs="宋体"/>
          <w:color w:val="auto"/>
          <w:sz w:val="21"/>
          <w:szCs w:val="21"/>
          <w:lang w:val="en-US" w:eastAsia="zh-CN"/>
        </w:rPr>
      </w:pPr>
      <w:r>
        <w:rPr>
          <w:color w:val="auto"/>
        </w:rPr>
        <w:drawing>
          <wp:inline distT="0" distB="0" distL="114300" distR="114300">
            <wp:extent cx="5268595" cy="3951605"/>
            <wp:effectExtent l="0" t="0" r="444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5268595" cy="3951605"/>
                    </a:xfrm>
                    <a:prstGeom prst="rect">
                      <a:avLst/>
                    </a:prstGeom>
                    <a:noFill/>
                    <a:ln>
                      <a:noFill/>
                    </a:ln>
                  </pic:spPr>
                </pic:pic>
              </a:graphicData>
            </a:graphic>
          </wp:inline>
        </w:drawing>
      </w:r>
      <w:r>
        <w:rPr>
          <w:rFonts w:hint="eastAsia" w:ascii="宋体" w:hAnsi="宋体" w:eastAsia="宋体" w:cs="宋体"/>
          <w:color w:val="auto"/>
          <w:sz w:val="21"/>
          <w:szCs w:val="21"/>
          <w:lang w:val="en-US" w:eastAsia="zh-CN"/>
        </w:rPr>
        <w:t>图 1-</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 xml:space="preserve"> 内部电房图</w:t>
      </w:r>
    </w:p>
    <w:p>
      <w:pPr>
        <w:pStyle w:val="85"/>
        <w:ind w:left="0" w:leftChars="0" w:firstLine="0" w:firstLineChars="0"/>
        <w:rPr>
          <w:rFonts w:hint="eastAsia" w:ascii="宋体" w:hAnsi="宋体" w:eastAsia="宋体" w:cs="宋体"/>
          <w:color w:val="auto"/>
          <w:sz w:val="21"/>
          <w:szCs w:val="21"/>
          <w:lang w:val="en-US" w:eastAsia="zh-CN"/>
        </w:rPr>
      </w:pPr>
      <w:r>
        <w:rPr>
          <w:color w:val="auto"/>
        </w:rPr>
        <w:drawing>
          <wp:inline distT="0" distB="0" distL="114300" distR="114300">
            <wp:extent cx="5273040" cy="3207385"/>
            <wp:effectExtent l="0" t="0" r="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5273040" cy="3207385"/>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 1-5 平面布置图</w:t>
      </w:r>
    </w:p>
    <w:p>
      <w:pPr>
        <w:widowControl w:val="0"/>
        <w:numPr>
          <w:ilvl w:val="0"/>
          <w:numId w:val="0"/>
        </w:numPr>
        <w:shd w:val="clear"/>
        <w:wordWrap w:val="0"/>
        <w:adjustRightInd/>
        <w:snapToGrid/>
        <w:spacing w:after="0" w:line="288" w:lineRule="auto"/>
        <w:jc w:val="center"/>
        <w:rPr>
          <w:rFonts w:hint="eastAsia" w:ascii="宋体" w:hAnsi="宋体" w:eastAsia="宋体" w:cs="宋体"/>
          <w:b/>
          <w:bCs/>
          <w:color w:val="auto"/>
          <w:kern w:val="2"/>
          <w:sz w:val="21"/>
          <w:szCs w:val="21"/>
          <w:highlight w:val="none"/>
          <w:lang w:val="en-US" w:eastAsia="zh-CN"/>
        </w:rPr>
      </w:pPr>
    </w:p>
    <w:p>
      <w:pPr>
        <w:widowControl w:val="0"/>
        <w:numPr>
          <w:ilvl w:val="0"/>
          <w:numId w:val="0"/>
        </w:numPr>
        <w:shd w:val="clear"/>
        <w:wordWrap w:val="0"/>
        <w:adjustRightInd/>
        <w:snapToGrid/>
        <w:spacing w:after="0" w:line="288" w:lineRule="auto"/>
        <w:jc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光伏</w:t>
      </w:r>
      <w:r>
        <w:rPr>
          <w:rFonts w:hint="eastAsia" w:ascii="宋体" w:hAnsi="宋体" w:cs="宋体"/>
          <w:b/>
          <w:bCs/>
          <w:color w:val="auto"/>
          <w:kern w:val="2"/>
          <w:sz w:val="21"/>
          <w:szCs w:val="21"/>
          <w:highlight w:val="none"/>
          <w:lang w:val="en-US" w:eastAsia="zh-CN"/>
        </w:rPr>
        <w:t>组件</w:t>
      </w:r>
      <w:r>
        <w:rPr>
          <w:rFonts w:hint="eastAsia" w:ascii="宋体" w:hAnsi="宋体" w:eastAsia="宋体" w:cs="宋体"/>
          <w:b/>
          <w:bCs/>
          <w:color w:val="auto"/>
          <w:kern w:val="2"/>
          <w:sz w:val="21"/>
          <w:szCs w:val="21"/>
          <w:highlight w:val="none"/>
          <w:lang w:val="en-US" w:eastAsia="zh-CN"/>
        </w:rPr>
        <w:t>铺设规划表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shd w:val="clear" w:color="auto" w:fill="00B050"/>
            <w:vAlign w:val="center"/>
          </w:tcPr>
          <w:p>
            <w:pPr>
              <w:pStyle w:val="2"/>
              <w:shd w:val="clear" w:fill="00B050"/>
              <w:ind w:left="0" w:leftChars="0" w:firstLine="0" w:firstLineChars="0"/>
              <w:jc w:val="center"/>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0"/>
                <w:sz w:val="32"/>
                <w:szCs w:val="32"/>
                <w:highlight w:val="none"/>
                <w:vertAlign w:val="baseline"/>
                <w:lang w:val="en-US" w:eastAsia="zh-CN" w:bidi="ar-SA"/>
              </w:rPr>
              <w:t>东莞市万裕实业有限公司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4261"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shd w:val="clear" w:fill="C2D69B" w:themeFill="accent3" w:themeFillTint="99"/>
                <w:vertAlign w:val="baseline"/>
                <w:lang w:val="en-US" w:eastAsia="zh-CN"/>
              </w:rPr>
              <w:t>光伏装机容量（k</w:t>
            </w:r>
            <w:r>
              <w:rPr>
                <w:rFonts w:hint="eastAsia" w:ascii="宋体" w:hAnsi="宋体" w:cs="宋体"/>
                <w:b/>
                <w:bCs/>
                <w:color w:val="auto"/>
                <w:sz w:val="21"/>
                <w:szCs w:val="21"/>
                <w:highlight w:val="none"/>
                <w:vertAlign w:val="baseline"/>
                <w:lang w:val="en-US" w:eastAsia="zh-CN"/>
              </w:rPr>
              <w:t>Wp）</w:t>
            </w:r>
          </w:p>
        </w:tc>
        <w:tc>
          <w:tcPr>
            <w:tcW w:w="4261"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881.37</w:t>
            </w:r>
          </w:p>
        </w:tc>
      </w:tr>
    </w:tbl>
    <w:p>
      <w:pPr>
        <w:rPr>
          <w:rFonts w:hint="eastAsia"/>
          <w:color w:val="auto"/>
          <w:lang w:val="en-US" w:eastAsia="zh-CN"/>
        </w:rPr>
      </w:pP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271"/>
        <w:gridCol w:w="1307"/>
        <w:gridCol w:w="1392"/>
        <w:gridCol w:w="1350"/>
        <w:gridCol w:w="1835"/>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1271"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建筑名称</w:t>
            </w:r>
          </w:p>
        </w:tc>
        <w:tc>
          <w:tcPr>
            <w:tcW w:w="1307"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安装</w:t>
            </w:r>
            <w:r>
              <w:rPr>
                <w:rFonts w:hint="eastAsia" w:ascii="宋体" w:hAnsi="宋体" w:eastAsia="宋体" w:cs="宋体"/>
                <w:b/>
                <w:bCs/>
                <w:color w:val="auto"/>
                <w:sz w:val="21"/>
                <w:szCs w:val="21"/>
                <w:highlight w:val="none"/>
                <w:vertAlign w:val="baseline"/>
                <w:lang w:val="en-US" w:eastAsia="zh-CN"/>
              </w:rPr>
              <w:t>面积</w:t>
            </w:r>
            <w:r>
              <w:rPr>
                <w:rFonts w:hint="eastAsia" w:ascii="宋体" w:hAnsi="宋体" w:cs="宋体"/>
                <w:b/>
                <w:bCs/>
                <w:color w:val="auto"/>
                <w:sz w:val="21"/>
                <w:szCs w:val="21"/>
                <w:highlight w:val="none"/>
                <w:vertAlign w:val="baseline"/>
                <w:lang w:val="en-US" w:eastAsia="zh-CN"/>
              </w:rPr>
              <w:t>（㎡）</w:t>
            </w:r>
          </w:p>
        </w:tc>
        <w:tc>
          <w:tcPr>
            <w:tcW w:w="1392"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63</w:t>
            </w:r>
            <w:r>
              <w:rPr>
                <w:rFonts w:hint="eastAsia" w:ascii="宋体" w:hAnsi="宋体" w:eastAsia="宋体" w:cs="宋体"/>
                <w:b/>
                <w:bCs/>
                <w:color w:val="auto"/>
                <w:sz w:val="21"/>
                <w:szCs w:val="21"/>
                <w:highlight w:val="none"/>
                <w:vertAlign w:val="baseline"/>
                <w:lang w:val="en-US" w:eastAsia="zh-CN"/>
              </w:rPr>
              <w:t>0W组件数量（块）</w:t>
            </w:r>
          </w:p>
        </w:tc>
        <w:tc>
          <w:tcPr>
            <w:tcW w:w="1350"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装机功率（kWp）</w:t>
            </w:r>
          </w:p>
        </w:tc>
        <w:tc>
          <w:tcPr>
            <w:tcW w:w="1835"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安装方式</w:t>
            </w:r>
          </w:p>
        </w:tc>
        <w:tc>
          <w:tcPr>
            <w:tcW w:w="869" w:type="dxa"/>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宿舍1</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314</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112</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70.56</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宿舍2</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308</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110</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69.3</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宿舍3</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314</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112</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70.56</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厂房1</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1022</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365</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229.95</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厂房2</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938</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335</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211.05</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6"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6</w:t>
            </w:r>
          </w:p>
        </w:tc>
        <w:tc>
          <w:tcPr>
            <w:tcW w:w="1271"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厂房3</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1022</w:t>
            </w:r>
          </w:p>
        </w:tc>
        <w:tc>
          <w:tcPr>
            <w:tcW w:w="139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365</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229.95</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棚架式</w:t>
            </w:r>
            <w:r>
              <w:rPr>
                <w:rFonts w:hint="eastAsia" w:ascii="宋体" w:hAnsi="宋体" w:cs="宋体"/>
                <w:color w:val="auto"/>
                <w:sz w:val="21"/>
                <w:szCs w:val="21"/>
                <w:highlight w:val="none"/>
                <w:vertAlign w:val="baseline"/>
                <w:lang w:val="en-US" w:eastAsia="zh-CN"/>
              </w:rPr>
              <w:t>（方通）</w:t>
            </w: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767" w:type="dxa"/>
            <w:gridSpan w:val="2"/>
            <w:shd w:val="clear" w:color="auto" w:fill="C2D69B" w:themeFill="accent3" w:themeFillTint="99"/>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合计</w:t>
            </w:r>
          </w:p>
        </w:tc>
        <w:tc>
          <w:tcPr>
            <w:tcW w:w="1307"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3918</w:t>
            </w:r>
          </w:p>
        </w:tc>
        <w:tc>
          <w:tcPr>
            <w:tcW w:w="1392" w:type="dxa"/>
            <w:shd w:val="clear" w:color="auto" w:fill="auto"/>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1399</w:t>
            </w:r>
          </w:p>
        </w:tc>
        <w:tc>
          <w:tcPr>
            <w:tcW w:w="135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881.37</w:t>
            </w:r>
          </w:p>
        </w:tc>
        <w:tc>
          <w:tcPr>
            <w:tcW w:w="1835"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vertAlign w:val="baseline"/>
                <w:lang w:val="en-US" w:eastAsia="zh-CN"/>
              </w:rPr>
            </w:pPr>
          </w:p>
        </w:tc>
        <w:tc>
          <w:tcPr>
            <w:tcW w:w="869"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highlight w:val="none"/>
                <w:vertAlign w:val="baseline"/>
                <w:lang w:val="en-US" w:eastAsia="zh-CN"/>
              </w:rPr>
            </w:pPr>
          </w:p>
        </w:tc>
      </w:tr>
    </w:tbl>
    <w:p>
      <w:pPr>
        <w:widowControl w:val="0"/>
        <w:numPr>
          <w:ilvl w:val="0"/>
          <w:numId w:val="0"/>
        </w:numPr>
        <w:shd w:val="clear"/>
        <w:wordWrap w:val="0"/>
        <w:adjustRightInd/>
        <w:snapToGrid/>
        <w:spacing w:after="0" w:line="288" w:lineRule="auto"/>
        <w:rPr>
          <w:rFonts w:hint="eastAsia" w:ascii="宋体" w:hAnsi="宋体" w:cs="宋体"/>
          <w:b/>
          <w:bCs/>
          <w:color w:val="auto"/>
          <w:kern w:val="2"/>
          <w:sz w:val="21"/>
          <w:szCs w:val="21"/>
          <w:highlight w:val="none"/>
          <w:lang w:val="en-US" w:eastAsia="zh-CN" w:bidi="ar-SA"/>
        </w:rPr>
      </w:pPr>
    </w:p>
    <w:p>
      <w:pPr>
        <w:widowControl w:val="0"/>
        <w:numPr>
          <w:ilvl w:val="0"/>
          <w:numId w:val="0"/>
        </w:numPr>
        <w:shd w:val="clear"/>
        <w:wordWrap w:val="0"/>
        <w:adjustRightInd/>
        <w:snapToGrid/>
        <w:spacing w:after="0" w:line="288" w:lineRule="auto"/>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1.2</w:t>
      </w:r>
      <w:r>
        <w:rPr>
          <w:rFonts w:hint="eastAsia" w:ascii="宋体" w:hAnsi="宋体" w:eastAsia="宋体" w:cs="宋体"/>
          <w:b/>
          <w:bCs/>
          <w:color w:val="auto"/>
          <w:kern w:val="2"/>
          <w:sz w:val="21"/>
          <w:szCs w:val="21"/>
          <w:highlight w:val="none"/>
          <w:lang w:val="en-US" w:eastAsia="zh-CN" w:bidi="ar-SA"/>
        </w:rPr>
        <w:t>项目基本概况</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6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项目名称</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东莞新锋光伏能源科技有限公司万裕实业厂区分布式光伏发电项目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项目地址</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default" w:ascii="宋体" w:hAnsi="宋体" w:cs="宋体"/>
                <w:color w:val="auto"/>
                <w:sz w:val="21"/>
                <w:szCs w:val="21"/>
                <w:highlight w:val="none"/>
                <w:vertAlign w:val="baseline"/>
                <w:lang w:val="en-US" w:eastAsia="zh-CN"/>
              </w:rPr>
              <w:t>东莞市塘厦镇科苑城信息产业园古寮一路6号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屋顶面积</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约5500㎡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楼面类型</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混凝土屋顶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变压器容量</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default" w:ascii="宋体" w:hAnsi="宋体" w:cs="宋体"/>
                <w:color w:val="auto"/>
                <w:sz w:val="21"/>
                <w:szCs w:val="21"/>
                <w:highlight w:val="none"/>
                <w:vertAlign w:val="baseline"/>
                <w:lang w:val="en-US" w:eastAsia="zh-CN"/>
              </w:rPr>
              <w:t>1×400+3×250kVA=1150kVA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装机容量</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881.37kWp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光伏组件</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1399块（630Wp N型单晶硅高效组件）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安装方式</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棚架式，自发自用，余电上网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642"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增加项</w:t>
            </w:r>
          </w:p>
        </w:tc>
        <w:tc>
          <w:tcPr>
            <w:tcW w:w="6880" w:type="dxa"/>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场地平整：</w:t>
            </w:r>
            <w:r>
              <w:rPr>
                <w:rFonts w:hint="default" w:ascii="宋体" w:hAnsi="宋体" w:cs="宋体"/>
                <w:color w:val="auto"/>
                <w:sz w:val="21"/>
                <w:szCs w:val="21"/>
                <w:highlight w:val="none"/>
                <w:vertAlign w:val="baseline"/>
                <w:lang w:val="en-US" w:eastAsia="zh-CN"/>
              </w:rPr>
              <w:t>平整面积约600㎡，含楼顶杂物、隔热层清理、棚架拆除等</w:t>
            </w:r>
            <w:r>
              <w:rPr>
                <w:rFonts w:hint="eastAsia" w:ascii="宋体" w:hAnsi="宋体" w:cs="宋体"/>
                <w:color w:val="auto"/>
                <w:sz w:val="21"/>
                <w:szCs w:val="21"/>
                <w:highlight w:val="none"/>
                <w:vertAlign w:val="baseline"/>
                <w:lang w:val="en-US" w:eastAsia="zh-CN"/>
              </w:rPr>
              <w:t>；</w:t>
            </w:r>
          </w:p>
        </w:tc>
      </w:tr>
    </w:tbl>
    <w:p>
      <w:pPr>
        <w:shd w:val="clear"/>
        <w:outlineLvl w:val="9"/>
        <w:rPr>
          <w:rFonts w:hint="eastAsia"/>
          <w:color w:val="auto"/>
          <w:highlight w:val="none"/>
          <w:lang w:val="en-US" w:eastAsia="zh-CN"/>
        </w:rPr>
      </w:pPr>
    </w:p>
    <w:p>
      <w:pPr>
        <w:widowControl w:val="0"/>
        <w:numPr>
          <w:ilvl w:val="0"/>
          <w:numId w:val="0"/>
        </w:numPr>
        <w:shd w:val="clear"/>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cs="宋体"/>
          <w:b/>
          <w:bCs/>
          <w:color w:val="auto"/>
          <w:kern w:val="2"/>
          <w:sz w:val="21"/>
          <w:szCs w:val="21"/>
          <w:highlight w:val="none"/>
          <w:lang w:val="en-US" w:eastAsia="zh-CN" w:bidi="ar-SA"/>
        </w:rPr>
        <w:t>1.3</w:t>
      </w:r>
      <w:r>
        <w:rPr>
          <w:rFonts w:hint="eastAsia" w:ascii="宋体" w:hAnsi="宋体" w:eastAsia="宋体" w:cs="宋体"/>
          <w:b/>
          <w:bCs/>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lang w:eastAsia="zh-CN"/>
        </w:rPr>
        <w:t>采购</w:t>
      </w:r>
      <w:r>
        <w:rPr>
          <w:rFonts w:hint="eastAsia" w:ascii="宋体" w:hAnsi="宋体" w:eastAsia="宋体" w:cs="宋体"/>
          <w:b/>
          <w:bCs/>
          <w:color w:val="auto"/>
          <w:kern w:val="2"/>
          <w:sz w:val="21"/>
          <w:szCs w:val="21"/>
          <w:highlight w:val="none"/>
        </w:rPr>
        <w:t>清单</w:t>
      </w:r>
      <w:r>
        <w:rPr>
          <w:rFonts w:hint="eastAsia" w:ascii="宋体" w:hAnsi="宋体" w:cs="宋体"/>
          <w:b/>
          <w:bCs/>
          <w:color w:val="auto"/>
          <w:sz w:val="21"/>
          <w:szCs w:val="21"/>
          <w:u w:val="single"/>
          <w:lang w:val="en-US" w:eastAsia="zh-CN"/>
        </w:rPr>
        <w:t>（注：本项目采购清单如下，各投标人按清单进行报价，具体数量品牌按自行设计，按本项目需求标准进行如实填报，最终采购人将按需求标准及容量进行验收）</w:t>
      </w:r>
    </w:p>
    <w:tbl>
      <w:tblPr>
        <w:tblStyle w:val="33"/>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61"/>
        <w:gridCol w:w="1102"/>
        <w:gridCol w:w="2275"/>
        <w:gridCol w:w="512"/>
        <w:gridCol w:w="579"/>
        <w:gridCol w:w="1148"/>
        <w:gridCol w:w="1208"/>
        <w:gridCol w:w="473"/>
        <w:gridCol w:w="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5" w:hRule="atLeast"/>
        </w:trPr>
        <w:tc>
          <w:tcPr>
            <w:tcW w:w="8336"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auto"/>
                <w:sz w:val="21"/>
                <w:szCs w:val="21"/>
                <w:highlight w:val="none"/>
                <w:u w:val="none"/>
              </w:rPr>
            </w:pPr>
            <w:r>
              <w:rPr>
                <w:rFonts w:hint="eastAsia" w:asciiTheme="minorEastAsia" w:hAnsiTheme="minorEastAsia" w:eastAsiaTheme="minorEastAsia" w:cstheme="minorEastAsia"/>
                <w:b/>
                <w:i w:val="0"/>
                <w:color w:val="auto"/>
                <w:kern w:val="0"/>
                <w:sz w:val="21"/>
                <w:szCs w:val="21"/>
                <w:highlight w:val="none"/>
                <w:u w:val="none"/>
                <w:lang w:val="en-US" w:eastAsia="zh-CN" w:bidi="ar"/>
              </w:rPr>
              <w:t>一、设备材料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序号</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项目名称</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项目特征描述</w:t>
            </w:r>
          </w:p>
        </w:tc>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计量</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单位</w:t>
            </w: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工程</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数量</w:t>
            </w:r>
          </w:p>
        </w:tc>
        <w:tc>
          <w:tcPr>
            <w:tcW w:w="1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含税综合</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单价（元）</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含税合价（元）</w:t>
            </w: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品牌</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3" w:hRule="atLeast"/>
        </w:trPr>
        <w:tc>
          <w:tcPr>
            <w:tcW w:w="361"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w:t>
            </w:r>
          </w:p>
        </w:tc>
        <w:tc>
          <w:tcPr>
            <w:tcW w:w="1102"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光伏组件</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1.规格：6</w:t>
            </w:r>
            <w:r>
              <w:rPr>
                <w:rFonts w:hint="eastAsia" w:ascii="宋体" w:hAnsi="宋体" w:cs="宋体"/>
                <w:i w:val="0"/>
                <w:iCs w:val="0"/>
                <w:color w:val="auto"/>
                <w:sz w:val="21"/>
                <w:szCs w:val="21"/>
                <w:highlight w:val="none"/>
                <w:u w:val="none"/>
                <w:lang w:val="en-US" w:eastAsia="zh-CN"/>
              </w:rPr>
              <w:t>30</w:t>
            </w:r>
            <w:r>
              <w:rPr>
                <w:rFonts w:hint="eastAsia" w:ascii="宋体" w:hAnsi="宋体" w:eastAsia="宋体" w:cs="宋体"/>
                <w:i w:val="0"/>
                <w:iCs w:val="0"/>
                <w:color w:val="auto"/>
                <w:sz w:val="21"/>
                <w:szCs w:val="21"/>
                <w:highlight w:val="none"/>
                <w:u w:val="none"/>
                <w:lang w:val="en-US" w:eastAsia="zh-CN"/>
              </w:rPr>
              <w:t>Wp</w:t>
            </w:r>
            <w:r>
              <w:rPr>
                <w:rFonts w:hint="eastAsia" w:asciiTheme="minorEastAsia" w:hAnsiTheme="minorEastAsia" w:eastAsiaTheme="minorEastAsia" w:cstheme="minorEastAsia"/>
                <w:i w:val="0"/>
                <w:color w:val="auto"/>
                <w:kern w:val="0"/>
                <w:sz w:val="21"/>
                <w:szCs w:val="21"/>
                <w:highlight w:val="none"/>
                <w:u w:val="none"/>
                <w:lang w:val="en-US" w:eastAsia="zh-CN" w:bidi="ar"/>
              </w:rPr>
              <w:t xml:space="preserve"> </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2.类型：单晶硅高效 单面</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3.其他：含边框导流器、压块、接地垫片等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块</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并网逆变器</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1.规格：110kW</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2.类型：AC380V 组串式</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3.其他：含监控模块等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3</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并网逆变器</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1.规格：50kW</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2.类型：AC380V 组串式</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3.其他：含监控模块等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4</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并网逆变器</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1.规格：30kW</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2.类型：AC380V 组串式</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3.其他：含监控模块等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5</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交流汇流箱</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1.类型：户外、冷轧钢板</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2.其他：防护等级IP65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6</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并网计量箱</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1.类型：户外、冷轧钢板</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2.其他：防护等级IP65</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7</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并网计量柜</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1.类型：室内、冷轧钢板、</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2.其他：防护等级IP30、含槽钢底座等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8</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彩钢瓦屋面固定支架</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1.类型：铝合金导轨</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2.其他：含彩钢瓦夹具等所需配件等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9</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阵列式固定支架</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1.类型：镀锌U型钢导轨</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2.其他：含C25水泥墩基础等所需配件等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3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10</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防水棚架</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1.类型：防腐防锈型钢立柱、横梁，镀锌C型钢檩条等</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2.其他：含镀锌镁铝M型排水槽、副水槽、不锈钢接水槽、排水管等所需配件</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11</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光伏专用直流电缆</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1.规格：PV1-F-1×4mm²</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2.其他：配MC4接头、配管不外露等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6"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12</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交流电缆</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1.类型：阻燃型5芯绝缘护套铜芯电缆</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2.其他：配电缆头等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13</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电缆桥架</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1.类型：镀锌美铝电缆桥架</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2.其他：配固定支架、连接件、接地线等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2"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14</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电缆通道</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1.类型：HDPE管</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2.其他：含破复地面、埋管、电缆井、防火封堵等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8"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15</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避雷接地系统</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1.类型：不小于20m×20m或24 m×16m网格50×5热镀锌扁钢</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2.其他：每栋建筑光伏系统不少于两处独立接地极等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3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16</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视频监控系统</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1.类型：360度4G卡视频监控</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2.其他：配固定支架、连接件、含电源接线、接地线等，包1年流量</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3.区域：逆变器、光伏阵列对角</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17</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水清洗系统</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1.类型：PPR热熔管</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2.区域：运维通道附近</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3.其他：含水龙头、增压泵、水表等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18</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彩钢瓦运维通道</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1.规格：宽度不低于0.4m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2.类型：镀锌格栅板</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3.其他：配固定件、夹具等</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4.区域：彩钢瓦区域</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68"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19</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棚架运维通道</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1.规格：宽度不低于0.4m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2.类型：镀锌花纹钢板</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3.其他：配安全生命线、固定件、夹具等</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4.区域：棚架区域</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68"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20</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防护围栏</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1.规格：高度不低于1.2m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2.类型：镀锌角钢、U型钢，带0.6m高铁丝网</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3.其他：配固定件、夹具等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99"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21</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扶手踏步斜梯</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1.规格：宽度不低于0.8m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2.类型：镀锌方通，带0.9m高扶手与0.8m×1.2m操作平台，与运维通道进行连接</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3.区域：棚架区域、彩钢瓦屋顶等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22</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护笼爬梯</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1.规格：护笼直径为0.8m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2.类型：镀锌圆管，带直径0.8m护笼</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3.区域：高度不高于3.5m等炮楼区域</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23</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消防器材</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1.要求：每台逆变器配置两个4kg手提式干粉灭火器，并装箱保护</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2.区域：逆变器区域等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24</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检修配电箱</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1.类型：户外、不锈钢</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2.其他：防护等级IP65</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3.区域：逆变器区域等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台</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7"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25</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逆变器遮雨棚</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1.规格：宽度不低于逆变器宽度+0.4m</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2.类型：304不锈钢</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3.区域：逆变器区域等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68"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26</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安全警示牌</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1.内容：结合现场包括但不限于“高空作业，系好安全带”“临边区域，当心坠落”“以防坠落，请勿攀爬”“当心触电”等等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3"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27</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其他所需辅材</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1.内容：结合现场包括但不限于结构胶、防腐漆、防锈期、焊条、防火泥、接线耳、绝缘套管、配管、安健环等等</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5" w:hRule="atLeast"/>
        </w:trPr>
        <w:tc>
          <w:tcPr>
            <w:tcW w:w="8336"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auto"/>
                <w:sz w:val="21"/>
                <w:szCs w:val="21"/>
                <w:highlight w:val="none"/>
                <w:u w:val="none"/>
              </w:rPr>
            </w:pPr>
            <w:r>
              <w:rPr>
                <w:rFonts w:hint="eastAsia" w:asciiTheme="minorEastAsia" w:hAnsiTheme="minorEastAsia" w:eastAsiaTheme="minorEastAsia" w:cstheme="minorEastAsia"/>
                <w:b/>
                <w:i w:val="0"/>
                <w:color w:val="auto"/>
                <w:kern w:val="0"/>
                <w:sz w:val="21"/>
                <w:szCs w:val="21"/>
                <w:highlight w:val="none"/>
                <w:u w:val="none"/>
                <w:lang w:val="en-US" w:eastAsia="zh-CN" w:bidi="ar"/>
              </w:rPr>
              <w:t>二、试验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06"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序号</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项目名称</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项目特征描述</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单位</w:t>
            </w: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工程</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数量</w:t>
            </w:r>
          </w:p>
        </w:tc>
        <w:tc>
          <w:tcPr>
            <w:tcW w:w="1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含税综合</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单价（元）</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含税合价（元）</w:t>
            </w: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1"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试验费</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1.要求：满足供电局验收要求</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5" w:hRule="atLeast"/>
        </w:trPr>
        <w:tc>
          <w:tcPr>
            <w:tcW w:w="8336"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auto"/>
                <w:sz w:val="21"/>
                <w:szCs w:val="21"/>
                <w:highlight w:val="none"/>
                <w:u w:val="none"/>
              </w:rPr>
            </w:pPr>
            <w:r>
              <w:rPr>
                <w:rFonts w:hint="eastAsia" w:asciiTheme="minorEastAsia" w:hAnsiTheme="minorEastAsia" w:eastAsiaTheme="minorEastAsia" w:cstheme="minorEastAsia"/>
                <w:b/>
                <w:i w:val="0"/>
                <w:color w:val="auto"/>
                <w:kern w:val="0"/>
                <w:sz w:val="21"/>
                <w:szCs w:val="21"/>
                <w:highlight w:val="none"/>
                <w:u w:val="none"/>
                <w:lang w:val="en-US" w:eastAsia="zh-CN" w:bidi="ar"/>
              </w:rPr>
              <w:t>三、绿色施工安全防护措施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6"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序号</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项目名称</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项目特征描述</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单位</w:t>
            </w: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工程</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数量</w:t>
            </w:r>
          </w:p>
        </w:tc>
        <w:tc>
          <w:tcPr>
            <w:tcW w:w="11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含税综合</w:t>
            </w:r>
            <w:r>
              <w:rPr>
                <w:rFonts w:hint="eastAsia" w:asciiTheme="minorEastAsia" w:hAnsiTheme="minorEastAsia" w:eastAsiaTheme="minorEastAsia" w:cstheme="minorEastAsia"/>
                <w:i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color w:val="auto"/>
                <w:kern w:val="0"/>
                <w:sz w:val="21"/>
                <w:szCs w:val="21"/>
                <w:highlight w:val="none"/>
                <w:u w:val="none"/>
                <w:lang w:val="en-US" w:eastAsia="zh-CN" w:bidi="ar"/>
              </w:rPr>
              <w:t>单价（元）</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含税合价（元）</w:t>
            </w: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10" w:hRule="atLeast"/>
        </w:trPr>
        <w:tc>
          <w:tcPr>
            <w:tcW w:w="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sz w:val="21"/>
                <w:szCs w:val="21"/>
                <w:highlight w:val="none"/>
                <w:u w:val="none"/>
              </w:rPr>
              <w:t>安全防护费</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1.要求：满足建设方施工安全制度</w:t>
            </w:r>
          </w:p>
        </w:tc>
        <w:tc>
          <w:tcPr>
            <w:tcW w:w="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项</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 xml:space="preserve">132,205.50 </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 xml:space="preserve">132,205.50 </w:t>
            </w:r>
          </w:p>
        </w:tc>
        <w:tc>
          <w:tcPr>
            <w:tcW w:w="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Theme="minorEastAsia" w:hAnsiTheme="minorEastAsia" w:eastAsiaTheme="minorEastAsia" w:cstheme="minorEastAsia"/>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1"/>
                <w:szCs w:val="21"/>
                <w:highlight w:val="none"/>
                <w:u w:val="none"/>
              </w:rPr>
            </w:pPr>
            <w:r>
              <w:rPr>
                <w:rFonts w:hint="eastAsia" w:asciiTheme="minorEastAsia" w:hAnsiTheme="minorEastAsia" w:eastAsiaTheme="minorEastAsia" w:cstheme="minorEastAsia"/>
                <w:i w:val="0"/>
                <w:color w:val="auto"/>
                <w:kern w:val="0"/>
                <w:sz w:val="21"/>
                <w:szCs w:val="21"/>
                <w:highlight w:val="none"/>
                <w:u w:val="none"/>
                <w:lang w:val="en-US" w:eastAsia="zh-CN" w:bidi="ar"/>
              </w:rPr>
              <w:t>不可修改，固定报价</w:t>
            </w:r>
          </w:p>
        </w:tc>
      </w:tr>
    </w:tbl>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注：1.</w:t>
      </w:r>
      <w:r>
        <w:rPr>
          <w:rFonts w:hint="eastAsia" w:ascii="宋体" w:hAnsi="宋体" w:eastAsia="宋体" w:cs="宋体"/>
          <w:color w:val="auto"/>
          <w:kern w:val="2"/>
          <w:sz w:val="21"/>
          <w:szCs w:val="21"/>
          <w:highlight w:val="none"/>
          <w:lang w:eastAsia="zh-CN"/>
        </w:rPr>
        <w:t>本次采购为包干价，包含设计费、项目并网报装所需的相关手续、必要的配套设施，投标人需要考虑此部分费用在报价中；</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本次采购报价需参考参考招标技术要求；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本次采购报价含税；</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4.本</w:t>
      </w:r>
      <w:r>
        <w:rPr>
          <w:rFonts w:hint="eastAsia" w:ascii="宋体" w:hAnsi="宋体" w:eastAsia="宋体" w:cs="宋体"/>
          <w:color w:val="auto"/>
          <w:kern w:val="2"/>
          <w:sz w:val="21"/>
          <w:szCs w:val="21"/>
          <w:highlight w:val="none"/>
          <w:lang w:eastAsia="zh-CN"/>
        </w:rPr>
        <w:t>次采购</w:t>
      </w:r>
      <w:r>
        <w:rPr>
          <w:rFonts w:hint="eastAsia" w:ascii="宋体" w:hAnsi="宋体" w:eastAsia="宋体" w:cs="宋体"/>
          <w:color w:val="auto"/>
          <w:kern w:val="2"/>
          <w:sz w:val="21"/>
          <w:szCs w:val="21"/>
          <w:highlight w:val="none"/>
          <w:lang w:val="en-US" w:eastAsia="zh-CN"/>
        </w:rPr>
        <w:t>报价须标明设备材料型号与品牌；</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5.本采购清单中未标注数量的设备材料，</w:t>
      </w:r>
      <w:r>
        <w:rPr>
          <w:rFonts w:hint="eastAsia" w:ascii="宋体" w:hAnsi="宋体" w:eastAsia="宋体" w:cs="宋体"/>
          <w:color w:val="auto"/>
          <w:kern w:val="2"/>
          <w:sz w:val="21"/>
          <w:szCs w:val="21"/>
          <w:highlight w:val="none"/>
          <w:lang w:eastAsia="zh-CN"/>
        </w:rPr>
        <w:t>投标人</w:t>
      </w:r>
      <w:r>
        <w:rPr>
          <w:rFonts w:hint="eastAsia" w:ascii="宋体" w:hAnsi="宋体" w:eastAsia="宋体" w:cs="宋体"/>
          <w:color w:val="auto"/>
          <w:kern w:val="2"/>
          <w:sz w:val="21"/>
          <w:szCs w:val="21"/>
          <w:highlight w:val="none"/>
          <w:lang w:val="en-US" w:eastAsia="zh-CN"/>
        </w:rPr>
        <w:t>应根据图纸及项目各项技术要求自行衡量数量并考虑在投标报价中；</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6.本采购清单格式可自行增加所需费用项目，且应参考</w:t>
      </w:r>
      <w:r>
        <w:rPr>
          <w:rFonts w:hint="eastAsia" w:ascii="宋体" w:hAnsi="宋体" w:eastAsia="宋体" w:cs="宋体"/>
          <w:color w:val="auto"/>
          <w:kern w:val="2"/>
          <w:sz w:val="21"/>
          <w:szCs w:val="21"/>
          <w:highlight w:val="none"/>
          <w:lang w:eastAsia="zh-CN"/>
        </w:rPr>
        <w:t>招标技术要求</w:t>
      </w:r>
      <w:r>
        <w:rPr>
          <w:rFonts w:hint="eastAsia" w:ascii="宋体" w:hAnsi="宋体" w:eastAsia="宋体" w:cs="宋体"/>
          <w:color w:val="auto"/>
          <w:kern w:val="2"/>
          <w:sz w:val="21"/>
          <w:szCs w:val="21"/>
          <w:highlight w:val="none"/>
          <w:lang w:val="en-US" w:eastAsia="zh-CN"/>
        </w:rPr>
        <w:t>综合考虑所有可能发生不可遇见的费用。</w:t>
      </w:r>
    </w:p>
    <w:p>
      <w:pPr>
        <w:keepNext/>
        <w:keepLines/>
        <w:widowControl w:val="0"/>
        <w:adjustRightInd/>
        <w:snapToGrid/>
        <w:spacing w:after="0" w:line="360" w:lineRule="auto"/>
        <w:jc w:val="both"/>
        <w:outlineLvl w:val="9"/>
        <w:rPr>
          <w:rFonts w:hint="eastAsia" w:ascii="Calibri Light" w:hAnsi="Calibri Light" w:cs="Times New Roman"/>
          <w:b/>
          <w:bCs/>
          <w:color w:val="auto"/>
          <w:kern w:val="2"/>
          <w:sz w:val="24"/>
          <w:szCs w:val="28"/>
          <w:highlight w:val="none"/>
          <w:lang w:val="en-US" w:eastAsia="zh-CN"/>
        </w:rPr>
      </w:pP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r>
        <w:rPr>
          <w:rFonts w:hint="eastAsia" w:ascii="Calibri Light" w:hAnsi="Calibri Light" w:cs="Times New Roman"/>
          <w:b/>
          <w:bCs/>
          <w:color w:val="auto"/>
          <w:kern w:val="2"/>
          <w:sz w:val="24"/>
          <w:szCs w:val="28"/>
          <w:highlight w:val="none"/>
          <w:lang w:val="en-US" w:eastAsia="zh-CN"/>
        </w:rPr>
        <w:t>二</w:t>
      </w:r>
      <w:r>
        <w:rPr>
          <w:rFonts w:hint="eastAsia" w:ascii="Calibri Light" w:hAnsi="Calibri Light" w:eastAsia="宋体" w:cs="Times New Roman"/>
          <w:b/>
          <w:bCs/>
          <w:color w:val="auto"/>
          <w:kern w:val="2"/>
          <w:sz w:val="24"/>
          <w:szCs w:val="28"/>
          <w:highlight w:val="none"/>
        </w:rPr>
        <w:t>、光伏发电设施技术要求</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1.光伏支架、基础技术要求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（1）图纸要求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本项目必须在正式施工前出具完整的施工图纸</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包含但不限于电气、结构、相关辅助设施等平面布置图与安装大样图等</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（2）如需进行深化设计时的设计要求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①本项目光伏系统的支架应按照国家规范所规定的50年一遇风压进行支架结构及基础设计</w:t>
      </w:r>
      <w:r>
        <w:rPr>
          <w:rFonts w:hint="eastAsia" w:ascii="宋体" w:hAnsi="宋体" w:eastAsia="宋体" w:cs="宋体"/>
          <w:color w:val="auto"/>
          <w:kern w:val="2"/>
          <w:sz w:val="21"/>
          <w:szCs w:val="21"/>
          <w:highlight w:val="none"/>
          <w:lang w:eastAsia="zh-CN"/>
        </w:rPr>
        <w:t>，光伏支架（棚架）可以抵御</w:t>
      </w:r>
      <w:r>
        <w:rPr>
          <w:rFonts w:hint="eastAsia" w:ascii="宋体" w:hAnsi="宋体" w:eastAsia="宋体" w:cs="宋体"/>
          <w:color w:val="auto"/>
          <w:kern w:val="2"/>
          <w:sz w:val="21"/>
          <w:szCs w:val="21"/>
          <w:highlight w:val="none"/>
          <w:lang w:val="en-US" w:eastAsia="zh-CN"/>
        </w:rPr>
        <w:t>13</w:t>
      </w:r>
      <w:r>
        <w:rPr>
          <w:rFonts w:hint="eastAsia" w:ascii="宋体" w:hAnsi="宋体" w:eastAsia="宋体" w:cs="宋体"/>
          <w:color w:val="auto"/>
          <w:kern w:val="2"/>
          <w:sz w:val="21"/>
          <w:szCs w:val="21"/>
          <w:highlight w:val="none"/>
          <w:lang w:eastAsia="zh-CN"/>
        </w:rPr>
        <w:t>级台风</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②彩钢瓦屋面光伏系统安装后的总荷载原则上必须≤15kG/m2，混凝土屋面光伏系统安装后的总荷载原则上必须≤150kG/m2，且必须找</w:t>
      </w:r>
      <w:r>
        <w:rPr>
          <w:rFonts w:hint="eastAsia" w:ascii="宋体" w:hAnsi="宋体" w:eastAsia="宋体" w:cs="宋体"/>
          <w:color w:val="auto"/>
          <w:kern w:val="2"/>
          <w:sz w:val="21"/>
          <w:szCs w:val="21"/>
          <w:highlight w:val="none"/>
          <w:lang w:val="en-US" w:eastAsia="zh-CN"/>
        </w:rPr>
        <w:t>鉴定</w:t>
      </w:r>
      <w:r>
        <w:rPr>
          <w:rFonts w:hint="eastAsia" w:ascii="宋体" w:hAnsi="宋体" w:eastAsia="宋体" w:cs="宋体"/>
          <w:color w:val="auto"/>
          <w:kern w:val="2"/>
          <w:sz w:val="21"/>
          <w:szCs w:val="21"/>
          <w:highlight w:val="none"/>
        </w:rPr>
        <w:t>设计院核算彩钢瓦屋面是否满足屋面结构荷载要求，出具屋面承重报告。</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③彩钢瓦屋面的支架应采用轻质铝合金材料作为支架及基础，用6005-T5及以上材质，厚度在2mm及以上</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要求做到阳极氧化处理以达到充分的防腐效果</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彩钢瓦屋面铝合金夹具厚度应在4mm及以上；</w:t>
      </w:r>
      <w:r>
        <w:rPr>
          <w:rFonts w:hint="eastAsia" w:ascii="宋体" w:hAnsi="宋体" w:eastAsia="宋体" w:cs="宋体"/>
          <w:color w:val="auto"/>
          <w:kern w:val="2"/>
          <w:sz w:val="21"/>
          <w:szCs w:val="21"/>
          <w:highlight w:val="none"/>
          <w:lang w:val="en-US" w:eastAsia="zh-CN"/>
        </w:rPr>
        <w:t>光伏组件</w:t>
      </w:r>
      <w:r>
        <w:rPr>
          <w:rFonts w:hint="eastAsia" w:ascii="宋体" w:hAnsi="宋体" w:eastAsia="宋体" w:cs="宋体"/>
          <w:color w:val="auto"/>
          <w:kern w:val="2"/>
          <w:sz w:val="21"/>
          <w:szCs w:val="21"/>
          <w:highlight w:val="none"/>
        </w:rPr>
        <w:t>铝合金中压块的厚度应在3mm及以上，铝合金边压块的厚度应在4mm及以上。采取的支架和夹具必须只能夹在屋面瓦楞上，不得在</w:t>
      </w:r>
      <w:r>
        <w:rPr>
          <w:rFonts w:hint="eastAsia" w:ascii="宋体" w:hAnsi="宋体" w:eastAsia="宋体" w:cs="宋体"/>
          <w:color w:val="auto"/>
          <w:kern w:val="2"/>
          <w:sz w:val="21"/>
          <w:szCs w:val="21"/>
          <w:highlight w:val="none"/>
          <w:lang w:val="en-US" w:eastAsia="zh-CN"/>
        </w:rPr>
        <w:t>彩钢瓦</w:t>
      </w:r>
      <w:r>
        <w:rPr>
          <w:rFonts w:hint="eastAsia" w:ascii="宋体" w:hAnsi="宋体" w:eastAsia="宋体" w:cs="宋体"/>
          <w:color w:val="auto"/>
          <w:kern w:val="2"/>
          <w:sz w:val="21"/>
          <w:szCs w:val="21"/>
          <w:highlight w:val="none"/>
        </w:rPr>
        <w:t>屋面开孔、开洞、</w:t>
      </w:r>
      <w:r>
        <w:rPr>
          <w:rFonts w:hint="eastAsia" w:ascii="宋体" w:hAnsi="宋体" w:eastAsia="宋体" w:cs="宋体"/>
          <w:color w:val="auto"/>
          <w:kern w:val="2"/>
          <w:sz w:val="21"/>
          <w:szCs w:val="21"/>
          <w:highlight w:val="none"/>
          <w:lang w:val="en-US" w:eastAsia="zh-CN"/>
        </w:rPr>
        <w:t>钻</w:t>
      </w:r>
      <w:r>
        <w:rPr>
          <w:rFonts w:hint="eastAsia" w:ascii="宋体" w:hAnsi="宋体" w:eastAsia="宋体" w:cs="宋体"/>
          <w:color w:val="auto"/>
          <w:kern w:val="2"/>
          <w:sz w:val="21"/>
          <w:szCs w:val="21"/>
          <w:highlight w:val="none"/>
        </w:rPr>
        <w:t>钉，以充分保证原彩钢瓦屋面的防水效果</w:t>
      </w:r>
      <w:r>
        <w:rPr>
          <w:rFonts w:hint="eastAsia" w:ascii="宋体" w:hAnsi="宋体" w:eastAsia="宋体" w:cs="宋体"/>
          <w:color w:val="auto"/>
          <w:kern w:val="2"/>
          <w:sz w:val="21"/>
          <w:szCs w:val="21"/>
          <w:highlight w:val="none"/>
          <w:lang w:eastAsia="zh-CN"/>
        </w:rPr>
        <w:t>，若由此造成屋面漏水的，承包单位必须无条件维修好并承担所需全部费用</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混凝土屋顶支架形式采用固定式钢支架，用Q235B及以上钢材，钢材防腐采用热浸锌和镀镁铝锌两种方式。若采用热浸锌防腐，锌层平均厚度不低于65um；若采用镀镁铝锌防腐，双面镀层重量不少于275g/m2。主梁和立柱的厚度不小于2.5mm，用于次梁的板厚不小于2.0mm，用于主次构件连接的钢板和构件厚度不得小于3mm。为防止混凝土开裂，按规范要求配置钢筋，混凝土强度等级用C25以上。</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⑤棚架结构采用固定式钢支架，用Q235B及以上</w:t>
      </w:r>
      <w:r>
        <w:rPr>
          <w:rFonts w:hint="eastAsia" w:ascii="宋体" w:hAnsi="宋体" w:eastAsia="宋体" w:cs="宋体"/>
          <w:color w:val="auto"/>
          <w:kern w:val="2"/>
          <w:sz w:val="21"/>
          <w:szCs w:val="21"/>
          <w:highlight w:val="none"/>
          <w:lang w:val="en-US" w:eastAsia="zh-CN"/>
        </w:rPr>
        <w:t>H型钢或工字钢(承重结构所用材料必须经有检验资质的第三方单位检验符合设计要求)</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涂层厚度室内不少于125</w:t>
      </w:r>
      <w:r>
        <w:rPr>
          <w:rFonts w:hint="eastAsia" w:ascii="宋体" w:hAnsi="宋体" w:eastAsia="宋体" w:cs="宋体"/>
          <w:color w:val="auto"/>
          <w:kern w:val="2"/>
          <w:sz w:val="21"/>
          <w:szCs w:val="21"/>
          <w:highlight w:val="none"/>
        </w:rPr>
        <w:t>um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室外不少于150</w:t>
      </w:r>
      <w:r>
        <w:rPr>
          <w:rFonts w:hint="eastAsia" w:ascii="宋体" w:hAnsi="宋体" w:eastAsia="宋体" w:cs="宋体"/>
          <w:color w:val="auto"/>
          <w:kern w:val="2"/>
          <w:sz w:val="21"/>
          <w:szCs w:val="21"/>
          <w:highlight w:val="none"/>
        </w:rPr>
        <w:t>um。‌横梁与檩条的连接方式</w:t>
      </w:r>
      <w:r>
        <w:rPr>
          <w:rFonts w:hint="eastAsia" w:ascii="宋体" w:hAnsi="宋体" w:eastAsia="宋体" w:cs="宋体"/>
          <w:color w:val="auto"/>
          <w:kern w:val="2"/>
          <w:sz w:val="21"/>
          <w:szCs w:val="21"/>
          <w:highlight w:val="none"/>
          <w:lang w:val="en-US" w:eastAsia="zh-CN"/>
        </w:rPr>
        <w:t>采用</w:t>
      </w:r>
      <w:r>
        <w:rPr>
          <w:rFonts w:hint="eastAsia" w:ascii="宋体" w:hAnsi="宋体" w:eastAsia="宋体" w:cs="宋体"/>
          <w:color w:val="auto"/>
          <w:kern w:val="2"/>
          <w:sz w:val="21"/>
          <w:szCs w:val="21"/>
          <w:highlight w:val="none"/>
        </w:rPr>
        <w:t>螺栓连接</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棚架的檐口高度不得低于2.5m，</w:t>
      </w:r>
      <w:r>
        <w:rPr>
          <w:rFonts w:hint="eastAsia" w:ascii="宋体" w:hAnsi="宋体" w:eastAsia="宋体" w:cs="宋体"/>
          <w:b/>
          <w:bCs/>
          <w:color w:val="auto"/>
          <w:kern w:val="2"/>
          <w:sz w:val="21"/>
          <w:szCs w:val="21"/>
          <w:highlight w:val="none"/>
        </w:rPr>
        <w:t>最高点不得高于2.8m</w:t>
      </w:r>
      <w:r>
        <w:rPr>
          <w:rFonts w:hint="eastAsia" w:ascii="宋体" w:hAnsi="宋体" w:eastAsia="宋体" w:cs="宋体"/>
          <w:color w:val="auto"/>
          <w:kern w:val="2"/>
          <w:sz w:val="21"/>
          <w:szCs w:val="21"/>
          <w:highlight w:val="none"/>
        </w:rPr>
        <w:t>，安装倾角经模拟后判断后确定，整体棚架设计必须通过</w:t>
      </w:r>
      <w:r>
        <w:rPr>
          <w:rFonts w:hint="eastAsia" w:ascii="宋体" w:hAnsi="宋体" w:eastAsia="宋体" w:cs="宋体"/>
          <w:color w:val="auto"/>
          <w:kern w:val="2"/>
          <w:sz w:val="21"/>
          <w:szCs w:val="21"/>
          <w:highlight w:val="none"/>
          <w:lang w:val="en-US" w:eastAsia="zh-CN"/>
        </w:rPr>
        <w:t>城管部门和</w:t>
      </w:r>
      <w:r>
        <w:rPr>
          <w:rFonts w:hint="eastAsia" w:ascii="宋体" w:hAnsi="宋体" w:eastAsia="宋体" w:cs="宋体"/>
          <w:color w:val="auto"/>
          <w:kern w:val="2"/>
          <w:sz w:val="21"/>
          <w:szCs w:val="21"/>
          <w:highlight w:val="none"/>
        </w:rPr>
        <w:t>供电部门验收。</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⑥混凝土屋面不得采用膨胀螺栓固定支架的方式，而应采用混凝土支墩基础</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形状要求：圆柱形</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的方案来达到抗风荷载的要求；若因光伏项目造成屋面漏水的，由投标单位负责处理完好。</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⑦光伏支架设计应满足10年内可拆卸再利用和25年内安全使用的要求。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⑧设计时，整个支架结构的强度、挠度、稳定性应符合国家结构设计相关规范的安全性要求；同时，支架结构的的节点连接也应满足国家结构设计规范的结构安全性的要求。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（3）安装要求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光伏组件安装时必须在天窗周边、天沟周边、女儿墙边、出屋面风管等设备周边、采光带周边、高低跨交界面边等位置设置检修维护通道和空间，检修通道宽度、尺寸必须满足检修人员及工具正常通行和作业，并利于紧急情况下快速撤离。</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②屋顶光伏安装区域的维护通道、参观通道、洞口、屋顶坠落高度基准面2</w:t>
      </w:r>
      <w:r>
        <w:rPr>
          <w:rFonts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rPr>
        <w:t>及以上的临空一侧需要安装防坠落保护设施，在临空一侧设置高度≥1</w:t>
      </w:r>
      <w:r>
        <w:rPr>
          <w:rFonts w:ascii="宋体" w:hAnsi="宋体" w:eastAsia="宋体" w:cs="宋体"/>
          <w:color w:val="auto"/>
          <w:kern w:val="2"/>
          <w:sz w:val="21"/>
          <w:szCs w:val="21"/>
          <w:highlight w:val="none"/>
        </w:rPr>
        <w:t>.2m</w:t>
      </w:r>
      <w:r>
        <w:rPr>
          <w:rFonts w:hint="eastAsia" w:ascii="宋体" w:hAnsi="宋体" w:eastAsia="宋体" w:cs="宋体"/>
          <w:color w:val="auto"/>
          <w:kern w:val="2"/>
          <w:sz w:val="21"/>
          <w:szCs w:val="21"/>
          <w:highlight w:val="none"/>
        </w:rPr>
        <w:t>的防护栏杆，并采用密目式安全立网或工具式栏板封闭，设置底部防护密目网，防护网采用不锈钢材质，高度不少于0.2m，防止工具材料掉落，防护网上端至防护栏顶部设置三条横杆，横杆之间的间距0.</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m，护栏立柱之间的间距小于1.5m，防护栏按间隔可靠防雷接地，确保登上屋顶人员的人身安全和防止高空坠物，防护栏杆应满足25年内安全使用的要求。相关防护设施的参数需要满足《建筑施工高处作业安全技术规范》J</w:t>
      </w:r>
      <w:r>
        <w:rPr>
          <w:rFonts w:ascii="宋体" w:hAnsi="宋体" w:eastAsia="宋体" w:cs="宋体"/>
          <w:color w:val="auto"/>
          <w:kern w:val="2"/>
          <w:sz w:val="21"/>
          <w:szCs w:val="21"/>
          <w:highlight w:val="none"/>
        </w:rPr>
        <w:t>GJ80-2016</w:t>
      </w:r>
      <w:r>
        <w:rPr>
          <w:rFonts w:hint="eastAsia" w:ascii="宋体" w:hAnsi="宋体" w:eastAsia="宋体" w:cs="宋体"/>
          <w:color w:val="auto"/>
          <w:kern w:val="2"/>
          <w:sz w:val="21"/>
          <w:szCs w:val="21"/>
          <w:highlight w:val="none"/>
        </w:rPr>
        <w:t>及国家相关规范和我司安全管理的相关要求。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组件安装时，</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单位必须对</w:t>
      </w:r>
      <w:r>
        <w:rPr>
          <w:rFonts w:hint="eastAsia" w:ascii="宋体" w:hAnsi="宋体" w:eastAsia="宋体" w:cs="宋体"/>
          <w:color w:val="auto"/>
          <w:kern w:val="2"/>
          <w:sz w:val="21"/>
          <w:szCs w:val="21"/>
          <w:highlight w:val="none"/>
          <w:lang w:val="en-US" w:eastAsia="zh-CN"/>
        </w:rPr>
        <w:t>业主</w:t>
      </w:r>
      <w:r>
        <w:rPr>
          <w:rFonts w:hint="eastAsia" w:ascii="宋体" w:hAnsi="宋体" w:eastAsia="宋体" w:cs="宋体"/>
          <w:color w:val="auto"/>
          <w:kern w:val="2"/>
          <w:sz w:val="21"/>
          <w:szCs w:val="21"/>
          <w:highlight w:val="none"/>
        </w:rPr>
        <w:t>屋面做好相应的保护措施，避免</w:t>
      </w:r>
      <w:r>
        <w:rPr>
          <w:rFonts w:hint="eastAsia" w:ascii="宋体" w:hAnsi="宋体" w:eastAsia="宋体" w:cs="宋体"/>
          <w:color w:val="auto"/>
          <w:kern w:val="2"/>
          <w:sz w:val="21"/>
          <w:szCs w:val="21"/>
          <w:highlight w:val="none"/>
          <w:lang w:val="en-US" w:eastAsia="zh-CN"/>
        </w:rPr>
        <w:t>安装</w:t>
      </w:r>
      <w:r>
        <w:rPr>
          <w:rFonts w:hint="eastAsia" w:ascii="宋体" w:hAnsi="宋体" w:eastAsia="宋体" w:cs="宋体"/>
          <w:color w:val="auto"/>
          <w:kern w:val="2"/>
          <w:sz w:val="21"/>
          <w:szCs w:val="21"/>
          <w:highlight w:val="none"/>
        </w:rPr>
        <w:t>过程中对</w:t>
      </w:r>
      <w:r>
        <w:rPr>
          <w:rFonts w:hint="eastAsia" w:ascii="宋体" w:hAnsi="宋体" w:eastAsia="宋体" w:cs="宋体"/>
          <w:color w:val="auto"/>
          <w:kern w:val="2"/>
          <w:sz w:val="21"/>
          <w:szCs w:val="21"/>
          <w:highlight w:val="none"/>
          <w:lang w:val="en-US" w:eastAsia="zh-CN"/>
        </w:rPr>
        <w:t>业主</w:t>
      </w:r>
      <w:r>
        <w:rPr>
          <w:rFonts w:hint="eastAsia" w:ascii="宋体" w:hAnsi="宋体" w:eastAsia="宋体" w:cs="宋体"/>
          <w:color w:val="auto"/>
          <w:kern w:val="2"/>
          <w:sz w:val="21"/>
          <w:szCs w:val="21"/>
          <w:highlight w:val="none"/>
        </w:rPr>
        <w:t>屋面造成损坏(尤其是屋面的</w:t>
      </w:r>
      <w:r>
        <w:rPr>
          <w:rFonts w:hint="eastAsia" w:ascii="宋体" w:hAnsi="宋体" w:eastAsia="宋体" w:cs="宋体"/>
          <w:color w:val="auto"/>
          <w:kern w:val="2"/>
          <w:sz w:val="21"/>
          <w:szCs w:val="21"/>
          <w:highlight w:val="none"/>
          <w:lang w:val="en-US" w:eastAsia="zh-CN"/>
        </w:rPr>
        <w:t>防水</w:t>
      </w:r>
      <w:r>
        <w:rPr>
          <w:rFonts w:hint="eastAsia" w:ascii="宋体" w:hAnsi="宋体" w:eastAsia="宋体" w:cs="宋体"/>
          <w:color w:val="auto"/>
          <w:kern w:val="2"/>
          <w:sz w:val="21"/>
          <w:szCs w:val="21"/>
          <w:highlight w:val="none"/>
        </w:rPr>
        <w:t>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油漆</w:t>
      </w:r>
      <w:r>
        <w:rPr>
          <w:rFonts w:hint="eastAsia" w:ascii="宋体" w:hAnsi="宋体" w:eastAsia="宋体" w:cs="宋体"/>
          <w:color w:val="auto"/>
          <w:kern w:val="2"/>
          <w:sz w:val="21"/>
          <w:szCs w:val="21"/>
          <w:highlight w:val="none"/>
        </w:rPr>
        <w:t>层)。</w:t>
      </w:r>
      <w:r>
        <w:rPr>
          <w:rFonts w:hint="eastAsia" w:ascii="宋体" w:hAnsi="宋体" w:eastAsia="宋体" w:cs="宋体"/>
          <w:color w:val="auto"/>
          <w:kern w:val="2"/>
          <w:sz w:val="21"/>
          <w:szCs w:val="21"/>
          <w:highlight w:val="none"/>
          <w:lang w:val="en-US" w:eastAsia="zh-CN"/>
        </w:rPr>
        <w:t>如</w:t>
      </w:r>
      <w:r>
        <w:rPr>
          <w:rFonts w:hint="eastAsia" w:ascii="宋体" w:hAnsi="宋体" w:eastAsia="宋体" w:cs="宋体"/>
          <w:color w:val="auto"/>
          <w:kern w:val="2"/>
          <w:sz w:val="21"/>
          <w:szCs w:val="21"/>
          <w:highlight w:val="none"/>
        </w:rPr>
        <w:t>不慎造成损坏，</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单位必须无条件维修好并承担所需全部费用</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若由</w:t>
      </w:r>
      <w:r>
        <w:rPr>
          <w:rFonts w:hint="eastAsia" w:ascii="宋体" w:hAnsi="宋体" w:eastAsia="宋体" w:cs="宋体"/>
          <w:color w:val="auto"/>
          <w:kern w:val="2"/>
          <w:sz w:val="21"/>
          <w:szCs w:val="21"/>
          <w:highlight w:val="none"/>
        </w:rPr>
        <w:t>此造成屋面漏</w:t>
      </w:r>
      <w:r>
        <w:rPr>
          <w:rFonts w:hint="eastAsia" w:ascii="宋体" w:hAnsi="宋体" w:eastAsia="宋体" w:cs="宋体"/>
          <w:color w:val="auto"/>
          <w:kern w:val="2"/>
          <w:sz w:val="21"/>
          <w:szCs w:val="21"/>
          <w:highlight w:val="none"/>
          <w:lang w:val="en-US" w:eastAsia="zh-CN"/>
        </w:rPr>
        <w:t>水</w:t>
      </w:r>
      <w:r>
        <w:rPr>
          <w:rFonts w:hint="eastAsia" w:ascii="宋体" w:hAnsi="宋体" w:eastAsia="宋体" w:cs="宋体"/>
          <w:color w:val="auto"/>
          <w:kern w:val="2"/>
          <w:sz w:val="21"/>
          <w:szCs w:val="21"/>
          <w:highlight w:val="none"/>
        </w:rPr>
        <w:t>的，</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单位应按照</w:t>
      </w:r>
      <w:r>
        <w:rPr>
          <w:rFonts w:hint="eastAsia" w:ascii="Calibri" w:hAnsi="宋体" w:eastAsia="宋体" w:cs="宋体"/>
          <w:color w:val="auto"/>
          <w:kern w:val="2"/>
          <w:sz w:val="21"/>
          <w:szCs w:val="21"/>
          <w:highlight w:val="none"/>
        </w:rPr>
        <w:t>采购人</w:t>
      </w:r>
      <w:r>
        <w:rPr>
          <w:rFonts w:hint="eastAsia" w:ascii="宋体" w:hAnsi="宋体" w:eastAsia="宋体" w:cs="宋体"/>
          <w:color w:val="auto"/>
          <w:kern w:val="2"/>
          <w:sz w:val="21"/>
          <w:szCs w:val="21"/>
          <w:highlight w:val="none"/>
        </w:rPr>
        <w:t>遭受的连带损失统一进行赔偿。</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④安装螺栓选用不锈钢304及以上材质</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表面需钝化</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安装前须点胶或采用防松动螺母。</w:t>
      </w:r>
    </w:p>
    <w:p>
      <w:pPr>
        <w:widowControl w:val="0"/>
        <w:wordWrap w:val="0"/>
        <w:adjustRightInd/>
        <w:snapToGrid/>
        <w:spacing w:after="0" w:line="288" w:lineRule="auto"/>
        <w:ind w:firstLine="420" w:firstLineChars="200"/>
        <w:jc w:val="both"/>
        <w:rPr>
          <w:color w:val="auto"/>
          <w:highlight w:val="none"/>
        </w:rPr>
      </w:pPr>
      <w:r>
        <w:rPr>
          <w:rFonts w:hint="eastAsia" w:ascii="宋体" w:hAnsi="宋体" w:eastAsia="宋体" w:cs="宋体"/>
          <w:color w:val="auto"/>
          <w:kern w:val="2"/>
          <w:sz w:val="21"/>
          <w:szCs w:val="21"/>
          <w:highlight w:val="none"/>
        </w:rPr>
        <w:t>⑤棚架两侧天沟采用不锈钢304及以上材质，天沟外侧高度比组件基准面高20cm，并有效支撑固定。</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⑥</w:t>
      </w:r>
      <w:r>
        <w:rPr>
          <w:rFonts w:hint="eastAsia" w:ascii="宋体" w:hAnsi="宋体" w:eastAsia="宋体" w:cs="宋体"/>
          <w:color w:val="auto"/>
          <w:kern w:val="2"/>
          <w:sz w:val="21"/>
          <w:szCs w:val="21"/>
          <w:highlight w:val="none"/>
        </w:rPr>
        <w:t>本项目的部分屋面的利用率，各投标单位在投标前认真查看图纸核算。</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2.光伏系统的电气接入(并网)技术要求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单位需完成</w:t>
      </w:r>
      <w:r>
        <w:rPr>
          <w:rFonts w:hint="eastAsia" w:ascii="宋体" w:hAnsi="宋体" w:eastAsia="宋体" w:cs="宋体"/>
          <w:color w:val="auto"/>
          <w:kern w:val="2"/>
          <w:sz w:val="21"/>
          <w:szCs w:val="21"/>
          <w:highlight w:val="none"/>
          <w:lang w:val="en-US" w:eastAsia="zh-CN"/>
        </w:rPr>
        <w:t>项目</w:t>
      </w:r>
      <w:r>
        <w:rPr>
          <w:rFonts w:hint="eastAsia" w:ascii="宋体" w:hAnsi="宋体" w:eastAsia="宋体" w:cs="宋体"/>
          <w:color w:val="auto"/>
          <w:kern w:val="2"/>
          <w:sz w:val="21"/>
          <w:szCs w:val="21"/>
          <w:highlight w:val="none"/>
        </w:rPr>
        <w:t>接入系统部分</w:t>
      </w:r>
      <w:r>
        <w:rPr>
          <w:rFonts w:hint="eastAsia" w:ascii="宋体" w:hAnsi="宋体" w:eastAsia="宋体" w:cs="宋体"/>
          <w:color w:val="auto"/>
          <w:kern w:val="2"/>
          <w:sz w:val="21"/>
          <w:szCs w:val="21"/>
          <w:highlight w:val="none"/>
          <w:lang w:val="en-US" w:eastAsia="zh-CN"/>
        </w:rPr>
        <w:t>供电</w:t>
      </w:r>
      <w:r>
        <w:rPr>
          <w:rFonts w:hint="eastAsia" w:ascii="宋体" w:hAnsi="宋体" w:eastAsia="宋体" w:cs="宋体"/>
          <w:color w:val="auto"/>
          <w:kern w:val="2"/>
          <w:sz w:val="21"/>
          <w:szCs w:val="21"/>
          <w:highlight w:val="none"/>
        </w:rPr>
        <w:t>部门的备案、</w:t>
      </w:r>
      <w:r>
        <w:rPr>
          <w:rFonts w:hint="eastAsia" w:ascii="宋体" w:hAnsi="宋体" w:eastAsia="宋体" w:cs="宋体"/>
          <w:color w:val="auto"/>
          <w:kern w:val="2"/>
          <w:sz w:val="21"/>
          <w:szCs w:val="21"/>
          <w:highlight w:val="none"/>
          <w:lang w:val="en-US" w:eastAsia="zh-CN"/>
        </w:rPr>
        <w:t>报装、</w:t>
      </w:r>
      <w:r>
        <w:rPr>
          <w:rFonts w:hint="eastAsia" w:ascii="宋体" w:hAnsi="宋体" w:eastAsia="宋体" w:cs="宋体"/>
          <w:color w:val="auto"/>
          <w:kern w:val="2"/>
          <w:sz w:val="21"/>
          <w:szCs w:val="21"/>
          <w:highlight w:val="none"/>
        </w:rPr>
        <w:t>相关报验流程</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验收手续</w:t>
      </w:r>
      <w:r>
        <w:rPr>
          <w:rFonts w:hint="eastAsia" w:ascii="宋体" w:hAnsi="宋体" w:eastAsia="宋体" w:cs="宋体"/>
          <w:color w:val="auto"/>
          <w:kern w:val="2"/>
          <w:sz w:val="21"/>
          <w:szCs w:val="21"/>
          <w:highlight w:val="none"/>
          <w:lang w:val="en-US" w:eastAsia="zh-CN"/>
        </w:rPr>
        <w:t>及装表并网</w:t>
      </w:r>
      <w:r>
        <w:rPr>
          <w:rFonts w:hint="eastAsia" w:ascii="宋体" w:hAnsi="宋体" w:eastAsia="宋体" w:cs="宋体"/>
          <w:color w:val="auto"/>
          <w:kern w:val="2"/>
          <w:sz w:val="21"/>
          <w:szCs w:val="21"/>
          <w:highlight w:val="none"/>
        </w:rPr>
        <w:t>手续</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同时在并网后前期做好相关供售电手续交接事宜</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系统的电气接入电压等级、接线等应满足国标及南方电网有关的技术规程规范的要求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须考虑</w:t>
      </w:r>
      <w:r>
        <w:rPr>
          <w:rFonts w:hint="eastAsia" w:ascii="宋体" w:hAnsi="宋体" w:eastAsia="宋体" w:cs="宋体"/>
          <w:color w:val="auto"/>
          <w:kern w:val="2"/>
          <w:sz w:val="21"/>
          <w:szCs w:val="21"/>
          <w:highlight w:val="none"/>
          <w:lang w:val="en-US" w:eastAsia="zh-CN"/>
        </w:rPr>
        <w:t>单个并网</w:t>
      </w:r>
      <w:r>
        <w:rPr>
          <w:rFonts w:hint="eastAsia" w:ascii="宋体" w:hAnsi="宋体" w:eastAsia="宋体" w:cs="宋体"/>
          <w:color w:val="auto"/>
          <w:kern w:val="2"/>
          <w:sz w:val="21"/>
          <w:szCs w:val="21"/>
          <w:highlight w:val="none"/>
        </w:rPr>
        <w:t>点</w:t>
      </w:r>
      <w:r>
        <w:rPr>
          <w:rFonts w:hint="eastAsia" w:ascii="宋体" w:hAnsi="宋体" w:eastAsia="宋体" w:cs="宋体"/>
          <w:color w:val="auto"/>
          <w:kern w:val="2"/>
          <w:sz w:val="21"/>
          <w:szCs w:val="21"/>
          <w:highlight w:val="none"/>
          <w:lang w:val="en-US" w:eastAsia="zh-CN"/>
        </w:rPr>
        <w:t>装机容量</w:t>
      </w:r>
      <w:r>
        <w:rPr>
          <w:rFonts w:hint="eastAsia" w:ascii="宋体" w:hAnsi="宋体" w:eastAsia="宋体" w:cs="宋体"/>
          <w:color w:val="auto"/>
          <w:kern w:val="2"/>
          <w:sz w:val="21"/>
          <w:szCs w:val="21"/>
          <w:highlight w:val="none"/>
        </w:rPr>
        <w:t>、接入条件、变压器容量、功率因数及负荷情况。应根据有关光伏系统接入规程规范做接入系统的技术经济研究，确定最优的、满足当地南方电网公司相关要求的电气接入系统方案，并需得到当地供电部门的批准。</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（3）</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系统接入后应不</w:t>
      </w:r>
      <w:r>
        <w:rPr>
          <w:rFonts w:hint="eastAsia" w:ascii="宋体" w:hAnsi="宋体" w:eastAsia="宋体" w:cs="宋体"/>
          <w:color w:val="auto"/>
          <w:kern w:val="2"/>
          <w:sz w:val="21"/>
          <w:szCs w:val="21"/>
          <w:highlight w:val="none"/>
          <w:lang w:val="en-US" w:eastAsia="zh-CN"/>
        </w:rPr>
        <w:t>得</w:t>
      </w:r>
      <w:r>
        <w:rPr>
          <w:rFonts w:hint="eastAsia" w:ascii="宋体" w:hAnsi="宋体" w:eastAsia="宋体" w:cs="宋体"/>
          <w:color w:val="auto"/>
          <w:kern w:val="2"/>
          <w:sz w:val="21"/>
          <w:szCs w:val="21"/>
          <w:highlight w:val="none"/>
        </w:rPr>
        <w:t>降低</w:t>
      </w:r>
      <w:r>
        <w:rPr>
          <w:rFonts w:hint="eastAsia" w:ascii="宋体" w:hAnsi="宋体" w:eastAsia="宋体" w:cs="宋体"/>
          <w:color w:val="auto"/>
          <w:kern w:val="2"/>
          <w:sz w:val="21"/>
          <w:szCs w:val="21"/>
          <w:highlight w:val="none"/>
          <w:lang w:val="en-US" w:eastAsia="zh-CN"/>
        </w:rPr>
        <w:t>业主</w:t>
      </w:r>
      <w:r>
        <w:rPr>
          <w:rFonts w:hint="eastAsia" w:ascii="宋体" w:hAnsi="宋体" w:eastAsia="宋体" w:cs="宋体"/>
          <w:color w:val="auto"/>
          <w:kern w:val="2"/>
          <w:sz w:val="21"/>
          <w:szCs w:val="21"/>
          <w:highlight w:val="none"/>
        </w:rPr>
        <w:t>原有</w:t>
      </w:r>
      <w:r>
        <w:rPr>
          <w:rFonts w:hint="eastAsia" w:ascii="宋体" w:hAnsi="宋体" w:eastAsia="宋体" w:cs="宋体"/>
          <w:color w:val="auto"/>
          <w:kern w:val="2"/>
          <w:sz w:val="21"/>
          <w:szCs w:val="21"/>
          <w:highlight w:val="none"/>
          <w:lang w:val="en-US" w:eastAsia="zh-CN"/>
        </w:rPr>
        <w:t>供</w:t>
      </w:r>
      <w:r>
        <w:rPr>
          <w:rFonts w:hint="eastAsia" w:ascii="宋体" w:hAnsi="宋体" w:eastAsia="宋体" w:cs="宋体"/>
          <w:color w:val="auto"/>
          <w:kern w:val="2"/>
          <w:sz w:val="21"/>
          <w:szCs w:val="21"/>
          <w:highlight w:val="none"/>
        </w:rPr>
        <w:t>配电系统的供电稳定性、可靠性，应把对原</w:t>
      </w:r>
      <w:r>
        <w:rPr>
          <w:rFonts w:hint="eastAsia" w:ascii="宋体" w:hAnsi="宋体" w:eastAsia="宋体" w:cs="宋体"/>
          <w:color w:val="auto"/>
          <w:kern w:val="2"/>
          <w:sz w:val="21"/>
          <w:szCs w:val="21"/>
          <w:highlight w:val="none"/>
          <w:lang w:val="en-US" w:eastAsia="zh-CN"/>
        </w:rPr>
        <w:t>供</w:t>
      </w:r>
      <w:r>
        <w:rPr>
          <w:rFonts w:hint="eastAsia" w:ascii="宋体" w:hAnsi="宋体" w:eastAsia="宋体" w:cs="宋体"/>
          <w:color w:val="auto"/>
          <w:kern w:val="2"/>
          <w:sz w:val="21"/>
          <w:szCs w:val="21"/>
          <w:highlight w:val="none"/>
        </w:rPr>
        <w:t>配电系统的影响降低到最小限度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w:t>
      </w:r>
      <w:r>
        <w:rPr>
          <w:rFonts w:hint="eastAsia" w:ascii="宋体" w:hAnsi="宋体" w:eastAsia="宋体" w:cs="宋体"/>
          <w:color w:val="auto"/>
          <w:kern w:val="2"/>
          <w:sz w:val="21"/>
          <w:szCs w:val="21"/>
          <w:highlight w:val="none"/>
        </w:rPr>
        <w:t>不</w:t>
      </w:r>
      <w:r>
        <w:rPr>
          <w:rFonts w:hint="eastAsia" w:ascii="宋体" w:hAnsi="宋体" w:eastAsia="宋体" w:cs="宋体"/>
          <w:color w:val="auto"/>
          <w:kern w:val="2"/>
          <w:sz w:val="21"/>
          <w:szCs w:val="21"/>
          <w:highlight w:val="none"/>
          <w:lang w:val="en-US" w:eastAsia="zh-CN"/>
        </w:rPr>
        <w:t>得影响供电部门停电检修，当业主</w:t>
      </w:r>
      <w:r>
        <w:rPr>
          <w:rFonts w:hint="eastAsia" w:ascii="宋体" w:hAnsi="宋体" w:eastAsia="宋体" w:cs="宋体"/>
          <w:color w:val="auto"/>
          <w:kern w:val="2"/>
          <w:sz w:val="21"/>
          <w:szCs w:val="21"/>
          <w:highlight w:val="none"/>
        </w:rPr>
        <w:t>原有</w:t>
      </w:r>
      <w:r>
        <w:rPr>
          <w:rFonts w:hint="eastAsia" w:ascii="宋体" w:hAnsi="宋体" w:eastAsia="宋体" w:cs="宋体"/>
          <w:color w:val="auto"/>
          <w:kern w:val="2"/>
          <w:sz w:val="21"/>
          <w:szCs w:val="21"/>
          <w:highlight w:val="none"/>
          <w:lang w:val="en-US" w:eastAsia="zh-CN"/>
        </w:rPr>
        <w:t>供</w:t>
      </w:r>
      <w:r>
        <w:rPr>
          <w:rFonts w:hint="eastAsia" w:ascii="宋体" w:hAnsi="宋体" w:eastAsia="宋体" w:cs="宋体"/>
          <w:color w:val="auto"/>
          <w:kern w:val="2"/>
          <w:sz w:val="21"/>
          <w:szCs w:val="21"/>
          <w:highlight w:val="none"/>
        </w:rPr>
        <w:t>配电系统的供电稳定性、可靠性</w:t>
      </w:r>
      <w:r>
        <w:rPr>
          <w:rFonts w:hint="eastAsia" w:ascii="宋体" w:hAnsi="宋体" w:eastAsia="宋体" w:cs="宋体"/>
          <w:color w:val="auto"/>
          <w:kern w:val="2"/>
          <w:sz w:val="21"/>
          <w:szCs w:val="21"/>
          <w:highlight w:val="none"/>
          <w:lang w:val="en-US" w:eastAsia="zh-CN"/>
        </w:rPr>
        <w:t>下降，承包</w:t>
      </w:r>
      <w:r>
        <w:rPr>
          <w:rFonts w:hint="eastAsia" w:ascii="宋体" w:hAnsi="宋体" w:eastAsia="宋体" w:cs="宋体"/>
          <w:color w:val="auto"/>
          <w:kern w:val="2"/>
          <w:sz w:val="21"/>
          <w:szCs w:val="21"/>
          <w:highlight w:val="none"/>
        </w:rPr>
        <w:t>单位</w:t>
      </w:r>
      <w:r>
        <w:rPr>
          <w:rFonts w:hint="eastAsia" w:ascii="宋体" w:hAnsi="宋体" w:eastAsia="宋体" w:cs="宋体"/>
          <w:color w:val="auto"/>
          <w:kern w:val="2"/>
          <w:sz w:val="21"/>
          <w:szCs w:val="21"/>
          <w:highlight w:val="none"/>
          <w:lang w:val="en-US" w:eastAsia="zh-CN"/>
        </w:rPr>
        <w:t>必须无条件加装</w:t>
      </w:r>
      <w:r>
        <w:rPr>
          <w:rFonts w:hint="eastAsia" w:ascii="宋体" w:hAnsi="宋体" w:eastAsia="宋体" w:cs="宋体"/>
          <w:b/>
          <w:bCs/>
          <w:color w:val="auto"/>
          <w:kern w:val="2"/>
          <w:sz w:val="21"/>
          <w:szCs w:val="21"/>
          <w:highlight w:val="none"/>
          <w:lang w:val="en-US" w:eastAsia="zh-CN"/>
        </w:rPr>
        <w:t>光伏无功补偿器</w:t>
      </w:r>
      <w:r>
        <w:rPr>
          <w:rFonts w:hint="eastAsia" w:ascii="宋体" w:hAnsi="宋体" w:eastAsia="宋体" w:cs="宋体"/>
          <w:color w:val="auto"/>
          <w:kern w:val="2"/>
          <w:sz w:val="21"/>
          <w:szCs w:val="21"/>
          <w:highlight w:val="none"/>
          <w:lang w:val="en-US" w:eastAsia="zh-CN"/>
        </w:rPr>
        <w:t>承担所需全部费用。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系统接入后不</w:t>
      </w:r>
      <w:r>
        <w:rPr>
          <w:rFonts w:hint="eastAsia" w:ascii="宋体" w:hAnsi="宋体" w:eastAsia="宋体" w:cs="宋体"/>
          <w:color w:val="auto"/>
          <w:kern w:val="2"/>
          <w:sz w:val="21"/>
          <w:szCs w:val="21"/>
          <w:highlight w:val="none"/>
          <w:lang w:val="en-US" w:eastAsia="zh-CN"/>
        </w:rPr>
        <w:t>得影响业主、用能方</w:t>
      </w:r>
      <w:r>
        <w:rPr>
          <w:rFonts w:hint="eastAsia" w:ascii="宋体" w:hAnsi="宋体" w:eastAsia="宋体" w:cs="宋体"/>
          <w:color w:val="auto"/>
          <w:kern w:val="2"/>
          <w:sz w:val="21"/>
          <w:szCs w:val="21"/>
          <w:highlight w:val="none"/>
        </w:rPr>
        <w:t>原有</w:t>
      </w:r>
      <w:r>
        <w:rPr>
          <w:rFonts w:hint="eastAsia" w:ascii="宋体" w:hAnsi="宋体" w:eastAsia="宋体" w:cs="宋体"/>
          <w:color w:val="auto"/>
          <w:kern w:val="2"/>
          <w:sz w:val="21"/>
          <w:szCs w:val="21"/>
          <w:highlight w:val="none"/>
          <w:lang w:val="en-US" w:eastAsia="zh-CN"/>
        </w:rPr>
        <w:t>供</w:t>
      </w:r>
      <w:r>
        <w:rPr>
          <w:rFonts w:hint="eastAsia" w:ascii="宋体" w:hAnsi="宋体" w:eastAsia="宋体" w:cs="宋体"/>
          <w:color w:val="auto"/>
          <w:kern w:val="2"/>
          <w:sz w:val="21"/>
          <w:szCs w:val="21"/>
          <w:highlight w:val="none"/>
        </w:rPr>
        <w:t>配电系统</w:t>
      </w:r>
      <w:r>
        <w:rPr>
          <w:rFonts w:hint="eastAsia" w:ascii="宋体" w:hAnsi="宋体" w:eastAsia="宋体" w:cs="宋体"/>
          <w:color w:val="auto"/>
          <w:kern w:val="2"/>
          <w:sz w:val="21"/>
          <w:szCs w:val="21"/>
          <w:highlight w:val="none"/>
          <w:lang w:val="en-US" w:eastAsia="zh-CN"/>
        </w:rPr>
        <w:t>正常的用电计量工作，若业主、用能方原有供配电系统用电计量工作出现异常（如用户原有机械计量表倒转），承包</w:t>
      </w:r>
      <w:r>
        <w:rPr>
          <w:rFonts w:hint="eastAsia" w:ascii="宋体" w:hAnsi="宋体" w:eastAsia="宋体" w:cs="宋体"/>
          <w:color w:val="auto"/>
          <w:kern w:val="2"/>
          <w:sz w:val="21"/>
          <w:szCs w:val="21"/>
          <w:highlight w:val="none"/>
        </w:rPr>
        <w:t>单位</w:t>
      </w:r>
      <w:r>
        <w:rPr>
          <w:rFonts w:hint="eastAsia" w:ascii="宋体" w:hAnsi="宋体" w:eastAsia="宋体" w:cs="宋体"/>
          <w:color w:val="auto"/>
          <w:kern w:val="2"/>
          <w:sz w:val="21"/>
          <w:szCs w:val="21"/>
          <w:highlight w:val="none"/>
          <w:lang w:val="en-US" w:eastAsia="zh-CN"/>
        </w:rPr>
        <w:t>必须无条件采取必要措施解决异常（如</w:t>
      </w:r>
      <w:r>
        <w:rPr>
          <w:rFonts w:hint="eastAsia" w:ascii="宋体" w:hAnsi="宋体" w:eastAsia="宋体" w:cs="宋体"/>
          <w:b/>
          <w:bCs/>
          <w:i w:val="0"/>
          <w:iCs w:val="0"/>
          <w:color w:val="auto"/>
          <w:kern w:val="2"/>
          <w:sz w:val="21"/>
          <w:szCs w:val="21"/>
          <w:highlight w:val="none"/>
          <w:lang w:val="en-US" w:eastAsia="zh-CN"/>
        </w:rPr>
        <w:t>更换业主、用能方机械计量表为电子双向计量表</w:t>
      </w:r>
      <w:r>
        <w:rPr>
          <w:rFonts w:hint="eastAsia" w:ascii="宋体" w:hAnsi="宋体" w:eastAsia="宋体" w:cs="宋体"/>
          <w:color w:val="auto"/>
          <w:kern w:val="2"/>
          <w:sz w:val="21"/>
          <w:szCs w:val="21"/>
          <w:highlight w:val="none"/>
          <w:lang w:val="en-US" w:eastAsia="zh-CN"/>
        </w:rPr>
        <w:t>）并承担所需全部费用。</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系统必须在逆变器输出汇总点设置易于操作、可闭锁、且具有明显断开点的并网总断路器，以保证电力设备检修维护人员的人身安全。</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系统和并网点设备的防雷和接地应符合南方电网公司规定要求，接地电阻合格，</w:t>
      </w:r>
      <w:r>
        <w:rPr>
          <w:rFonts w:hint="eastAsia" w:ascii="宋体" w:hAnsi="宋体" w:eastAsia="宋体" w:cs="宋体"/>
          <w:color w:val="auto"/>
          <w:kern w:val="2"/>
          <w:sz w:val="21"/>
          <w:szCs w:val="21"/>
          <w:highlight w:val="none"/>
          <w:lang w:val="en-US" w:eastAsia="zh-CN"/>
        </w:rPr>
        <w:t>并</w:t>
      </w:r>
      <w:r>
        <w:rPr>
          <w:rFonts w:hint="eastAsia" w:ascii="宋体" w:hAnsi="宋体" w:eastAsia="宋体" w:cs="宋体"/>
          <w:color w:val="auto"/>
          <w:kern w:val="2"/>
          <w:sz w:val="21"/>
          <w:szCs w:val="21"/>
          <w:highlight w:val="none"/>
        </w:rPr>
        <w:t>按规定周期进行测试。</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或电网异常、故障时为保护设备和人身安全，应具有相应继电保护功能，保护电网和光伏设备的安全运行，确保维护人员和公众人身安全。光伏电站的保护应符合南方电网规定的可靠性、选择性、灵活性和速动性的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系统的过流与短路保护、防孤岛能力、逆变器保护、恢复并网等应满足南方电网规定的要求。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系统的电能质量满足规程要求，电压谐波和波形畸变、电压偏差、电压波动和闪变、电压不平衡度、直流分量在南方电网规定的范围内，保证功率因</w:t>
      </w:r>
      <w:r>
        <w:rPr>
          <w:rFonts w:hint="eastAsia" w:ascii="宋体" w:hAnsi="宋体" w:eastAsia="宋体" w:cs="宋体"/>
          <w:color w:val="auto"/>
          <w:kern w:val="2"/>
          <w:sz w:val="21"/>
          <w:szCs w:val="21"/>
          <w:highlight w:val="none"/>
          <w:lang w:val="en-US" w:eastAsia="zh-CN"/>
        </w:rPr>
        <w:t>数</w:t>
      </w:r>
      <w:r>
        <w:rPr>
          <w:rFonts w:hint="eastAsia" w:ascii="宋体" w:hAnsi="宋体" w:eastAsia="宋体" w:cs="宋体"/>
          <w:color w:val="auto"/>
          <w:kern w:val="2"/>
          <w:sz w:val="21"/>
          <w:szCs w:val="21"/>
          <w:highlight w:val="none"/>
        </w:rPr>
        <w:t>在0.98以上。</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系统的安全自动装置应按国家规定配置齐全。</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按照《分布式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发电开发建设管理办法》（国能发新能规[2025]7号）要求，分布式</w:t>
      </w:r>
      <w:r>
        <w:rPr>
          <w:rFonts w:hint="eastAsia" w:ascii="宋体" w:hAnsi="宋体" w:eastAsia="宋体" w:cs="宋体"/>
          <w:color w:val="auto"/>
          <w:kern w:val="2"/>
          <w:sz w:val="21"/>
          <w:szCs w:val="21"/>
          <w:highlight w:val="none"/>
        </w:rPr>
        <w:t>光伏</w:t>
      </w:r>
      <w:r>
        <w:rPr>
          <w:rFonts w:hint="eastAsia" w:ascii="宋体" w:hAnsi="宋体" w:eastAsia="宋体" w:cs="宋体"/>
          <w:color w:val="auto"/>
          <w:kern w:val="2"/>
          <w:sz w:val="21"/>
          <w:szCs w:val="21"/>
          <w:highlight w:val="none"/>
          <w:lang w:val="en-US" w:eastAsia="zh-CN"/>
        </w:rPr>
        <w:t>发电</w:t>
      </w:r>
      <w:r>
        <w:rPr>
          <w:rFonts w:hint="eastAsia" w:ascii="宋体" w:hAnsi="宋体" w:eastAsia="宋体" w:cs="宋体"/>
          <w:color w:val="auto"/>
          <w:kern w:val="2"/>
          <w:sz w:val="21"/>
          <w:szCs w:val="21"/>
          <w:highlight w:val="none"/>
        </w:rPr>
        <w:t>系统</w:t>
      </w:r>
      <w:r>
        <w:rPr>
          <w:rFonts w:hint="eastAsia" w:ascii="宋体" w:hAnsi="宋体" w:eastAsia="宋体" w:cs="宋体"/>
          <w:color w:val="auto"/>
          <w:kern w:val="2"/>
          <w:sz w:val="21"/>
          <w:szCs w:val="21"/>
          <w:highlight w:val="none"/>
          <w:lang w:val="en-US" w:eastAsia="zh-CN"/>
        </w:rPr>
        <w:t>应具备“四可”（可观、可测、可调、可控）能力，承包单位需自行购买并安装符合并网资质的</w:t>
      </w:r>
      <w:r>
        <w:rPr>
          <w:rFonts w:hint="eastAsia" w:ascii="宋体" w:hAnsi="宋体" w:eastAsia="宋体" w:cs="宋体"/>
          <w:b/>
          <w:bCs/>
          <w:color w:val="auto"/>
          <w:kern w:val="2"/>
          <w:sz w:val="21"/>
          <w:szCs w:val="21"/>
          <w:highlight w:val="none"/>
          <w:lang w:val="en-US" w:eastAsia="zh-CN"/>
        </w:rPr>
        <w:t>光伏断路器</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b/>
          <w:bCs/>
          <w:color w:val="auto"/>
          <w:kern w:val="2"/>
          <w:sz w:val="21"/>
          <w:szCs w:val="21"/>
          <w:highlight w:val="none"/>
          <w:lang w:val="en-US" w:eastAsia="zh-CN"/>
        </w:rPr>
        <w:t>协议转换单元</w:t>
      </w:r>
      <w:r>
        <w:rPr>
          <w:rFonts w:hint="eastAsia" w:ascii="宋体" w:hAnsi="宋体" w:eastAsia="宋体" w:cs="宋体"/>
          <w:color w:val="auto"/>
          <w:kern w:val="2"/>
          <w:sz w:val="21"/>
          <w:szCs w:val="21"/>
          <w:highlight w:val="none"/>
          <w:lang w:val="en-US" w:eastAsia="zh-CN"/>
        </w:rPr>
        <w:t>等</w:t>
      </w:r>
      <w:r>
        <w:rPr>
          <w:rFonts w:hint="eastAsia" w:ascii="宋体" w:hAnsi="宋体" w:eastAsia="宋体" w:cs="宋体"/>
          <w:b/>
          <w:bCs/>
          <w:color w:val="auto"/>
          <w:kern w:val="2"/>
          <w:sz w:val="21"/>
          <w:szCs w:val="21"/>
          <w:highlight w:val="none"/>
          <w:lang w:val="en-US" w:eastAsia="zh-CN"/>
        </w:rPr>
        <w:t>“四可”设备</w:t>
      </w:r>
      <w:r>
        <w:rPr>
          <w:rFonts w:hint="eastAsia" w:ascii="宋体" w:hAnsi="宋体" w:eastAsia="宋体" w:cs="宋体"/>
          <w:color w:val="auto"/>
          <w:kern w:val="2"/>
          <w:sz w:val="21"/>
          <w:szCs w:val="21"/>
          <w:highlight w:val="none"/>
          <w:lang w:val="en-US" w:eastAsia="zh-CN"/>
        </w:rPr>
        <w:t>，并提供设备出厂合格证和第三方检测报告</w:t>
      </w:r>
      <w:r>
        <w:rPr>
          <w:rFonts w:hint="eastAsia" w:ascii="宋体" w:hAnsi="宋体" w:eastAsia="宋体" w:cs="宋体"/>
          <w:color w:val="auto"/>
          <w:kern w:val="2"/>
          <w:sz w:val="21"/>
          <w:szCs w:val="21"/>
          <w:highlight w:val="none"/>
        </w:rPr>
        <w:t>。</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3.光伏组件技术要求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（1）采用高效率单晶硅</w:t>
      </w:r>
      <w:r>
        <w:rPr>
          <w:rFonts w:hint="eastAsia" w:ascii="宋体" w:hAnsi="宋体" w:eastAsia="宋体" w:cs="宋体"/>
          <w:color w:val="auto"/>
          <w:kern w:val="2"/>
          <w:sz w:val="21"/>
          <w:szCs w:val="21"/>
          <w:highlight w:val="none"/>
          <w:lang w:val="en-US" w:eastAsia="zh-CN"/>
        </w:rPr>
        <w:t>60</w:t>
      </w:r>
      <w:r>
        <w:rPr>
          <w:rFonts w:hint="eastAsia" w:ascii="宋体" w:hAnsi="宋体" w:eastAsia="宋体" w:cs="宋体"/>
          <w:color w:val="auto"/>
          <w:kern w:val="2"/>
          <w:sz w:val="21"/>
          <w:szCs w:val="21"/>
          <w:highlight w:val="none"/>
        </w:rPr>
        <w:t>0Wp及以上的太阳能光伏组件，使用寿命不低于</w:t>
      </w:r>
      <w:r>
        <w:rPr>
          <w:rFonts w:hint="eastAsia" w:ascii="宋体" w:hAnsi="宋体" w:eastAsia="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年，不少于</w:t>
      </w:r>
      <w:r>
        <w:rPr>
          <w:rFonts w:hint="eastAsia" w:ascii="宋体" w:hAnsi="宋体" w:eastAsia="宋体" w:cs="宋体"/>
          <w:color w:val="auto"/>
          <w:kern w:val="2"/>
          <w:sz w:val="21"/>
          <w:szCs w:val="21"/>
          <w:highlight w:val="none"/>
          <w:lang w:val="en-US" w:eastAsia="zh-CN"/>
        </w:rPr>
        <w:t>12年材料工艺质保和30</w:t>
      </w:r>
      <w:r>
        <w:rPr>
          <w:rFonts w:hint="eastAsia" w:ascii="宋体" w:hAnsi="宋体" w:eastAsia="宋体" w:cs="宋体"/>
          <w:color w:val="auto"/>
          <w:kern w:val="2"/>
          <w:sz w:val="21"/>
          <w:szCs w:val="21"/>
          <w:highlight w:val="none"/>
        </w:rPr>
        <w:t>年线性功率质保，投标文件中提供质保说明书，</w:t>
      </w:r>
      <w:r>
        <w:rPr>
          <w:rFonts w:hint="eastAsia" w:ascii="宋体" w:hAnsi="宋体" w:eastAsia="宋体" w:cs="宋体"/>
          <w:color w:val="auto"/>
          <w:kern w:val="2"/>
          <w:sz w:val="21"/>
          <w:szCs w:val="21"/>
          <w:highlight w:val="none"/>
          <w:lang w:val="en-US" w:eastAsia="zh-CN"/>
        </w:rPr>
        <w:t>具体</w:t>
      </w:r>
      <w:r>
        <w:rPr>
          <w:rFonts w:hint="eastAsia" w:ascii="宋体" w:hAnsi="宋体" w:eastAsia="宋体" w:cs="宋体"/>
          <w:color w:val="auto"/>
          <w:kern w:val="2"/>
          <w:sz w:val="21"/>
          <w:szCs w:val="21"/>
          <w:highlight w:val="none"/>
        </w:rPr>
        <w:t>技术参数要求</w:t>
      </w:r>
      <w:r>
        <w:rPr>
          <w:rFonts w:hint="eastAsia" w:ascii="宋体" w:hAnsi="宋体" w:eastAsia="宋体" w:cs="宋体"/>
          <w:color w:val="auto"/>
          <w:kern w:val="2"/>
          <w:sz w:val="21"/>
          <w:szCs w:val="21"/>
          <w:highlight w:val="none"/>
          <w:lang w:val="en-US" w:eastAsia="zh-CN"/>
        </w:rPr>
        <w:t>严格按</w:t>
      </w:r>
      <w:r>
        <w:rPr>
          <w:rFonts w:hint="eastAsia" w:ascii="宋体" w:hAnsi="宋体" w:eastAsia="宋体" w:cs="宋体"/>
          <w:color w:val="auto"/>
          <w:kern w:val="2"/>
          <w:sz w:val="21"/>
          <w:szCs w:val="21"/>
          <w:highlight w:val="none"/>
        </w:rPr>
        <w:t>下表</w:t>
      </w:r>
      <w:r>
        <w:rPr>
          <w:rFonts w:hint="eastAsia" w:ascii="宋体" w:hAnsi="宋体" w:eastAsia="宋体" w:cs="宋体"/>
          <w:color w:val="auto"/>
          <w:kern w:val="2"/>
          <w:sz w:val="21"/>
          <w:szCs w:val="21"/>
          <w:highlight w:val="none"/>
          <w:lang w:val="en-US" w:eastAsia="zh-CN"/>
        </w:rPr>
        <w:t>执行</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jc w:val="center"/>
        <w:rPr>
          <w:rFonts w:ascii="宋体" w:hAnsi="宋体" w:eastAsia="宋体" w:cs="宋体"/>
          <w:b/>
          <w:bCs/>
          <w:color w:val="auto"/>
          <w:kern w:val="2"/>
          <w:sz w:val="21"/>
          <w:szCs w:val="21"/>
          <w:highlight w:val="none"/>
        </w:rPr>
      </w:pPr>
      <w:r>
        <w:rPr>
          <w:rFonts w:hint="eastAsia" w:ascii="宋体" w:hAnsi="宋体" w:eastAsia="宋体" w:cs="宋体"/>
          <w:b/>
          <w:bCs/>
          <w:color w:val="auto"/>
          <w:spacing w:val="13"/>
          <w:kern w:val="2"/>
          <w:sz w:val="21"/>
          <w:szCs w:val="21"/>
          <w:highlight w:val="none"/>
          <w:lang w:val="en-US" w:eastAsia="zh-CN"/>
        </w:rPr>
        <w:t>光伏</w:t>
      </w:r>
      <w:r>
        <w:rPr>
          <w:rFonts w:hint="eastAsia" w:ascii="宋体" w:hAnsi="宋体" w:eastAsia="宋体" w:cs="宋体"/>
          <w:b/>
          <w:bCs/>
          <w:color w:val="auto"/>
          <w:spacing w:val="13"/>
          <w:kern w:val="2"/>
          <w:sz w:val="21"/>
          <w:szCs w:val="21"/>
          <w:highlight w:val="none"/>
        </w:rPr>
        <w:t>组</w:t>
      </w:r>
      <w:r>
        <w:rPr>
          <w:rFonts w:hint="eastAsia" w:ascii="宋体" w:hAnsi="宋体" w:eastAsia="宋体" w:cs="宋体"/>
          <w:b/>
          <w:bCs/>
          <w:color w:val="auto"/>
          <w:spacing w:val="8"/>
          <w:kern w:val="2"/>
          <w:sz w:val="21"/>
          <w:szCs w:val="21"/>
          <w:highlight w:val="none"/>
        </w:rPr>
        <w:t>件主要技术参数表</w:t>
      </w:r>
    </w:p>
    <w:tbl>
      <w:tblPr>
        <w:tblStyle w:val="78"/>
        <w:tblW w:w="8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99"/>
        <w:gridCol w:w="4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型号规</w:t>
            </w:r>
            <w:r>
              <w:rPr>
                <w:rFonts w:hint="eastAsia" w:ascii="宋体" w:hAnsi="宋体" w:eastAsia="宋体" w:cs="宋体"/>
                <w:color w:val="auto"/>
                <w:spacing w:val="5"/>
                <w:kern w:val="2"/>
                <w:sz w:val="21"/>
                <w:szCs w:val="21"/>
                <w:highlight w:val="none"/>
              </w:rPr>
              <w:t>格</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高效率单晶硅</w:t>
            </w:r>
            <w:r>
              <w:rPr>
                <w:rFonts w:hint="eastAsia" w:ascii="宋体" w:hAnsi="宋体" w:eastAsia="宋体" w:cs="宋体"/>
                <w:color w:val="auto"/>
                <w:spacing w:val="-2"/>
                <w:kern w:val="2"/>
                <w:sz w:val="21"/>
                <w:szCs w:val="21"/>
                <w:highlight w:val="none"/>
                <w:lang w:val="en-US" w:eastAsia="zh-CN"/>
              </w:rPr>
              <w:t>半片电池片 60</w:t>
            </w:r>
            <w:r>
              <w:rPr>
                <w:rFonts w:hint="eastAsia" w:ascii="宋体" w:hAnsi="宋体" w:eastAsia="宋体" w:cs="宋体"/>
                <w:color w:val="auto"/>
                <w:spacing w:val="-2"/>
                <w:kern w:val="2"/>
                <w:sz w:val="21"/>
                <w:szCs w:val="21"/>
                <w:highlight w:val="none"/>
              </w:rPr>
              <w:t>0Wp</w:t>
            </w:r>
            <w:r>
              <w:rPr>
                <w:rFonts w:hint="eastAsia" w:ascii="宋体" w:hAnsi="宋体" w:eastAsia="宋体" w:cs="宋体"/>
                <w:color w:val="auto"/>
                <w:kern w:val="2"/>
                <w:sz w:val="21"/>
                <w:szCs w:val="21"/>
                <w:highlight w:val="none"/>
              </w:rPr>
              <w:t>及</w:t>
            </w:r>
            <w:r>
              <w:rPr>
                <w:rFonts w:hint="eastAsia" w:ascii="宋体" w:hAnsi="宋体" w:eastAsia="宋体" w:cs="宋体"/>
                <w:color w:val="auto"/>
                <w:spacing w:val="-2"/>
                <w:kern w:val="2"/>
                <w:sz w:val="21"/>
                <w:szCs w:val="21"/>
                <w:highlight w:val="none"/>
                <w:lang w:val="en-US" w:eastAsia="zh-CN"/>
              </w:rPr>
              <w:t xml:space="preserve">以上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标称功率</w:t>
            </w:r>
            <w:r>
              <w:rPr>
                <w:rFonts w:hint="eastAsia" w:ascii="宋体" w:hAnsi="宋体" w:eastAsia="宋体" w:cs="宋体"/>
                <w:color w:val="auto"/>
                <w:kern w:val="2"/>
                <w:sz w:val="21"/>
                <w:szCs w:val="21"/>
                <w:highlight w:val="none"/>
              </w:rPr>
              <w:t>(W)</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≥600</w:t>
            </w:r>
            <w:r>
              <w:rPr>
                <w:rFonts w:hint="eastAsia" w:ascii="宋体" w:hAnsi="宋体" w:eastAsia="宋体" w:cs="宋体"/>
                <w:color w:val="auto"/>
                <w:kern w:val="2"/>
                <w:sz w:val="21"/>
                <w:szCs w:val="21"/>
                <w:highlight w:val="none"/>
              </w:rPr>
              <w:t>W</w:t>
            </w:r>
            <w:r>
              <w:rPr>
                <w:rFonts w:hint="eastAsia" w:ascii="宋体" w:hAnsi="宋体" w:eastAsia="宋体" w:cs="宋体"/>
                <w:color w:val="auto"/>
                <w:spacing w:val="-2"/>
                <w:kern w:val="2"/>
                <w:sz w:val="21"/>
                <w:szCs w:val="21"/>
                <w:highlight w:val="none"/>
              </w:rPr>
              <w: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组</w:t>
            </w:r>
            <w:r>
              <w:rPr>
                <w:rFonts w:hint="eastAsia" w:ascii="宋体" w:hAnsi="宋体" w:eastAsia="宋体" w:cs="宋体"/>
                <w:color w:val="auto"/>
                <w:spacing w:val="-5"/>
                <w:kern w:val="2"/>
                <w:sz w:val="21"/>
                <w:szCs w:val="21"/>
                <w:highlight w:val="none"/>
              </w:rPr>
              <w:t>件效率(</w:t>
            </w:r>
            <w:r>
              <w:rPr>
                <w:rFonts w:hint="eastAsia" w:ascii="宋体" w:hAnsi="宋体" w:eastAsia="宋体" w:cs="宋体"/>
                <w:color w:val="auto"/>
                <w:spacing w:val="2"/>
                <w:kern w:val="2"/>
                <w:position w:val="-1"/>
                <w:sz w:val="21"/>
                <w:szCs w:val="21"/>
                <w:highlight w:val="none"/>
                <w:lang w:val="en-US" w:eastAsia="zh-CN"/>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2"/>
                <w:kern w:val="2"/>
                <w:sz w:val="21"/>
                <w:szCs w:val="21"/>
                <w:highlight w:val="none"/>
                <w:lang w:val="en-US" w:eastAsia="zh-CN"/>
              </w:rPr>
              <w:t>22.4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首年功率衰减率</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2"/>
                <w:kern w:val="2"/>
                <w:position w:val="-1"/>
                <w:sz w:val="21"/>
                <w:szCs w:val="21"/>
                <w:highlight w:val="none"/>
                <w:lang w:val="en-US" w:eastAsia="zh-CN"/>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次年后每年功率衰减率</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2"/>
                <w:kern w:val="2"/>
                <w:position w:val="-1"/>
                <w:sz w:val="21"/>
                <w:szCs w:val="21"/>
                <w:highlight w:val="none"/>
                <w:lang w:val="en-US" w:eastAsia="zh-CN"/>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2"/>
                <w:kern w:val="2"/>
                <w:sz w:val="21"/>
                <w:szCs w:val="21"/>
                <w:highlight w:val="none"/>
                <w:lang w:val="en-US" w:eastAsia="zh-CN"/>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6"/>
                <w:kern w:val="2"/>
                <w:sz w:val="21"/>
                <w:szCs w:val="21"/>
                <w:highlight w:val="none"/>
                <w:lang w:val="en-US" w:eastAsia="zh-CN"/>
              </w:rPr>
            </w:pPr>
            <w:r>
              <w:rPr>
                <w:rFonts w:hint="eastAsia" w:ascii="宋体" w:hAnsi="宋体" w:eastAsia="宋体" w:cs="宋体"/>
                <w:color w:val="auto"/>
                <w:spacing w:val="6"/>
                <w:kern w:val="2"/>
                <w:sz w:val="21"/>
                <w:szCs w:val="21"/>
                <w:highlight w:val="none"/>
                <w:lang w:val="en-US" w:eastAsia="zh-CN"/>
              </w:rPr>
              <w:t>30年后</w:t>
            </w:r>
            <w:r>
              <w:rPr>
                <w:rFonts w:hint="eastAsia" w:ascii="宋体" w:hAnsi="宋体" w:eastAsia="宋体" w:cs="宋体"/>
                <w:color w:val="auto"/>
                <w:kern w:val="2"/>
                <w:sz w:val="21"/>
                <w:szCs w:val="21"/>
                <w:highlight w:val="none"/>
              </w:rPr>
              <w:t>功率衰减率</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2"/>
                <w:kern w:val="2"/>
                <w:position w:val="-1"/>
                <w:sz w:val="21"/>
                <w:szCs w:val="21"/>
                <w:highlight w:val="none"/>
                <w:lang w:val="en-US" w:eastAsia="zh-CN"/>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12"/>
                <w:kern w:val="2"/>
                <w:position w:val="1"/>
                <w:sz w:val="21"/>
                <w:szCs w:val="21"/>
                <w:highlight w:val="none"/>
                <w:lang w:val="en-US"/>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2"/>
                <w:kern w:val="2"/>
                <w:sz w:val="21"/>
                <w:szCs w:val="21"/>
                <w:highlight w:val="none"/>
                <w:lang w:val="en-US" w:eastAsia="zh-CN"/>
              </w:rPr>
              <w:t>12.6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lang w:val="en-US" w:eastAsia="zh-CN"/>
              </w:rPr>
              <w:t>输出</w:t>
            </w:r>
            <w:r>
              <w:rPr>
                <w:rFonts w:hint="eastAsia" w:ascii="宋体" w:hAnsi="宋体" w:eastAsia="宋体" w:cs="宋体"/>
                <w:color w:val="auto"/>
                <w:spacing w:val="6"/>
                <w:kern w:val="2"/>
                <w:sz w:val="21"/>
                <w:szCs w:val="21"/>
                <w:highlight w:val="none"/>
              </w:rPr>
              <w:t>功率公差(</w:t>
            </w:r>
            <w:r>
              <w:rPr>
                <w:rFonts w:hint="eastAsia" w:ascii="宋体" w:hAnsi="宋体" w:eastAsia="宋体" w:cs="宋体"/>
                <w:color w:val="auto"/>
                <w:spacing w:val="2"/>
                <w:kern w:val="2"/>
                <w:position w:val="-1"/>
                <w:sz w:val="21"/>
                <w:szCs w:val="21"/>
                <w:highlight w:val="none"/>
                <w:lang w:val="en-US" w:eastAsia="zh-CN"/>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12"/>
                <w:kern w:val="2"/>
                <w:position w:val="1"/>
                <w:sz w:val="21"/>
                <w:szCs w:val="21"/>
                <w:highlight w:val="none"/>
              </w:rPr>
            </w:pPr>
            <w:r>
              <w:rPr>
                <w:rFonts w:hint="eastAsia" w:ascii="宋体" w:hAnsi="宋体" w:eastAsia="宋体" w:cs="宋体"/>
                <w:color w:val="auto"/>
                <w:spacing w:val="2"/>
                <w:kern w:val="2"/>
                <w:position w:val="-1"/>
                <w:sz w:val="21"/>
                <w:szCs w:val="21"/>
                <w:highlight w:val="none"/>
              </w:rPr>
              <w:t>0</w:t>
            </w:r>
            <w:r>
              <w:rPr>
                <w:rFonts w:hint="eastAsia" w:ascii="宋体" w:hAnsi="宋体" w:eastAsia="宋体" w:cs="宋体"/>
                <w:color w:val="auto"/>
                <w:spacing w:val="2"/>
                <w:kern w:val="2"/>
                <w:position w:val="-1"/>
                <w:sz w:val="21"/>
                <w:szCs w:val="21"/>
                <w:highlight w:val="none"/>
                <w:lang w:val="en-US" w:eastAsia="zh-CN"/>
              </w:rPr>
              <w:t xml:space="preserve">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2"/>
                <w:kern w:val="2"/>
                <w:position w:val="-1"/>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短路电流温度系数(%/℃</w:t>
            </w:r>
            <w:r>
              <w:rPr>
                <w:rFonts w:hint="eastAsia" w:ascii="宋体" w:hAnsi="宋体" w:eastAsia="宋体" w:cs="宋体"/>
                <w:color w:val="auto"/>
                <w:spacing w:val="6"/>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3"/>
                <w:kern w:val="2"/>
                <w:position w:val="1"/>
                <w:sz w:val="21"/>
                <w:szCs w:val="21"/>
                <w:highlight w:val="none"/>
              </w:rPr>
              <w:t>+0.0</w:t>
            </w:r>
            <w:r>
              <w:rPr>
                <w:rFonts w:hint="eastAsia" w:ascii="宋体" w:hAnsi="宋体" w:eastAsia="宋体" w:cs="宋体"/>
                <w:color w:val="auto"/>
                <w:spacing w:val="2"/>
                <w:kern w:val="2"/>
                <w:position w:val="1"/>
                <w:sz w:val="21"/>
                <w:szCs w:val="21"/>
                <w:highlight w:val="none"/>
                <w:lang w:val="en-US" w:eastAsia="zh-CN"/>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开</w:t>
            </w:r>
            <w:r>
              <w:rPr>
                <w:rFonts w:hint="eastAsia" w:ascii="宋体" w:hAnsi="宋体" w:eastAsia="宋体" w:cs="宋体"/>
                <w:color w:val="auto"/>
                <w:spacing w:val="7"/>
                <w:kern w:val="2"/>
                <w:sz w:val="21"/>
                <w:szCs w:val="21"/>
                <w:highlight w:val="none"/>
              </w:rPr>
              <w:t>路电压温度系数(%/℃)</w:t>
            </w:r>
          </w:p>
        </w:tc>
        <w:tc>
          <w:tcPr>
            <w:tcW w:w="4676"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0.2</w:t>
            </w:r>
            <w:r>
              <w:rPr>
                <w:rFonts w:hint="eastAsia" w:ascii="宋体" w:hAnsi="宋体" w:eastAsia="宋体" w:cs="宋体"/>
                <w:color w:val="auto"/>
                <w:spacing w:val="3"/>
                <w:kern w:val="2"/>
                <w:sz w:val="21"/>
                <w:szCs w:val="21"/>
                <w:highlight w:val="none"/>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最大功率温度系数(%/℃</w:t>
            </w:r>
            <w:r>
              <w:rPr>
                <w:rFonts w:hint="eastAsia" w:ascii="宋体" w:hAnsi="宋体" w:eastAsia="宋体" w:cs="宋体"/>
                <w:color w:val="auto"/>
                <w:spacing w:val="6"/>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w:t>
            </w:r>
            <w:r>
              <w:rPr>
                <w:rFonts w:hint="eastAsia" w:ascii="宋体" w:hAnsi="宋体" w:eastAsia="宋体" w:cs="宋体"/>
                <w:color w:val="auto"/>
                <w:spacing w:val="3"/>
                <w:kern w:val="2"/>
                <w:sz w:val="21"/>
                <w:szCs w:val="21"/>
                <w:highlight w:val="none"/>
                <w:lang w:val="en-US" w:eastAsia="zh-CN"/>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8"/>
                <w:kern w:val="2"/>
                <w:sz w:val="21"/>
                <w:szCs w:val="21"/>
                <w:highlight w:val="none"/>
              </w:rPr>
            </w:pPr>
            <w:r>
              <w:rPr>
                <w:rFonts w:hint="eastAsia" w:ascii="宋体" w:hAnsi="宋体" w:eastAsia="宋体" w:cs="宋体"/>
                <w:color w:val="auto"/>
                <w:spacing w:val="8"/>
                <w:kern w:val="2"/>
                <w:sz w:val="21"/>
                <w:szCs w:val="21"/>
                <w:highlight w:val="none"/>
              </w:rPr>
              <w:t>最大额定熔丝电流</w:t>
            </w:r>
            <w:r>
              <w:rPr>
                <w:rFonts w:hint="eastAsia" w:ascii="宋体" w:hAnsi="宋体" w:eastAsia="宋体" w:cs="宋体"/>
                <w:color w:val="auto"/>
                <w:spacing w:val="7"/>
                <w:kern w:val="2"/>
                <w:sz w:val="21"/>
                <w:szCs w:val="21"/>
                <w:highlight w:val="none"/>
              </w:rPr>
              <w:t>(</w:t>
            </w:r>
            <w:r>
              <w:rPr>
                <w:rFonts w:hint="eastAsia" w:ascii="宋体" w:hAnsi="宋体" w:eastAsia="宋体" w:cs="宋体"/>
                <w:color w:val="auto"/>
                <w:spacing w:val="7"/>
                <w:kern w:val="2"/>
                <w:sz w:val="21"/>
                <w:szCs w:val="21"/>
                <w:highlight w:val="none"/>
                <w:lang w:val="en-US" w:eastAsia="zh-CN"/>
              </w:rPr>
              <w:t>A</w:t>
            </w:r>
            <w:r>
              <w:rPr>
                <w:rFonts w:hint="eastAsia" w:ascii="宋体" w:hAnsi="宋体" w:eastAsia="宋体" w:cs="宋体"/>
                <w:color w:val="auto"/>
                <w:spacing w:val="6"/>
                <w:kern w:val="2"/>
                <w:sz w:val="21"/>
                <w:szCs w:val="21"/>
                <w:highlight w:val="none"/>
              </w:rPr>
              <w:t>)</w:t>
            </w:r>
          </w:p>
        </w:tc>
        <w:tc>
          <w:tcPr>
            <w:tcW w:w="4676"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2"/>
                <w:kern w:val="2"/>
                <w:position w:val="-1"/>
                <w:sz w:val="21"/>
                <w:szCs w:val="21"/>
                <w:highlight w:val="none"/>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最大系统电</w:t>
            </w:r>
            <w:r>
              <w:rPr>
                <w:rFonts w:hint="eastAsia" w:ascii="宋体" w:hAnsi="宋体" w:eastAsia="宋体" w:cs="宋体"/>
                <w:color w:val="auto"/>
                <w:spacing w:val="7"/>
                <w:kern w:val="2"/>
                <w:sz w:val="21"/>
                <w:szCs w:val="21"/>
                <w:highlight w:val="none"/>
              </w:rPr>
              <w:t>压(</w:t>
            </w:r>
            <w:r>
              <w:rPr>
                <w:rFonts w:hint="eastAsia" w:ascii="宋体" w:hAnsi="宋体" w:eastAsia="宋体" w:cs="宋体"/>
                <w:color w:val="auto"/>
                <w:spacing w:val="7"/>
                <w:kern w:val="2"/>
                <w:sz w:val="21"/>
                <w:szCs w:val="21"/>
                <w:highlight w:val="none"/>
                <w:lang w:val="en-US" w:eastAsia="zh-CN"/>
              </w:rPr>
              <w:t>V</w:t>
            </w:r>
            <w:r>
              <w:rPr>
                <w:rFonts w:hint="eastAsia" w:ascii="宋体" w:hAnsi="宋体" w:eastAsia="宋体" w:cs="宋体"/>
                <w:color w:val="auto"/>
                <w:spacing w:val="6"/>
                <w:kern w:val="2"/>
                <w:sz w:val="21"/>
                <w:szCs w:val="21"/>
                <w:highlight w:val="none"/>
              </w:rPr>
              <w:t>)</w:t>
            </w:r>
          </w:p>
        </w:tc>
        <w:tc>
          <w:tcPr>
            <w:tcW w:w="4676"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DC</w:t>
            </w:r>
            <w:r>
              <w:rPr>
                <w:rFonts w:hint="eastAsia" w:ascii="宋体" w:hAnsi="宋体" w:eastAsia="宋体" w:cs="宋体"/>
                <w:color w:val="auto"/>
                <w:spacing w:val="9"/>
                <w:kern w:val="2"/>
                <w:sz w:val="21"/>
                <w:szCs w:val="21"/>
                <w:highlight w:val="none"/>
              </w:rPr>
              <w:t>1</w:t>
            </w:r>
            <w:r>
              <w:rPr>
                <w:rFonts w:hint="eastAsia" w:ascii="宋体" w:hAnsi="宋体" w:eastAsia="宋体" w:cs="宋体"/>
                <w:color w:val="auto"/>
                <w:spacing w:val="7"/>
                <w:kern w:val="2"/>
                <w:sz w:val="21"/>
                <w:szCs w:val="21"/>
                <w:highlight w:val="none"/>
              </w:rPr>
              <w:t>500</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IEC</w:t>
            </w:r>
            <w:r>
              <w:rPr>
                <w:rFonts w:hint="eastAsia" w:ascii="宋体" w:hAnsi="宋体" w:eastAsia="宋体" w:cs="宋体"/>
                <w:color w:val="auto"/>
                <w:kern w:val="2"/>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lang w:val="en-US" w:eastAsia="zh-CN"/>
              </w:rPr>
              <w:t>工作</w:t>
            </w:r>
            <w:r>
              <w:rPr>
                <w:rFonts w:hint="eastAsia" w:ascii="宋体" w:hAnsi="宋体" w:eastAsia="宋体" w:cs="宋体"/>
                <w:color w:val="auto"/>
                <w:spacing w:val="7"/>
                <w:kern w:val="2"/>
                <w:sz w:val="21"/>
                <w:szCs w:val="21"/>
                <w:highlight w:val="none"/>
              </w:rPr>
              <w:t>温度范围</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spacing w:val="7"/>
                <w:kern w:val="2"/>
                <w:sz w:val="21"/>
                <w:szCs w:val="21"/>
                <w:highlight w:val="none"/>
              </w:rPr>
              <w:t>-</w:t>
            </w:r>
            <w:r>
              <w:rPr>
                <w:rFonts w:hint="eastAsia" w:ascii="宋体" w:hAnsi="宋体" w:eastAsia="宋体" w:cs="宋体"/>
                <w:color w:val="auto"/>
                <w:spacing w:val="5"/>
                <w:kern w:val="2"/>
                <w:sz w:val="21"/>
                <w:szCs w:val="21"/>
                <w:highlight w:val="none"/>
              </w:rPr>
              <w:t>40</w:t>
            </w:r>
            <w:r>
              <w:rPr>
                <w:rFonts w:hint="eastAsia" w:ascii="宋体" w:hAnsi="宋体" w:eastAsia="宋体" w:cs="宋体"/>
                <w:color w:val="auto"/>
                <w:spacing w:val="5"/>
                <w:kern w:val="2"/>
                <w:sz w:val="21"/>
                <w:szCs w:val="21"/>
                <w:highlight w:val="none"/>
                <w:lang w:val="en-US" w:eastAsia="zh-CN"/>
              </w:rPr>
              <w:t xml:space="preserve"> ⁓</w:t>
            </w: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5"/>
                <w:kern w:val="2"/>
                <w:sz w:val="21"/>
                <w:szCs w:val="21"/>
                <w:highlight w:val="none"/>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9"/>
                <w:kern w:val="2"/>
                <w:sz w:val="21"/>
                <w:szCs w:val="21"/>
                <w:highlight w:val="none"/>
              </w:rPr>
            </w:pPr>
            <w:r>
              <w:rPr>
                <w:rFonts w:hint="eastAsia" w:ascii="宋体" w:hAnsi="宋体" w:eastAsia="宋体" w:cs="宋体"/>
                <w:color w:val="auto"/>
                <w:spacing w:val="5"/>
                <w:kern w:val="2"/>
                <w:sz w:val="21"/>
                <w:szCs w:val="21"/>
                <w:highlight w:val="none"/>
                <w:lang w:val="en-US" w:eastAsia="zh-CN"/>
              </w:rPr>
              <w:t>正面最大静态载荷/抗雪载性能</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spacing w:val="5"/>
                <w:kern w:val="2"/>
                <w:sz w:val="21"/>
                <w:szCs w:val="21"/>
                <w:highlight w:val="none"/>
              </w:rPr>
              <w:t>Pa)</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rPr>
            </w:pPr>
            <w:r>
              <w:rPr>
                <w:rFonts w:hint="eastAsia" w:ascii="宋体" w:hAnsi="宋体" w:eastAsia="宋体" w:cs="宋体"/>
                <w:color w:val="auto"/>
                <w:spacing w:val="5"/>
                <w:kern w:val="2"/>
                <w:position w:val="1"/>
                <w:sz w:val="21"/>
                <w:szCs w:val="21"/>
                <w:highlight w:val="none"/>
                <w:lang w:val="en-US" w:eastAsia="zh-CN"/>
              </w:rPr>
              <w:t>5400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9"/>
                <w:kern w:val="2"/>
                <w:sz w:val="21"/>
                <w:szCs w:val="21"/>
                <w:highlight w:val="none"/>
              </w:rPr>
            </w:pPr>
            <w:r>
              <w:rPr>
                <w:rFonts w:hint="eastAsia" w:ascii="宋体" w:hAnsi="宋体" w:eastAsia="宋体" w:cs="宋体"/>
                <w:color w:val="auto"/>
                <w:spacing w:val="5"/>
                <w:kern w:val="2"/>
                <w:sz w:val="21"/>
                <w:szCs w:val="21"/>
                <w:highlight w:val="none"/>
                <w:lang w:val="en-US" w:eastAsia="zh-CN"/>
              </w:rPr>
              <w:t>背面最大静态载荷/抗风压性能</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spacing w:val="5"/>
                <w:kern w:val="2"/>
                <w:sz w:val="21"/>
                <w:szCs w:val="21"/>
                <w:highlight w:val="none"/>
              </w:rPr>
              <w:t>Pa)</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rPr>
            </w:pPr>
            <w:r>
              <w:rPr>
                <w:rFonts w:hint="eastAsia" w:ascii="宋体" w:hAnsi="宋体" w:eastAsia="宋体" w:cs="宋体"/>
                <w:color w:val="auto"/>
                <w:spacing w:val="5"/>
                <w:kern w:val="2"/>
                <w:position w:val="1"/>
                <w:sz w:val="21"/>
                <w:szCs w:val="21"/>
                <w:highlight w:val="none"/>
                <w:lang w:val="en-US" w:eastAsia="zh-CN"/>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9"/>
                <w:kern w:val="2"/>
                <w:sz w:val="21"/>
                <w:szCs w:val="21"/>
                <w:highlight w:val="none"/>
              </w:rPr>
            </w:pPr>
            <w:r>
              <w:rPr>
                <w:rFonts w:hint="eastAsia" w:ascii="宋体" w:hAnsi="宋体" w:eastAsia="宋体" w:cs="宋体"/>
                <w:color w:val="auto"/>
                <w:spacing w:val="5"/>
                <w:kern w:val="2"/>
                <w:sz w:val="21"/>
                <w:szCs w:val="21"/>
                <w:highlight w:val="none"/>
                <w:lang w:val="en-US" w:eastAsia="zh-CN"/>
              </w:rPr>
              <w:t>抗冰雹性能</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rPr>
            </w:pPr>
            <w:r>
              <w:rPr>
                <w:rFonts w:hint="eastAsia" w:ascii="宋体" w:hAnsi="宋体" w:eastAsia="宋体" w:cs="宋体"/>
                <w:color w:val="auto"/>
                <w:spacing w:val="5"/>
                <w:kern w:val="2"/>
                <w:sz w:val="21"/>
                <w:szCs w:val="21"/>
                <w:highlight w:val="none"/>
                <w:lang w:val="en-US" w:eastAsia="zh-CN"/>
              </w:rPr>
              <w:t>通过</w:t>
            </w:r>
            <w:r>
              <w:rPr>
                <w:rFonts w:hint="eastAsia" w:ascii="宋体" w:hAnsi="宋体" w:eastAsia="宋体" w:cs="宋体"/>
                <w:color w:val="auto"/>
                <w:spacing w:val="5"/>
                <w:kern w:val="2"/>
                <w:position w:val="1"/>
                <w:sz w:val="21"/>
                <w:szCs w:val="21"/>
                <w:highlight w:val="none"/>
                <w:lang w:val="en-US" w:eastAsia="zh-CN"/>
              </w:rPr>
              <w:t>直径25mm 冲击速度23m/s</w:t>
            </w:r>
            <w:r>
              <w:rPr>
                <w:rFonts w:hint="eastAsia" w:ascii="宋体" w:hAnsi="宋体" w:eastAsia="宋体" w:cs="宋体"/>
                <w:color w:val="auto"/>
                <w:spacing w:val="5"/>
                <w:kern w:val="2"/>
                <w:sz w:val="21"/>
                <w:szCs w:val="21"/>
                <w:highlight w:val="none"/>
                <w:lang w:val="en-US" w:eastAsia="zh-CN"/>
              </w:rPr>
              <w:t>冰球撞击</w:t>
            </w:r>
            <w:r>
              <w:rPr>
                <w:rFonts w:hint="eastAsia" w:ascii="宋体" w:hAnsi="宋体" w:eastAsia="宋体" w:cs="宋体"/>
                <w:color w:val="auto"/>
                <w:spacing w:val="5"/>
                <w:kern w:val="2"/>
                <w:position w:val="1"/>
                <w:sz w:val="21"/>
                <w:szCs w:val="21"/>
                <w:highlight w:val="none"/>
                <w:lang w:val="en-US" w:eastAsia="zh-CN"/>
              </w:rPr>
              <w:t>测试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3699" w:type="dxa"/>
            <w:vAlign w:val="center"/>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接</w:t>
            </w:r>
            <w:r>
              <w:rPr>
                <w:rFonts w:hint="eastAsia" w:ascii="宋体" w:hAnsi="宋体" w:eastAsia="宋体" w:cs="宋体"/>
                <w:color w:val="auto"/>
                <w:spacing w:val="8"/>
                <w:kern w:val="2"/>
                <w:sz w:val="21"/>
                <w:szCs w:val="21"/>
                <w:highlight w:val="none"/>
              </w:rPr>
              <w:t>线盒类型</w:t>
            </w:r>
          </w:p>
        </w:tc>
        <w:tc>
          <w:tcPr>
            <w:tcW w:w="4676"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密封防水型</w:t>
            </w:r>
            <w:r>
              <w:rPr>
                <w:rFonts w:hint="eastAsia" w:ascii="宋体" w:hAnsi="宋体" w:eastAsia="宋体" w:cs="宋体"/>
                <w:color w:val="auto"/>
                <w:spacing w:val="4"/>
                <w:kern w:val="2"/>
                <w:sz w:val="21"/>
                <w:szCs w:val="21"/>
                <w:highlight w:val="none"/>
                <w:lang w:val="en-US" w:eastAsia="zh-CN"/>
              </w:rPr>
              <w:t xml:space="preserve"> </w:t>
            </w:r>
            <w:r>
              <w:rPr>
                <w:rFonts w:hint="eastAsia" w:ascii="宋体" w:hAnsi="宋体" w:eastAsia="宋体" w:cs="宋体"/>
                <w:color w:val="auto"/>
                <w:spacing w:val="4"/>
                <w:kern w:val="2"/>
                <w:sz w:val="21"/>
                <w:szCs w:val="21"/>
                <w:highlight w:val="none"/>
              </w:rPr>
              <w:t>防护等级</w:t>
            </w:r>
            <w:r>
              <w:rPr>
                <w:rFonts w:hint="eastAsia" w:ascii="宋体" w:hAnsi="宋体" w:eastAsia="宋体" w:cs="宋体"/>
                <w:color w:val="auto"/>
                <w:kern w:val="2"/>
                <w:sz w:val="21"/>
                <w:szCs w:val="21"/>
                <w:highlight w:val="none"/>
              </w:rPr>
              <w:t>IP</w:t>
            </w:r>
            <w:r>
              <w:rPr>
                <w:rFonts w:hint="eastAsia" w:ascii="宋体" w:hAnsi="宋体" w:eastAsia="宋体" w:cs="宋体"/>
                <w:color w:val="auto"/>
                <w:spacing w:val="4"/>
                <w:kern w:val="2"/>
                <w:sz w:val="21"/>
                <w:szCs w:val="21"/>
                <w:highlight w:val="none"/>
              </w:rPr>
              <w:t>6</w:t>
            </w:r>
            <w:r>
              <w:rPr>
                <w:rFonts w:hint="eastAsia" w:ascii="宋体" w:hAnsi="宋体" w:eastAsia="宋体" w:cs="宋体"/>
                <w:color w:val="auto"/>
                <w:spacing w:val="1"/>
                <w:kern w:val="2"/>
                <w:sz w:val="21"/>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center"/>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上表面玻璃</w:t>
            </w:r>
            <w:r>
              <w:rPr>
                <w:rFonts w:hint="eastAsia" w:ascii="宋体" w:hAnsi="宋体" w:eastAsia="宋体" w:cs="宋体"/>
                <w:color w:val="auto"/>
                <w:spacing w:val="8"/>
                <w:kern w:val="2"/>
                <w:sz w:val="21"/>
                <w:szCs w:val="21"/>
                <w:highlight w:val="none"/>
              </w:rPr>
              <w:t>类型</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1"/>
                <w:kern w:val="2"/>
                <w:sz w:val="21"/>
                <w:szCs w:val="21"/>
                <w:highlight w:val="none"/>
              </w:rPr>
              <w:t>3.2mm镀膜钢化玻璃</w:t>
            </w:r>
            <w:r>
              <w:rPr>
                <w:rFonts w:hint="eastAsia" w:ascii="宋体" w:hAnsi="宋体" w:eastAsia="宋体" w:cs="宋体"/>
                <w:color w:val="auto"/>
                <w:spacing w:val="1"/>
                <w:kern w:val="2"/>
                <w:sz w:val="21"/>
                <w:szCs w:val="21"/>
                <w:highlight w:val="none"/>
                <w:lang w:val="en-US" w:eastAsia="zh-CN"/>
              </w:rPr>
              <w:t xml:space="preserve"> </w:t>
            </w:r>
            <w:r>
              <w:rPr>
                <w:rFonts w:hint="eastAsia" w:ascii="宋体" w:hAnsi="宋体" w:eastAsia="宋体" w:cs="宋体"/>
                <w:color w:val="auto"/>
                <w:spacing w:val="1"/>
                <w:kern w:val="2"/>
                <w:sz w:val="21"/>
                <w:szCs w:val="21"/>
                <w:highlight w:val="none"/>
              </w:rPr>
              <w:t>压花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center"/>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边框</w:t>
            </w:r>
            <w:r>
              <w:rPr>
                <w:rFonts w:hint="eastAsia" w:ascii="宋体" w:hAnsi="宋体" w:eastAsia="宋体" w:cs="宋体"/>
                <w:color w:val="auto"/>
                <w:spacing w:val="8"/>
                <w:kern w:val="2"/>
                <w:sz w:val="21"/>
                <w:szCs w:val="21"/>
                <w:highlight w:val="none"/>
              </w:rPr>
              <w:t>类型</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阳极氧化铝合金边框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center"/>
          </w:tcPr>
          <w:p>
            <w:pPr>
              <w:widowControl w:val="0"/>
              <w:adjustRightInd/>
              <w:snapToGrid/>
              <w:spacing w:after="0" w:line="288" w:lineRule="auto"/>
              <w:jc w:val="center"/>
              <w:rPr>
                <w:rFonts w:hint="default"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输出导线线径</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spacing w:val="5"/>
                <w:kern w:val="2"/>
                <w:sz w:val="21"/>
                <w:szCs w:val="21"/>
                <w:highlight w:val="none"/>
              </w:rPr>
              <w:t>mm²)</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4.0（光伏专用电缆）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center"/>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输出导线</w:t>
            </w:r>
            <w:r>
              <w:rPr>
                <w:rFonts w:hint="eastAsia" w:ascii="宋体" w:hAnsi="宋体" w:eastAsia="宋体" w:cs="宋体"/>
                <w:color w:val="auto"/>
                <w:spacing w:val="5"/>
                <w:kern w:val="2"/>
                <w:position w:val="1"/>
                <w:sz w:val="21"/>
                <w:szCs w:val="21"/>
                <w:highlight w:val="none"/>
                <w:lang w:val="en-US" w:eastAsia="zh-CN"/>
              </w:rPr>
              <w:t>长度</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spacing w:val="5"/>
                <w:kern w:val="2"/>
                <w:position w:val="1"/>
                <w:sz w:val="21"/>
                <w:szCs w:val="21"/>
                <w:highlight w:val="none"/>
                <w:lang w:val="en-US" w:eastAsia="zh-CN"/>
              </w:rPr>
              <w:t>mm</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正极</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5"/>
                <w:kern w:val="2"/>
                <w:position w:val="1"/>
                <w:sz w:val="21"/>
                <w:szCs w:val="21"/>
                <w:highlight w:val="none"/>
                <w:lang w:val="en-US" w:eastAsia="zh-CN"/>
              </w:rPr>
              <w:t>300；负极</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5"/>
                <w:kern w:val="2"/>
                <w:position w:val="1"/>
                <w:sz w:val="21"/>
                <w:szCs w:val="21"/>
                <w:highlight w:val="none"/>
                <w:lang w:val="en-US" w:eastAsia="zh-CN"/>
              </w:rPr>
              <w:t>200 或可定制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default"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安全防护等级</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ClassⅡ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组件防火等级</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Class C</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IEC</w:t>
            </w:r>
            <w:r>
              <w:rPr>
                <w:rFonts w:hint="eastAsia" w:ascii="宋体" w:hAnsi="宋体" w:eastAsia="宋体" w:cs="宋体"/>
                <w:color w:val="auto"/>
                <w:kern w:val="2"/>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default"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尺寸</w:t>
            </w:r>
            <w:r>
              <w:rPr>
                <w:rFonts w:hint="eastAsia" w:ascii="宋体" w:hAnsi="宋体" w:eastAsia="宋体" w:cs="宋体"/>
                <w:color w:val="auto"/>
                <w:spacing w:val="6"/>
                <w:kern w:val="2"/>
                <w:sz w:val="21"/>
                <w:szCs w:val="21"/>
                <w:highlight w:val="none"/>
              </w:rPr>
              <w:t>(mm</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5"/>
                <w:kern w:val="2"/>
                <w:position w:val="1"/>
                <w:sz w:val="21"/>
                <w:szCs w:val="21"/>
                <w:highlight w:val="none"/>
                <w:lang w:val="en-US" w:eastAsia="zh-CN"/>
              </w:rPr>
              <w:t>2382×1134×30</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pacing w:val="5"/>
                <w:kern w:val="2"/>
                <w:position w:val="1"/>
                <w:sz w:val="21"/>
                <w:szCs w:val="21"/>
                <w:highlight w:val="none"/>
                <w:lang w:val="en-US" w:eastAsia="zh-CN"/>
              </w:rPr>
              <w:t>2278×1134×30</w:t>
            </w:r>
            <w:r>
              <w:rPr>
                <w:rFonts w:hint="eastAsia" w:ascii="宋体" w:hAnsi="宋体" w:eastAsia="宋体" w:cs="宋体"/>
                <w:color w:val="auto"/>
                <w:kern w:val="2"/>
                <w:sz w:val="21"/>
                <w:szCs w:val="21"/>
                <w:highlight w:val="none"/>
                <w:lang w:val="en-US" w:eastAsia="zh-CN"/>
              </w:rPr>
              <w:t>等主流尺寸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5"/>
                <w:kern w:val="2"/>
                <w:sz w:val="21"/>
                <w:szCs w:val="21"/>
                <w:highlight w:val="none"/>
                <w:lang w:val="en-US" w:eastAsia="zh-CN"/>
              </w:rPr>
              <w:t>重量</w:t>
            </w:r>
            <w:r>
              <w:rPr>
                <w:rFonts w:hint="eastAsia" w:ascii="宋体" w:hAnsi="宋体" w:eastAsia="宋体" w:cs="宋体"/>
                <w:color w:val="auto"/>
                <w:spacing w:val="6"/>
                <w:kern w:val="2"/>
                <w:sz w:val="21"/>
                <w:szCs w:val="21"/>
                <w:highlight w:val="none"/>
              </w:rPr>
              <w:t>(kg</w:t>
            </w:r>
            <w:r>
              <w:rPr>
                <w:rFonts w:hint="eastAsia" w:ascii="宋体" w:hAnsi="宋体" w:eastAsia="宋体" w:cs="宋体"/>
                <w:color w:val="auto"/>
                <w:spacing w:val="5"/>
                <w:kern w:val="2"/>
                <w:sz w:val="21"/>
                <w:szCs w:val="21"/>
                <w:highlight w:val="none"/>
              </w:rPr>
              <w:t>)</w:t>
            </w:r>
          </w:p>
        </w:tc>
        <w:tc>
          <w:tcPr>
            <w:tcW w:w="4676" w:type="dxa"/>
            <w:vAlign w:val="bottom"/>
          </w:tcPr>
          <w:p>
            <w:pPr>
              <w:widowControl w:val="0"/>
              <w:adjustRightInd/>
              <w:snapToGrid/>
              <w:spacing w:after="0" w:line="288" w:lineRule="auto"/>
              <w:jc w:val="center"/>
              <w:rPr>
                <w:rFonts w:hint="default" w:ascii="宋体" w:hAnsi="宋体" w:eastAsia="宋体" w:cs="宋体"/>
                <w:color w:val="auto"/>
                <w:spacing w:val="5"/>
                <w:kern w:val="2"/>
                <w:position w:val="1"/>
                <w:sz w:val="21"/>
                <w:szCs w:val="21"/>
                <w:highlight w:val="none"/>
                <w:lang w:val="en-US" w:eastAsia="zh-CN"/>
              </w:rPr>
            </w:pPr>
            <w:r>
              <w:rPr>
                <w:rFonts w:hint="eastAsia" w:ascii="宋体" w:hAnsi="宋体" w:eastAsia="宋体" w:cs="宋体"/>
                <w:color w:val="auto"/>
                <w:spacing w:val="7"/>
                <w:kern w:val="2"/>
                <w:sz w:val="21"/>
                <w:szCs w:val="21"/>
                <w:highlight w:val="none"/>
                <w:lang w:val="en-US" w:eastAsia="zh-CN"/>
              </w:rPr>
              <w:t>27</w:t>
            </w:r>
            <w:r>
              <w:rPr>
                <w:rFonts w:hint="eastAsia" w:ascii="宋体" w:hAnsi="宋体" w:eastAsia="宋体" w:cs="宋体"/>
                <w:color w:val="auto"/>
                <w:spacing w:val="5"/>
                <w:kern w:val="2"/>
                <w:sz w:val="21"/>
                <w:szCs w:val="21"/>
                <w:highlight w:val="none"/>
                <w:lang w:val="en-US" w:eastAsia="zh-CN"/>
              </w:rPr>
              <w:t xml:space="preserve"> ⁓34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lang w:val="en-US" w:eastAsia="zh-CN"/>
              </w:rPr>
            </w:pPr>
            <w:r>
              <w:rPr>
                <w:rFonts w:hint="eastAsia" w:ascii="宋体" w:hAnsi="宋体" w:eastAsia="宋体" w:cs="宋体"/>
                <w:color w:val="auto"/>
                <w:spacing w:val="4"/>
                <w:kern w:val="2"/>
                <w:sz w:val="21"/>
                <w:szCs w:val="21"/>
                <w:highlight w:val="none"/>
              </w:rPr>
              <w:t>防护等级</w:t>
            </w:r>
          </w:p>
        </w:tc>
        <w:tc>
          <w:tcPr>
            <w:tcW w:w="4676" w:type="dxa"/>
            <w:vAlign w:val="bottom"/>
          </w:tcPr>
          <w:p>
            <w:pPr>
              <w:widowControl w:val="0"/>
              <w:adjustRightInd/>
              <w:snapToGrid/>
              <w:spacing w:after="0" w:line="288" w:lineRule="auto"/>
              <w:jc w:val="center"/>
              <w:rPr>
                <w:rFonts w:hint="eastAsia" w:ascii="宋体" w:hAnsi="宋体" w:eastAsia="宋体" w:cs="宋体"/>
                <w:color w:val="auto"/>
                <w:spacing w:val="7"/>
                <w:kern w:val="2"/>
                <w:sz w:val="21"/>
                <w:szCs w:val="21"/>
                <w:highlight w:val="none"/>
                <w:lang w:val="en-US" w:eastAsia="zh-CN"/>
              </w:rPr>
            </w:pPr>
            <w:r>
              <w:rPr>
                <w:rFonts w:hint="eastAsia" w:ascii="宋体" w:hAnsi="宋体" w:eastAsia="宋体" w:cs="宋体"/>
                <w:color w:val="auto"/>
                <w:spacing w:val="7"/>
                <w:kern w:val="2"/>
                <w:sz w:val="21"/>
                <w:szCs w:val="21"/>
                <w:highlight w:val="none"/>
                <w:lang w:val="en-US" w:eastAsia="zh-CN"/>
              </w:rPr>
              <w:t>不低于IP65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3699" w:type="dxa"/>
            <w:vAlign w:val="bottom"/>
          </w:tcPr>
          <w:p>
            <w:pPr>
              <w:widowControl w:val="0"/>
              <w:adjustRightInd/>
              <w:snapToGrid/>
              <w:spacing w:after="0" w:line="288" w:lineRule="auto"/>
              <w:jc w:val="center"/>
              <w:rPr>
                <w:rFonts w:hint="default" w:ascii="宋体" w:hAnsi="宋体" w:eastAsia="宋体" w:cs="宋体"/>
                <w:b/>
                <w:bCs/>
                <w:color w:val="auto"/>
                <w:spacing w:val="4"/>
                <w:kern w:val="2"/>
                <w:sz w:val="21"/>
                <w:szCs w:val="21"/>
                <w:highlight w:val="none"/>
                <w:lang w:val="en-US" w:eastAsia="zh-CN"/>
              </w:rPr>
            </w:pPr>
            <w:r>
              <w:rPr>
                <w:rFonts w:hint="eastAsia" w:ascii="宋体" w:hAnsi="宋体" w:eastAsia="宋体" w:cs="宋体"/>
                <w:b/>
                <w:bCs/>
                <w:color w:val="auto"/>
                <w:spacing w:val="5"/>
                <w:kern w:val="2"/>
                <w:position w:val="1"/>
                <w:sz w:val="21"/>
                <w:szCs w:val="21"/>
                <w:highlight w:val="none"/>
                <w:lang w:val="en-US" w:eastAsia="zh-CN"/>
              </w:rPr>
              <w:t>防积灰</w:t>
            </w:r>
            <w:r>
              <w:rPr>
                <w:rFonts w:hint="eastAsia" w:ascii="宋体" w:hAnsi="宋体" w:eastAsia="宋体" w:cs="宋体"/>
                <w:b/>
                <w:bCs/>
                <w:color w:val="auto"/>
                <w:spacing w:val="4"/>
                <w:kern w:val="2"/>
                <w:sz w:val="21"/>
                <w:szCs w:val="21"/>
                <w:highlight w:val="none"/>
                <w:lang w:val="en-US" w:eastAsia="zh-CN"/>
              </w:rPr>
              <w:t>要求</w:t>
            </w:r>
          </w:p>
        </w:tc>
        <w:tc>
          <w:tcPr>
            <w:tcW w:w="4676" w:type="dxa"/>
            <w:vAlign w:val="bottom"/>
          </w:tcPr>
          <w:p>
            <w:pPr>
              <w:widowControl w:val="0"/>
              <w:adjustRightInd/>
              <w:snapToGrid/>
              <w:spacing w:after="0" w:line="288" w:lineRule="auto"/>
              <w:jc w:val="center"/>
              <w:rPr>
                <w:rFonts w:hint="default" w:ascii="宋体" w:hAnsi="宋体" w:eastAsia="宋体" w:cs="宋体"/>
                <w:b/>
                <w:bCs/>
                <w:color w:val="auto"/>
                <w:spacing w:val="7"/>
                <w:kern w:val="2"/>
                <w:sz w:val="21"/>
                <w:szCs w:val="21"/>
                <w:highlight w:val="none"/>
                <w:lang w:val="en-US" w:eastAsia="zh-CN"/>
              </w:rPr>
            </w:pPr>
            <w:r>
              <w:rPr>
                <w:rFonts w:hint="eastAsia" w:ascii="宋体" w:hAnsi="宋体" w:eastAsia="宋体" w:cs="宋体"/>
                <w:b/>
                <w:bCs/>
                <w:color w:val="auto"/>
                <w:spacing w:val="5"/>
                <w:kern w:val="2"/>
                <w:position w:val="1"/>
                <w:sz w:val="21"/>
                <w:szCs w:val="21"/>
                <w:highlight w:val="none"/>
                <w:lang w:val="en-US" w:eastAsia="zh-CN"/>
              </w:rPr>
              <w:t>边框下端加装合金导流器，数量≥2个/块</w:t>
            </w:r>
          </w:p>
        </w:tc>
      </w:tr>
    </w:tbl>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（2）光伏组件型号获得抗PID认证、耐氨测试认证</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抗盐雾腐蚀测试认证、</w:t>
      </w:r>
      <w:r>
        <w:rPr>
          <w:rFonts w:hint="eastAsia" w:ascii="宋体" w:hAnsi="宋体" w:eastAsia="宋体" w:cs="宋体"/>
          <w:color w:val="auto"/>
          <w:spacing w:val="5"/>
          <w:kern w:val="2"/>
          <w:sz w:val="21"/>
          <w:szCs w:val="21"/>
          <w:highlight w:val="none"/>
          <w:lang w:val="en-US" w:eastAsia="zh-CN"/>
        </w:rPr>
        <w:t>正面最大静态载荷/抗雪载性能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pacing w:val="5"/>
          <w:kern w:val="2"/>
          <w:sz w:val="21"/>
          <w:szCs w:val="21"/>
          <w:highlight w:val="none"/>
          <w:lang w:val="en-US" w:eastAsia="zh-CN"/>
        </w:rPr>
        <w:t>背面最大静态载荷/抗风压性能</w:t>
      </w:r>
      <w:r>
        <w:rPr>
          <w:rFonts w:hint="eastAsia" w:ascii="宋体" w:hAnsi="宋体" w:eastAsia="宋体" w:cs="宋体"/>
          <w:color w:val="auto"/>
          <w:kern w:val="2"/>
          <w:sz w:val="21"/>
          <w:szCs w:val="21"/>
          <w:highlight w:val="none"/>
        </w:rPr>
        <w:t>认证、产品定型认证(可以是CGC金太阳，或是TUV</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CSA、UL、SGS、VDE、JET等认证)并附</w:t>
      </w:r>
      <w:r>
        <w:rPr>
          <w:rFonts w:hint="eastAsia" w:ascii="宋体" w:hAnsi="宋体" w:eastAsia="宋体" w:cs="宋体"/>
          <w:color w:val="auto"/>
          <w:kern w:val="2"/>
          <w:sz w:val="21"/>
          <w:szCs w:val="21"/>
          <w:highlight w:val="none"/>
          <w:lang w:val="en-US" w:eastAsia="zh-CN"/>
        </w:rPr>
        <w:t>试验</w:t>
      </w:r>
      <w:r>
        <w:rPr>
          <w:rFonts w:hint="eastAsia" w:ascii="宋体" w:hAnsi="宋体" w:eastAsia="宋体" w:cs="宋体"/>
          <w:color w:val="auto"/>
          <w:kern w:val="2"/>
          <w:sz w:val="21"/>
          <w:szCs w:val="21"/>
          <w:highlight w:val="none"/>
        </w:rPr>
        <w:t>报告、认证证书全部内容。</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（3）光伏组件进场后承包单位需安排抽样进行开箱检查与</w:t>
      </w:r>
      <w:r>
        <w:rPr>
          <w:rFonts w:hint="eastAsia" w:ascii="宋体" w:hAnsi="宋体" w:eastAsia="宋体" w:cs="宋体"/>
          <w:b w:val="0"/>
          <w:bCs w:val="0"/>
          <w:color w:val="auto"/>
          <w:kern w:val="2"/>
          <w:sz w:val="21"/>
          <w:szCs w:val="21"/>
          <w:highlight w:val="none"/>
          <w:lang w:val="en-US" w:eastAsia="zh-CN"/>
        </w:rPr>
        <w:t>EL检测</w:t>
      </w:r>
      <w:r>
        <w:rPr>
          <w:rFonts w:hint="eastAsia" w:ascii="宋体" w:hAnsi="宋体" w:eastAsia="宋体" w:cs="宋体"/>
          <w:color w:val="auto"/>
          <w:kern w:val="2"/>
          <w:sz w:val="21"/>
          <w:szCs w:val="21"/>
          <w:highlight w:val="none"/>
          <w:lang w:val="en-US" w:eastAsia="zh-CN"/>
        </w:rPr>
        <w:t>，抽检数量≥总量*3%，且抽检数量最低不得少于32块，</w:t>
      </w:r>
      <w:r>
        <w:rPr>
          <w:rFonts w:hint="eastAsia" w:ascii="宋体" w:hAnsi="宋体" w:eastAsia="宋体" w:cs="宋体"/>
          <w:color w:val="auto"/>
          <w:kern w:val="2"/>
          <w:sz w:val="21"/>
          <w:szCs w:val="21"/>
          <w:highlight w:val="none"/>
        </w:rPr>
        <w:t>如</w:t>
      </w:r>
      <w:r>
        <w:rPr>
          <w:rFonts w:hint="eastAsia" w:ascii="宋体" w:hAnsi="宋体" w:eastAsia="宋体" w:cs="宋体"/>
          <w:color w:val="auto"/>
          <w:kern w:val="2"/>
          <w:sz w:val="21"/>
          <w:szCs w:val="21"/>
          <w:highlight w:val="none"/>
          <w:lang w:val="en-US" w:eastAsia="zh-CN"/>
        </w:rPr>
        <w:t>EL检测中一旦发现有不合格的光伏组件，承包单位必须无条件一律进行更换并承担更换所需全部费用。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负责</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w:t>
      </w:r>
      <w:r>
        <w:rPr>
          <w:rFonts w:hint="eastAsia" w:ascii="宋体" w:hAnsi="宋体" w:eastAsia="宋体" w:cs="宋体"/>
          <w:color w:val="auto"/>
          <w:kern w:val="2"/>
          <w:sz w:val="21"/>
          <w:szCs w:val="21"/>
          <w:highlight w:val="none"/>
          <w:lang w:val="en-US" w:eastAsia="zh-CN"/>
        </w:rPr>
        <w:t>运输、</w:t>
      </w:r>
      <w:r>
        <w:rPr>
          <w:rFonts w:hint="eastAsia" w:ascii="宋体" w:hAnsi="宋体" w:eastAsia="宋体" w:cs="宋体"/>
          <w:color w:val="auto"/>
          <w:kern w:val="2"/>
          <w:sz w:val="21"/>
          <w:szCs w:val="21"/>
          <w:highlight w:val="none"/>
        </w:rPr>
        <w:t>卸货</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吊装</w:t>
      </w:r>
      <w:r>
        <w:rPr>
          <w:rFonts w:hint="eastAsia" w:ascii="宋体" w:hAnsi="宋体" w:eastAsia="宋体" w:cs="宋体"/>
          <w:color w:val="auto"/>
          <w:kern w:val="2"/>
          <w:sz w:val="21"/>
          <w:szCs w:val="21"/>
          <w:highlight w:val="none"/>
        </w:rPr>
        <w:t>及保管，保管</w:t>
      </w:r>
      <w:r>
        <w:rPr>
          <w:rFonts w:hint="eastAsia" w:ascii="宋体" w:hAnsi="宋体" w:eastAsia="宋体" w:cs="宋体"/>
          <w:color w:val="auto"/>
          <w:kern w:val="2"/>
          <w:sz w:val="21"/>
          <w:szCs w:val="21"/>
          <w:highlight w:val="none"/>
          <w:lang w:val="en-US" w:eastAsia="zh-CN"/>
        </w:rPr>
        <w:t>过程中</w:t>
      </w:r>
      <w:r>
        <w:rPr>
          <w:rFonts w:hint="eastAsia" w:ascii="宋体" w:hAnsi="宋体" w:eastAsia="宋体" w:cs="宋体"/>
          <w:color w:val="auto"/>
          <w:kern w:val="2"/>
          <w:sz w:val="21"/>
          <w:szCs w:val="21"/>
          <w:highlight w:val="none"/>
        </w:rPr>
        <w:t>按原包装存放</w:t>
      </w:r>
      <w:r>
        <w:rPr>
          <w:rFonts w:hint="eastAsia" w:ascii="宋体" w:hAnsi="宋体" w:eastAsia="宋体" w:cs="宋体"/>
          <w:color w:val="auto"/>
          <w:kern w:val="2"/>
          <w:sz w:val="21"/>
          <w:szCs w:val="21"/>
          <w:highlight w:val="none"/>
          <w:lang w:val="en-US" w:eastAsia="zh-CN"/>
        </w:rPr>
        <w:t>并做好相应的防雨防倒防误撞等保护措施</w:t>
      </w:r>
      <w:r>
        <w:rPr>
          <w:rFonts w:hint="eastAsia" w:ascii="宋体" w:hAnsi="宋体" w:eastAsia="宋体" w:cs="宋体"/>
          <w:color w:val="auto"/>
          <w:kern w:val="2"/>
          <w:sz w:val="21"/>
          <w:szCs w:val="21"/>
          <w:highlight w:val="none"/>
        </w:rPr>
        <w:t>，开箱必须有监理在场旁站确认</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组件完好，如开箱时有破损则需现场拍照取证，如有损坏需承担更换所需全部费用。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要对所供组件外表面板的清洁、防热斑提供措施，不得有划伤、腐蚀斑点等缺陷；表面无明显色差</w:t>
      </w:r>
      <w:r>
        <w:rPr>
          <w:rFonts w:hint="eastAsia" w:ascii="宋体" w:hAnsi="宋体" w:eastAsia="宋体" w:cs="宋体"/>
          <w:color w:val="auto"/>
          <w:kern w:val="2"/>
          <w:sz w:val="21"/>
          <w:szCs w:val="21"/>
          <w:highlight w:val="none"/>
          <w:lang w:eastAsia="zh-CN"/>
        </w:rPr>
        <w:t>，无机械损伤，焊点无氧化斑，</w:t>
      </w:r>
      <w:r>
        <w:rPr>
          <w:rFonts w:hint="eastAsia" w:ascii="宋体" w:hAnsi="宋体" w:eastAsia="宋体" w:cs="宋体"/>
          <w:color w:val="auto"/>
          <w:kern w:val="2"/>
          <w:sz w:val="21"/>
          <w:szCs w:val="21"/>
          <w:highlight w:val="none"/>
        </w:rPr>
        <w:t>为确保组件的绝缘、抗湿性和寿命，要求边框与电池片的距离要至少超过11mm的距离，并设有能方便地与安装支架之间可靠连接的连接螺栓孔；</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）光伏组件的布置方案需兼顾发电量、抗风、</w:t>
      </w:r>
      <w:r>
        <w:rPr>
          <w:rFonts w:hint="eastAsia" w:ascii="宋体" w:hAnsi="宋体" w:eastAsia="宋体" w:cs="宋体"/>
          <w:color w:val="auto"/>
          <w:kern w:val="2"/>
          <w:sz w:val="21"/>
          <w:szCs w:val="21"/>
          <w:highlight w:val="none"/>
          <w:lang w:val="en-US" w:eastAsia="zh-CN"/>
        </w:rPr>
        <w:t>签约</w:t>
      </w:r>
      <w:r>
        <w:rPr>
          <w:rFonts w:hint="eastAsia" w:ascii="宋体" w:hAnsi="宋体" w:eastAsia="宋体" w:cs="宋体"/>
          <w:color w:val="auto"/>
          <w:kern w:val="2"/>
          <w:sz w:val="21"/>
          <w:szCs w:val="21"/>
          <w:highlight w:val="none"/>
        </w:rPr>
        <w:t>总容量等因素</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同时在安装过程中要求</w:t>
      </w:r>
      <w:r>
        <w:rPr>
          <w:rFonts w:hint="eastAsia" w:ascii="宋体" w:hAnsi="宋体" w:eastAsia="宋体" w:cs="宋体"/>
          <w:color w:val="auto"/>
          <w:kern w:val="2"/>
          <w:sz w:val="21"/>
          <w:szCs w:val="21"/>
          <w:highlight w:val="none"/>
        </w:rPr>
        <w:t>光伏组件</w:t>
      </w:r>
      <w:r>
        <w:rPr>
          <w:rFonts w:hint="eastAsia" w:ascii="宋体" w:hAnsi="宋体" w:eastAsia="宋体" w:cs="宋体"/>
          <w:color w:val="auto"/>
          <w:kern w:val="2"/>
          <w:sz w:val="21"/>
          <w:szCs w:val="21"/>
          <w:highlight w:val="none"/>
          <w:lang w:val="en-US" w:eastAsia="zh-CN"/>
        </w:rPr>
        <w:t>全年每天上午9点</w:t>
      </w:r>
      <w:r>
        <w:rPr>
          <w:rFonts w:hint="eastAsia" w:ascii="宋体" w:hAnsi="宋体" w:eastAsia="宋体" w:cs="宋体"/>
          <w:color w:val="auto"/>
          <w:spacing w:val="5"/>
          <w:kern w:val="2"/>
          <w:sz w:val="21"/>
          <w:szCs w:val="21"/>
          <w:highlight w:val="none"/>
          <w:lang w:val="en-US" w:eastAsia="zh-CN"/>
        </w:rPr>
        <w:t>至</w:t>
      </w:r>
      <w:r>
        <w:rPr>
          <w:rFonts w:hint="eastAsia" w:ascii="宋体" w:hAnsi="宋体" w:eastAsia="宋体" w:cs="宋体"/>
          <w:color w:val="auto"/>
          <w:kern w:val="2"/>
          <w:sz w:val="21"/>
          <w:szCs w:val="21"/>
          <w:highlight w:val="none"/>
          <w:lang w:val="en-US" w:eastAsia="zh-CN"/>
        </w:rPr>
        <w:t>下午15点不得出现任何阴影遮挡</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如</w:t>
      </w:r>
      <w:r>
        <w:rPr>
          <w:rFonts w:hint="eastAsia" w:ascii="宋体" w:hAnsi="宋体" w:eastAsia="宋体" w:cs="宋体"/>
          <w:color w:val="auto"/>
          <w:kern w:val="2"/>
          <w:sz w:val="21"/>
          <w:szCs w:val="21"/>
          <w:highlight w:val="none"/>
          <w:lang w:val="en-US" w:eastAsia="zh-CN"/>
        </w:rPr>
        <w:t>一旦发现在要求的时间段内有光伏组件出现阴影遮挡，承包单位必须无条件采取相应措施解决阴影遮挡问题并承担所需全部费用。</w:t>
      </w:r>
    </w:p>
    <w:p>
      <w:pPr>
        <w:widowControl w:val="0"/>
        <w:wordWrap w:val="0"/>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（7）光伏组件铺设设计过程中建议采用</w:t>
      </w:r>
      <w:r>
        <w:rPr>
          <w:rFonts w:hint="eastAsia" w:ascii="宋体" w:hAnsi="宋体" w:eastAsia="宋体" w:cs="宋体"/>
          <w:b/>
          <w:bCs/>
          <w:color w:val="auto"/>
          <w:kern w:val="2"/>
          <w:sz w:val="21"/>
          <w:szCs w:val="21"/>
          <w:highlight w:val="none"/>
          <w:lang w:val="en-US" w:eastAsia="zh-CN"/>
        </w:rPr>
        <w:t>竖铺设计</w:t>
      </w:r>
      <w:r>
        <w:rPr>
          <w:rFonts w:hint="eastAsia" w:ascii="宋体" w:hAnsi="宋体" w:eastAsia="宋体" w:cs="宋体"/>
          <w:color w:val="auto"/>
          <w:kern w:val="2"/>
          <w:sz w:val="21"/>
          <w:szCs w:val="21"/>
          <w:highlight w:val="none"/>
          <w:lang w:val="en-US" w:eastAsia="zh-CN"/>
        </w:rPr>
        <w:t>，若采用横铺设计承包单位需采取必要措施（加装支架）解决光伏组件由于重力导致下凹变形的问题。</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在安装过程中严禁</w:t>
      </w:r>
      <w:r>
        <w:rPr>
          <w:rFonts w:hint="eastAsia" w:ascii="宋体" w:hAnsi="宋体" w:eastAsia="宋体" w:cs="宋体"/>
          <w:color w:val="auto"/>
          <w:kern w:val="2"/>
          <w:sz w:val="21"/>
          <w:szCs w:val="21"/>
          <w:highlight w:val="none"/>
        </w:rPr>
        <w:t>直接踩踏光伏组件</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包括边框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，应选用能支撑施工人员在上站立走动的</w:t>
      </w:r>
      <w:r>
        <w:rPr>
          <w:rFonts w:hint="eastAsia" w:ascii="宋体" w:hAnsi="宋体" w:eastAsia="宋体" w:cs="宋体"/>
          <w:b/>
          <w:bCs/>
          <w:color w:val="auto"/>
          <w:kern w:val="2"/>
          <w:sz w:val="21"/>
          <w:szCs w:val="21"/>
          <w:highlight w:val="none"/>
        </w:rPr>
        <w:t>保护踏板</w:t>
      </w:r>
      <w:r>
        <w:rPr>
          <w:rFonts w:hint="eastAsia" w:ascii="宋体" w:hAnsi="宋体" w:eastAsia="宋体" w:cs="宋体"/>
          <w:color w:val="auto"/>
          <w:kern w:val="2"/>
          <w:sz w:val="21"/>
          <w:szCs w:val="21"/>
          <w:highlight w:val="none"/>
        </w:rPr>
        <w:t>，保护踏板放置在组件上的受力点应在光伏组件的铝合金边框上，同时需要固定好防止滑动。</w:t>
      </w:r>
      <w:r>
        <w:rPr>
          <w:rFonts w:hint="eastAsia" w:ascii="宋体" w:hAnsi="宋体" w:eastAsia="宋体" w:cs="宋体"/>
          <w:color w:val="auto"/>
          <w:kern w:val="2"/>
          <w:sz w:val="21"/>
          <w:szCs w:val="21"/>
          <w:highlight w:val="none"/>
          <w:lang w:val="en-US" w:eastAsia="zh-CN"/>
        </w:rPr>
        <w:t>一经发现禁</w:t>
      </w:r>
      <w:r>
        <w:rPr>
          <w:rFonts w:hint="eastAsia" w:ascii="宋体" w:hAnsi="宋体" w:eastAsia="宋体" w:cs="宋体"/>
          <w:color w:val="auto"/>
          <w:kern w:val="2"/>
          <w:sz w:val="21"/>
          <w:szCs w:val="21"/>
          <w:highlight w:val="none"/>
        </w:rPr>
        <w:t>直接踩踏光伏组件</w:t>
      </w:r>
      <w:r>
        <w:rPr>
          <w:rFonts w:hint="eastAsia" w:ascii="宋体" w:hAnsi="宋体" w:eastAsia="宋体" w:cs="宋体"/>
          <w:color w:val="auto"/>
          <w:kern w:val="2"/>
          <w:sz w:val="21"/>
          <w:szCs w:val="21"/>
          <w:highlight w:val="none"/>
          <w:lang w:val="en-US" w:eastAsia="zh-CN"/>
        </w:rPr>
        <w:t>除进行相应罚款外，</w:t>
      </w:r>
      <w:r>
        <w:rPr>
          <w:rFonts w:hint="eastAsia" w:ascii="宋体" w:hAnsi="宋体" w:eastAsia="宋体" w:cs="宋体"/>
          <w:color w:val="auto"/>
          <w:kern w:val="2"/>
          <w:sz w:val="21"/>
          <w:szCs w:val="21"/>
          <w:highlight w:val="none"/>
        </w:rPr>
        <w:t>如有损坏</w:t>
      </w:r>
      <w:r>
        <w:rPr>
          <w:rFonts w:hint="eastAsia" w:ascii="宋体" w:hAnsi="宋体" w:eastAsia="宋体" w:cs="宋体"/>
          <w:color w:val="auto"/>
          <w:kern w:val="2"/>
          <w:sz w:val="21"/>
          <w:szCs w:val="21"/>
          <w:highlight w:val="none"/>
          <w:lang w:val="en-US" w:eastAsia="zh-CN"/>
        </w:rPr>
        <w:t>还</w:t>
      </w:r>
      <w:r>
        <w:rPr>
          <w:rFonts w:hint="eastAsia" w:ascii="宋体" w:hAnsi="宋体" w:eastAsia="宋体" w:cs="宋体"/>
          <w:color w:val="auto"/>
          <w:kern w:val="2"/>
          <w:sz w:val="21"/>
          <w:szCs w:val="21"/>
          <w:highlight w:val="none"/>
        </w:rPr>
        <w:t>需</w:t>
      </w:r>
      <w:r>
        <w:rPr>
          <w:rFonts w:hint="eastAsia" w:ascii="宋体" w:hAnsi="宋体" w:eastAsia="宋体" w:cs="宋体"/>
          <w:color w:val="auto"/>
          <w:kern w:val="2"/>
          <w:sz w:val="21"/>
          <w:szCs w:val="21"/>
          <w:highlight w:val="none"/>
          <w:lang w:val="en-US" w:eastAsia="zh-CN"/>
        </w:rPr>
        <w:t>无条件进行</w:t>
      </w:r>
      <w:r>
        <w:rPr>
          <w:rFonts w:hint="eastAsia" w:ascii="宋体" w:hAnsi="宋体" w:eastAsia="宋体" w:cs="宋体"/>
          <w:color w:val="auto"/>
          <w:kern w:val="2"/>
          <w:sz w:val="21"/>
          <w:szCs w:val="21"/>
          <w:highlight w:val="none"/>
        </w:rPr>
        <w:t>更换</w:t>
      </w:r>
      <w:r>
        <w:rPr>
          <w:rFonts w:hint="eastAsia" w:ascii="宋体" w:hAnsi="宋体" w:eastAsia="宋体" w:cs="宋体"/>
          <w:color w:val="auto"/>
          <w:kern w:val="2"/>
          <w:sz w:val="21"/>
          <w:szCs w:val="21"/>
          <w:highlight w:val="none"/>
          <w:lang w:val="en-US" w:eastAsia="zh-CN"/>
        </w:rPr>
        <w:t>并</w:t>
      </w:r>
      <w:r>
        <w:rPr>
          <w:rFonts w:hint="eastAsia" w:ascii="宋体" w:hAnsi="宋体" w:eastAsia="宋体" w:cs="宋体"/>
          <w:color w:val="auto"/>
          <w:kern w:val="2"/>
          <w:sz w:val="21"/>
          <w:szCs w:val="21"/>
          <w:highlight w:val="none"/>
        </w:rPr>
        <w:t>承担所需全部费用。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）光伏组件</w:t>
      </w:r>
      <w:r>
        <w:rPr>
          <w:rFonts w:hint="eastAsia" w:ascii="宋体" w:hAnsi="宋体" w:eastAsia="宋体" w:cs="宋体"/>
          <w:color w:val="auto"/>
          <w:kern w:val="2"/>
          <w:sz w:val="21"/>
          <w:szCs w:val="21"/>
          <w:highlight w:val="none"/>
          <w:lang w:val="en-US" w:eastAsia="zh-CN"/>
        </w:rPr>
        <w:t>在</w:t>
      </w:r>
      <w:r>
        <w:rPr>
          <w:rFonts w:hint="eastAsia" w:ascii="宋体" w:hAnsi="宋体" w:eastAsia="宋体" w:cs="宋体"/>
          <w:color w:val="auto"/>
          <w:kern w:val="2"/>
          <w:sz w:val="21"/>
          <w:szCs w:val="21"/>
          <w:highlight w:val="none"/>
        </w:rPr>
        <w:t>整体</w:t>
      </w:r>
      <w:r>
        <w:rPr>
          <w:rFonts w:hint="eastAsia" w:ascii="宋体" w:hAnsi="宋体" w:eastAsia="宋体" w:cs="宋体"/>
          <w:color w:val="auto"/>
          <w:kern w:val="2"/>
          <w:sz w:val="21"/>
          <w:szCs w:val="21"/>
          <w:highlight w:val="none"/>
          <w:lang w:eastAsia="zh-CN"/>
        </w:rPr>
        <w:t>项目</w:t>
      </w:r>
      <w:r>
        <w:rPr>
          <w:rFonts w:hint="eastAsia" w:ascii="宋体" w:hAnsi="宋体" w:eastAsia="宋体" w:cs="宋体"/>
          <w:color w:val="auto"/>
          <w:kern w:val="2"/>
          <w:sz w:val="21"/>
          <w:szCs w:val="21"/>
          <w:highlight w:val="none"/>
        </w:rPr>
        <w:t>通电并网</w:t>
      </w:r>
      <w:r>
        <w:rPr>
          <w:rFonts w:hint="eastAsia" w:ascii="宋体" w:hAnsi="宋体" w:eastAsia="宋体" w:cs="宋体"/>
          <w:color w:val="auto"/>
          <w:kern w:val="2"/>
          <w:sz w:val="21"/>
          <w:szCs w:val="21"/>
          <w:highlight w:val="none"/>
          <w:lang w:val="en-US" w:eastAsia="zh-CN"/>
        </w:rPr>
        <w:t>前承包单位</w:t>
      </w:r>
      <w:r>
        <w:rPr>
          <w:rFonts w:hint="eastAsia" w:ascii="宋体" w:hAnsi="宋体" w:eastAsia="宋体" w:cs="宋体"/>
          <w:color w:val="auto"/>
          <w:kern w:val="2"/>
          <w:sz w:val="21"/>
          <w:szCs w:val="21"/>
          <w:highlight w:val="none"/>
        </w:rPr>
        <w:t>需</w:t>
      </w:r>
      <w:r>
        <w:rPr>
          <w:rFonts w:hint="eastAsia" w:ascii="宋体" w:hAnsi="宋体" w:eastAsia="宋体" w:cs="宋体"/>
          <w:color w:val="auto"/>
          <w:kern w:val="2"/>
          <w:sz w:val="21"/>
          <w:szCs w:val="21"/>
          <w:highlight w:val="none"/>
          <w:lang w:val="en-US" w:eastAsia="zh-CN"/>
        </w:rPr>
        <w:t>在晴天对接入逆变器的所有组串进行开路电压检测</w:t>
      </w:r>
      <w:r>
        <w:rPr>
          <w:rFonts w:hint="eastAsia" w:ascii="宋体" w:hAnsi="宋体" w:eastAsia="宋体" w:cs="宋体"/>
          <w:color w:val="auto"/>
          <w:kern w:val="2"/>
          <w:sz w:val="21"/>
          <w:szCs w:val="21"/>
          <w:highlight w:val="none"/>
        </w:rPr>
        <w:t>，保证项目投运</w:t>
      </w:r>
      <w:r>
        <w:rPr>
          <w:rFonts w:hint="eastAsia" w:ascii="宋体" w:hAnsi="宋体" w:eastAsia="宋体" w:cs="宋体"/>
          <w:color w:val="auto"/>
          <w:kern w:val="2"/>
          <w:sz w:val="21"/>
          <w:szCs w:val="21"/>
          <w:highlight w:val="none"/>
          <w:lang w:val="en-US" w:eastAsia="zh-CN"/>
        </w:rPr>
        <w:t>前</w:t>
      </w:r>
      <w:r>
        <w:rPr>
          <w:rFonts w:hint="eastAsia" w:ascii="宋体" w:hAnsi="宋体" w:eastAsia="宋体" w:cs="宋体"/>
          <w:color w:val="auto"/>
          <w:kern w:val="2"/>
          <w:sz w:val="21"/>
          <w:szCs w:val="21"/>
          <w:highlight w:val="none"/>
        </w:rPr>
        <w:t>光伏组件</w:t>
      </w:r>
      <w:r>
        <w:rPr>
          <w:rFonts w:hint="eastAsia" w:ascii="宋体" w:hAnsi="宋体" w:eastAsia="宋体" w:cs="宋体"/>
          <w:color w:val="auto"/>
          <w:kern w:val="2"/>
          <w:sz w:val="21"/>
          <w:szCs w:val="21"/>
          <w:highlight w:val="none"/>
          <w:lang w:val="en-US" w:eastAsia="zh-CN"/>
        </w:rPr>
        <w:t>所有组串开路</w:t>
      </w:r>
      <w:r>
        <w:rPr>
          <w:rFonts w:hint="eastAsia" w:ascii="宋体" w:hAnsi="宋体" w:eastAsia="宋体" w:cs="宋体"/>
          <w:color w:val="auto"/>
          <w:kern w:val="2"/>
          <w:sz w:val="21"/>
          <w:szCs w:val="21"/>
          <w:highlight w:val="none"/>
        </w:rPr>
        <w:t>电压读数</w:t>
      </w:r>
      <w:r>
        <w:rPr>
          <w:rFonts w:hint="eastAsia" w:ascii="宋体" w:hAnsi="宋体" w:eastAsia="宋体" w:cs="宋体"/>
          <w:color w:val="auto"/>
          <w:kern w:val="2"/>
          <w:sz w:val="21"/>
          <w:szCs w:val="21"/>
          <w:highlight w:val="none"/>
          <w:lang w:val="en-US" w:eastAsia="zh-CN"/>
        </w:rPr>
        <w:t>与理论</w:t>
      </w:r>
      <w:r>
        <w:rPr>
          <w:rFonts w:hint="eastAsia" w:ascii="宋体" w:hAnsi="宋体" w:eastAsia="宋体" w:cs="宋体"/>
          <w:color w:val="auto"/>
          <w:kern w:val="2"/>
          <w:sz w:val="21"/>
          <w:szCs w:val="21"/>
          <w:highlight w:val="none"/>
        </w:rPr>
        <w:t>值偏差</w:t>
      </w:r>
      <w:r>
        <w:rPr>
          <w:rFonts w:hint="eastAsia" w:ascii="宋体" w:hAnsi="宋体" w:eastAsia="宋体" w:cs="宋体"/>
          <w:color w:val="auto"/>
          <w:kern w:val="2"/>
          <w:sz w:val="21"/>
          <w:szCs w:val="21"/>
          <w:highlight w:val="none"/>
          <w:lang w:val="en-US" w:eastAsia="zh-CN"/>
        </w:rPr>
        <w:t>控制在</w:t>
      </w:r>
      <w:r>
        <w:rPr>
          <w:rFonts w:hint="eastAsia" w:ascii="宋体" w:hAnsi="宋体" w:eastAsia="宋体" w:cs="宋体"/>
          <w:color w:val="auto"/>
          <w:kern w:val="2"/>
          <w:sz w:val="21"/>
          <w:szCs w:val="21"/>
          <w:highlight w:val="none"/>
        </w:rPr>
        <w:t>±5％以内</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如</w:t>
      </w:r>
      <w:r>
        <w:rPr>
          <w:rFonts w:hint="eastAsia" w:ascii="宋体" w:hAnsi="宋体" w:eastAsia="宋体" w:cs="宋体"/>
          <w:color w:val="auto"/>
          <w:kern w:val="2"/>
          <w:sz w:val="21"/>
          <w:szCs w:val="21"/>
          <w:highlight w:val="none"/>
          <w:lang w:val="en-US" w:eastAsia="zh-CN"/>
        </w:rPr>
        <w:t>一旦发现超出超出偏差，承包单位必须无条件采取相应措施进行检查并解决组串开路电压偏差问题并承担所需全部费用。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）光伏组件</w:t>
      </w:r>
      <w:r>
        <w:rPr>
          <w:rFonts w:hint="eastAsia" w:ascii="宋体" w:hAnsi="宋体" w:eastAsia="宋体" w:cs="宋体"/>
          <w:color w:val="auto"/>
          <w:kern w:val="2"/>
          <w:sz w:val="21"/>
          <w:szCs w:val="21"/>
          <w:highlight w:val="none"/>
          <w:lang w:val="en-US" w:eastAsia="zh-CN"/>
        </w:rPr>
        <w:t>在</w:t>
      </w:r>
      <w:r>
        <w:rPr>
          <w:rFonts w:hint="eastAsia" w:ascii="宋体" w:hAnsi="宋体" w:eastAsia="宋体" w:cs="宋体"/>
          <w:color w:val="auto"/>
          <w:kern w:val="2"/>
          <w:sz w:val="21"/>
          <w:szCs w:val="21"/>
          <w:highlight w:val="none"/>
        </w:rPr>
        <w:t>整体</w:t>
      </w:r>
      <w:r>
        <w:rPr>
          <w:rFonts w:hint="eastAsia" w:ascii="宋体" w:hAnsi="宋体" w:eastAsia="宋体" w:cs="宋体"/>
          <w:color w:val="auto"/>
          <w:kern w:val="2"/>
          <w:sz w:val="21"/>
          <w:szCs w:val="21"/>
          <w:highlight w:val="none"/>
          <w:lang w:eastAsia="zh-CN"/>
        </w:rPr>
        <w:t>项目</w:t>
      </w:r>
      <w:r>
        <w:rPr>
          <w:rFonts w:hint="eastAsia" w:ascii="宋体" w:hAnsi="宋体" w:eastAsia="宋体" w:cs="宋体"/>
          <w:color w:val="auto"/>
          <w:kern w:val="2"/>
          <w:sz w:val="21"/>
          <w:szCs w:val="21"/>
          <w:highlight w:val="none"/>
        </w:rPr>
        <w:t>通电并网后</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需</w:t>
      </w:r>
      <w:r>
        <w:rPr>
          <w:rFonts w:hint="eastAsia" w:ascii="宋体" w:hAnsi="宋体" w:eastAsia="宋体" w:cs="宋体"/>
          <w:color w:val="auto"/>
          <w:kern w:val="2"/>
          <w:sz w:val="21"/>
          <w:szCs w:val="21"/>
          <w:highlight w:val="none"/>
          <w:lang w:val="en-US" w:eastAsia="zh-CN"/>
        </w:rPr>
        <w:t>组织</w:t>
      </w:r>
      <w:r>
        <w:rPr>
          <w:rFonts w:hint="eastAsia" w:ascii="宋体" w:hAnsi="宋体" w:eastAsia="宋体" w:cs="宋体"/>
          <w:color w:val="auto"/>
          <w:kern w:val="2"/>
          <w:sz w:val="21"/>
          <w:szCs w:val="21"/>
          <w:highlight w:val="none"/>
        </w:rPr>
        <w:t>进行一次</w:t>
      </w:r>
      <w:r>
        <w:rPr>
          <w:rFonts w:hint="eastAsia" w:ascii="宋体" w:hAnsi="宋体" w:eastAsia="宋体" w:cs="宋体"/>
          <w:color w:val="auto"/>
          <w:kern w:val="2"/>
          <w:sz w:val="21"/>
          <w:szCs w:val="21"/>
          <w:highlight w:val="none"/>
          <w:lang w:val="en-US" w:eastAsia="zh-CN"/>
        </w:rPr>
        <w:t>全体</w:t>
      </w:r>
      <w:r>
        <w:rPr>
          <w:rFonts w:hint="eastAsia" w:ascii="宋体" w:hAnsi="宋体" w:eastAsia="宋体" w:cs="宋体"/>
          <w:color w:val="auto"/>
          <w:kern w:val="2"/>
          <w:sz w:val="21"/>
          <w:szCs w:val="21"/>
          <w:highlight w:val="none"/>
        </w:rPr>
        <w:t>清洗，保证项目投运时</w:t>
      </w:r>
      <w:r>
        <w:rPr>
          <w:rFonts w:hint="eastAsia" w:ascii="宋体" w:hAnsi="宋体" w:eastAsia="宋体" w:cs="宋体"/>
          <w:color w:val="auto"/>
          <w:kern w:val="2"/>
          <w:sz w:val="21"/>
          <w:szCs w:val="21"/>
          <w:highlight w:val="none"/>
          <w:lang w:val="en-US" w:eastAsia="zh-CN"/>
        </w:rPr>
        <w:t>所有</w:t>
      </w:r>
      <w:r>
        <w:rPr>
          <w:rFonts w:hint="eastAsia" w:ascii="宋体" w:hAnsi="宋体" w:eastAsia="宋体" w:cs="宋体"/>
          <w:color w:val="auto"/>
          <w:kern w:val="2"/>
          <w:sz w:val="21"/>
          <w:szCs w:val="21"/>
          <w:highlight w:val="none"/>
        </w:rPr>
        <w:t>光伏组件表面干净无污渍，如有污渍</w:t>
      </w:r>
      <w:r>
        <w:rPr>
          <w:rFonts w:hint="eastAsia" w:ascii="宋体" w:hAnsi="宋体" w:eastAsia="宋体" w:cs="宋体"/>
          <w:color w:val="auto"/>
          <w:kern w:val="2"/>
          <w:sz w:val="21"/>
          <w:szCs w:val="21"/>
          <w:highlight w:val="none"/>
          <w:lang w:val="en-US" w:eastAsia="zh-CN"/>
        </w:rPr>
        <w:t>无法清除立刻</w:t>
      </w:r>
      <w:r>
        <w:rPr>
          <w:rFonts w:hint="eastAsia" w:ascii="宋体" w:hAnsi="宋体" w:eastAsia="宋体" w:cs="宋体"/>
          <w:color w:val="auto"/>
          <w:kern w:val="2"/>
          <w:sz w:val="21"/>
          <w:szCs w:val="21"/>
          <w:highlight w:val="none"/>
        </w:rPr>
        <w:t>更换</w:t>
      </w:r>
      <w:r>
        <w:rPr>
          <w:rFonts w:hint="eastAsia" w:ascii="宋体" w:hAnsi="宋体" w:eastAsia="宋体" w:cs="宋体"/>
          <w:color w:val="auto"/>
          <w:kern w:val="2"/>
          <w:sz w:val="21"/>
          <w:szCs w:val="21"/>
          <w:highlight w:val="none"/>
          <w:lang w:val="en-US" w:eastAsia="zh-CN"/>
        </w:rPr>
        <w:t>并</w:t>
      </w:r>
      <w:r>
        <w:rPr>
          <w:rFonts w:hint="eastAsia" w:ascii="宋体" w:hAnsi="宋体" w:eastAsia="宋体" w:cs="宋体"/>
          <w:color w:val="auto"/>
          <w:kern w:val="2"/>
          <w:sz w:val="21"/>
          <w:szCs w:val="21"/>
          <w:highlight w:val="none"/>
        </w:rPr>
        <w:t>承担所需全部费用。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）光伏组件推荐厂家品牌：</w:t>
      </w:r>
      <w:r>
        <w:rPr>
          <w:rFonts w:hint="eastAsia" w:ascii="宋体" w:hAnsi="宋体" w:eastAsia="宋体" w:cs="宋体"/>
          <w:color w:val="auto"/>
          <w:kern w:val="2"/>
          <w:sz w:val="21"/>
          <w:szCs w:val="21"/>
          <w:highlight w:val="none"/>
          <w:lang w:val="en-US" w:eastAsia="zh-CN"/>
        </w:rPr>
        <w:t>优先考虑</w:t>
      </w:r>
      <w:r>
        <w:rPr>
          <w:rFonts w:hint="eastAsia" w:ascii="宋体" w:hAnsi="宋体" w:eastAsia="宋体" w:cs="宋体"/>
          <w:color w:val="auto"/>
          <w:kern w:val="2"/>
          <w:sz w:val="21"/>
          <w:szCs w:val="21"/>
          <w:highlight w:val="none"/>
        </w:rPr>
        <w:t>隆基绿能、晶科能源、晶澳科技、天合光能、南玻太阳能或具备同等质量的品牌。</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4.并网逆变器技术要求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（1）根据工商业及并网电压等级场景合理采用匹配的高效率20kW ⁓150kW组串型并网逆变器、150kW ⁓320kW</w:t>
      </w:r>
      <w:r>
        <w:rPr>
          <w:rFonts w:hint="eastAsia" w:ascii="宋体" w:hAnsi="宋体" w:eastAsia="宋体" w:cs="宋体"/>
          <w:color w:val="auto"/>
          <w:kern w:val="2"/>
          <w:sz w:val="21"/>
          <w:szCs w:val="21"/>
          <w:highlight w:val="none"/>
          <w:lang w:val="en-US" w:eastAsia="zh-CN"/>
        </w:rPr>
        <w:t>集中式</w:t>
      </w:r>
      <w:r>
        <w:rPr>
          <w:rFonts w:hint="eastAsia" w:ascii="宋体" w:hAnsi="宋体" w:eastAsia="宋体" w:cs="宋体"/>
          <w:color w:val="auto"/>
          <w:kern w:val="2"/>
          <w:sz w:val="21"/>
          <w:szCs w:val="21"/>
          <w:highlight w:val="none"/>
        </w:rPr>
        <w:t>并网逆变器，使用寿命不低于15年，不少于5年产品质保，在投标文件中提供质保说明书，具体技术参数要求严格按下表执行：</w:t>
      </w:r>
    </w:p>
    <w:p>
      <w:pPr>
        <w:widowControl w:val="0"/>
        <w:wordWrap w:val="0"/>
        <w:adjustRightInd/>
        <w:snapToGrid/>
        <w:spacing w:after="0" w:line="288" w:lineRule="auto"/>
        <w:jc w:val="center"/>
        <w:rPr>
          <w:rFonts w:ascii="Calibri" w:hAnsi="Calibri" w:eastAsia="宋体" w:cs="Times New Roman"/>
          <w:color w:val="auto"/>
          <w:kern w:val="2"/>
          <w:sz w:val="21"/>
          <w:szCs w:val="24"/>
          <w:highlight w:val="none"/>
        </w:rPr>
      </w:pPr>
      <w:r>
        <w:rPr>
          <w:rFonts w:hint="eastAsia" w:ascii="宋体" w:hAnsi="宋体" w:eastAsia="宋体" w:cs="宋体"/>
          <w:b/>
          <w:bCs/>
          <w:color w:val="auto"/>
          <w:kern w:val="2"/>
          <w:sz w:val="21"/>
          <w:szCs w:val="21"/>
          <w:highlight w:val="none"/>
        </w:rPr>
        <w:t>并网逆变器主要技术参数表</w:t>
      </w:r>
    </w:p>
    <w:tbl>
      <w:tblPr>
        <w:tblStyle w:val="78"/>
        <w:tblW w:w="857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3"/>
        <w:gridCol w:w="2902"/>
        <w:gridCol w:w="2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1" w:hRule="atLeast"/>
          <w:jc w:val="center"/>
        </w:trPr>
        <w:tc>
          <w:tcPr>
            <w:tcW w:w="2793"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型号规格</w:t>
            </w:r>
          </w:p>
        </w:tc>
        <w:tc>
          <w:tcPr>
            <w:tcW w:w="2902" w:type="dxa"/>
            <w:vAlign w:val="bottom"/>
          </w:tcPr>
          <w:p>
            <w:pPr>
              <w:widowControl w:val="0"/>
              <w:adjustRightInd/>
              <w:snapToGrid/>
              <w:spacing w:after="0" w:line="288" w:lineRule="auto"/>
              <w:jc w:val="center"/>
              <w:rPr>
                <w:rFonts w:hint="default" w:ascii="宋体" w:hAnsi="宋体" w:eastAsia="宋体" w:cs="宋体"/>
                <w:color w:val="auto"/>
                <w:spacing w:val="-2"/>
                <w:kern w:val="2"/>
                <w:sz w:val="21"/>
                <w:szCs w:val="21"/>
                <w:highlight w:val="none"/>
                <w:lang w:val="en-US" w:eastAsia="zh-CN"/>
              </w:rPr>
            </w:pPr>
            <w:r>
              <w:rPr>
                <w:rFonts w:hint="eastAsia" w:ascii="宋体" w:hAnsi="宋体" w:eastAsia="宋体" w:cs="宋体"/>
                <w:color w:val="auto"/>
                <w:kern w:val="2"/>
                <w:sz w:val="21"/>
                <w:szCs w:val="21"/>
                <w:highlight w:val="none"/>
              </w:rPr>
              <w:t>高效率</w:t>
            </w:r>
            <w:r>
              <w:rPr>
                <w:rFonts w:hint="eastAsia" w:ascii="宋体" w:hAnsi="宋体" w:eastAsia="宋体" w:cs="宋体"/>
                <w:color w:val="auto"/>
                <w:kern w:val="2"/>
                <w:sz w:val="21"/>
                <w:szCs w:val="21"/>
                <w:highlight w:val="none"/>
                <w:lang w:val="en-US" w:eastAsia="zh-CN"/>
              </w:rPr>
              <w:t xml:space="preserve">20 </w:t>
            </w:r>
            <w:r>
              <w:rPr>
                <w:rFonts w:hint="eastAsia" w:ascii="宋体" w:hAnsi="宋体" w:eastAsia="宋体" w:cs="宋体"/>
                <w:color w:val="auto"/>
                <w:spacing w:val="5"/>
                <w:kern w:val="2"/>
                <w:sz w:val="21"/>
                <w:szCs w:val="21"/>
                <w:highlight w:val="none"/>
                <w:lang w:val="en-US" w:eastAsia="zh-CN"/>
              </w:rPr>
              <w:t>⁓150</w:t>
            </w:r>
            <w:r>
              <w:rPr>
                <w:rFonts w:hint="eastAsia" w:ascii="宋体" w:hAnsi="宋体" w:eastAsia="宋体" w:cs="宋体"/>
                <w:color w:val="auto"/>
                <w:kern w:val="2"/>
                <w:sz w:val="21"/>
                <w:szCs w:val="21"/>
                <w:highlight w:val="none"/>
                <w:lang w:val="en-US" w:eastAsia="zh-CN"/>
              </w:rPr>
              <w:t>k</w:t>
            </w:r>
            <w:r>
              <w:rPr>
                <w:rFonts w:hint="eastAsia" w:ascii="宋体" w:hAnsi="宋体" w:eastAsia="宋体" w:cs="宋体"/>
                <w:color w:val="auto"/>
                <w:kern w:val="2"/>
                <w:sz w:val="21"/>
                <w:szCs w:val="21"/>
                <w:highlight w:val="none"/>
              </w:rPr>
              <w:t>W</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组串型</w:t>
            </w:r>
          </w:p>
        </w:tc>
        <w:tc>
          <w:tcPr>
            <w:tcW w:w="2876"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高效率</w:t>
            </w:r>
            <w:r>
              <w:rPr>
                <w:rFonts w:hint="eastAsia" w:ascii="宋体" w:hAnsi="宋体" w:eastAsia="宋体" w:cs="宋体"/>
                <w:color w:val="auto"/>
                <w:kern w:val="2"/>
                <w:sz w:val="21"/>
                <w:szCs w:val="21"/>
                <w:highlight w:val="none"/>
                <w:lang w:val="en-US" w:eastAsia="zh-CN"/>
              </w:rPr>
              <w:t xml:space="preserve">150 </w:t>
            </w:r>
            <w:r>
              <w:rPr>
                <w:rFonts w:hint="eastAsia" w:ascii="宋体" w:hAnsi="宋体" w:eastAsia="宋体" w:cs="宋体"/>
                <w:color w:val="auto"/>
                <w:spacing w:val="5"/>
                <w:kern w:val="2"/>
                <w:sz w:val="21"/>
                <w:szCs w:val="21"/>
                <w:highlight w:val="none"/>
                <w:lang w:val="en-US" w:eastAsia="zh-CN"/>
              </w:rPr>
              <w:t>⁓320</w:t>
            </w:r>
            <w:r>
              <w:rPr>
                <w:rFonts w:hint="eastAsia" w:ascii="宋体" w:hAnsi="宋体" w:eastAsia="宋体" w:cs="宋体"/>
                <w:color w:val="auto"/>
                <w:kern w:val="2"/>
                <w:sz w:val="21"/>
                <w:szCs w:val="21"/>
                <w:highlight w:val="none"/>
                <w:lang w:val="en-US" w:eastAsia="zh-CN"/>
              </w:rPr>
              <w:t>k</w:t>
            </w:r>
            <w:r>
              <w:rPr>
                <w:rFonts w:hint="eastAsia" w:ascii="宋体" w:hAnsi="宋体" w:eastAsia="宋体" w:cs="宋体"/>
                <w:color w:val="auto"/>
                <w:kern w:val="2"/>
                <w:sz w:val="21"/>
                <w:szCs w:val="21"/>
                <w:highlight w:val="none"/>
              </w:rPr>
              <w:t>W</w:t>
            </w:r>
            <w:r>
              <w:rPr>
                <w:rFonts w:hint="eastAsia" w:ascii="宋体" w:hAnsi="宋体" w:eastAsia="宋体" w:cs="宋体"/>
                <w:color w:val="auto"/>
                <w:kern w:val="2"/>
                <w:sz w:val="21"/>
                <w:szCs w:val="21"/>
                <w:highlight w:val="none"/>
                <w:lang w:val="en-US" w:eastAsia="zh-CN"/>
              </w:rPr>
              <w:t>/集中式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1" w:hRule="atLeast"/>
          <w:jc w:val="center"/>
        </w:trPr>
        <w:tc>
          <w:tcPr>
            <w:tcW w:w="2793"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最大输入电压</w:t>
            </w:r>
            <w:r>
              <w:rPr>
                <w:rFonts w:hint="eastAsia" w:ascii="宋体" w:hAnsi="宋体" w:eastAsia="宋体" w:cs="宋体"/>
                <w:color w:val="auto"/>
                <w:kern w:val="2"/>
                <w:sz w:val="21"/>
                <w:szCs w:val="21"/>
                <w:highlight w:val="none"/>
              </w:rPr>
              <w:t>(V)</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1100</w:t>
            </w:r>
          </w:p>
        </w:tc>
        <w:tc>
          <w:tcPr>
            <w:tcW w:w="2876" w:type="dxa"/>
            <w:vAlign w:val="bottom"/>
          </w:tcPr>
          <w:p>
            <w:pPr>
              <w:widowControl w:val="0"/>
              <w:adjustRightInd/>
              <w:snapToGrid/>
              <w:spacing w:after="0" w:line="288" w:lineRule="auto"/>
              <w:jc w:val="center"/>
              <w:rPr>
                <w:rFonts w:hint="default" w:ascii="宋体" w:hAnsi="宋体" w:eastAsia="宋体" w:cs="宋体"/>
                <w:color w:val="auto"/>
                <w:spacing w:val="-2"/>
                <w:kern w:val="2"/>
                <w:sz w:val="21"/>
                <w:szCs w:val="21"/>
                <w:highlight w:val="none"/>
                <w:lang w:val="en-US" w:eastAsia="zh-CN"/>
              </w:rPr>
            </w:pPr>
            <w:r>
              <w:rPr>
                <w:rFonts w:hint="eastAsia" w:ascii="宋体" w:hAnsi="宋体" w:eastAsia="宋体" w:cs="宋体"/>
                <w:color w:val="auto"/>
                <w:spacing w:val="-2"/>
                <w:kern w:val="2"/>
                <w:sz w:val="21"/>
                <w:szCs w:val="21"/>
                <w:highlight w:val="none"/>
                <w:lang w:val="en-US" w:eastAsia="zh-CN"/>
              </w:rPr>
              <w:t>1500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额定输入电压</w:t>
            </w:r>
            <w:r>
              <w:rPr>
                <w:rFonts w:hint="eastAsia" w:ascii="宋体" w:hAnsi="宋体" w:eastAsia="宋体" w:cs="宋体"/>
                <w:color w:val="auto"/>
                <w:kern w:val="2"/>
                <w:sz w:val="21"/>
                <w:szCs w:val="21"/>
                <w:highlight w:val="none"/>
              </w:rPr>
              <w:t>(V)</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1"/>
                <w:kern w:val="2"/>
                <w:sz w:val="21"/>
                <w:szCs w:val="21"/>
                <w:highlight w:val="none"/>
              </w:rPr>
            </w:pPr>
            <w:r>
              <w:rPr>
                <w:rFonts w:hint="eastAsia" w:ascii="宋体" w:hAnsi="宋体" w:eastAsia="宋体" w:cs="宋体"/>
                <w:color w:val="auto"/>
                <w:spacing w:val="6"/>
                <w:kern w:val="2"/>
                <w:sz w:val="21"/>
                <w:szCs w:val="21"/>
                <w:highlight w:val="none"/>
                <w:lang w:val="en-US" w:eastAsia="zh-CN"/>
              </w:rPr>
              <w:t>≤</w:t>
            </w:r>
            <w:r>
              <w:rPr>
                <w:rFonts w:hint="eastAsia" w:ascii="宋体" w:hAnsi="宋体" w:eastAsia="宋体" w:cs="宋体"/>
                <w:color w:val="auto"/>
                <w:spacing w:val="1"/>
                <w:kern w:val="2"/>
                <w:sz w:val="21"/>
                <w:szCs w:val="21"/>
                <w:highlight w:val="none"/>
                <w:lang w:val="en-US" w:eastAsia="zh-CN"/>
              </w:rPr>
              <w:t>600</w:t>
            </w:r>
          </w:p>
        </w:tc>
        <w:tc>
          <w:tcPr>
            <w:tcW w:w="2876" w:type="dxa"/>
            <w:vAlign w:val="bottom"/>
          </w:tcPr>
          <w:p>
            <w:pPr>
              <w:widowControl w:val="0"/>
              <w:adjustRightInd/>
              <w:snapToGrid/>
              <w:spacing w:after="0" w:line="288" w:lineRule="auto"/>
              <w:jc w:val="center"/>
              <w:rPr>
                <w:rFonts w:hint="default" w:ascii="宋体" w:hAnsi="宋体" w:eastAsia="宋体" w:cs="宋体"/>
                <w:color w:val="auto"/>
                <w:spacing w:val="6"/>
                <w:kern w:val="2"/>
                <w:sz w:val="21"/>
                <w:szCs w:val="21"/>
                <w:highlight w:val="none"/>
                <w:lang w:val="en-US" w:eastAsia="zh-CN"/>
              </w:rPr>
            </w:pPr>
            <w:r>
              <w:rPr>
                <w:rFonts w:hint="eastAsia" w:ascii="宋体" w:hAnsi="宋体" w:eastAsia="宋体" w:cs="宋体"/>
                <w:color w:val="auto"/>
                <w:spacing w:val="6"/>
                <w:kern w:val="2"/>
                <w:sz w:val="21"/>
                <w:szCs w:val="21"/>
                <w:highlight w:val="none"/>
                <w:lang w:val="en-US" w:eastAsia="zh-CN"/>
              </w:rPr>
              <w:t>≤</w:t>
            </w:r>
            <w:r>
              <w:rPr>
                <w:rFonts w:hint="eastAsia" w:ascii="宋体" w:hAnsi="宋体" w:eastAsia="宋体" w:cs="宋体"/>
                <w:color w:val="auto"/>
                <w:spacing w:val="1"/>
                <w:kern w:val="2"/>
                <w:sz w:val="21"/>
                <w:szCs w:val="21"/>
                <w:highlight w:val="none"/>
                <w:lang w:val="en-US" w:eastAsia="zh-CN"/>
              </w:rPr>
              <w:t>1080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lang w:val="en-US" w:eastAsia="zh-CN"/>
              </w:rPr>
              <w:t>启动电压/</w:t>
            </w:r>
            <w:r>
              <w:rPr>
                <w:rFonts w:hint="eastAsia" w:ascii="宋体" w:hAnsi="宋体" w:eastAsia="宋体" w:cs="宋体"/>
                <w:color w:val="auto"/>
                <w:spacing w:val="-3"/>
                <w:kern w:val="2"/>
                <w:sz w:val="21"/>
                <w:szCs w:val="21"/>
                <w:highlight w:val="none"/>
              </w:rPr>
              <w:t>MPPT电压范围</w:t>
            </w:r>
            <w:r>
              <w:rPr>
                <w:rFonts w:hint="eastAsia" w:ascii="宋体" w:hAnsi="宋体" w:eastAsia="宋体" w:cs="宋体"/>
                <w:color w:val="auto"/>
                <w:kern w:val="2"/>
                <w:sz w:val="21"/>
                <w:szCs w:val="21"/>
                <w:highlight w:val="none"/>
              </w:rPr>
              <w:t>(V)</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lang w:val="en-US" w:eastAsia="zh-CN"/>
              </w:rPr>
              <w:t xml:space="preserve">≤200 / </w:t>
            </w:r>
            <w:r>
              <w:rPr>
                <w:rFonts w:hint="eastAsia" w:ascii="宋体" w:hAnsi="宋体" w:eastAsia="宋体" w:cs="宋体"/>
                <w:color w:val="auto"/>
                <w:spacing w:val="6"/>
                <w:kern w:val="2"/>
                <w:sz w:val="21"/>
                <w:szCs w:val="21"/>
                <w:highlight w:val="none"/>
              </w:rPr>
              <w:t>2</w:t>
            </w:r>
            <w:r>
              <w:rPr>
                <w:rFonts w:hint="eastAsia" w:ascii="宋体" w:hAnsi="宋体" w:eastAsia="宋体" w:cs="宋体"/>
                <w:color w:val="auto"/>
                <w:spacing w:val="3"/>
                <w:kern w:val="2"/>
                <w:sz w:val="21"/>
                <w:szCs w:val="21"/>
                <w:highlight w:val="none"/>
              </w:rPr>
              <w:t>00</w:t>
            </w:r>
            <w:r>
              <w:rPr>
                <w:rFonts w:hint="eastAsia" w:ascii="宋体" w:hAnsi="宋体" w:eastAsia="宋体" w:cs="宋体"/>
                <w:color w:val="auto"/>
                <w:spacing w:val="3"/>
                <w:kern w:val="2"/>
                <w:sz w:val="21"/>
                <w:szCs w:val="21"/>
                <w:highlight w:val="none"/>
                <w:lang w:val="en-US" w:eastAsia="zh-CN"/>
              </w:rPr>
              <w:t xml:space="preserve">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3"/>
                <w:kern w:val="2"/>
                <w:sz w:val="21"/>
                <w:szCs w:val="21"/>
                <w:highlight w:val="none"/>
              </w:rPr>
              <w:t>1000</w:t>
            </w:r>
          </w:p>
        </w:tc>
        <w:tc>
          <w:tcPr>
            <w:tcW w:w="2876" w:type="dxa"/>
            <w:vAlign w:val="bottom"/>
          </w:tcPr>
          <w:p>
            <w:pPr>
              <w:widowControl w:val="0"/>
              <w:adjustRightInd/>
              <w:snapToGrid/>
              <w:spacing w:after="0" w:line="288" w:lineRule="auto"/>
              <w:jc w:val="center"/>
              <w:rPr>
                <w:rFonts w:hint="eastAsia" w:ascii="宋体" w:hAnsi="宋体" w:eastAsia="宋体" w:cs="宋体"/>
                <w:color w:val="auto"/>
                <w:spacing w:val="6"/>
                <w:kern w:val="2"/>
                <w:sz w:val="21"/>
                <w:szCs w:val="21"/>
                <w:highlight w:val="none"/>
                <w:lang w:val="en-US" w:eastAsia="zh-CN"/>
              </w:rPr>
            </w:pPr>
            <w:r>
              <w:rPr>
                <w:rFonts w:hint="eastAsia" w:ascii="宋体" w:hAnsi="宋体" w:eastAsia="宋体" w:cs="宋体"/>
                <w:color w:val="auto"/>
                <w:spacing w:val="6"/>
                <w:kern w:val="2"/>
                <w:sz w:val="21"/>
                <w:szCs w:val="21"/>
                <w:highlight w:val="none"/>
                <w:lang w:val="en-US" w:eastAsia="zh-CN"/>
              </w:rPr>
              <w:t>≤550 / 5</w:t>
            </w:r>
            <w:r>
              <w:rPr>
                <w:rFonts w:hint="eastAsia" w:ascii="宋体" w:hAnsi="宋体" w:eastAsia="宋体" w:cs="宋体"/>
                <w:color w:val="auto"/>
                <w:spacing w:val="3"/>
                <w:kern w:val="2"/>
                <w:sz w:val="21"/>
                <w:szCs w:val="21"/>
                <w:highlight w:val="none"/>
              </w:rPr>
              <w:t>00</w:t>
            </w:r>
            <w:r>
              <w:rPr>
                <w:rFonts w:hint="eastAsia" w:ascii="宋体" w:hAnsi="宋体" w:eastAsia="宋体" w:cs="宋体"/>
                <w:color w:val="auto"/>
                <w:spacing w:val="3"/>
                <w:kern w:val="2"/>
                <w:sz w:val="21"/>
                <w:szCs w:val="21"/>
                <w:highlight w:val="none"/>
                <w:lang w:val="en-US" w:eastAsia="zh-CN"/>
              </w:rPr>
              <w:t xml:space="preserve">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3"/>
                <w:kern w:val="2"/>
                <w:sz w:val="21"/>
                <w:szCs w:val="21"/>
                <w:highlight w:val="none"/>
              </w:rPr>
              <w:t>1</w:t>
            </w:r>
            <w:r>
              <w:rPr>
                <w:rFonts w:hint="eastAsia" w:ascii="宋体" w:hAnsi="宋体" w:eastAsia="宋体" w:cs="宋体"/>
                <w:color w:val="auto"/>
                <w:spacing w:val="3"/>
                <w:kern w:val="2"/>
                <w:sz w:val="21"/>
                <w:szCs w:val="21"/>
                <w:highlight w:val="none"/>
                <w:lang w:val="en-US" w:eastAsia="zh-CN"/>
              </w:rPr>
              <w:t>5</w:t>
            </w:r>
            <w:r>
              <w:rPr>
                <w:rFonts w:hint="eastAsia" w:ascii="宋体" w:hAnsi="宋体" w:eastAsia="宋体" w:cs="宋体"/>
                <w:color w:val="auto"/>
                <w:spacing w:val="3"/>
                <w:kern w:val="2"/>
                <w:sz w:val="21"/>
                <w:szCs w:val="21"/>
                <w:highlight w:val="none"/>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允许电网电压</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1"/>
                <w:kern w:val="2"/>
                <w:sz w:val="21"/>
                <w:szCs w:val="21"/>
                <w:highlight w:val="none"/>
              </w:rPr>
              <w:t>V</w:t>
            </w:r>
            <w:r>
              <w:rPr>
                <w:rFonts w:hint="eastAsia" w:ascii="宋体" w:hAnsi="宋体" w:eastAsia="宋体" w:cs="宋体"/>
                <w:color w:val="auto"/>
                <w:kern w:val="2"/>
                <w:sz w:val="21"/>
                <w:szCs w:val="21"/>
                <w:highlight w:val="none"/>
              </w:rPr>
              <w:t>)</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rPr>
            </w:pPr>
            <w:r>
              <w:rPr>
                <w:rFonts w:hint="eastAsia" w:ascii="宋体" w:hAnsi="宋体" w:eastAsia="宋体" w:cs="宋体"/>
                <w:color w:val="auto"/>
                <w:spacing w:val="3"/>
                <w:kern w:val="2"/>
                <w:sz w:val="21"/>
                <w:szCs w:val="21"/>
                <w:highlight w:val="none"/>
                <w:lang w:val="en-US" w:eastAsia="zh-CN"/>
              </w:rPr>
              <w:t xml:space="preserve">320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3"/>
                <w:kern w:val="2"/>
                <w:sz w:val="21"/>
                <w:szCs w:val="21"/>
                <w:highlight w:val="none"/>
              </w:rPr>
              <w:t>48</w:t>
            </w:r>
            <w:r>
              <w:rPr>
                <w:rFonts w:hint="eastAsia" w:ascii="宋体" w:hAnsi="宋体" w:eastAsia="宋体" w:cs="宋体"/>
                <w:color w:val="auto"/>
                <w:spacing w:val="2"/>
                <w:kern w:val="2"/>
                <w:sz w:val="21"/>
                <w:szCs w:val="21"/>
                <w:highlight w:val="none"/>
              </w:rPr>
              <w:t>0</w:t>
            </w:r>
          </w:p>
        </w:tc>
        <w:tc>
          <w:tcPr>
            <w:tcW w:w="2876" w:type="dxa"/>
            <w:vAlign w:val="bottom"/>
          </w:tcPr>
          <w:p>
            <w:pPr>
              <w:widowControl w:val="0"/>
              <w:adjustRightInd/>
              <w:snapToGrid/>
              <w:spacing w:after="0" w:line="288" w:lineRule="auto"/>
              <w:jc w:val="center"/>
              <w:rPr>
                <w:rFonts w:hint="eastAsia" w:ascii="宋体" w:hAnsi="宋体" w:eastAsia="宋体" w:cs="宋体"/>
                <w:color w:val="auto"/>
                <w:spacing w:val="3"/>
                <w:kern w:val="2"/>
                <w:sz w:val="21"/>
                <w:szCs w:val="21"/>
                <w:highlight w:val="none"/>
                <w:lang w:val="en-US" w:eastAsia="zh-CN"/>
              </w:rPr>
            </w:pPr>
            <w:r>
              <w:rPr>
                <w:rFonts w:hint="eastAsia" w:ascii="宋体" w:hAnsi="宋体" w:eastAsia="宋体" w:cs="宋体"/>
                <w:color w:val="auto"/>
                <w:spacing w:val="3"/>
                <w:kern w:val="2"/>
                <w:sz w:val="21"/>
                <w:szCs w:val="21"/>
                <w:highlight w:val="none"/>
                <w:lang w:val="en-US" w:eastAsia="zh-CN"/>
              </w:rPr>
              <w:t xml:space="preserve">640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3"/>
                <w:kern w:val="2"/>
                <w:sz w:val="21"/>
                <w:szCs w:val="21"/>
                <w:highlight w:val="none"/>
                <w:lang w:val="en-US" w:eastAsia="zh-CN"/>
              </w:rPr>
              <w:t>920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额定输出电压(V)</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rPr>
            </w:pPr>
            <w:r>
              <w:rPr>
                <w:rFonts w:hint="eastAsia" w:ascii="宋体" w:hAnsi="宋体" w:eastAsia="宋体" w:cs="宋体"/>
                <w:color w:val="auto"/>
                <w:spacing w:val="-5"/>
                <w:kern w:val="2"/>
                <w:sz w:val="21"/>
                <w:szCs w:val="21"/>
                <w:highlight w:val="none"/>
              </w:rPr>
              <w:t>3/N/PE,</w:t>
            </w:r>
            <w:r>
              <w:rPr>
                <w:rFonts w:hint="eastAsia" w:ascii="宋体" w:hAnsi="宋体" w:eastAsia="宋体" w:cs="宋体"/>
                <w:color w:val="auto"/>
                <w:spacing w:val="-5"/>
                <w:kern w:val="2"/>
                <w:sz w:val="21"/>
                <w:szCs w:val="21"/>
                <w:highlight w:val="none"/>
                <w:lang w:val="en-US" w:eastAsia="zh-CN"/>
              </w:rPr>
              <w:t>380</w:t>
            </w:r>
            <w:r>
              <w:rPr>
                <w:rFonts w:hint="eastAsia" w:ascii="宋体" w:hAnsi="宋体" w:eastAsia="宋体" w:cs="宋体"/>
                <w:color w:val="auto"/>
                <w:spacing w:val="-5"/>
                <w:kern w:val="2"/>
                <w:sz w:val="21"/>
                <w:szCs w:val="21"/>
                <w:highlight w:val="none"/>
              </w:rPr>
              <w:t>/400</w:t>
            </w:r>
          </w:p>
        </w:tc>
        <w:tc>
          <w:tcPr>
            <w:tcW w:w="2876" w:type="dxa"/>
            <w:vAlign w:val="bottom"/>
          </w:tcPr>
          <w:p>
            <w:pPr>
              <w:widowControl w:val="0"/>
              <w:adjustRightInd/>
              <w:snapToGrid/>
              <w:spacing w:after="0" w:line="288" w:lineRule="auto"/>
              <w:jc w:val="center"/>
              <w:rPr>
                <w:rFonts w:hint="eastAsia" w:ascii="宋体" w:hAnsi="宋体" w:eastAsia="宋体" w:cs="宋体"/>
                <w:color w:val="auto"/>
                <w:spacing w:val="-5"/>
                <w:kern w:val="2"/>
                <w:sz w:val="21"/>
                <w:szCs w:val="21"/>
                <w:highlight w:val="none"/>
              </w:rPr>
            </w:pPr>
            <w:r>
              <w:rPr>
                <w:rFonts w:hint="eastAsia" w:ascii="宋体" w:hAnsi="宋体" w:eastAsia="宋体" w:cs="宋体"/>
                <w:color w:val="auto"/>
                <w:spacing w:val="-5"/>
                <w:kern w:val="2"/>
                <w:sz w:val="21"/>
                <w:szCs w:val="21"/>
                <w:highlight w:val="none"/>
              </w:rPr>
              <w:t xml:space="preserve">3/PE, </w:t>
            </w:r>
            <w:r>
              <w:rPr>
                <w:rFonts w:hint="eastAsia" w:ascii="宋体" w:hAnsi="宋体" w:eastAsia="宋体" w:cs="宋体"/>
                <w:color w:val="auto"/>
                <w:spacing w:val="-5"/>
                <w:kern w:val="2"/>
                <w:sz w:val="21"/>
                <w:szCs w:val="21"/>
                <w:highlight w:val="none"/>
                <w:lang w:val="en-US" w:eastAsia="zh-CN"/>
              </w:rPr>
              <w:t>80</w:t>
            </w:r>
            <w:r>
              <w:rPr>
                <w:rFonts w:hint="eastAsia" w:ascii="宋体" w:hAnsi="宋体" w:eastAsia="宋体" w:cs="宋体"/>
                <w:color w:val="auto"/>
                <w:spacing w:val="-5"/>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额定输出频率</w:t>
            </w:r>
            <w:r>
              <w:rPr>
                <w:rFonts w:hint="eastAsia" w:ascii="宋体" w:hAnsi="宋体" w:eastAsia="宋体" w:cs="宋体"/>
                <w:color w:val="auto"/>
                <w:kern w:val="2"/>
                <w:sz w:val="21"/>
                <w:szCs w:val="21"/>
                <w:highlight w:val="none"/>
              </w:rPr>
              <w:t>(Hz)</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3"/>
                <w:kern w:val="2"/>
                <w:sz w:val="21"/>
                <w:szCs w:val="21"/>
                <w:highlight w:val="none"/>
              </w:rPr>
            </w:pPr>
            <w:r>
              <w:rPr>
                <w:rFonts w:hint="eastAsia" w:ascii="宋体" w:hAnsi="宋体" w:eastAsia="宋体" w:cs="宋体"/>
                <w:color w:val="auto"/>
                <w:spacing w:val="-3"/>
                <w:kern w:val="2"/>
                <w:sz w:val="21"/>
                <w:szCs w:val="21"/>
                <w:highlight w:val="none"/>
              </w:rPr>
              <w:t>5</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jc w:val="center"/>
        </w:trPr>
        <w:tc>
          <w:tcPr>
            <w:tcW w:w="2793" w:type="dxa"/>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pacing w:val="8"/>
                <w:kern w:val="2"/>
                <w:sz w:val="21"/>
                <w:szCs w:val="21"/>
                <w:highlight w:val="none"/>
              </w:rPr>
              <w:t>功</w:t>
            </w:r>
            <w:r>
              <w:rPr>
                <w:rFonts w:hint="eastAsia" w:ascii="宋体" w:hAnsi="宋体" w:eastAsia="宋体" w:cs="宋体"/>
                <w:color w:val="auto"/>
                <w:spacing w:val="6"/>
                <w:kern w:val="2"/>
                <w:sz w:val="21"/>
                <w:szCs w:val="21"/>
                <w:highlight w:val="none"/>
              </w:rPr>
              <w:t>率因数</w:t>
            </w:r>
            <w:r>
              <w:rPr>
                <w:rFonts w:hint="eastAsia" w:ascii="宋体" w:hAnsi="宋体" w:eastAsia="宋体" w:cs="宋体"/>
                <w:color w:val="auto"/>
                <w:spacing w:val="6"/>
                <w:kern w:val="2"/>
                <w:sz w:val="21"/>
                <w:szCs w:val="21"/>
                <w:highlight w:val="none"/>
                <w:lang w:val="en-US" w:eastAsia="zh-CN"/>
              </w:rPr>
              <w:t>及可调范围</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lang w:val="en-US" w:eastAsia="zh-CN"/>
              </w:rPr>
              <w:t>＞</w:t>
            </w:r>
            <w:r>
              <w:rPr>
                <w:rFonts w:hint="eastAsia" w:ascii="宋体" w:hAnsi="宋体" w:eastAsia="宋体" w:cs="宋体"/>
                <w:color w:val="auto"/>
                <w:spacing w:val="-2"/>
                <w:kern w:val="2"/>
                <w:sz w:val="21"/>
                <w:szCs w:val="21"/>
                <w:highlight w:val="none"/>
              </w:rPr>
              <w:t>0.99（额定功率下）</w:t>
            </w:r>
            <w:r>
              <w:rPr>
                <w:rFonts w:hint="eastAsia" w:ascii="宋体" w:hAnsi="宋体" w:eastAsia="宋体" w:cs="宋体"/>
                <w:color w:val="auto"/>
                <w:spacing w:val="-2"/>
                <w:kern w:val="2"/>
                <w:sz w:val="21"/>
                <w:szCs w:val="21"/>
                <w:highlight w:val="none"/>
                <w:lang w:val="en-US" w:eastAsia="zh-CN"/>
              </w:rPr>
              <w:t xml:space="preserve"> </w:t>
            </w:r>
            <w:r>
              <w:rPr>
                <w:rFonts w:hint="eastAsia" w:ascii="宋体" w:hAnsi="宋体" w:eastAsia="宋体" w:cs="宋体"/>
                <w:color w:val="auto"/>
                <w:spacing w:val="-2"/>
                <w:kern w:val="2"/>
                <w:sz w:val="21"/>
                <w:szCs w:val="21"/>
                <w:highlight w:val="none"/>
              </w:rPr>
              <w:t>0</w:t>
            </w:r>
            <w:r>
              <w:rPr>
                <w:rFonts w:hint="eastAsia" w:ascii="宋体" w:hAnsi="宋体" w:eastAsia="宋体" w:cs="宋体"/>
                <w:color w:val="auto"/>
                <w:spacing w:val="-1"/>
                <w:kern w:val="2"/>
                <w:sz w:val="21"/>
                <w:szCs w:val="21"/>
                <w:highlight w:val="none"/>
              </w:rPr>
              <w:t>.8超前...0.8滞后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jc w:val="center"/>
        </w:trPr>
        <w:tc>
          <w:tcPr>
            <w:tcW w:w="2793" w:type="dxa"/>
            <w:vAlign w:val="bottom"/>
          </w:tcPr>
          <w:p>
            <w:pPr>
              <w:widowControl w:val="0"/>
              <w:adjustRightInd/>
              <w:snapToGrid/>
              <w:spacing w:after="0" w:line="288" w:lineRule="auto"/>
              <w:jc w:val="center"/>
              <w:rPr>
                <w:rFonts w:hint="eastAsia" w:ascii="宋体" w:hAnsi="宋体" w:eastAsia="宋体" w:cs="宋体"/>
                <w:color w:val="auto"/>
                <w:spacing w:val="8"/>
                <w:kern w:val="2"/>
                <w:sz w:val="21"/>
                <w:szCs w:val="21"/>
                <w:highlight w:val="none"/>
              </w:rPr>
            </w:pPr>
            <w:r>
              <w:rPr>
                <w:rFonts w:hint="eastAsia" w:ascii="宋体" w:hAnsi="宋体" w:eastAsia="宋体" w:cs="宋体"/>
                <w:color w:val="auto"/>
                <w:spacing w:val="8"/>
                <w:kern w:val="2"/>
                <w:sz w:val="21"/>
                <w:szCs w:val="21"/>
                <w:highlight w:val="none"/>
              </w:rPr>
              <w:t>最大总谐波失真</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kern w:val="2"/>
                <w:sz w:val="21"/>
                <w:szCs w:val="21"/>
                <w:highlight w:val="none"/>
              </w:rPr>
              <w:t>)</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＜3</w:t>
            </w:r>
            <w:r>
              <w:rPr>
                <w:rFonts w:hint="eastAsia" w:ascii="宋体" w:hAnsi="宋体" w:eastAsia="宋体" w:cs="宋体"/>
                <w:color w:val="auto"/>
                <w:spacing w:val="-2"/>
                <w:kern w:val="2"/>
                <w:sz w:val="21"/>
                <w:szCs w:val="21"/>
                <w:highlight w:val="none"/>
                <w:lang w:val="en-US" w:eastAsia="zh-CN"/>
              </w:rPr>
              <w:t xml:space="preserve"> </w:t>
            </w:r>
          </w:p>
        </w:tc>
        <w:tc>
          <w:tcPr>
            <w:tcW w:w="2876" w:type="dxa"/>
            <w:vAlign w:val="bottom"/>
          </w:tcPr>
          <w:p>
            <w:pPr>
              <w:widowControl w:val="0"/>
              <w:adjustRightInd/>
              <w:snapToGrid/>
              <w:spacing w:after="0" w:line="288" w:lineRule="auto"/>
              <w:jc w:val="center"/>
              <w:rPr>
                <w:rFonts w:hint="eastAsia" w:ascii="宋体" w:hAnsi="宋体" w:eastAsia="宋体" w:cs="宋体"/>
                <w:color w:val="auto"/>
                <w:spacing w:val="-2"/>
                <w:kern w:val="2"/>
                <w:sz w:val="21"/>
                <w:szCs w:val="21"/>
                <w:highlight w:val="none"/>
              </w:rPr>
            </w:pPr>
            <w:r>
              <w:rPr>
                <w:rFonts w:hint="eastAsia" w:ascii="宋体" w:hAnsi="宋体" w:eastAsia="宋体" w:cs="宋体"/>
                <w:color w:val="auto"/>
                <w:spacing w:val="-2"/>
                <w:kern w:val="2"/>
                <w:sz w:val="21"/>
                <w:szCs w:val="21"/>
                <w:highlight w:val="none"/>
              </w:rPr>
              <w:t>＜</w:t>
            </w:r>
            <w:r>
              <w:rPr>
                <w:rFonts w:hint="eastAsia" w:ascii="宋体" w:hAnsi="宋体" w:eastAsia="宋体" w:cs="宋体"/>
                <w:color w:val="auto"/>
                <w:spacing w:val="-2"/>
                <w:kern w:val="2"/>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jc w:val="center"/>
        </w:trPr>
        <w:tc>
          <w:tcPr>
            <w:tcW w:w="2793" w:type="dxa"/>
            <w:vAlign w:val="bottom"/>
          </w:tcPr>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最大效率</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6"/>
                <w:kern w:val="2"/>
                <w:sz w:val="21"/>
                <w:szCs w:val="21"/>
                <w:highlight w:val="none"/>
              </w:rPr>
              <w:t>%</w:t>
            </w:r>
            <w:r>
              <w:rPr>
                <w:rFonts w:hint="eastAsia" w:ascii="宋体" w:hAnsi="宋体" w:eastAsia="宋体" w:cs="宋体"/>
                <w:color w:val="auto"/>
                <w:kern w:val="2"/>
                <w:sz w:val="21"/>
                <w:szCs w:val="21"/>
                <w:highlight w:val="none"/>
              </w:rPr>
              <w:t>)</w:t>
            </w:r>
          </w:p>
        </w:tc>
        <w:tc>
          <w:tcPr>
            <w:tcW w:w="2902" w:type="dxa"/>
            <w:vAlign w:val="bottom"/>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rPr>
            </w:pPr>
            <w:r>
              <w:rPr>
                <w:rFonts w:hint="eastAsia" w:ascii="宋体" w:hAnsi="宋体" w:eastAsia="宋体" w:cs="宋体"/>
                <w:color w:val="auto"/>
                <w:spacing w:val="4"/>
                <w:kern w:val="2"/>
                <w:sz w:val="21"/>
                <w:szCs w:val="21"/>
                <w:highlight w:val="none"/>
                <w:lang w:val="en-US" w:eastAsia="zh-CN"/>
              </w:rPr>
              <w:t>≥98.5</w:t>
            </w:r>
          </w:p>
        </w:tc>
        <w:tc>
          <w:tcPr>
            <w:tcW w:w="2876" w:type="dxa"/>
            <w:vAlign w:val="bottom"/>
          </w:tcPr>
          <w:p>
            <w:pPr>
              <w:widowControl w:val="0"/>
              <w:adjustRightInd/>
              <w:snapToGrid/>
              <w:spacing w:after="0" w:line="288" w:lineRule="auto"/>
              <w:jc w:val="center"/>
              <w:rPr>
                <w:rFonts w:hint="default" w:ascii="宋体" w:hAnsi="宋体" w:eastAsia="宋体" w:cs="宋体"/>
                <w:color w:val="auto"/>
                <w:spacing w:val="4"/>
                <w:kern w:val="2"/>
                <w:sz w:val="21"/>
                <w:szCs w:val="21"/>
                <w:highlight w:val="none"/>
                <w:lang w:val="en-US" w:eastAsia="zh-CN"/>
              </w:rPr>
            </w:pPr>
            <w:r>
              <w:rPr>
                <w:rFonts w:hint="eastAsia" w:ascii="宋体" w:hAnsi="宋体" w:eastAsia="宋体" w:cs="宋体"/>
                <w:color w:val="auto"/>
                <w:spacing w:val="4"/>
                <w:kern w:val="2"/>
                <w:sz w:val="21"/>
                <w:szCs w:val="21"/>
                <w:highlight w:val="none"/>
                <w:lang w:val="en-US" w:eastAsia="zh-CN"/>
              </w:rPr>
              <w:t>≥99.0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中</w:t>
            </w:r>
            <w:r>
              <w:rPr>
                <w:rFonts w:hint="eastAsia" w:ascii="宋体" w:hAnsi="宋体" w:eastAsia="宋体" w:cs="宋体"/>
                <w:color w:val="auto"/>
                <w:spacing w:val="3"/>
                <w:kern w:val="2"/>
                <w:sz w:val="21"/>
                <w:szCs w:val="21"/>
                <w:highlight w:val="none"/>
              </w:rPr>
              <w:t>国</w:t>
            </w:r>
            <w:r>
              <w:rPr>
                <w:rFonts w:hint="eastAsia" w:ascii="宋体" w:hAnsi="宋体" w:eastAsia="宋体" w:cs="宋体"/>
                <w:color w:val="auto"/>
                <w:spacing w:val="2"/>
                <w:kern w:val="2"/>
                <w:sz w:val="21"/>
                <w:szCs w:val="21"/>
                <w:highlight w:val="none"/>
              </w:rPr>
              <w:t>效率</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2"/>
                <w:kern w:val="2"/>
                <w:sz w:val="21"/>
                <w:szCs w:val="21"/>
                <w:highlight w:val="none"/>
              </w:rPr>
              <w:t>%</w:t>
            </w:r>
            <w:r>
              <w:rPr>
                <w:rFonts w:hint="eastAsia" w:ascii="宋体" w:hAnsi="宋体" w:eastAsia="宋体" w:cs="宋体"/>
                <w:color w:val="auto"/>
                <w:kern w:val="2"/>
                <w:sz w:val="21"/>
                <w:szCs w:val="21"/>
                <w:highlight w:val="none"/>
              </w:rPr>
              <w:t>)</w:t>
            </w:r>
          </w:p>
        </w:tc>
        <w:tc>
          <w:tcPr>
            <w:tcW w:w="2902" w:type="dxa"/>
            <w:vAlign w:val="bottom"/>
          </w:tcPr>
          <w:p>
            <w:pPr>
              <w:widowControl w:val="0"/>
              <w:adjustRightInd/>
              <w:snapToGrid/>
              <w:spacing w:after="0" w:line="288" w:lineRule="auto"/>
              <w:jc w:val="center"/>
              <w:rPr>
                <w:rFonts w:hint="default" w:ascii="宋体" w:hAnsi="宋体" w:eastAsia="宋体" w:cs="宋体"/>
                <w:color w:val="auto"/>
                <w:spacing w:val="4"/>
                <w:kern w:val="2"/>
                <w:sz w:val="21"/>
                <w:szCs w:val="21"/>
                <w:highlight w:val="none"/>
                <w:lang w:val="en-US"/>
              </w:rPr>
            </w:pPr>
            <w:r>
              <w:rPr>
                <w:rFonts w:hint="eastAsia" w:ascii="宋体" w:hAnsi="宋体" w:eastAsia="宋体" w:cs="宋体"/>
                <w:color w:val="auto"/>
                <w:spacing w:val="4"/>
                <w:kern w:val="2"/>
                <w:sz w:val="21"/>
                <w:szCs w:val="21"/>
                <w:highlight w:val="none"/>
                <w:lang w:val="en-US" w:eastAsia="zh-CN"/>
              </w:rPr>
              <w:t>≥98.0</w:t>
            </w:r>
          </w:p>
        </w:tc>
        <w:tc>
          <w:tcPr>
            <w:tcW w:w="2876" w:type="dxa"/>
            <w:vAlign w:val="bottom"/>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rPr>
            </w:pPr>
            <w:r>
              <w:rPr>
                <w:rFonts w:hint="eastAsia" w:ascii="宋体" w:hAnsi="宋体" w:eastAsia="宋体" w:cs="宋体"/>
                <w:color w:val="auto"/>
                <w:spacing w:val="4"/>
                <w:kern w:val="2"/>
                <w:sz w:val="21"/>
                <w:szCs w:val="21"/>
                <w:highlight w:val="none"/>
                <w:lang w:val="en-US" w:eastAsia="zh-CN"/>
              </w:rPr>
              <w:t>≥98.4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防护等</w:t>
            </w:r>
            <w:r>
              <w:rPr>
                <w:rFonts w:hint="eastAsia" w:ascii="宋体" w:hAnsi="宋体" w:eastAsia="宋体" w:cs="宋体"/>
                <w:color w:val="auto"/>
                <w:spacing w:val="3"/>
                <w:kern w:val="2"/>
                <w:sz w:val="21"/>
                <w:szCs w:val="21"/>
                <w:highlight w:val="none"/>
              </w:rPr>
              <w:t>级</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1"/>
                <w:kern w:val="2"/>
                <w:sz w:val="21"/>
                <w:szCs w:val="21"/>
                <w:highlight w:val="none"/>
              </w:rPr>
            </w:pPr>
            <w:r>
              <w:rPr>
                <w:rFonts w:hint="eastAsia" w:ascii="宋体" w:hAnsi="宋体" w:eastAsia="宋体" w:cs="宋体"/>
                <w:color w:val="auto"/>
                <w:spacing w:val="-1"/>
                <w:kern w:val="2"/>
                <w:sz w:val="21"/>
                <w:szCs w:val="21"/>
                <w:highlight w:val="none"/>
              </w:rPr>
              <w:t>I</w:t>
            </w:r>
            <w:r>
              <w:rPr>
                <w:rFonts w:hint="eastAsia" w:ascii="宋体" w:hAnsi="宋体" w:eastAsia="宋体" w:cs="宋体"/>
                <w:color w:val="auto"/>
                <w:kern w:val="2"/>
                <w:sz w:val="21"/>
                <w:szCs w:val="21"/>
                <w:highlight w:val="none"/>
              </w:rPr>
              <w:t>P</w:t>
            </w:r>
            <w:r>
              <w:rPr>
                <w:rFonts w:hint="eastAsia" w:ascii="宋体" w:hAnsi="宋体" w:eastAsia="宋体" w:cs="宋体"/>
                <w:color w:val="auto"/>
                <w:spacing w:val="-1"/>
                <w:kern w:val="2"/>
                <w:sz w:val="21"/>
                <w:szCs w:val="21"/>
                <w:highlight w:val="none"/>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夜间自耗电</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2"/>
                <w:kern w:val="2"/>
                <w:sz w:val="21"/>
                <w:szCs w:val="21"/>
                <w:highlight w:val="none"/>
              </w:rPr>
              <w:t>W</w:t>
            </w:r>
            <w:r>
              <w:rPr>
                <w:rFonts w:hint="eastAsia" w:ascii="宋体" w:hAnsi="宋体" w:eastAsia="宋体" w:cs="宋体"/>
                <w:color w:val="auto"/>
                <w:kern w:val="2"/>
                <w:sz w:val="21"/>
                <w:szCs w:val="21"/>
                <w:highlight w:val="none"/>
              </w:rPr>
              <w:t>)</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7"/>
                <w:kern w:val="2"/>
                <w:position w:val="1"/>
                <w:sz w:val="21"/>
                <w:szCs w:val="21"/>
                <w:highlight w:val="none"/>
              </w:rPr>
            </w:pPr>
            <w:r>
              <w:rPr>
                <w:rFonts w:hint="eastAsia" w:ascii="宋体" w:hAnsi="宋体" w:eastAsia="宋体" w:cs="宋体"/>
                <w:color w:val="auto"/>
                <w:spacing w:val="-7"/>
                <w:kern w:val="2"/>
                <w:position w:val="1"/>
                <w:sz w:val="21"/>
                <w:szCs w:val="21"/>
                <w:highlight w:val="none"/>
              </w:rPr>
              <w:t>≤</w:t>
            </w:r>
            <w:r>
              <w:rPr>
                <w:rFonts w:hint="eastAsia" w:ascii="宋体" w:hAnsi="宋体" w:eastAsia="宋体" w:cs="宋体"/>
                <w:color w:val="auto"/>
                <w:spacing w:val="-5"/>
                <w:kern w:val="2"/>
                <w:position w:val="1"/>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1"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lang w:val="en-US" w:eastAsia="zh-CN"/>
              </w:rPr>
              <w:t>工作</w:t>
            </w:r>
            <w:r>
              <w:rPr>
                <w:rFonts w:hint="eastAsia" w:ascii="宋体" w:hAnsi="宋体" w:eastAsia="宋体" w:cs="宋体"/>
                <w:color w:val="auto"/>
                <w:spacing w:val="8"/>
                <w:kern w:val="2"/>
                <w:sz w:val="21"/>
                <w:szCs w:val="21"/>
                <w:highlight w:val="none"/>
              </w:rPr>
              <w:t>温度</w:t>
            </w:r>
            <w:r>
              <w:rPr>
                <w:rFonts w:hint="eastAsia" w:ascii="宋体" w:hAnsi="宋体" w:eastAsia="宋体" w:cs="宋体"/>
                <w:color w:val="auto"/>
                <w:kern w:val="2"/>
                <w:sz w:val="21"/>
                <w:szCs w:val="21"/>
                <w:highlight w:val="none"/>
              </w:rPr>
              <w:t>(</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4"/>
                <w:kern w:val="2"/>
                <w:position w:val="1"/>
                <w:sz w:val="21"/>
                <w:szCs w:val="21"/>
                <w:highlight w:val="none"/>
              </w:rPr>
            </w:pPr>
            <w:r>
              <w:rPr>
                <w:rFonts w:hint="eastAsia" w:ascii="宋体" w:hAnsi="宋体" w:eastAsia="宋体" w:cs="宋体"/>
                <w:color w:val="auto"/>
                <w:spacing w:val="4"/>
                <w:kern w:val="2"/>
                <w:position w:val="1"/>
                <w:sz w:val="21"/>
                <w:szCs w:val="21"/>
                <w:highlight w:val="none"/>
              </w:rPr>
              <w:t>-</w:t>
            </w:r>
            <w:r>
              <w:rPr>
                <w:rFonts w:hint="eastAsia" w:ascii="宋体" w:hAnsi="宋体" w:eastAsia="宋体" w:cs="宋体"/>
                <w:color w:val="auto"/>
                <w:spacing w:val="4"/>
                <w:kern w:val="2"/>
                <w:position w:val="1"/>
                <w:sz w:val="21"/>
                <w:szCs w:val="21"/>
                <w:highlight w:val="none"/>
                <w:lang w:val="en-US" w:eastAsia="zh-CN"/>
              </w:rPr>
              <w:t xml:space="preserve">25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4"/>
                <w:kern w:val="2"/>
                <w:position w:val="1"/>
                <w:sz w:val="21"/>
                <w:szCs w:val="21"/>
                <w:highlight w:val="none"/>
              </w:rPr>
              <w:t>6</w:t>
            </w:r>
            <w:r>
              <w:rPr>
                <w:rFonts w:hint="eastAsia" w:ascii="宋体" w:hAnsi="宋体" w:eastAsia="宋体" w:cs="宋体"/>
                <w:color w:val="auto"/>
                <w:spacing w:val="3"/>
                <w:kern w:val="2"/>
                <w:position w:val="1"/>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冷却方式</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智能风冷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允许相对湿度</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spacing w:val="8"/>
                <w:kern w:val="2"/>
                <w:sz w:val="21"/>
                <w:szCs w:val="21"/>
                <w:highlight w:val="none"/>
              </w:rPr>
            </w:pPr>
            <w:r>
              <w:rPr>
                <w:rFonts w:hint="eastAsia" w:ascii="宋体" w:hAnsi="宋体" w:eastAsia="宋体" w:cs="宋体"/>
                <w:color w:val="auto"/>
                <w:spacing w:val="8"/>
                <w:kern w:val="2"/>
                <w:sz w:val="21"/>
                <w:szCs w:val="21"/>
                <w:highlight w:val="none"/>
              </w:rPr>
              <w:t>0</w:t>
            </w:r>
            <w:r>
              <w:rPr>
                <w:rFonts w:hint="eastAsia" w:ascii="宋体" w:hAnsi="宋体" w:eastAsia="宋体" w:cs="宋体"/>
                <w:color w:val="auto"/>
                <w:spacing w:val="8"/>
                <w:kern w:val="2"/>
                <w:sz w:val="21"/>
                <w:szCs w:val="21"/>
                <w:highlight w:val="none"/>
                <w:lang w:val="en-US" w:eastAsia="zh-CN"/>
              </w:rPr>
              <w:t xml:space="preserve"> </w:t>
            </w:r>
            <w:r>
              <w:rPr>
                <w:rFonts w:hint="eastAsia" w:ascii="宋体" w:hAnsi="宋体" w:eastAsia="宋体" w:cs="宋体"/>
                <w:color w:val="auto"/>
                <w:spacing w:val="5"/>
                <w:kern w:val="2"/>
                <w:sz w:val="21"/>
                <w:szCs w:val="21"/>
                <w:highlight w:val="none"/>
                <w:lang w:val="en-US" w:eastAsia="zh-CN"/>
              </w:rPr>
              <w:t>⁓</w:t>
            </w:r>
            <w:r>
              <w:rPr>
                <w:rFonts w:hint="eastAsia" w:ascii="宋体" w:hAnsi="宋体" w:eastAsia="宋体" w:cs="宋体"/>
                <w:color w:val="auto"/>
                <w:spacing w:val="5"/>
                <w:kern w:val="2"/>
                <w:sz w:val="21"/>
                <w:szCs w:val="21"/>
                <w:highlight w:val="none"/>
              </w:rPr>
              <w:t>100%</w:t>
            </w:r>
            <w:r>
              <w:rPr>
                <w:rFonts w:hint="eastAsia" w:ascii="宋体" w:hAnsi="宋体" w:eastAsia="宋体" w:cs="宋体"/>
                <w:color w:val="auto"/>
                <w:spacing w:val="5"/>
                <w:kern w:val="2"/>
                <w:sz w:val="21"/>
                <w:szCs w:val="21"/>
                <w:highlight w:val="none"/>
                <w:lang w:val="en-US" w:eastAsia="zh-CN"/>
              </w:rPr>
              <w:t xml:space="preserve"> </w:t>
            </w:r>
            <w:r>
              <w:rPr>
                <w:rFonts w:hint="eastAsia" w:ascii="宋体" w:hAnsi="宋体" w:eastAsia="宋体" w:cs="宋体"/>
                <w:color w:val="auto"/>
                <w:spacing w:val="5"/>
                <w:kern w:val="2"/>
                <w:sz w:val="21"/>
                <w:szCs w:val="21"/>
                <w:highlight w:val="none"/>
              </w:rPr>
              <w:t>无冷凝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1"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显示</w:t>
            </w:r>
          </w:p>
        </w:tc>
        <w:tc>
          <w:tcPr>
            <w:tcW w:w="5778" w:type="dxa"/>
            <w:gridSpan w:val="2"/>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LED</w:t>
            </w:r>
            <w:r>
              <w:rPr>
                <w:rFonts w:hint="eastAsia" w:ascii="宋体" w:hAnsi="宋体" w:eastAsia="宋体" w:cs="宋体"/>
                <w:color w:val="auto"/>
                <w:spacing w:val="4"/>
                <w:kern w:val="2"/>
                <w:sz w:val="21"/>
                <w:szCs w:val="21"/>
                <w:highlight w:val="none"/>
              </w:rPr>
              <w:t>指示灯、WLAN+</w:t>
            </w:r>
            <w:r>
              <w:rPr>
                <w:rFonts w:hint="eastAsia" w:ascii="宋体" w:hAnsi="宋体" w:eastAsia="宋体" w:cs="宋体"/>
                <w:color w:val="auto"/>
                <w:kern w:val="2"/>
                <w:sz w:val="21"/>
                <w:szCs w:val="21"/>
                <w:highlight w:val="none"/>
              </w:rPr>
              <w:t>APP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2793" w:type="dxa"/>
            <w:vAlign w:val="bottom"/>
          </w:tcPr>
          <w:p>
            <w:pPr>
              <w:widowControl w:val="0"/>
              <w:adjustRightInd/>
              <w:snapToGrid/>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通</w:t>
            </w:r>
            <w:r>
              <w:rPr>
                <w:rFonts w:hint="eastAsia" w:ascii="宋体" w:hAnsi="宋体" w:eastAsia="宋体" w:cs="宋体"/>
                <w:color w:val="auto"/>
                <w:spacing w:val="7"/>
                <w:kern w:val="2"/>
                <w:sz w:val="21"/>
                <w:szCs w:val="21"/>
                <w:highlight w:val="none"/>
              </w:rPr>
              <w:t>讯方式</w:t>
            </w:r>
          </w:p>
        </w:tc>
        <w:tc>
          <w:tcPr>
            <w:tcW w:w="5778" w:type="dxa"/>
            <w:gridSpan w:val="2"/>
            <w:shd w:val="clear" w:color="auto" w:fill="auto"/>
            <w:vAlign w:val="bottom"/>
          </w:tcPr>
          <w:p>
            <w:pPr>
              <w:widowControl w:val="0"/>
              <w:adjustRightInd/>
              <w:snapToGrid/>
              <w:spacing w:after="0" w:line="288" w:lineRule="auto"/>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RS</w:t>
            </w:r>
            <w:r>
              <w:rPr>
                <w:rFonts w:hint="eastAsia" w:ascii="宋体" w:hAnsi="宋体" w:eastAsia="宋体" w:cs="宋体"/>
                <w:color w:val="auto"/>
                <w:spacing w:val="17"/>
                <w:kern w:val="2"/>
                <w:sz w:val="21"/>
                <w:szCs w:val="21"/>
                <w:highlight w:val="none"/>
              </w:rPr>
              <w:t>4</w:t>
            </w:r>
            <w:r>
              <w:rPr>
                <w:rFonts w:hint="eastAsia" w:ascii="宋体" w:hAnsi="宋体" w:eastAsia="宋体" w:cs="宋体"/>
                <w:color w:val="auto"/>
                <w:spacing w:val="15"/>
                <w:kern w:val="2"/>
                <w:sz w:val="21"/>
                <w:szCs w:val="21"/>
                <w:highlight w:val="none"/>
              </w:rPr>
              <w:t>85、</w:t>
            </w:r>
            <w:r>
              <w:rPr>
                <w:rFonts w:hint="eastAsia" w:ascii="宋体" w:hAnsi="宋体" w:eastAsia="宋体" w:cs="宋体"/>
                <w:color w:val="auto"/>
                <w:spacing w:val="-1"/>
                <w:kern w:val="2"/>
                <w:sz w:val="21"/>
                <w:szCs w:val="21"/>
                <w:highlight w:val="none"/>
              </w:rPr>
              <w:t>4G</w:t>
            </w:r>
            <w:r>
              <w:rPr>
                <w:rFonts w:hint="eastAsia" w:ascii="宋体" w:hAnsi="宋体" w:eastAsia="宋体" w:cs="宋体"/>
                <w:color w:val="auto"/>
                <w:spacing w:val="6"/>
                <w:kern w:val="2"/>
                <w:sz w:val="21"/>
                <w:szCs w:val="21"/>
                <w:highlight w:val="none"/>
              </w:rPr>
              <w:t>智能通讯棒模块</w:t>
            </w:r>
            <w:r>
              <w:rPr>
                <w:rFonts w:hint="eastAsia" w:ascii="宋体" w:hAnsi="宋体" w:eastAsia="宋体" w:cs="宋体"/>
                <w:color w:val="auto"/>
                <w:spacing w:val="6"/>
                <w:kern w:val="2"/>
                <w:sz w:val="21"/>
                <w:szCs w:val="21"/>
                <w:highlight w:val="none"/>
                <w:lang w:eastAsia="zh-CN"/>
              </w:rPr>
              <w:t>（</w:t>
            </w:r>
            <w:r>
              <w:rPr>
                <w:rFonts w:hint="eastAsia" w:ascii="宋体" w:hAnsi="宋体" w:eastAsia="宋体" w:cs="宋体"/>
                <w:color w:val="auto"/>
                <w:spacing w:val="6"/>
                <w:kern w:val="2"/>
                <w:sz w:val="21"/>
                <w:szCs w:val="21"/>
                <w:highlight w:val="none"/>
                <w:lang w:val="en-US" w:eastAsia="zh-CN"/>
              </w:rPr>
              <w:t>棒</w:t>
            </w:r>
            <w:r>
              <w:rPr>
                <w:rFonts w:hint="eastAsia" w:ascii="宋体" w:hAnsi="宋体" w:eastAsia="宋体" w:cs="宋体"/>
                <w:color w:val="auto"/>
                <w:spacing w:val="6"/>
                <w:kern w:val="2"/>
                <w:sz w:val="21"/>
                <w:szCs w:val="21"/>
                <w:highlight w:val="none"/>
                <w:lang w:eastAsia="zh-CN"/>
              </w:rPr>
              <w:t>）</w:t>
            </w:r>
          </w:p>
        </w:tc>
      </w:tr>
    </w:tbl>
    <w:p>
      <w:pPr>
        <w:widowControl w:val="0"/>
        <w:numPr>
          <w:ilvl w:val="0"/>
          <w:numId w:val="0"/>
        </w:numPr>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rPr>
        <w:t>配置的并网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必须具备</w:t>
      </w:r>
      <w:r>
        <w:rPr>
          <w:rFonts w:hint="eastAsia" w:ascii="宋体" w:hAnsi="宋体" w:eastAsia="宋体" w:cs="宋体"/>
          <w:color w:val="auto"/>
          <w:kern w:val="2"/>
          <w:sz w:val="21"/>
          <w:szCs w:val="21"/>
          <w:highlight w:val="none"/>
        </w:rPr>
        <w:t>最大功率跟踪、防组件PID（电势诱导衰减）效应</w:t>
      </w:r>
      <w:r>
        <w:rPr>
          <w:rFonts w:hint="eastAsia" w:ascii="宋体" w:hAnsi="宋体" w:eastAsia="宋体" w:cs="宋体"/>
          <w:color w:val="auto"/>
          <w:kern w:val="2"/>
          <w:sz w:val="21"/>
          <w:szCs w:val="21"/>
          <w:highlight w:val="none"/>
          <w:lang w:eastAsia="zh-CN"/>
        </w:rPr>
        <w:t>、谐振抑制、低电压穿越、</w:t>
      </w:r>
      <w:r>
        <w:rPr>
          <w:rFonts w:hint="eastAsia" w:ascii="宋体" w:hAnsi="宋体" w:eastAsia="宋体" w:cs="宋体"/>
          <w:color w:val="auto"/>
          <w:kern w:val="2"/>
          <w:sz w:val="21"/>
          <w:szCs w:val="21"/>
          <w:highlight w:val="none"/>
        </w:rPr>
        <w:t>绝缘阻抗检测、</w:t>
      </w:r>
      <w:r>
        <w:rPr>
          <w:rFonts w:hint="eastAsia" w:ascii="宋体" w:hAnsi="宋体" w:eastAsia="宋体" w:cs="宋体"/>
          <w:color w:val="auto"/>
          <w:kern w:val="2"/>
          <w:sz w:val="21"/>
          <w:szCs w:val="21"/>
          <w:highlight w:val="none"/>
          <w:lang w:val="en-US" w:eastAsia="zh-CN"/>
        </w:rPr>
        <w:t>组串故障检测、</w:t>
      </w:r>
      <w:r>
        <w:rPr>
          <w:rFonts w:hint="eastAsia" w:ascii="宋体" w:hAnsi="宋体" w:eastAsia="宋体" w:cs="宋体"/>
          <w:color w:val="auto"/>
          <w:kern w:val="2"/>
          <w:sz w:val="21"/>
          <w:szCs w:val="21"/>
          <w:highlight w:val="none"/>
        </w:rPr>
        <w:t>残余电流检测、交直流浪涌II级保护</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直流反接保护、交流短路保护、漏电流监测与保护、过压过流保护、过热过湿保护、电网相序保护</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并网保护、</w:t>
      </w:r>
      <w:r>
        <w:rPr>
          <w:rFonts w:hint="eastAsia" w:ascii="宋体" w:hAnsi="宋体" w:eastAsia="宋体" w:cs="宋体"/>
          <w:color w:val="auto"/>
          <w:kern w:val="2"/>
          <w:sz w:val="21"/>
          <w:szCs w:val="21"/>
          <w:highlight w:val="none"/>
          <w:lang w:eastAsia="zh-CN"/>
        </w:rPr>
        <w:t>电网异常保护</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温度保护、</w:t>
      </w:r>
      <w:r>
        <w:rPr>
          <w:rFonts w:hint="eastAsia" w:ascii="宋体" w:hAnsi="宋体" w:eastAsia="宋体" w:cs="宋体"/>
          <w:color w:val="auto"/>
          <w:kern w:val="2"/>
          <w:sz w:val="21"/>
          <w:szCs w:val="21"/>
          <w:highlight w:val="none"/>
        </w:rPr>
        <w:t>防孤岛</w:t>
      </w:r>
      <w:r>
        <w:rPr>
          <w:rFonts w:hint="eastAsia" w:ascii="宋体" w:hAnsi="宋体" w:eastAsia="宋体" w:cs="宋体"/>
          <w:color w:val="auto"/>
          <w:kern w:val="2"/>
          <w:sz w:val="21"/>
          <w:szCs w:val="21"/>
          <w:highlight w:val="none"/>
          <w:lang w:val="en-US" w:eastAsia="zh-CN"/>
        </w:rPr>
        <w:t>保护</w:t>
      </w:r>
      <w:r>
        <w:rPr>
          <w:rFonts w:hint="eastAsia" w:ascii="宋体" w:hAnsi="宋体" w:eastAsia="宋体" w:cs="宋体"/>
          <w:color w:val="auto"/>
          <w:kern w:val="2"/>
          <w:sz w:val="21"/>
          <w:szCs w:val="21"/>
          <w:highlight w:val="none"/>
        </w:rPr>
        <w:t>、直流开关</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电网监控等基本功能并可发出告警信号</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需</w:t>
      </w:r>
      <w:r>
        <w:rPr>
          <w:rFonts w:hint="eastAsia" w:ascii="宋体" w:hAnsi="宋体" w:eastAsia="宋体" w:cs="宋体"/>
          <w:color w:val="auto"/>
          <w:kern w:val="2"/>
          <w:sz w:val="21"/>
          <w:szCs w:val="21"/>
          <w:highlight w:val="none"/>
        </w:rPr>
        <w:t>具备良好的电气隔离性，整机符合国家相关标准。</w:t>
      </w:r>
    </w:p>
    <w:p>
      <w:pPr>
        <w:widowControl w:val="0"/>
        <w:numPr>
          <w:ilvl w:val="0"/>
          <w:numId w:val="0"/>
        </w:numPr>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配置的并网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须</w:t>
      </w:r>
      <w:r>
        <w:rPr>
          <w:rFonts w:hint="eastAsia" w:ascii="宋体" w:hAnsi="宋体" w:eastAsia="宋体" w:cs="宋体"/>
          <w:color w:val="auto"/>
          <w:kern w:val="2"/>
          <w:sz w:val="21"/>
          <w:szCs w:val="21"/>
          <w:highlight w:val="none"/>
        </w:rPr>
        <w:t>可进行高精度组串检测及智能I-V曲线扫描诊断，</w:t>
      </w:r>
      <w:r>
        <w:rPr>
          <w:rFonts w:hint="eastAsia" w:ascii="宋体" w:hAnsi="宋体" w:eastAsia="宋体" w:cs="宋体"/>
          <w:color w:val="auto"/>
          <w:kern w:val="2"/>
          <w:sz w:val="21"/>
          <w:szCs w:val="21"/>
          <w:highlight w:val="none"/>
          <w:lang w:val="en-US" w:eastAsia="zh-CN"/>
        </w:rPr>
        <w:t>可</w:t>
      </w:r>
      <w:r>
        <w:rPr>
          <w:rFonts w:hint="eastAsia" w:ascii="宋体" w:hAnsi="宋体" w:eastAsia="宋体" w:cs="宋体"/>
          <w:color w:val="auto"/>
          <w:kern w:val="2"/>
          <w:sz w:val="21"/>
          <w:szCs w:val="21"/>
          <w:highlight w:val="none"/>
        </w:rPr>
        <w:t>精确定位异常组串</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方便后期运维。</w:t>
      </w:r>
    </w:p>
    <w:p>
      <w:pPr>
        <w:widowControl w:val="0"/>
        <w:numPr>
          <w:ilvl w:val="0"/>
          <w:numId w:val="0"/>
        </w:numPr>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）所供并网逆变器输入必须能适配市场主流光伏组件（600Wp以上）电流输入；</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逆变器与光伏组件布置采用就近原则，</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逆变器对应的最近距离的光伏组串不能超过5m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接入光伏</w:t>
      </w:r>
      <w:r>
        <w:rPr>
          <w:rFonts w:hint="eastAsia" w:ascii="宋体" w:hAnsi="宋体" w:eastAsia="宋体" w:cs="宋体"/>
          <w:color w:val="auto"/>
          <w:kern w:val="2"/>
          <w:sz w:val="21"/>
          <w:szCs w:val="21"/>
          <w:highlight w:val="none"/>
          <w:lang w:eastAsia="zh-CN"/>
        </w:rPr>
        <w:t>组串</w:t>
      </w:r>
      <w:r>
        <w:rPr>
          <w:rFonts w:hint="eastAsia" w:ascii="宋体" w:hAnsi="宋体" w:eastAsia="宋体" w:cs="宋体"/>
          <w:color w:val="auto"/>
          <w:kern w:val="2"/>
          <w:sz w:val="21"/>
          <w:szCs w:val="21"/>
          <w:highlight w:val="none"/>
          <w:lang w:val="en-US" w:eastAsia="zh-CN"/>
        </w:rPr>
        <w:t>容量与配置并网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功率之间的</w:t>
      </w:r>
      <w:r>
        <w:rPr>
          <w:rFonts w:hint="eastAsia" w:ascii="宋体" w:hAnsi="宋体" w:eastAsia="宋体" w:cs="宋体"/>
          <w:b/>
          <w:bCs/>
          <w:color w:val="auto"/>
          <w:kern w:val="2"/>
          <w:sz w:val="21"/>
          <w:szCs w:val="21"/>
          <w:highlight w:val="none"/>
        </w:rPr>
        <w:t>容配比不得超过1.</w:t>
      </w:r>
      <w:r>
        <w:rPr>
          <w:rFonts w:hint="eastAsia" w:ascii="宋体" w:hAnsi="宋体" w:eastAsia="宋体" w:cs="宋体"/>
          <w:b/>
          <w:bCs/>
          <w:color w:val="auto"/>
          <w:kern w:val="2"/>
          <w:sz w:val="21"/>
          <w:szCs w:val="21"/>
          <w:highlight w:val="none"/>
          <w:lang w:val="en-US" w:eastAsia="zh-CN"/>
        </w:rPr>
        <w:t>15</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承包单位负责并网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运输、卸货、吊装及保管，保管过程中按原包装存放并做好相应的防雨防倒防误撞等保护措施，开箱必须有监理在场旁站确认并网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完好，如开箱时有破损则需现场拍照取证，如有损坏需承担更换所需全部费用。</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承包单位要对所供并网逆变器外表面板的清洁提供措施，不得有划伤、腐蚀斑点等缺陷；外壳采用经高质量表面处理的不生锈金属材料制作，耐候年限（不生锈、不腐蚀、机械强度满足使用要求）不低于25年。并网逆变器应有保护接地；运行时，打开柜门后，所有导电部件均应有防护措施以防止人手触及；其内的所有导线、电缆、线槽、线号套管等应使用阻燃型产品；</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逆变器的布置方案</w:t>
      </w:r>
      <w:r>
        <w:rPr>
          <w:rFonts w:hint="eastAsia" w:ascii="宋体" w:hAnsi="宋体" w:eastAsia="宋体" w:cs="宋体"/>
          <w:color w:val="auto"/>
          <w:kern w:val="2"/>
          <w:sz w:val="21"/>
          <w:szCs w:val="21"/>
          <w:highlight w:val="none"/>
          <w:lang w:val="en-US" w:eastAsia="zh-CN"/>
        </w:rPr>
        <w:t>须提前与房屋业主进行确认，</w:t>
      </w:r>
      <w:r>
        <w:rPr>
          <w:rFonts w:hint="eastAsia" w:ascii="宋体" w:hAnsi="宋体" w:eastAsia="宋体" w:cs="宋体"/>
          <w:color w:val="auto"/>
          <w:kern w:val="2"/>
          <w:sz w:val="21"/>
          <w:szCs w:val="21"/>
          <w:highlight w:val="none"/>
        </w:rPr>
        <w:t>需</w:t>
      </w:r>
      <w:r>
        <w:rPr>
          <w:rFonts w:hint="eastAsia" w:ascii="宋体" w:hAnsi="宋体" w:eastAsia="宋体" w:cs="宋体"/>
          <w:color w:val="auto"/>
          <w:kern w:val="2"/>
          <w:sz w:val="21"/>
          <w:szCs w:val="21"/>
          <w:highlight w:val="none"/>
          <w:lang w:val="en-US" w:eastAsia="zh-CN"/>
        </w:rPr>
        <w:t>兼顾安全运维</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操作方便、避晒通</w:t>
      </w:r>
      <w:r>
        <w:rPr>
          <w:rFonts w:hint="eastAsia" w:ascii="宋体" w:hAnsi="宋体" w:eastAsia="宋体" w:cs="宋体"/>
          <w:color w:val="auto"/>
          <w:kern w:val="2"/>
          <w:sz w:val="21"/>
          <w:szCs w:val="21"/>
          <w:highlight w:val="none"/>
        </w:rPr>
        <w:t>风</w:t>
      </w:r>
      <w:r>
        <w:rPr>
          <w:rFonts w:hint="eastAsia" w:ascii="宋体" w:hAnsi="宋体" w:eastAsia="宋体" w:cs="宋体"/>
          <w:color w:val="auto"/>
          <w:kern w:val="2"/>
          <w:sz w:val="21"/>
          <w:szCs w:val="21"/>
          <w:highlight w:val="none"/>
          <w:lang w:eastAsia="zh-CN"/>
        </w:rPr>
        <w:t>、抗台风</w:t>
      </w:r>
      <w:r>
        <w:rPr>
          <w:rFonts w:hint="eastAsia" w:ascii="宋体" w:hAnsi="宋体" w:eastAsia="宋体" w:cs="宋体"/>
          <w:color w:val="auto"/>
          <w:kern w:val="2"/>
          <w:sz w:val="21"/>
          <w:szCs w:val="21"/>
          <w:highlight w:val="none"/>
        </w:rPr>
        <w:t>等因素</w:t>
      </w:r>
      <w:r>
        <w:rPr>
          <w:rFonts w:hint="eastAsia" w:ascii="宋体" w:hAnsi="宋体" w:eastAsia="宋体" w:cs="宋体"/>
          <w:color w:val="auto"/>
          <w:kern w:val="2"/>
          <w:sz w:val="21"/>
          <w:szCs w:val="21"/>
          <w:highlight w:val="none"/>
          <w:lang w:eastAsia="zh-CN"/>
        </w:rPr>
        <w:t>；不宜安装在彩钢瓦面上，</w:t>
      </w:r>
      <w:r>
        <w:rPr>
          <w:rFonts w:hint="eastAsia" w:ascii="宋体" w:hAnsi="宋体" w:eastAsia="宋体" w:cs="宋体"/>
          <w:color w:val="auto"/>
          <w:kern w:val="2"/>
          <w:sz w:val="21"/>
          <w:szCs w:val="21"/>
          <w:highlight w:val="none"/>
          <w:lang w:val="en-US" w:eastAsia="zh-CN"/>
        </w:rPr>
        <w:t>若是</w:t>
      </w:r>
      <w:r>
        <w:rPr>
          <w:rFonts w:hint="eastAsia" w:ascii="宋体" w:hAnsi="宋体" w:eastAsia="宋体" w:cs="宋体"/>
          <w:color w:val="auto"/>
          <w:kern w:val="2"/>
          <w:sz w:val="21"/>
          <w:szCs w:val="21"/>
          <w:highlight w:val="none"/>
        </w:rPr>
        <w:t>室外</w:t>
      </w:r>
      <w:r>
        <w:rPr>
          <w:rFonts w:hint="eastAsia" w:ascii="宋体" w:hAnsi="宋体" w:eastAsia="宋体" w:cs="宋体"/>
          <w:color w:val="auto"/>
          <w:kern w:val="2"/>
          <w:sz w:val="21"/>
          <w:szCs w:val="21"/>
          <w:highlight w:val="none"/>
          <w:lang w:val="en-US" w:eastAsia="zh-CN"/>
        </w:rPr>
        <w:t>安装</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逆变器上面</w:t>
      </w:r>
      <w:r>
        <w:rPr>
          <w:rFonts w:hint="eastAsia" w:ascii="宋体" w:hAnsi="宋体" w:eastAsia="宋体" w:cs="宋体"/>
          <w:color w:val="auto"/>
          <w:kern w:val="2"/>
          <w:sz w:val="21"/>
          <w:szCs w:val="21"/>
          <w:highlight w:val="none"/>
          <w:lang w:val="en-US" w:eastAsia="zh-CN"/>
        </w:rPr>
        <w:t>须加装304不锈钢挡</w:t>
      </w:r>
      <w:r>
        <w:rPr>
          <w:rFonts w:hint="eastAsia" w:ascii="宋体" w:hAnsi="宋体" w:eastAsia="宋体" w:cs="宋体"/>
          <w:color w:val="auto"/>
          <w:kern w:val="2"/>
          <w:sz w:val="21"/>
          <w:szCs w:val="21"/>
          <w:highlight w:val="none"/>
        </w:rPr>
        <w:t>雨遮阳蓬，避免烈日直射暴晒和雨水浸泡</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遮阳棚尺寸超出逆变器正面、侧面各≥0.5m（有条件时，正面遮阳棚宜≥1m），背部增加挡雨板（靠墙安装不需要），与逆变器上侧间距大于0.3m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若安装在经常有人员进出的场所，并网</w:t>
      </w:r>
      <w:r>
        <w:rPr>
          <w:rFonts w:hint="eastAsia" w:ascii="宋体" w:hAnsi="宋体" w:eastAsia="宋体" w:cs="宋体"/>
          <w:color w:val="auto"/>
          <w:kern w:val="2"/>
          <w:sz w:val="21"/>
          <w:szCs w:val="21"/>
          <w:highlight w:val="none"/>
        </w:rPr>
        <w:t>逆变器</w:t>
      </w:r>
      <w:r>
        <w:rPr>
          <w:rFonts w:hint="eastAsia" w:ascii="宋体" w:hAnsi="宋体" w:eastAsia="宋体" w:cs="宋体"/>
          <w:color w:val="auto"/>
          <w:kern w:val="2"/>
          <w:sz w:val="21"/>
          <w:szCs w:val="21"/>
          <w:highlight w:val="none"/>
          <w:lang w:val="en-US" w:eastAsia="zh-CN"/>
        </w:rPr>
        <w:t>须加装镀锌网格围屏，防止非专业人员误碰导致触电。</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逆变器的布置要留有足够的空间以便</w:t>
      </w:r>
      <w:r>
        <w:rPr>
          <w:rFonts w:hint="eastAsia" w:ascii="宋体" w:hAnsi="宋体" w:eastAsia="宋体" w:cs="宋体"/>
          <w:color w:val="auto"/>
          <w:kern w:val="2"/>
          <w:sz w:val="21"/>
          <w:szCs w:val="21"/>
          <w:highlight w:val="none"/>
          <w:lang w:val="en-US" w:eastAsia="zh-CN"/>
        </w:rPr>
        <w:t>后期更换</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上下留有50cm空间距离，两侧留有100cm以上空间距离</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同时离地安装高度要合适，以便观察读取LED显示与运维操作</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每台</w:t>
      </w:r>
      <w:r>
        <w:rPr>
          <w:rFonts w:hint="eastAsia" w:ascii="宋体" w:hAnsi="宋体" w:eastAsia="宋体" w:cs="宋体"/>
          <w:color w:val="auto"/>
          <w:kern w:val="2"/>
          <w:sz w:val="21"/>
          <w:szCs w:val="21"/>
          <w:highlight w:val="none"/>
        </w:rPr>
        <w:t>并网逆变器</w:t>
      </w:r>
      <w:r>
        <w:rPr>
          <w:rFonts w:hint="eastAsia" w:ascii="宋体" w:hAnsi="宋体" w:eastAsia="宋体" w:cs="宋体"/>
          <w:color w:val="auto"/>
          <w:kern w:val="2"/>
          <w:sz w:val="21"/>
          <w:szCs w:val="21"/>
          <w:highlight w:val="none"/>
          <w:lang w:val="en-US" w:eastAsia="zh-CN"/>
        </w:rPr>
        <w:t>必须配置两具有效期内4kg干粉灭火器和红色不锈钢灭火器箱</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）支持RS</w:t>
      </w:r>
      <w:r>
        <w:rPr>
          <w:rFonts w:hint="eastAsia" w:ascii="宋体" w:hAnsi="宋体" w:eastAsia="宋体" w:cs="宋体"/>
          <w:color w:val="auto"/>
          <w:spacing w:val="17"/>
          <w:kern w:val="2"/>
          <w:sz w:val="21"/>
          <w:szCs w:val="21"/>
          <w:highlight w:val="none"/>
        </w:rPr>
        <w:t>4</w:t>
      </w:r>
      <w:r>
        <w:rPr>
          <w:rFonts w:hint="eastAsia" w:ascii="宋体" w:hAnsi="宋体" w:eastAsia="宋体" w:cs="宋体"/>
          <w:color w:val="auto"/>
          <w:spacing w:val="15"/>
          <w:kern w:val="2"/>
          <w:sz w:val="21"/>
          <w:szCs w:val="21"/>
          <w:highlight w:val="none"/>
        </w:rPr>
        <w:t>85、4</w:t>
      </w:r>
      <w:r>
        <w:rPr>
          <w:rFonts w:hint="eastAsia" w:ascii="宋体" w:hAnsi="宋体" w:eastAsia="宋体" w:cs="宋体"/>
          <w:color w:val="auto"/>
          <w:kern w:val="2"/>
          <w:sz w:val="21"/>
          <w:szCs w:val="21"/>
          <w:highlight w:val="none"/>
        </w:rPr>
        <w:t>G</w:t>
      </w:r>
      <w:r>
        <w:rPr>
          <w:rFonts w:hint="eastAsia" w:ascii="宋体" w:hAnsi="宋体" w:eastAsia="宋体" w:cs="宋体"/>
          <w:color w:val="auto"/>
          <w:kern w:val="2"/>
          <w:sz w:val="21"/>
          <w:szCs w:val="21"/>
          <w:highlight w:val="none"/>
          <w:lang w:val="en-US" w:eastAsia="zh-CN"/>
        </w:rPr>
        <w:t>通讯模块</w:t>
      </w:r>
      <w:r>
        <w:rPr>
          <w:rFonts w:hint="eastAsia" w:ascii="宋体" w:hAnsi="宋体" w:eastAsia="宋体" w:cs="宋体"/>
          <w:color w:val="auto"/>
          <w:kern w:val="2"/>
          <w:sz w:val="21"/>
          <w:szCs w:val="21"/>
          <w:highlight w:val="none"/>
        </w:rPr>
        <w:t>通讯，项目通电并网后</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w:t>
      </w:r>
      <w:r>
        <w:rPr>
          <w:rFonts w:hint="eastAsia" w:ascii="宋体" w:hAnsi="宋体" w:eastAsia="宋体" w:cs="宋体"/>
          <w:color w:val="auto"/>
          <w:kern w:val="2"/>
          <w:sz w:val="21"/>
          <w:szCs w:val="21"/>
          <w:highlight w:val="none"/>
          <w:lang w:val="en-US" w:eastAsia="zh-CN"/>
        </w:rPr>
        <w:t>必须</w:t>
      </w:r>
      <w:r>
        <w:rPr>
          <w:rFonts w:hint="eastAsia" w:ascii="宋体" w:hAnsi="宋体" w:eastAsia="宋体" w:cs="宋体"/>
          <w:color w:val="auto"/>
          <w:kern w:val="2"/>
          <w:sz w:val="21"/>
          <w:szCs w:val="21"/>
          <w:highlight w:val="none"/>
        </w:rPr>
        <w:t>负责</w:t>
      </w:r>
      <w:r>
        <w:rPr>
          <w:rFonts w:hint="eastAsia" w:ascii="宋体" w:hAnsi="宋体" w:eastAsia="宋体" w:cs="宋体"/>
          <w:color w:val="auto"/>
          <w:kern w:val="2"/>
          <w:sz w:val="21"/>
          <w:szCs w:val="21"/>
          <w:highlight w:val="none"/>
          <w:lang w:val="en-US" w:eastAsia="zh-CN"/>
        </w:rPr>
        <w:t>为运营部门运维人员</w:t>
      </w:r>
      <w:r>
        <w:rPr>
          <w:rFonts w:hint="eastAsia" w:ascii="宋体" w:hAnsi="宋体" w:eastAsia="宋体" w:cs="宋体"/>
          <w:color w:val="auto"/>
          <w:kern w:val="2"/>
          <w:sz w:val="21"/>
          <w:szCs w:val="21"/>
          <w:highlight w:val="none"/>
        </w:rPr>
        <w:t>注册APP监控软件，并将光伏电站现场实时监测数据联通传送至东莞新锋光伏能源科技有限公司数据控制中心PC端，实现集中监控。</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并网逆变器的设计与配置必须满足南网及</w:t>
      </w:r>
      <w:r>
        <w:rPr>
          <w:rFonts w:hint="eastAsia" w:ascii="宋体" w:hAnsi="宋体" w:eastAsia="宋体" w:cs="宋体"/>
          <w:color w:val="auto"/>
          <w:kern w:val="2"/>
          <w:sz w:val="21"/>
          <w:szCs w:val="21"/>
          <w:highlight w:val="none"/>
        </w:rPr>
        <w:t>当地供电部门</w:t>
      </w:r>
      <w:r>
        <w:rPr>
          <w:rFonts w:hint="eastAsia" w:ascii="宋体" w:hAnsi="宋体" w:eastAsia="宋体" w:cs="宋体"/>
          <w:color w:val="auto"/>
          <w:kern w:val="2"/>
          <w:sz w:val="21"/>
          <w:szCs w:val="21"/>
          <w:highlight w:val="none"/>
          <w:lang w:val="en-US" w:eastAsia="zh-CN"/>
        </w:rPr>
        <w:t>对</w:t>
      </w:r>
      <w:r>
        <w:rPr>
          <w:rFonts w:hint="eastAsia" w:ascii="宋体" w:hAnsi="宋体" w:eastAsia="宋体" w:cs="宋体"/>
          <w:color w:val="auto"/>
          <w:kern w:val="2"/>
          <w:sz w:val="21"/>
          <w:szCs w:val="21"/>
          <w:highlight w:val="none"/>
        </w:rPr>
        <w:t>分布式光伏发电</w:t>
      </w:r>
      <w:r>
        <w:rPr>
          <w:rFonts w:hint="eastAsia" w:ascii="宋体" w:hAnsi="宋体" w:eastAsia="宋体" w:cs="宋体"/>
          <w:color w:val="auto"/>
          <w:kern w:val="2"/>
          <w:sz w:val="21"/>
          <w:szCs w:val="21"/>
          <w:highlight w:val="none"/>
          <w:lang w:val="en-US" w:eastAsia="zh-CN"/>
        </w:rPr>
        <w:t>项目并网所</w:t>
      </w:r>
      <w:r>
        <w:rPr>
          <w:rFonts w:hint="eastAsia" w:ascii="宋体" w:hAnsi="宋体" w:eastAsia="宋体" w:cs="宋体"/>
          <w:color w:val="auto"/>
          <w:kern w:val="2"/>
          <w:sz w:val="21"/>
          <w:szCs w:val="21"/>
          <w:highlight w:val="none"/>
        </w:rPr>
        <w:t>具备</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b/>
          <w:bCs/>
          <w:color w:val="auto"/>
          <w:kern w:val="2"/>
          <w:sz w:val="21"/>
          <w:szCs w:val="21"/>
          <w:highlight w:val="none"/>
        </w:rPr>
        <w:t>“四可”</w:t>
      </w:r>
      <w:r>
        <w:rPr>
          <w:rFonts w:hint="eastAsia" w:ascii="宋体" w:hAnsi="宋体" w:eastAsia="宋体" w:cs="宋体"/>
          <w:color w:val="auto"/>
          <w:kern w:val="2"/>
          <w:sz w:val="21"/>
          <w:szCs w:val="21"/>
          <w:highlight w:val="none"/>
        </w:rPr>
        <w:t>（可观、可测、可调、可控）能力</w:t>
      </w:r>
      <w:r>
        <w:rPr>
          <w:rFonts w:hint="eastAsia" w:ascii="宋体" w:hAnsi="宋体" w:eastAsia="宋体" w:cs="宋体"/>
          <w:color w:val="auto"/>
          <w:kern w:val="2"/>
          <w:sz w:val="21"/>
          <w:szCs w:val="21"/>
          <w:highlight w:val="none"/>
          <w:lang w:val="en-US" w:eastAsia="zh-CN"/>
        </w:rPr>
        <w:t>的要求</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color w:val="auto"/>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13</w:t>
      </w:r>
      <w:r>
        <w:rPr>
          <w:rFonts w:hint="eastAsia" w:ascii="宋体" w:hAnsi="宋体" w:eastAsia="宋体" w:cs="宋体"/>
          <w:color w:val="auto"/>
          <w:kern w:val="2"/>
          <w:sz w:val="21"/>
          <w:szCs w:val="21"/>
          <w:highlight w:val="none"/>
        </w:rPr>
        <w:t>）并网逆变器</w:t>
      </w:r>
      <w:r>
        <w:rPr>
          <w:rFonts w:hint="eastAsia" w:ascii="宋体" w:hAnsi="宋体" w:eastAsia="宋体" w:cs="宋体"/>
          <w:color w:val="auto"/>
          <w:kern w:val="2"/>
          <w:sz w:val="21"/>
          <w:szCs w:val="21"/>
          <w:highlight w:val="none"/>
          <w:lang w:val="en-US" w:eastAsia="zh-CN"/>
        </w:rPr>
        <w:t>安装完毕后贴上附有“东莞能源”LOGO的标签</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14</w:t>
      </w:r>
      <w:r>
        <w:rPr>
          <w:rFonts w:hint="eastAsia" w:ascii="宋体" w:hAnsi="宋体" w:eastAsia="宋体" w:cs="宋体"/>
          <w:color w:val="auto"/>
          <w:kern w:val="2"/>
          <w:sz w:val="21"/>
          <w:szCs w:val="21"/>
          <w:highlight w:val="none"/>
        </w:rPr>
        <w:t>）并网逆变器推荐厂家品牌：</w:t>
      </w:r>
      <w:r>
        <w:rPr>
          <w:rFonts w:hint="eastAsia" w:ascii="宋体" w:hAnsi="宋体" w:eastAsia="宋体" w:cs="宋体"/>
          <w:color w:val="auto"/>
          <w:kern w:val="2"/>
          <w:sz w:val="21"/>
          <w:szCs w:val="21"/>
          <w:highlight w:val="none"/>
          <w:lang w:val="en-US" w:eastAsia="zh-CN"/>
        </w:rPr>
        <w:t>优先考虑</w:t>
      </w:r>
      <w:r>
        <w:rPr>
          <w:rFonts w:hint="eastAsia" w:ascii="宋体" w:hAnsi="宋体" w:eastAsia="宋体" w:cs="宋体"/>
          <w:color w:val="auto"/>
          <w:kern w:val="2"/>
          <w:sz w:val="21"/>
          <w:szCs w:val="21"/>
          <w:highlight w:val="none"/>
        </w:rPr>
        <w:t>华为、阳光电源与古瑞瓦特或具备同等质量的品牌。</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5.交流汇流箱技术要求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（2）电气元件应使用国际国内知名品牌，汇流箱与电气元件均具备国内3C认证。</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（3）内置漏电保护和浪涌保护，采用交直II级防雷保护，整体符合国家相关标准。</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（4）箱体的防护等级不低于IP65，适合户外安装，满足防水、防尘、防紫外线、防盐雾、耐腐蚀等，安装位置干燥、通风良好。</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（5）箱体采用冷扎钢板制作，钢板的厚度≥1.5mm，经过静电喷塑处理，内部全部的金属结构都需经过防腐处理，内外表面平整、光洁，无锈蚀、涂层脱落和磕碰损伤现象。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（6）箱体内部结构具有足够的机械强度，保证元器件安装后及操作时无摇晃、不变形；元器件安装走线应整齐、可靠、合理布置；电器间绝缘应符合国家有关标准，进出线必须通过接线端子。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（7）箱体内应该针对接入的设备及线路，拥有明显的电气开断元件，能够确保检修时能够逐级断开系统，每个汇流箱必须给出一次及二次接线图。</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（8）为避免烈日暴晒或雨淋，交流汇流箱须安装遮阳棚</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遮阳棚尺寸超出汇流箱正面、侧面各0.5m，背部增加挡雨板（靠墙安装不需要）</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交流汇流箱</w:t>
      </w:r>
      <w:r>
        <w:rPr>
          <w:rFonts w:hint="eastAsia" w:ascii="宋体" w:hAnsi="宋体" w:eastAsia="宋体" w:cs="宋体"/>
          <w:color w:val="auto"/>
          <w:kern w:val="2"/>
          <w:sz w:val="21"/>
          <w:szCs w:val="21"/>
          <w:highlight w:val="none"/>
        </w:rPr>
        <w:t>的布置要留有足够的空间</w:t>
      </w:r>
      <w:r>
        <w:rPr>
          <w:rFonts w:hint="eastAsia" w:ascii="宋体" w:hAnsi="宋体" w:eastAsia="宋体" w:cs="宋体"/>
          <w:color w:val="auto"/>
          <w:kern w:val="2"/>
          <w:sz w:val="21"/>
          <w:szCs w:val="21"/>
          <w:highlight w:val="none"/>
          <w:lang w:val="en-US" w:eastAsia="zh-CN"/>
        </w:rPr>
        <w:t>同时离地安装高度要合适，以便运维操作</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color w:val="auto"/>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交流汇流箱安装完毕后贴上附有“东莞能源”LOGO的标签</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（11）开关、真空断路器推荐厂家品牌：常熟、良信、上海人民或同等及以上的品牌。</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6.光伏并网柜技术要求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并网柜与电气元件均具备国内3C认证。</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并网柜具备被动孤岛检测、有压自动重合闸、失压</w:t>
      </w:r>
      <w:r>
        <w:rPr>
          <w:rFonts w:hint="eastAsia" w:ascii="宋体" w:hAnsi="宋体" w:eastAsia="宋体" w:cs="宋体"/>
          <w:color w:val="auto"/>
          <w:kern w:val="2"/>
          <w:sz w:val="21"/>
          <w:szCs w:val="21"/>
          <w:highlight w:val="none"/>
          <w:lang w:val="en-US" w:eastAsia="zh-CN"/>
        </w:rPr>
        <w:t>脱扣</w:t>
      </w:r>
      <w:r>
        <w:rPr>
          <w:rFonts w:hint="eastAsia" w:ascii="宋体" w:hAnsi="宋体" w:eastAsia="宋体" w:cs="宋体"/>
          <w:color w:val="auto"/>
          <w:kern w:val="2"/>
          <w:sz w:val="21"/>
          <w:szCs w:val="21"/>
          <w:highlight w:val="none"/>
        </w:rPr>
        <w:t>、过欠压保护、过电流保护、防雷保护、短路保护、高低频保护、防孤岛保护等基本功能，</w:t>
      </w:r>
      <w:r>
        <w:rPr>
          <w:rFonts w:hint="eastAsia" w:ascii="宋体" w:hAnsi="宋体" w:eastAsia="宋体" w:cs="宋体"/>
          <w:color w:val="auto"/>
          <w:kern w:val="2"/>
          <w:sz w:val="21"/>
          <w:szCs w:val="21"/>
          <w:highlight w:val="none"/>
          <w:lang w:val="en-US" w:eastAsia="zh-CN"/>
        </w:rPr>
        <w:t>同时需要加装电气连锁</w:t>
      </w:r>
      <w:r>
        <w:rPr>
          <w:rFonts w:hint="eastAsia" w:ascii="宋体" w:hAnsi="宋体" w:eastAsia="宋体" w:cs="宋体"/>
          <w:color w:val="auto"/>
          <w:kern w:val="2"/>
          <w:sz w:val="21"/>
          <w:szCs w:val="21"/>
          <w:highlight w:val="none"/>
        </w:rPr>
        <w:t>。若当地供电部门要求，还需配置逆功率保护。</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并网柜</w:t>
      </w:r>
      <w:r>
        <w:rPr>
          <w:rFonts w:hint="eastAsia" w:ascii="宋体" w:hAnsi="宋体" w:eastAsia="宋体" w:cs="宋体"/>
          <w:color w:val="auto"/>
          <w:kern w:val="2"/>
          <w:sz w:val="21"/>
          <w:szCs w:val="21"/>
          <w:highlight w:val="none"/>
          <w:lang w:val="en-US" w:eastAsia="zh-CN"/>
        </w:rPr>
        <w:t>的设计与配置必须满足南网及</w:t>
      </w:r>
      <w:r>
        <w:rPr>
          <w:rFonts w:hint="eastAsia" w:ascii="宋体" w:hAnsi="宋体" w:eastAsia="宋体" w:cs="宋体"/>
          <w:color w:val="auto"/>
          <w:kern w:val="2"/>
          <w:sz w:val="21"/>
          <w:szCs w:val="21"/>
          <w:highlight w:val="none"/>
        </w:rPr>
        <w:t>当地供电部门</w:t>
      </w:r>
      <w:r>
        <w:rPr>
          <w:rFonts w:hint="eastAsia" w:ascii="宋体" w:hAnsi="宋体" w:eastAsia="宋体" w:cs="宋体"/>
          <w:color w:val="auto"/>
          <w:kern w:val="2"/>
          <w:sz w:val="21"/>
          <w:szCs w:val="21"/>
          <w:highlight w:val="none"/>
          <w:lang w:val="en-US" w:eastAsia="zh-CN"/>
        </w:rPr>
        <w:t>对</w:t>
      </w:r>
      <w:r>
        <w:rPr>
          <w:rFonts w:hint="eastAsia" w:ascii="宋体" w:hAnsi="宋体" w:eastAsia="宋体" w:cs="宋体"/>
          <w:color w:val="auto"/>
          <w:kern w:val="2"/>
          <w:sz w:val="21"/>
          <w:szCs w:val="21"/>
          <w:highlight w:val="none"/>
        </w:rPr>
        <w:t>分布式光伏发电</w:t>
      </w:r>
      <w:r>
        <w:rPr>
          <w:rFonts w:hint="eastAsia" w:ascii="宋体" w:hAnsi="宋体" w:eastAsia="宋体" w:cs="宋体"/>
          <w:color w:val="auto"/>
          <w:kern w:val="2"/>
          <w:sz w:val="21"/>
          <w:szCs w:val="21"/>
          <w:highlight w:val="none"/>
          <w:lang w:val="en-US" w:eastAsia="zh-CN"/>
        </w:rPr>
        <w:t>项目并网所</w:t>
      </w:r>
      <w:r>
        <w:rPr>
          <w:rFonts w:hint="eastAsia" w:ascii="宋体" w:hAnsi="宋体" w:eastAsia="宋体" w:cs="宋体"/>
          <w:color w:val="auto"/>
          <w:kern w:val="2"/>
          <w:sz w:val="21"/>
          <w:szCs w:val="21"/>
          <w:highlight w:val="none"/>
        </w:rPr>
        <w:t>具备</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b/>
          <w:bCs/>
          <w:color w:val="auto"/>
          <w:kern w:val="2"/>
          <w:sz w:val="21"/>
          <w:szCs w:val="21"/>
          <w:highlight w:val="none"/>
        </w:rPr>
        <w:t>“四可”</w:t>
      </w:r>
      <w:r>
        <w:rPr>
          <w:rFonts w:hint="eastAsia" w:ascii="宋体" w:hAnsi="宋体" w:eastAsia="宋体" w:cs="宋体"/>
          <w:color w:val="auto"/>
          <w:kern w:val="2"/>
          <w:sz w:val="21"/>
          <w:szCs w:val="21"/>
          <w:highlight w:val="none"/>
        </w:rPr>
        <w:t>（可观、可测、可调、可控）能力</w:t>
      </w:r>
      <w:r>
        <w:rPr>
          <w:rFonts w:hint="eastAsia" w:ascii="宋体" w:hAnsi="宋体" w:eastAsia="宋体" w:cs="宋体"/>
          <w:color w:val="auto"/>
          <w:kern w:val="2"/>
          <w:sz w:val="21"/>
          <w:szCs w:val="21"/>
          <w:highlight w:val="none"/>
          <w:lang w:val="en-US" w:eastAsia="zh-CN"/>
        </w:rPr>
        <w:t>的要求</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）光伏并网柜</w:t>
      </w:r>
      <w:r>
        <w:rPr>
          <w:rFonts w:hint="eastAsia" w:ascii="宋体" w:hAnsi="宋体" w:eastAsia="宋体" w:cs="宋体"/>
          <w:color w:val="auto"/>
          <w:kern w:val="2"/>
          <w:sz w:val="21"/>
          <w:szCs w:val="21"/>
          <w:highlight w:val="none"/>
          <w:lang w:val="en-US" w:eastAsia="zh-CN"/>
        </w:rPr>
        <w:t>必须设置</w:t>
      </w:r>
      <w:r>
        <w:rPr>
          <w:rFonts w:hint="eastAsia" w:ascii="宋体" w:hAnsi="宋体" w:eastAsia="宋体" w:cs="宋体"/>
          <w:b/>
          <w:bCs/>
          <w:color w:val="auto"/>
          <w:kern w:val="2"/>
          <w:sz w:val="21"/>
          <w:szCs w:val="21"/>
          <w:highlight w:val="none"/>
          <w:lang w:val="en-US" w:eastAsia="zh-CN"/>
        </w:rPr>
        <w:t>隔离开关</w:t>
      </w:r>
      <w:r>
        <w:rPr>
          <w:rFonts w:hint="eastAsia" w:ascii="宋体" w:hAnsi="宋体" w:eastAsia="宋体" w:cs="宋体"/>
          <w:color w:val="auto"/>
          <w:kern w:val="2"/>
          <w:sz w:val="21"/>
          <w:szCs w:val="21"/>
          <w:highlight w:val="none"/>
          <w:lang w:val="en-US" w:eastAsia="zh-CN"/>
        </w:rPr>
        <w:t>（设在并网柜市电侧），用于检测断路器被动孤岛检测、有压自动重合闸、失压脱扣等功能</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color w:val="auto"/>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）光伏并网柜</w:t>
      </w:r>
      <w:r>
        <w:rPr>
          <w:rFonts w:hint="eastAsia" w:ascii="宋体" w:hAnsi="宋体" w:eastAsia="宋体" w:cs="宋体"/>
          <w:color w:val="auto"/>
          <w:kern w:val="2"/>
          <w:sz w:val="21"/>
          <w:szCs w:val="21"/>
          <w:highlight w:val="none"/>
          <w:lang w:val="en-US" w:eastAsia="zh-CN"/>
        </w:rPr>
        <w:t>必须设置</w:t>
      </w:r>
      <w:r>
        <w:rPr>
          <w:rFonts w:hint="eastAsia" w:ascii="宋体" w:hAnsi="宋体" w:eastAsia="宋体" w:cs="宋体"/>
          <w:b/>
          <w:bCs/>
          <w:color w:val="auto"/>
          <w:kern w:val="2"/>
          <w:sz w:val="21"/>
          <w:szCs w:val="21"/>
          <w:highlight w:val="none"/>
          <w:lang w:val="en-US" w:eastAsia="zh-CN"/>
        </w:rPr>
        <w:t>继电保护装置</w:t>
      </w:r>
      <w:r>
        <w:rPr>
          <w:rFonts w:hint="eastAsia" w:ascii="宋体" w:hAnsi="宋体" w:eastAsia="宋体" w:cs="宋体"/>
          <w:color w:val="auto"/>
          <w:kern w:val="2"/>
          <w:sz w:val="21"/>
          <w:szCs w:val="21"/>
          <w:highlight w:val="none"/>
          <w:lang w:val="en-US" w:eastAsia="zh-CN"/>
        </w:rPr>
        <w:t>，起到限流速断等作用</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光伏并网柜可以加装计量仓，计量仓带铅封装置，可以有效防止窃电。计量仓内可以安装计量装置和负控装置(一般当地供电局提供)，能很好的记录发电量情况，计量表具备双向计量功能，计量电表数据均接入到监控系统后台</w:t>
      </w:r>
      <w:r>
        <w:rPr>
          <w:rFonts w:hint="eastAsia" w:ascii="宋体" w:hAnsi="宋体" w:eastAsia="宋体" w:cs="宋体"/>
          <w:color w:val="auto"/>
          <w:kern w:val="2"/>
          <w:sz w:val="21"/>
          <w:szCs w:val="21"/>
          <w:highlight w:val="none"/>
          <w:lang w:eastAsia="zh-CN"/>
        </w:rPr>
        <w:t>，</w:t>
      </w:r>
      <w:r>
        <w:rPr>
          <w:rFonts w:hint="eastAsia" w:ascii="宋体" w:hAnsi="宋体" w:eastAsia="宋体" w:cs="宋体"/>
          <w:b/>
          <w:bCs/>
          <w:color w:val="auto"/>
          <w:kern w:val="2"/>
          <w:sz w:val="21"/>
          <w:szCs w:val="21"/>
          <w:highlight w:val="none"/>
          <w:lang w:eastAsia="zh-CN"/>
        </w:rPr>
        <w:t>注意计量仓观察窗口不得遮挡计量电表</w:t>
      </w:r>
      <w:r>
        <w:rPr>
          <w:rFonts w:hint="eastAsia" w:ascii="宋体" w:hAnsi="宋体" w:eastAsia="宋体" w:cs="宋体"/>
          <w:b/>
          <w:bCs/>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）柜体的防护等级不低于IP30，配电房内安装，柜型按照原有配电房开关柜定做，整体符合国家相关标准</w:t>
      </w:r>
      <w:r>
        <w:rPr>
          <w:rFonts w:hint="eastAsia" w:ascii="宋体" w:hAnsi="宋体" w:eastAsia="宋体" w:cs="宋体"/>
          <w:color w:val="auto"/>
          <w:kern w:val="2"/>
          <w:sz w:val="21"/>
          <w:szCs w:val="21"/>
          <w:highlight w:val="none"/>
          <w:lang w:val="en-US" w:eastAsia="zh-CN"/>
        </w:rPr>
        <w:t>并通过当地供电部门验收</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）光伏并网柜</w:t>
      </w:r>
      <w:r>
        <w:rPr>
          <w:rFonts w:hint="eastAsia" w:ascii="宋体" w:hAnsi="宋体" w:eastAsia="宋体" w:cs="宋体"/>
          <w:color w:val="auto"/>
          <w:kern w:val="2"/>
          <w:sz w:val="21"/>
          <w:szCs w:val="21"/>
          <w:highlight w:val="none"/>
          <w:lang w:val="en-US" w:eastAsia="zh-CN"/>
        </w:rPr>
        <w:t>必须加装</w:t>
      </w:r>
      <w:r>
        <w:rPr>
          <w:rFonts w:hint="eastAsia" w:ascii="宋体" w:hAnsi="宋体" w:eastAsia="宋体" w:cs="宋体"/>
          <w:b/>
          <w:bCs/>
          <w:color w:val="auto"/>
          <w:kern w:val="2"/>
          <w:sz w:val="21"/>
          <w:szCs w:val="21"/>
          <w:highlight w:val="none"/>
          <w:lang w:val="en-US" w:eastAsia="zh-CN"/>
        </w:rPr>
        <w:t>镀锌槽钢底座</w:t>
      </w:r>
      <w:r>
        <w:rPr>
          <w:rFonts w:hint="eastAsia" w:ascii="宋体" w:hAnsi="宋体" w:eastAsia="宋体" w:cs="宋体"/>
          <w:color w:val="auto"/>
          <w:kern w:val="2"/>
          <w:sz w:val="21"/>
          <w:szCs w:val="21"/>
          <w:highlight w:val="none"/>
          <w:lang w:val="en-US" w:eastAsia="zh-CN"/>
        </w:rPr>
        <w:t>，安装处必须</w:t>
      </w:r>
      <w:r>
        <w:rPr>
          <w:rFonts w:hint="eastAsia" w:ascii="宋体" w:hAnsi="宋体" w:eastAsia="宋体" w:cs="宋体"/>
          <w:color w:val="auto"/>
          <w:kern w:val="2"/>
          <w:sz w:val="21"/>
          <w:szCs w:val="21"/>
          <w:highlight w:val="none"/>
        </w:rPr>
        <w:t>留有足够的</w:t>
      </w:r>
      <w:r>
        <w:rPr>
          <w:rFonts w:hint="eastAsia" w:ascii="宋体" w:hAnsi="宋体" w:eastAsia="宋体" w:cs="宋体"/>
          <w:color w:val="auto"/>
          <w:kern w:val="2"/>
          <w:sz w:val="21"/>
          <w:szCs w:val="21"/>
          <w:highlight w:val="none"/>
          <w:lang w:val="en-US" w:eastAsia="zh-CN"/>
        </w:rPr>
        <w:t>运维检修</w:t>
      </w:r>
      <w:r>
        <w:rPr>
          <w:rFonts w:hint="eastAsia" w:ascii="宋体" w:hAnsi="宋体" w:eastAsia="宋体" w:cs="宋体"/>
          <w:color w:val="auto"/>
          <w:kern w:val="2"/>
          <w:sz w:val="21"/>
          <w:szCs w:val="21"/>
          <w:highlight w:val="none"/>
        </w:rPr>
        <w:t>空间</w:t>
      </w:r>
      <w:r>
        <w:rPr>
          <w:rFonts w:hint="eastAsia" w:ascii="宋体" w:hAnsi="宋体" w:eastAsia="宋体" w:cs="宋体"/>
          <w:color w:val="auto"/>
          <w:kern w:val="2"/>
          <w:sz w:val="21"/>
          <w:szCs w:val="21"/>
          <w:highlight w:val="none"/>
          <w:lang w:val="en-US" w:eastAsia="zh-CN"/>
        </w:rPr>
        <w:t>且光线充足，方便后期运维操作</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）柜体采用冷扎钢板制作，钢板的厚度≥1.5mm，经过静电喷塑处理，内部全部的金属结构都需经过防腐处理，内外表面平整、光洁，无锈蚀、涂层脱落和磕碰损伤现象。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）柜体内部结构具有足够的机械强度，保证元器件安装后及操作时无摇晃、不变形；元器件安装走线应整齐、可靠、合理布置；电器间绝缘应符合国家有关标准，进出线必须通过接线端子。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）光伏并网柜</w:t>
      </w:r>
      <w:r>
        <w:rPr>
          <w:rFonts w:hint="eastAsia" w:ascii="宋体" w:hAnsi="宋体" w:eastAsia="宋体" w:cs="宋体"/>
          <w:color w:val="auto"/>
          <w:kern w:val="2"/>
          <w:sz w:val="21"/>
          <w:szCs w:val="21"/>
          <w:highlight w:val="none"/>
          <w:lang w:val="en-US" w:eastAsia="zh-CN"/>
        </w:rPr>
        <w:t>每个</w:t>
      </w:r>
      <w:r>
        <w:rPr>
          <w:rFonts w:hint="eastAsia" w:ascii="宋体" w:hAnsi="宋体" w:eastAsia="宋体" w:cs="宋体"/>
          <w:color w:val="auto"/>
          <w:kern w:val="2"/>
          <w:sz w:val="21"/>
          <w:szCs w:val="21"/>
          <w:highlight w:val="none"/>
        </w:rPr>
        <w:t>光伏出线回路</w:t>
      </w:r>
      <w:r>
        <w:rPr>
          <w:rFonts w:hint="eastAsia" w:ascii="宋体" w:hAnsi="宋体" w:eastAsia="宋体" w:cs="宋体"/>
          <w:color w:val="auto"/>
          <w:kern w:val="2"/>
          <w:sz w:val="21"/>
          <w:szCs w:val="21"/>
          <w:highlight w:val="none"/>
          <w:lang w:val="en-US" w:eastAsia="zh-CN"/>
        </w:rPr>
        <w:t>需</w:t>
      </w:r>
      <w:r>
        <w:rPr>
          <w:rFonts w:hint="eastAsia" w:ascii="宋体" w:hAnsi="宋体" w:eastAsia="宋体" w:cs="宋体"/>
          <w:color w:val="auto"/>
          <w:kern w:val="2"/>
          <w:sz w:val="21"/>
          <w:szCs w:val="21"/>
          <w:highlight w:val="none"/>
        </w:rPr>
        <w:t>电流表、电压表。</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13</w:t>
      </w:r>
      <w:r>
        <w:rPr>
          <w:rFonts w:hint="eastAsia" w:ascii="宋体" w:hAnsi="宋体" w:eastAsia="宋体" w:cs="宋体"/>
          <w:color w:val="auto"/>
          <w:kern w:val="2"/>
          <w:sz w:val="21"/>
          <w:szCs w:val="21"/>
          <w:highlight w:val="none"/>
        </w:rPr>
        <w:t>）单个光伏并网柜并网容量是否能超过400kW请与</w:t>
      </w:r>
      <w:r>
        <w:rPr>
          <w:rFonts w:hint="eastAsia" w:ascii="宋体" w:hAnsi="宋体" w:eastAsia="宋体" w:cs="宋体"/>
          <w:color w:val="auto"/>
          <w:kern w:val="2"/>
          <w:sz w:val="21"/>
          <w:szCs w:val="21"/>
          <w:highlight w:val="none"/>
          <w:lang w:val="en-US" w:eastAsia="zh-CN"/>
        </w:rPr>
        <w:t>当地供电部门</w:t>
      </w:r>
      <w:r>
        <w:rPr>
          <w:rFonts w:hint="eastAsia" w:ascii="宋体" w:hAnsi="宋体" w:eastAsia="宋体" w:cs="宋体"/>
          <w:color w:val="auto"/>
          <w:kern w:val="2"/>
          <w:sz w:val="21"/>
          <w:szCs w:val="21"/>
          <w:highlight w:val="none"/>
        </w:rPr>
        <w:t>确认清楚</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当</w:t>
      </w:r>
      <w:r>
        <w:rPr>
          <w:rFonts w:hint="eastAsia" w:ascii="宋体" w:hAnsi="宋体" w:eastAsia="宋体" w:cs="宋体"/>
          <w:color w:val="auto"/>
          <w:kern w:val="2"/>
          <w:sz w:val="21"/>
          <w:szCs w:val="21"/>
          <w:highlight w:val="none"/>
        </w:rPr>
        <w:t>光伏并网柜并网容量超过</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00kW</w:t>
      </w:r>
      <w:r>
        <w:rPr>
          <w:rFonts w:hint="eastAsia" w:ascii="宋体" w:hAnsi="宋体" w:eastAsia="宋体" w:cs="宋体"/>
          <w:color w:val="auto"/>
          <w:kern w:val="2"/>
          <w:sz w:val="21"/>
          <w:szCs w:val="21"/>
          <w:highlight w:val="none"/>
          <w:lang w:val="en-US" w:eastAsia="zh-CN"/>
        </w:rPr>
        <w:t>时，除铜排拼柜外必须采用封闭式铜母线槽，严禁采用电缆</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14</w:t>
      </w:r>
      <w:r>
        <w:rPr>
          <w:rFonts w:hint="eastAsia" w:ascii="宋体" w:hAnsi="宋体" w:eastAsia="宋体" w:cs="宋体"/>
          <w:color w:val="auto"/>
          <w:kern w:val="2"/>
          <w:sz w:val="21"/>
          <w:szCs w:val="21"/>
          <w:highlight w:val="none"/>
        </w:rPr>
        <w:t>）柜体内应该针对接入的设备及线路，拥有明显的电气开断元件，能够确保检修时能够逐级断开系统，每个</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并网柜必须给出一次及二次接线图。</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）有光伏系统接入的配电房需配置含有光伏并网柜的电力系统图版。</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所有电气设备安装完成后，应进行电气交接试验，并形成记录</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Times New Roman"/>
          <w:b w:val="0"/>
          <w:bCs w:val="0"/>
          <w:color w:val="auto"/>
          <w:kern w:val="2"/>
          <w:sz w:val="21"/>
          <w:szCs w:val="24"/>
          <w:highlight w:val="none"/>
        </w:rPr>
        <w:t>光伏并网柜</w:t>
      </w:r>
      <w:r>
        <w:rPr>
          <w:rFonts w:hint="eastAsia" w:ascii="宋体" w:hAnsi="宋体" w:eastAsia="宋体" w:cs="宋体"/>
          <w:color w:val="auto"/>
          <w:kern w:val="2"/>
          <w:sz w:val="21"/>
          <w:szCs w:val="21"/>
          <w:highlight w:val="none"/>
          <w:lang w:val="en-US" w:eastAsia="zh-CN"/>
        </w:rPr>
        <w:t>安装完毕后贴上附有“东莞能源”LOGO的标签</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18</w:t>
      </w:r>
      <w:r>
        <w:rPr>
          <w:rFonts w:hint="eastAsia" w:ascii="宋体" w:hAnsi="宋体" w:eastAsia="宋体" w:cs="宋体"/>
          <w:color w:val="auto"/>
          <w:kern w:val="2"/>
          <w:sz w:val="21"/>
          <w:szCs w:val="21"/>
          <w:highlight w:val="none"/>
        </w:rPr>
        <w:t>）项目进行停电、并网作业时，</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应通知并网柜厂家技术人员到场，防止项目由于并网柜设备参数设置问题无法按时并网。</w:t>
      </w:r>
    </w:p>
    <w:p>
      <w:pPr>
        <w:widowControl w:val="0"/>
        <w:wordWrap w:val="0"/>
        <w:adjustRightInd/>
        <w:snapToGrid/>
        <w:spacing w:after="0" w:line="288" w:lineRule="auto"/>
        <w:ind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（19）开关、真空断路器推荐厂家品牌：常熟、良信、上海人民或具备同等质量的品牌</w:t>
      </w:r>
      <w:r>
        <w:rPr>
          <w:rFonts w:hint="eastAsia" w:ascii="宋体" w:hAnsi="宋体" w:eastAsia="宋体" w:cs="宋体"/>
          <w:b w:val="0"/>
          <w:bCs w:val="0"/>
          <w:color w:val="auto"/>
          <w:kern w:val="2"/>
          <w:sz w:val="21"/>
          <w:szCs w:val="21"/>
          <w:highlight w:val="none"/>
          <w:lang w:val="en-US" w:eastAsia="zh-CN" w:bidi="ar-SA"/>
        </w:rPr>
        <w:t>。</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rPr>
        <w:t>7.</w:t>
      </w:r>
      <w:r>
        <w:rPr>
          <w:rFonts w:hint="eastAsia" w:ascii="宋体" w:hAnsi="宋体" w:eastAsia="宋体" w:cs="Times New Roman"/>
          <w:b/>
          <w:bCs/>
          <w:color w:val="auto"/>
          <w:kern w:val="2"/>
          <w:sz w:val="21"/>
          <w:szCs w:val="24"/>
          <w:highlight w:val="none"/>
          <w:lang w:val="en-US" w:eastAsia="zh-CN"/>
        </w:rPr>
        <w:t>直流</w:t>
      </w:r>
      <w:r>
        <w:rPr>
          <w:rFonts w:hint="eastAsia" w:ascii="宋体" w:hAnsi="宋体" w:eastAsia="宋体" w:cs="Times New Roman"/>
          <w:b/>
          <w:bCs/>
          <w:color w:val="auto"/>
          <w:kern w:val="2"/>
          <w:sz w:val="21"/>
          <w:szCs w:val="24"/>
          <w:highlight w:val="none"/>
        </w:rPr>
        <w:t>电缆</w:t>
      </w:r>
      <w:r>
        <w:rPr>
          <w:rFonts w:hint="eastAsia" w:ascii="宋体" w:hAnsi="宋体" w:eastAsia="宋体" w:cs="Times New Roman"/>
          <w:b/>
          <w:bCs/>
          <w:color w:val="auto"/>
          <w:kern w:val="2"/>
          <w:sz w:val="21"/>
          <w:szCs w:val="24"/>
          <w:highlight w:val="none"/>
          <w:lang w:eastAsia="zh-CN"/>
        </w:rPr>
        <w:t>、</w:t>
      </w:r>
      <w:r>
        <w:rPr>
          <w:rFonts w:hint="eastAsia" w:ascii="宋体" w:hAnsi="宋体" w:eastAsia="宋体" w:cs="Times New Roman"/>
          <w:b/>
          <w:bCs/>
          <w:color w:val="auto"/>
          <w:kern w:val="2"/>
          <w:sz w:val="21"/>
          <w:szCs w:val="24"/>
          <w:highlight w:val="none"/>
          <w:lang w:val="en-US" w:eastAsia="zh-CN"/>
        </w:rPr>
        <w:t>交流电缆</w:t>
      </w:r>
      <w:r>
        <w:rPr>
          <w:rFonts w:hint="eastAsia" w:ascii="宋体" w:hAnsi="宋体" w:eastAsia="宋体" w:cs="Times New Roman"/>
          <w:b/>
          <w:bCs/>
          <w:color w:val="auto"/>
          <w:kern w:val="2"/>
          <w:sz w:val="21"/>
          <w:szCs w:val="24"/>
          <w:highlight w:val="none"/>
        </w:rPr>
        <w:t>技术要求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（1）本项目涉及的所有</w:t>
      </w:r>
      <w:r>
        <w:rPr>
          <w:rFonts w:hint="eastAsia" w:ascii="宋体" w:hAnsi="宋体" w:eastAsia="宋体" w:cs="宋体"/>
          <w:color w:val="auto"/>
          <w:kern w:val="2"/>
          <w:sz w:val="21"/>
          <w:szCs w:val="21"/>
          <w:highlight w:val="none"/>
          <w:lang w:val="en-US" w:eastAsia="zh-CN"/>
        </w:rPr>
        <w:t>线</w:t>
      </w:r>
      <w:r>
        <w:rPr>
          <w:rFonts w:hint="eastAsia" w:ascii="宋体" w:hAnsi="宋体" w:eastAsia="宋体" w:cs="宋体"/>
          <w:color w:val="auto"/>
          <w:kern w:val="2"/>
          <w:sz w:val="21"/>
          <w:szCs w:val="21"/>
          <w:highlight w:val="none"/>
        </w:rPr>
        <w:t>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包含但不限于直流电缆、交流电缆、电源线、信号线等</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均属投标单位</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范围。</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）直流侧电缆要以减少线损并防止外界干扰的原则选型，选用双绝缘防紫外线阻燃铜芯光伏专用电缆，电缆性能符合GB/T18950-2003性能测试的要求；交流侧需要考虑敷设的形式和安全来选择，采用</w:t>
      </w:r>
      <w:r>
        <w:rPr>
          <w:rFonts w:hint="eastAsia" w:ascii="宋体" w:hAnsi="宋体" w:eastAsia="宋体" w:cs="宋体"/>
          <w:color w:val="auto"/>
          <w:kern w:val="2"/>
          <w:sz w:val="21"/>
          <w:szCs w:val="21"/>
          <w:highlight w:val="none"/>
          <w:lang w:val="en-US" w:eastAsia="zh-CN"/>
        </w:rPr>
        <w:t>5芯</w:t>
      </w:r>
      <w:r>
        <w:rPr>
          <w:rFonts w:hint="eastAsia" w:ascii="宋体" w:hAnsi="宋体" w:eastAsia="宋体" w:cs="宋体"/>
          <w:color w:val="auto"/>
          <w:kern w:val="2"/>
          <w:sz w:val="21"/>
          <w:szCs w:val="21"/>
          <w:highlight w:val="none"/>
        </w:rPr>
        <w:t>阻燃</w:t>
      </w:r>
      <w:r>
        <w:rPr>
          <w:rFonts w:hint="eastAsia" w:ascii="宋体" w:hAnsi="宋体" w:eastAsia="宋体" w:cs="宋体"/>
          <w:color w:val="auto"/>
          <w:kern w:val="2"/>
          <w:sz w:val="21"/>
          <w:szCs w:val="21"/>
          <w:highlight w:val="none"/>
          <w:lang w:val="en-US" w:eastAsia="zh-CN"/>
        </w:rPr>
        <w:t>绝缘护套</w:t>
      </w:r>
      <w:r>
        <w:rPr>
          <w:rFonts w:hint="eastAsia" w:ascii="宋体" w:hAnsi="宋体" w:eastAsia="宋体" w:cs="宋体"/>
          <w:color w:val="auto"/>
          <w:kern w:val="2"/>
          <w:sz w:val="21"/>
          <w:szCs w:val="21"/>
          <w:highlight w:val="none"/>
        </w:rPr>
        <w:t>铜芯电缆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若</w:t>
      </w:r>
      <w:r>
        <w:rPr>
          <w:rFonts w:hint="eastAsia" w:ascii="宋体" w:hAnsi="宋体" w:eastAsia="宋体" w:cs="宋体"/>
          <w:b/>
          <w:bCs/>
          <w:color w:val="auto"/>
          <w:kern w:val="2"/>
          <w:sz w:val="21"/>
          <w:szCs w:val="21"/>
          <w:highlight w:val="none"/>
          <w:lang w:val="en-US" w:eastAsia="zh-CN"/>
        </w:rPr>
        <w:t>项目涉及埋管电缆须采用铠装</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）直流部分和交流低压部分的总线路损耗应控制在2%以内。</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）光伏线缆MC4插头制作应严格按规范进行，所有</w:t>
      </w:r>
      <w:r>
        <w:rPr>
          <w:rFonts w:hint="eastAsia" w:ascii="宋体" w:hAnsi="宋体" w:eastAsia="宋体" w:cs="宋体"/>
          <w:color w:val="auto"/>
          <w:kern w:val="2"/>
          <w:sz w:val="21"/>
          <w:szCs w:val="21"/>
          <w:highlight w:val="none"/>
          <w:lang w:val="en-US" w:eastAsia="zh-CN"/>
        </w:rPr>
        <w:t>直流</w:t>
      </w:r>
      <w:r>
        <w:rPr>
          <w:rFonts w:hint="eastAsia" w:ascii="宋体" w:hAnsi="宋体" w:eastAsia="宋体" w:cs="宋体"/>
          <w:color w:val="auto"/>
          <w:kern w:val="2"/>
          <w:sz w:val="21"/>
          <w:szCs w:val="21"/>
          <w:highlight w:val="none"/>
        </w:rPr>
        <w:t>电缆</w:t>
      </w:r>
      <w:r>
        <w:rPr>
          <w:rFonts w:hint="eastAsia" w:ascii="宋体" w:hAnsi="宋体" w:eastAsia="宋体" w:cs="宋体"/>
          <w:color w:val="auto"/>
          <w:kern w:val="2"/>
          <w:sz w:val="21"/>
          <w:szCs w:val="21"/>
          <w:highlight w:val="none"/>
          <w:lang w:val="en-US" w:eastAsia="zh-CN"/>
        </w:rPr>
        <w:t>做好套管或其他防护措施，防止直流</w:t>
      </w:r>
      <w:r>
        <w:rPr>
          <w:rFonts w:hint="eastAsia" w:ascii="宋体" w:hAnsi="宋体" w:eastAsia="宋体" w:cs="宋体"/>
          <w:color w:val="auto"/>
          <w:kern w:val="2"/>
          <w:sz w:val="21"/>
          <w:szCs w:val="21"/>
          <w:highlight w:val="none"/>
        </w:rPr>
        <w:t>电缆裸</w:t>
      </w:r>
      <w:r>
        <w:rPr>
          <w:rFonts w:hint="eastAsia" w:ascii="宋体" w:hAnsi="宋体" w:eastAsia="宋体" w:cs="宋体"/>
          <w:color w:val="auto"/>
          <w:kern w:val="2"/>
          <w:sz w:val="21"/>
          <w:szCs w:val="21"/>
          <w:highlight w:val="none"/>
          <w:lang w:val="en-US" w:eastAsia="zh-CN"/>
        </w:rPr>
        <w:t>露</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交直流电缆、</w:t>
      </w:r>
      <w:r>
        <w:rPr>
          <w:rFonts w:hint="eastAsia" w:ascii="宋体" w:hAnsi="宋体" w:eastAsia="宋体" w:cs="宋体"/>
          <w:color w:val="auto"/>
          <w:kern w:val="2"/>
          <w:sz w:val="21"/>
          <w:szCs w:val="21"/>
          <w:highlight w:val="none"/>
        </w:rPr>
        <w:t>配线</w:t>
      </w:r>
      <w:r>
        <w:rPr>
          <w:rFonts w:hint="eastAsia" w:ascii="宋体" w:hAnsi="宋体" w:eastAsia="宋体" w:cs="宋体"/>
          <w:color w:val="auto"/>
          <w:kern w:val="2"/>
          <w:sz w:val="21"/>
          <w:szCs w:val="21"/>
          <w:highlight w:val="none"/>
          <w:lang w:val="en-US" w:eastAsia="zh-CN"/>
        </w:rPr>
        <w:t>线管和桥架</w:t>
      </w:r>
      <w:r>
        <w:rPr>
          <w:rFonts w:hint="eastAsia" w:ascii="宋体" w:hAnsi="宋体" w:eastAsia="宋体" w:cs="宋体"/>
          <w:color w:val="auto"/>
          <w:kern w:val="2"/>
          <w:sz w:val="21"/>
          <w:szCs w:val="21"/>
          <w:highlight w:val="none"/>
        </w:rPr>
        <w:t>在建筑物</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光伏棚结构</w:t>
      </w:r>
      <w:r>
        <w:rPr>
          <w:rFonts w:hint="eastAsia" w:ascii="宋体" w:hAnsi="宋体" w:eastAsia="宋体" w:cs="宋体"/>
          <w:color w:val="auto"/>
          <w:kern w:val="2"/>
          <w:sz w:val="21"/>
          <w:szCs w:val="21"/>
          <w:highlight w:val="none"/>
        </w:rPr>
        <w:t>上的布置应美观，与整个建筑</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棚架</w:t>
      </w:r>
      <w:r>
        <w:rPr>
          <w:rFonts w:hint="eastAsia" w:ascii="宋体" w:hAnsi="宋体" w:eastAsia="宋体" w:cs="宋体"/>
          <w:color w:val="auto"/>
          <w:kern w:val="2"/>
          <w:sz w:val="21"/>
          <w:szCs w:val="21"/>
          <w:highlight w:val="none"/>
        </w:rPr>
        <w:t>协调一致，布线应隐蔽，从底部不能明显的看到线缆。各方阵的线缆便于连接，并有足够的强度，线缆连接附件应防水、抗老化。</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）各类线缆通过TUV、UL、VDE 认证，能满足室外30年的使用年限。</w:t>
      </w:r>
    </w:p>
    <w:p>
      <w:pPr>
        <w:widowControl w:val="0"/>
        <w:wordWrap w:val="0"/>
        <w:adjustRightInd/>
        <w:snapToGrid/>
        <w:spacing w:after="0" w:line="288" w:lineRule="auto"/>
        <w:ind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（7）所有线缆敷设完成后，应进行直流电阻、绝缘电阻、直流耐压/交流耐压试验，并形成记录。</w:t>
      </w:r>
    </w:p>
    <w:p>
      <w:pPr>
        <w:widowControl w:val="0"/>
        <w:wordWrap w:val="0"/>
        <w:adjustRightInd/>
        <w:snapToGrid/>
        <w:spacing w:after="0" w:line="288" w:lineRule="auto"/>
        <w:ind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（8）交直流电缆设计标好型号规格及长度，留有转弯、电缆头等预留长度，满足实际敷设需求。</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lang w:val="en-US" w:eastAsia="zh-CN"/>
        </w:rPr>
        <w:t>（9）交直流电缆推荐厂家品牌：东佳信、成天泰、南洋、新亚、金牌、民兴或具备同等质量的品牌</w:t>
      </w:r>
      <w:r>
        <w:rPr>
          <w:rFonts w:hint="eastAsia" w:ascii="宋体" w:hAnsi="宋体" w:eastAsia="宋体" w:cs="宋体"/>
          <w:b w:val="0"/>
          <w:bCs w:val="0"/>
          <w:color w:val="auto"/>
          <w:kern w:val="2"/>
          <w:sz w:val="21"/>
          <w:szCs w:val="21"/>
          <w:highlight w:val="none"/>
          <w:lang w:val="en-US" w:eastAsia="zh-CN" w:bidi="ar-SA"/>
        </w:rPr>
        <w:t>。</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lang w:val="en-US" w:eastAsia="zh-CN"/>
        </w:rPr>
        <w:t>8</w:t>
      </w:r>
      <w:r>
        <w:rPr>
          <w:rFonts w:hint="eastAsia" w:ascii="宋体" w:hAnsi="宋体" w:eastAsia="宋体" w:cs="Times New Roman"/>
          <w:b/>
          <w:bCs/>
          <w:color w:val="auto"/>
          <w:kern w:val="2"/>
          <w:sz w:val="21"/>
          <w:szCs w:val="24"/>
          <w:highlight w:val="none"/>
        </w:rPr>
        <w:t>.电缆桥架</w:t>
      </w:r>
      <w:r>
        <w:rPr>
          <w:rFonts w:hint="eastAsia" w:ascii="宋体" w:hAnsi="宋体" w:eastAsia="宋体" w:cs="Times New Roman"/>
          <w:b/>
          <w:bCs/>
          <w:color w:val="auto"/>
          <w:kern w:val="2"/>
          <w:sz w:val="21"/>
          <w:szCs w:val="24"/>
          <w:highlight w:val="none"/>
          <w:lang w:eastAsia="zh-CN"/>
        </w:rPr>
        <w:t>、</w:t>
      </w:r>
      <w:r>
        <w:rPr>
          <w:rFonts w:hint="eastAsia" w:ascii="宋体" w:hAnsi="宋体" w:eastAsia="宋体" w:cs="Times New Roman"/>
          <w:b/>
          <w:bCs/>
          <w:color w:val="auto"/>
          <w:kern w:val="2"/>
          <w:sz w:val="21"/>
          <w:szCs w:val="24"/>
          <w:highlight w:val="none"/>
          <w:lang w:val="en-US" w:eastAsia="zh-CN"/>
        </w:rPr>
        <w:t>电缆管道</w:t>
      </w:r>
      <w:r>
        <w:rPr>
          <w:rFonts w:hint="eastAsia" w:ascii="宋体" w:hAnsi="宋体" w:eastAsia="宋体" w:cs="Times New Roman"/>
          <w:b/>
          <w:bCs/>
          <w:color w:val="auto"/>
          <w:kern w:val="2"/>
          <w:sz w:val="21"/>
          <w:szCs w:val="24"/>
          <w:highlight w:val="none"/>
        </w:rPr>
        <w:t>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（1）本项目涉及的所有电缆走廊</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包含但不限于电缆桥架、破复路面开挖埋管、顶管、电缆井等</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均属投标单位</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范围。</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（2）所有电缆桥架必须采用</w:t>
      </w:r>
      <w:r>
        <w:rPr>
          <w:rFonts w:hint="eastAsia" w:ascii="宋体" w:hAnsi="宋体" w:eastAsia="宋体" w:cs="宋体"/>
          <w:b/>
          <w:bCs/>
          <w:color w:val="auto"/>
          <w:kern w:val="2"/>
          <w:sz w:val="21"/>
          <w:szCs w:val="21"/>
          <w:highlight w:val="none"/>
          <w:lang w:val="en-US" w:eastAsia="zh-CN"/>
        </w:rPr>
        <w:t>锌铝镁槽式桥架</w:t>
      </w:r>
      <w:r>
        <w:rPr>
          <w:rFonts w:hint="eastAsia" w:ascii="宋体" w:hAnsi="宋体" w:eastAsia="宋体" w:cs="宋体"/>
          <w:color w:val="auto"/>
          <w:kern w:val="2"/>
          <w:sz w:val="21"/>
          <w:szCs w:val="21"/>
          <w:highlight w:val="none"/>
        </w:rPr>
        <w:t>，壁厚不少于国标要求，每隔一定距离（支架间距不大于1500mm）必须加装镀锌金属托架（抱箍）固定并做好防锈处理，避免桥架上下部分变形与移位。桥架结合处用非自攻螺钉连接，所有联接件为</w:t>
      </w:r>
      <w:r>
        <w:rPr>
          <w:rFonts w:hint="eastAsia" w:ascii="宋体" w:hAnsi="宋体" w:eastAsia="宋体" w:cs="宋体"/>
          <w:color w:val="auto"/>
          <w:kern w:val="2"/>
          <w:sz w:val="21"/>
          <w:szCs w:val="21"/>
          <w:highlight w:val="none"/>
          <w:lang w:val="en-US" w:eastAsia="zh-CN"/>
        </w:rPr>
        <w:t>镀锌</w:t>
      </w:r>
      <w:r>
        <w:rPr>
          <w:rFonts w:hint="eastAsia" w:ascii="宋体" w:hAnsi="宋体" w:eastAsia="宋体" w:cs="宋体"/>
          <w:color w:val="auto"/>
          <w:kern w:val="2"/>
          <w:sz w:val="21"/>
          <w:szCs w:val="21"/>
          <w:highlight w:val="none"/>
        </w:rPr>
        <w:t>材料</w:t>
      </w:r>
      <w:r>
        <w:rPr>
          <w:rFonts w:hint="eastAsia" w:ascii="宋体" w:hAnsi="宋体" w:eastAsia="宋体" w:cs="宋体"/>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eastAsia="zh-CN"/>
        </w:rPr>
        <w:t>安装螺栓选用不锈钢304及以上材质</w:t>
      </w:r>
      <w:r>
        <w:rPr>
          <w:rFonts w:hint="eastAsia" w:ascii="宋体" w:hAnsi="宋体" w:eastAsia="宋体" w:cs="宋体"/>
          <w:color w:val="auto"/>
          <w:kern w:val="2"/>
          <w:sz w:val="21"/>
          <w:szCs w:val="21"/>
          <w:highlight w:val="none"/>
        </w:rPr>
        <w:t>。所有电缆桥架均密闭，不能看到电缆及接头外露，且保证桥架内的通风、散热，电缆在桥架里占的空间不超过40%。</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）桥架与桥架之间必须用不少于4mm2的铜线绝缘接地线跨接</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重点注意桥架地线跨接不可连在连接件处</w:t>
      </w:r>
      <w:r>
        <w:rPr>
          <w:rFonts w:hint="eastAsia" w:ascii="宋体" w:hAnsi="宋体" w:eastAsia="宋体" w:cs="宋体"/>
          <w:color w:val="auto"/>
          <w:kern w:val="2"/>
          <w:sz w:val="21"/>
          <w:szCs w:val="21"/>
          <w:highlight w:val="none"/>
          <w:lang w:eastAsia="zh-CN"/>
        </w:rPr>
        <w:t>；</w:t>
      </w:r>
    </w:p>
    <w:p>
      <w:pPr>
        <w:widowControl w:val="0"/>
        <w:wordWrap w:val="0"/>
        <w:adjustRightInd/>
        <w:snapToGrid/>
        <w:spacing w:after="0" w:line="288" w:lineRule="auto"/>
        <w:ind w:firstLine="420" w:firstLineChars="200"/>
        <w:jc w:val="both"/>
        <w:rPr>
          <w:rFonts w:hint="eastAsia"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）汇流箱和</w:t>
      </w:r>
      <w:r>
        <w:rPr>
          <w:rFonts w:hint="eastAsia" w:ascii="宋体" w:hAnsi="宋体" w:eastAsia="宋体" w:cs="宋体"/>
          <w:color w:val="auto"/>
          <w:kern w:val="2"/>
          <w:sz w:val="21"/>
          <w:szCs w:val="21"/>
          <w:highlight w:val="none"/>
          <w:lang w:val="en-US" w:eastAsia="zh-CN"/>
        </w:rPr>
        <w:t>并网</w:t>
      </w:r>
      <w:r>
        <w:rPr>
          <w:rFonts w:hint="eastAsia" w:ascii="宋体" w:hAnsi="宋体" w:eastAsia="宋体" w:cs="宋体"/>
          <w:color w:val="auto"/>
          <w:kern w:val="2"/>
          <w:sz w:val="21"/>
          <w:szCs w:val="21"/>
          <w:highlight w:val="none"/>
        </w:rPr>
        <w:t>逆变器线缆进出线也需考虑转弯半径，预留操作空间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w:t>
      </w:r>
      <w:r>
        <w:rPr>
          <w:rFonts w:hint="eastAsia" w:ascii="宋体" w:hAnsi="宋体" w:eastAsia="宋体" w:cs="宋体"/>
          <w:color w:val="auto"/>
          <w:kern w:val="2"/>
          <w:sz w:val="21"/>
          <w:szCs w:val="21"/>
          <w:highlight w:val="none"/>
          <w:lang w:eastAsia="zh-CN"/>
        </w:rPr>
        <w:t>PVC管进入桥架</w:t>
      </w:r>
      <w:r>
        <w:rPr>
          <w:rFonts w:hint="eastAsia" w:ascii="宋体" w:hAnsi="宋体" w:eastAsia="宋体" w:cs="宋体"/>
          <w:b/>
          <w:bCs/>
          <w:color w:val="auto"/>
          <w:kern w:val="2"/>
          <w:sz w:val="21"/>
          <w:szCs w:val="21"/>
          <w:highlight w:val="none"/>
          <w:lang w:eastAsia="zh-CN"/>
        </w:rPr>
        <w:t>采用杯梳固定</w:t>
      </w:r>
      <w:r>
        <w:rPr>
          <w:rFonts w:hint="eastAsia" w:ascii="宋体" w:hAnsi="宋体" w:eastAsia="宋体" w:cs="宋体"/>
          <w:color w:val="auto"/>
          <w:kern w:val="2"/>
          <w:sz w:val="21"/>
          <w:szCs w:val="21"/>
          <w:highlight w:val="none"/>
          <w:lang w:eastAsia="zh-CN"/>
        </w:rPr>
        <w:t>，电缆进入桥架请做好保护</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）所有电缆</w:t>
      </w:r>
      <w:r>
        <w:rPr>
          <w:rFonts w:hint="eastAsia" w:ascii="宋体" w:hAnsi="宋体" w:eastAsia="宋体" w:cs="宋体"/>
          <w:color w:val="auto"/>
          <w:kern w:val="2"/>
          <w:sz w:val="21"/>
          <w:szCs w:val="21"/>
          <w:highlight w:val="none"/>
          <w:lang w:val="en-US" w:eastAsia="zh-CN"/>
        </w:rPr>
        <w:t>管道</w:t>
      </w:r>
      <w:r>
        <w:rPr>
          <w:rFonts w:hint="eastAsia" w:ascii="宋体" w:hAnsi="宋体" w:eastAsia="宋体" w:cs="宋体"/>
          <w:color w:val="auto"/>
          <w:kern w:val="2"/>
          <w:sz w:val="21"/>
          <w:szCs w:val="21"/>
          <w:highlight w:val="none"/>
        </w:rPr>
        <w:t>均采用</w:t>
      </w:r>
      <w:r>
        <w:rPr>
          <w:rFonts w:hint="eastAsia" w:ascii="宋体" w:hAnsi="宋体" w:eastAsia="宋体" w:cs="宋体"/>
          <w:color w:val="auto"/>
          <w:kern w:val="2"/>
          <w:sz w:val="21"/>
          <w:szCs w:val="21"/>
          <w:highlight w:val="none"/>
          <w:lang w:val="en-US" w:eastAsia="zh-CN"/>
        </w:rPr>
        <w:t>套电缆保护管埋管</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严禁采用电缆直埋，</w:t>
      </w:r>
      <w:r>
        <w:rPr>
          <w:rFonts w:hint="eastAsia" w:ascii="宋体" w:hAnsi="宋体" w:eastAsia="宋体" w:cs="宋体"/>
          <w:color w:val="auto"/>
          <w:kern w:val="2"/>
          <w:sz w:val="21"/>
          <w:szCs w:val="21"/>
          <w:highlight w:val="none"/>
        </w:rPr>
        <w:t>所有</w:t>
      </w:r>
      <w:r>
        <w:rPr>
          <w:rFonts w:hint="eastAsia" w:ascii="宋体" w:hAnsi="宋体" w:eastAsia="宋体" w:cs="宋体"/>
          <w:color w:val="auto"/>
          <w:kern w:val="2"/>
          <w:sz w:val="21"/>
          <w:szCs w:val="21"/>
          <w:highlight w:val="none"/>
          <w:lang w:val="en-US" w:eastAsia="zh-CN"/>
        </w:rPr>
        <w:t>电缆保护管</w:t>
      </w:r>
      <w:r>
        <w:rPr>
          <w:rFonts w:hint="eastAsia" w:ascii="宋体" w:hAnsi="宋体" w:eastAsia="宋体" w:cs="宋体"/>
          <w:color w:val="auto"/>
          <w:kern w:val="2"/>
          <w:sz w:val="21"/>
          <w:szCs w:val="21"/>
          <w:highlight w:val="none"/>
        </w:rPr>
        <w:t>应采用HDPE管，</w:t>
      </w:r>
      <w:r>
        <w:rPr>
          <w:rFonts w:hint="eastAsia" w:ascii="宋体" w:hAnsi="宋体" w:eastAsia="宋体" w:cs="宋体"/>
          <w:color w:val="auto"/>
          <w:kern w:val="2"/>
          <w:sz w:val="21"/>
          <w:szCs w:val="21"/>
          <w:highlight w:val="none"/>
          <w:lang w:val="en-US" w:eastAsia="zh-CN"/>
        </w:rPr>
        <w:t>管道直径不低于电缆直径1.5倍，增加</w:t>
      </w:r>
      <w:r>
        <w:rPr>
          <w:rFonts w:hint="eastAsia" w:ascii="宋体" w:hAnsi="宋体" w:eastAsia="宋体" w:cs="宋体"/>
          <w:color w:val="auto"/>
          <w:kern w:val="2"/>
          <w:sz w:val="21"/>
          <w:szCs w:val="21"/>
          <w:highlight w:val="none"/>
        </w:rPr>
        <w:t>C15混凝土垫层</w:t>
      </w:r>
      <w:r>
        <w:rPr>
          <w:rFonts w:hint="eastAsia" w:ascii="宋体" w:hAnsi="宋体" w:eastAsia="宋体" w:cs="宋体"/>
          <w:color w:val="auto"/>
          <w:kern w:val="2"/>
          <w:sz w:val="21"/>
          <w:szCs w:val="21"/>
          <w:highlight w:val="none"/>
          <w:lang w:val="en-US" w:eastAsia="zh-CN"/>
        </w:rPr>
        <w:t>并进行混凝土包封，按C30</w:t>
      </w:r>
      <w:r>
        <w:rPr>
          <w:rFonts w:hint="eastAsia" w:ascii="宋体" w:hAnsi="宋体" w:eastAsia="宋体" w:cs="宋体"/>
          <w:color w:val="auto"/>
          <w:kern w:val="2"/>
          <w:sz w:val="21"/>
          <w:szCs w:val="21"/>
          <w:highlight w:val="none"/>
        </w:rPr>
        <w:t>混凝土</w:t>
      </w:r>
      <w:r>
        <w:rPr>
          <w:rFonts w:hint="eastAsia" w:ascii="宋体" w:hAnsi="宋体" w:eastAsia="宋体" w:cs="宋体"/>
          <w:color w:val="auto"/>
          <w:kern w:val="2"/>
          <w:sz w:val="21"/>
          <w:szCs w:val="21"/>
          <w:highlight w:val="none"/>
          <w:lang w:val="en-US" w:eastAsia="zh-CN"/>
        </w:rPr>
        <w:t>进行路面恢复至与路面平齐，管道每隔50米和转弯处设电缆井，每隔15米左右设置电缆标志牌</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）所有</w:t>
      </w:r>
      <w:r>
        <w:rPr>
          <w:rFonts w:hint="eastAsia" w:ascii="宋体" w:hAnsi="宋体" w:eastAsia="宋体" w:cs="宋体"/>
          <w:color w:val="auto"/>
          <w:kern w:val="2"/>
          <w:sz w:val="21"/>
          <w:szCs w:val="21"/>
          <w:highlight w:val="none"/>
          <w:lang w:val="en-US" w:eastAsia="zh-CN"/>
        </w:rPr>
        <w:t>电缆井四周需预埋镀锌角铁包边，内空深度不低于600mm，且电缆井内具备排水措施，以防止积水，井盖板统一采用预制镀锌包边砼盖板并设置电缆标志牌</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位于经常有车辆出入得场所，所有电缆管道、电缆井应按行车标准进行设计并安装（有车辆经过的道路电缆井盖厚度不少得于150mm）</w:t>
      </w:r>
      <w:r>
        <w:rPr>
          <w:rFonts w:hint="eastAsia" w:ascii="宋体" w:hAnsi="宋体" w:eastAsia="宋体" w:cs="宋体"/>
          <w:color w:val="auto"/>
          <w:kern w:val="2"/>
          <w:sz w:val="21"/>
          <w:szCs w:val="21"/>
          <w:highlight w:val="none"/>
        </w:rPr>
        <w:t>。</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lang w:val="en-US" w:eastAsia="zh-CN"/>
        </w:rPr>
        <w:t>9</w:t>
      </w:r>
      <w:r>
        <w:rPr>
          <w:rFonts w:hint="eastAsia" w:ascii="宋体" w:hAnsi="宋体" w:eastAsia="宋体" w:cs="Times New Roman"/>
          <w:b/>
          <w:bCs/>
          <w:color w:val="auto"/>
          <w:kern w:val="2"/>
          <w:sz w:val="21"/>
          <w:szCs w:val="24"/>
          <w:highlight w:val="none"/>
        </w:rPr>
        <w:t>.防雷系统</w:t>
      </w:r>
      <w:r>
        <w:rPr>
          <w:rFonts w:hint="eastAsia" w:ascii="宋体" w:hAnsi="宋体" w:eastAsia="宋体" w:cs="Times New Roman"/>
          <w:b/>
          <w:bCs/>
          <w:color w:val="auto"/>
          <w:kern w:val="2"/>
          <w:sz w:val="21"/>
          <w:szCs w:val="24"/>
          <w:highlight w:val="none"/>
          <w:lang w:eastAsia="zh-CN"/>
        </w:rPr>
        <w:t>、</w:t>
      </w:r>
      <w:r>
        <w:rPr>
          <w:rFonts w:hint="eastAsia" w:ascii="宋体" w:hAnsi="宋体" w:eastAsia="宋体" w:cs="Times New Roman"/>
          <w:b/>
          <w:bCs/>
          <w:color w:val="auto"/>
          <w:kern w:val="2"/>
          <w:sz w:val="21"/>
          <w:szCs w:val="24"/>
          <w:highlight w:val="none"/>
          <w:lang w:val="en-US" w:eastAsia="zh-CN"/>
        </w:rPr>
        <w:t>接地</w:t>
      </w:r>
      <w:r>
        <w:rPr>
          <w:rFonts w:hint="eastAsia" w:ascii="宋体" w:hAnsi="宋体" w:eastAsia="宋体" w:cs="Times New Roman"/>
          <w:b/>
          <w:bCs/>
          <w:color w:val="auto"/>
          <w:kern w:val="2"/>
          <w:sz w:val="21"/>
          <w:szCs w:val="24"/>
          <w:highlight w:val="none"/>
        </w:rPr>
        <w:t>系统技术要求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（1）光伏系统</w:t>
      </w:r>
      <w:r>
        <w:rPr>
          <w:rFonts w:hint="eastAsia" w:ascii="宋体" w:hAnsi="宋体" w:eastAsia="宋体" w:cs="宋体"/>
          <w:color w:val="auto"/>
          <w:kern w:val="2"/>
          <w:sz w:val="21"/>
          <w:szCs w:val="21"/>
          <w:highlight w:val="none"/>
          <w:lang w:val="en-US" w:eastAsia="zh-CN"/>
        </w:rPr>
        <w:t>应独立</w:t>
      </w:r>
      <w:r>
        <w:rPr>
          <w:rFonts w:hint="eastAsia" w:ascii="宋体" w:hAnsi="宋体" w:eastAsia="宋体" w:cs="宋体"/>
          <w:color w:val="auto"/>
          <w:kern w:val="2"/>
          <w:sz w:val="21"/>
          <w:szCs w:val="21"/>
          <w:highlight w:val="none"/>
        </w:rPr>
        <w:t>设计</w:t>
      </w:r>
      <w:r>
        <w:rPr>
          <w:rFonts w:hint="eastAsia" w:ascii="宋体" w:hAnsi="宋体" w:eastAsia="宋体" w:cs="宋体"/>
          <w:color w:val="auto"/>
          <w:kern w:val="2"/>
          <w:sz w:val="21"/>
          <w:szCs w:val="21"/>
          <w:highlight w:val="none"/>
          <w:lang w:val="en-US" w:eastAsia="zh-CN"/>
        </w:rPr>
        <w:t>防雷接地系统</w:t>
      </w:r>
      <w:r>
        <w:rPr>
          <w:rFonts w:hint="eastAsia" w:ascii="宋体" w:hAnsi="宋体" w:eastAsia="宋体" w:cs="宋体"/>
          <w:color w:val="auto"/>
          <w:kern w:val="2"/>
          <w:sz w:val="21"/>
          <w:szCs w:val="21"/>
          <w:highlight w:val="none"/>
        </w:rPr>
        <w:t>,满足雷电防护分区、分级确定的防雷等级要求。各连接点的连接电阻应小于4Ω。接地网的制作应符合国家相关规范要求。屋顶必须有等电位接地地网作为接地连接。</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（2）提供的并网逆变器安全可靠，能确保25年内有效防止光伏组件PID现象的发生。</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（3）带边框的光伏组件防雷接地要牢靠，并网逆变器将外壳可靠接地，避雷扁</w:t>
      </w:r>
      <w:r>
        <w:rPr>
          <w:rFonts w:hint="eastAsia" w:ascii="宋体" w:hAnsi="宋体" w:eastAsia="宋体" w:cs="宋体"/>
          <w:color w:val="auto"/>
          <w:kern w:val="2"/>
          <w:sz w:val="21"/>
          <w:szCs w:val="21"/>
          <w:highlight w:val="none"/>
          <w:lang w:val="en-US" w:eastAsia="zh-CN"/>
        </w:rPr>
        <w:t>铁</w:t>
      </w:r>
      <w:r>
        <w:rPr>
          <w:rFonts w:hint="eastAsia" w:ascii="宋体" w:hAnsi="宋体" w:eastAsia="宋体" w:cs="宋体"/>
          <w:color w:val="auto"/>
          <w:kern w:val="2"/>
          <w:sz w:val="21"/>
          <w:szCs w:val="21"/>
          <w:highlight w:val="none"/>
        </w:rPr>
        <w:t>、接地线及接地级要符合规范要求，保障每年防雷接地检测合格。</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屋面至地面段</w:t>
      </w:r>
      <w:r>
        <w:rPr>
          <w:rFonts w:hint="eastAsia" w:ascii="宋体" w:hAnsi="宋体" w:eastAsia="宋体" w:cs="宋体"/>
          <w:color w:val="auto"/>
          <w:kern w:val="2"/>
          <w:sz w:val="21"/>
          <w:szCs w:val="21"/>
          <w:highlight w:val="none"/>
        </w:rPr>
        <w:t>避雷</w:t>
      </w:r>
      <w:r>
        <w:rPr>
          <w:rFonts w:hint="eastAsia" w:ascii="宋体" w:hAnsi="宋体" w:eastAsia="宋体" w:cs="宋体"/>
          <w:color w:val="auto"/>
          <w:kern w:val="2"/>
          <w:sz w:val="21"/>
          <w:szCs w:val="21"/>
          <w:highlight w:val="none"/>
          <w:lang w:val="en-US" w:eastAsia="zh-CN"/>
        </w:rPr>
        <w:t>接地网统一采用40×4热镀锌扁钢，连接处严禁采用螺栓固定，接地引下线处2m采用线槽进行包装，避免行人触碰；</w:t>
      </w:r>
      <w:r>
        <w:rPr>
          <w:rFonts w:hint="eastAsia" w:ascii="宋体" w:hAnsi="宋体" w:eastAsia="宋体" w:cs="宋体"/>
          <w:b/>
          <w:bCs/>
          <w:color w:val="auto"/>
          <w:kern w:val="2"/>
          <w:sz w:val="21"/>
          <w:szCs w:val="21"/>
          <w:highlight w:val="none"/>
          <w:lang w:val="en-US" w:eastAsia="zh-CN"/>
        </w:rPr>
        <w:t>垂直</w:t>
      </w:r>
      <w:r>
        <w:rPr>
          <w:rFonts w:hint="eastAsia" w:ascii="宋体" w:hAnsi="宋体" w:eastAsia="宋体" w:cs="宋体"/>
          <w:b/>
          <w:bCs/>
          <w:color w:val="auto"/>
          <w:kern w:val="2"/>
          <w:sz w:val="21"/>
          <w:szCs w:val="21"/>
          <w:highlight w:val="none"/>
        </w:rPr>
        <w:t>接地</w:t>
      </w:r>
      <w:r>
        <w:rPr>
          <w:rFonts w:hint="eastAsia" w:ascii="宋体" w:hAnsi="宋体" w:eastAsia="宋体" w:cs="宋体"/>
          <w:b/>
          <w:bCs/>
          <w:color w:val="auto"/>
          <w:kern w:val="2"/>
          <w:sz w:val="21"/>
          <w:szCs w:val="21"/>
          <w:highlight w:val="none"/>
          <w:lang w:val="en-US" w:eastAsia="zh-CN"/>
        </w:rPr>
        <w:t>极统一采用锥式石墨烯</w:t>
      </w:r>
      <w:r>
        <w:rPr>
          <w:rFonts w:hint="eastAsia" w:ascii="宋体" w:hAnsi="宋体" w:eastAsia="宋体" w:cs="宋体"/>
          <w:b/>
          <w:bCs/>
          <w:color w:val="auto"/>
          <w:kern w:val="2"/>
          <w:sz w:val="21"/>
          <w:szCs w:val="21"/>
          <w:highlight w:val="none"/>
        </w:rPr>
        <w:t>接地</w:t>
      </w:r>
      <w:r>
        <w:rPr>
          <w:rFonts w:hint="eastAsia" w:ascii="宋体" w:hAnsi="宋体" w:eastAsia="宋体" w:cs="宋体"/>
          <w:b/>
          <w:bCs/>
          <w:color w:val="auto"/>
          <w:kern w:val="2"/>
          <w:sz w:val="21"/>
          <w:szCs w:val="21"/>
          <w:highlight w:val="none"/>
          <w:lang w:val="en-US" w:eastAsia="zh-CN"/>
        </w:rPr>
        <w:t>极</w:t>
      </w:r>
      <w:r>
        <w:rPr>
          <w:rFonts w:hint="eastAsia" w:ascii="宋体" w:hAnsi="宋体" w:eastAsia="宋体" w:cs="宋体"/>
          <w:color w:val="auto"/>
          <w:kern w:val="2"/>
          <w:sz w:val="21"/>
          <w:szCs w:val="21"/>
          <w:highlight w:val="none"/>
          <w:lang w:val="en-US" w:eastAsia="zh-CN"/>
        </w:rPr>
        <w:t>，埋地深度不少于1.5m，数量不少于3根，间隔不少于5m</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）光伏组件与光伏组件之间做好</w:t>
      </w:r>
      <w:r>
        <w:rPr>
          <w:rFonts w:hint="eastAsia" w:ascii="宋体" w:hAnsi="宋体" w:eastAsia="宋体" w:cs="宋体"/>
          <w:b/>
          <w:bCs/>
          <w:color w:val="auto"/>
          <w:kern w:val="2"/>
          <w:sz w:val="21"/>
          <w:szCs w:val="21"/>
          <w:highlight w:val="none"/>
        </w:rPr>
        <w:t>防雷</w:t>
      </w:r>
      <w:r>
        <w:rPr>
          <w:rFonts w:hint="eastAsia" w:ascii="宋体" w:hAnsi="宋体" w:eastAsia="宋体" w:cs="宋体"/>
          <w:b/>
          <w:bCs/>
          <w:color w:val="auto"/>
          <w:kern w:val="2"/>
          <w:sz w:val="21"/>
          <w:szCs w:val="21"/>
          <w:highlight w:val="none"/>
          <w:lang w:val="en-US" w:eastAsia="zh-CN"/>
        </w:rPr>
        <w:t>穿刺垫片</w:t>
      </w:r>
      <w:r>
        <w:rPr>
          <w:rFonts w:hint="eastAsia" w:ascii="宋体" w:hAnsi="宋体" w:eastAsia="宋体" w:cs="宋体"/>
          <w:b w:val="0"/>
          <w:bCs w:val="0"/>
          <w:color w:val="auto"/>
          <w:kern w:val="2"/>
          <w:sz w:val="21"/>
          <w:szCs w:val="21"/>
          <w:highlight w:val="none"/>
          <w:lang w:val="en-US" w:eastAsia="zh-CN"/>
        </w:rPr>
        <w:t>（不锈钢304材质）</w:t>
      </w:r>
      <w:r>
        <w:rPr>
          <w:rFonts w:hint="eastAsia" w:ascii="宋体" w:hAnsi="宋体" w:eastAsia="宋体" w:cs="宋体"/>
          <w:color w:val="auto"/>
          <w:kern w:val="2"/>
          <w:sz w:val="21"/>
          <w:szCs w:val="21"/>
          <w:highlight w:val="none"/>
          <w:lang w:val="en-US" w:eastAsia="zh-CN"/>
        </w:rPr>
        <w:t>接地跨接</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color w:val="auto"/>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）光伏组件与导轨</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排水槽</w:t>
      </w:r>
      <w:r>
        <w:rPr>
          <w:rFonts w:hint="eastAsia" w:ascii="宋体" w:hAnsi="宋体" w:eastAsia="宋体" w:cs="宋体"/>
          <w:color w:val="auto"/>
          <w:kern w:val="2"/>
          <w:sz w:val="21"/>
          <w:szCs w:val="21"/>
          <w:highlight w:val="none"/>
        </w:rPr>
        <w:t>之间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排水槽与光伏结构棚架之间、桥架与桥架之间</w:t>
      </w:r>
      <w:r>
        <w:rPr>
          <w:rFonts w:hint="eastAsia" w:ascii="宋体" w:hAnsi="宋体" w:eastAsia="宋体" w:cs="宋体"/>
          <w:color w:val="auto"/>
          <w:kern w:val="2"/>
          <w:sz w:val="21"/>
          <w:szCs w:val="21"/>
          <w:highlight w:val="none"/>
        </w:rPr>
        <w:t>做好</w:t>
      </w:r>
      <w:r>
        <w:rPr>
          <w:rFonts w:hint="eastAsia" w:ascii="宋体" w:hAnsi="宋体" w:eastAsia="宋体" w:cs="宋体"/>
          <w:color w:val="auto"/>
          <w:kern w:val="2"/>
          <w:sz w:val="21"/>
          <w:szCs w:val="21"/>
          <w:highlight w:val="none"/>
          <w:lang w:val="en-US" w:eastAsia="zh-CN"/>
        </w:rPr>
        <w:t>不少于4mm2的铜线绝缘</w:t>
      </w:r>
      <w:r>
        <w:rPr>
          <w:rFonts w:hint="eastAsia" w:ascii="宋体" w:hAnsi="宋体" w:eastAsia="宋体" w:cs="宋体"/>
          <w:color w:val="auto"/>
          <w:kern w:val="2"/>
          <w:sz w:val="21"/>
          <w:szCs w:val="21"/>
          <w:highlight w:val="none"/>
        </w:rPr>
        <w:t>接地线</w:t>
      </w:r>
      <w:r>
        <w:rPr>
          <w:rFonts w:hint="eastAsia" w:ascii="宋体" w:hAnsi="宋体" w:eastAsia="宋体" w:cs="宋体"/>
          <w:color w:val="auto"/>
          <w:kern w:val="2"/>
          <w:sz w:val="21"/>
          <w:szCs w:val="21"/>
          <w:highlight w:val="none"/>
          <w:lang w:val="en-US" w:eastAsia="zh-CN"/>
        </w:rPr>
        <w:t>跨接</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等电位连接与接地。</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）光伏组件作为建筑一部分，本身要具备很好的防雷措施，与建筑物的防雷带</w:t>
      </w:r>
      <w:r>
        <w:rPr>
          <w:rFonts w:hint="eastAsia" w:ascii="宋体" w:hAnsi="宋体" w:eastAsia="宋体" w:cs="宋体"/>
          <w:color w:val="auto"/>
          <w:kern w:val="2"/>
          <w:sz w:val="21"/>
          <w:szCs w:val="21"/>
          <w:highlight w:val="none"/>
          <w:lang w:val="en-US" w:eastAsia="zh-CN"/>
        </w:rPr>
        <w:t>必须进行可靠连接（或与增设的防雷接闪网、接闪带可靠连接）</w:t>
      </w:r>
      <w:r>
        <w:rPr>
          <w:rFonts w:hint="eastAsia" w:ascii="宋体" w:hAnsi="宋体" w:eastAsia="宋体" w:cs="宋体"/>
          <w:color w:val="auto"/>
          <w:kern w:val="2"/>
          <w:sz w:val="21"/>
          <w:szCs w:val="21"/>
          <w:highlight w:val="none"/>
        </w:rPr>
        <w:t>。在并网逆变器、交流汇流箱，光伏并网柜都应该有分级别的防雷防浪涌保护模块，保护相关的电气设备和线路。</w:t>
      </w:r>
    </w:p>
    <w:p>
      <w:pPr>
        <w:widowControl w:val="0"/>
        <w:wordWrap w:val="0"/>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安装组件的屋面，必须设置接闪网、接闪带进行保护，并应在整个屋面组成不大于20m×20m或24 m×16m的网格。</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）防雷设施安装必须符合《建筑物防雷设计规范》GB50057</w:t>
      </w:r>
      <w:r>
        <w:rPr>
          <w:rFonts w:hint="eastAsia" w:ascii="宋体" w:hAnsi="宋体" w:eastAsia="宋体" w:cs="宋体"/>
          <w:color w:val="auto"/>
          <w:kern w:val="2"/>
          <w:sz w:val="21"/>
          <w:szCs w:val="21"/>
          <w:highlight w:val="none"/>
          <w:lang w:eastAsia="zh-CN"/>
        </w:rPr>
        <w:t>、《民用建筑电气设计标准》GB51348</w:t>
      </w:r>
      <w:r>
        <w:rPr>
          <w:rFonts w:hint="eastAsia" w:ascii="宋体" w:hAnsi="宋体" w:eastAsia="宋体" w:cs="宋体"/>
          <w:color w:val="auto"/>
          <w:kern w:val="2"/>
          <w:sz w:val="21"/>
          <w:szCs w:val="21"/>
          <w:highlight w:val="none"/>
        </w:rPr>
        <w:t>及国家相关规范要求。</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）彩钢瓦屋面要求在</w:t>
      </w:r>
      <w:r>
        <w:rPr>
          <w:rFonts w:hint="eastAsia" w:ascii="宋体" w:hAnsi="宋体" w:eastAsia="宋体" w:cs="宋体"/>
          <w:color w:val="auto"/>
          <w:kern w:val="2"/>
          <w:sz w:val="21"/>
          <w:szCs w:val="21"/>
          <w:highlight w:val="none"/>
          <w:lang w:val="en-US" w:eastAsia="zh-CN"/>
        </w:rPr>
        <w:t>焊接防雷网时</w:t>
      </w:r>
      <w:r>
        <w:rPr>
          <w:rFonts w:hint="eastAsia" w:ascii="宋体" w:hAnsi="宋体" w:eastAsia="宋体" w:cs="宋体"/>
          <w:color w:val="auto"/>
          <w:kern w:val="2"/>
          <w:sz w:val="21"/>
          <w:szCs w:val="21"/>
          <w:highlight w:val="none"/>
        </w:rPr>
        <w:t>，应在底部铺满防火隔热板，防止燃烧物溅落至彩钢瓦屋面，烧坏屋顶。</w:t>
      </w:r>
    </w:p>
    <w:p>
      <w:pPr>
        <w:widowControl w:val="0"/>
        <w:adjustRightInd/>
        <w:snapToGrid/>
        <w:spacing w:after="0" w:line="360" w:lineRule="auto"/>
        <w:jc w:val="both"/>
        <w:rPr>
          <w:rFonts w:ascii="宋体" w:hAnsi="宋体" w:eastAsia="宋体" w:cs="Times New Roman"/>
          <w:b/>
          <w:bCs/>
          <w:color w:val="auto"/>
          <w:kern w:val="2"/>
          <w:sz w:val="21"/>
          <w:szCs w:val="24"/>
          <w:highlight w:val="none"/>
        </w:rPr>
      </w:pPr>
      <w:r>
        <w:rPr>
          <w:rFonts w:hint="eastAsia" w:ascii="宋体" w:hAnsi="宋体" w:eastAsia="宋体" w:cs="Times New Roman"/>
          <w:b/>
          <w:bCs/>
          <w:color w:val="auto"/>
          <w:kern w:val="2"/>
          <w:sz w:val="21"/>
          <w:szCs w:val="24"/>
          <w:highlight w:val="none"/>
          <w:lang w:val="en-US" w:eastAsia="zh-CN"/>
        </w:rPr>
        <w:t>10</w:t>
      </w:r>
      <w:r>
        <w:rPr>
          <w:rFonts w:hint="eastAsia" w:ascii="宋体" w:hAnsi="宋体" w:eastAsia="宋体" w:cs="Times New Roman"/>
          <w:b/>
          <w:bCs/>
          <w:color w:val="auto"/>
          <w:kern w:val="2"/>
          <w:sz w:val="21"/>
          <w:szCs w:val="24"/>
          <w:highlight w:val="none"/>
        </w:rPr>
        <w:t>.视频监控系统技术要求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（1）投标单位提供整套光伏项目的智能型综合自动化系统，实时监测系统的运行情况；该系统集电站设备</w:t>
      </w:r>
      <w:r>
        <w:rPr>
          <w:rFonts w:hint="eastAsia" w:ascii="宋体" w:hAnsi="宋体" w:eastAsia="宋体" w:cs="宋体"/>
          <w:color w:val="auto"/>
          <w:kern w:val="2"/>
          <w:sz w:val="21"/>
          <w:szCs w:val="21"/>
          <w:highlight w:val="none"/>
          <w:lang w:val="en-US" w:eastAsia="zh-CN"/>
        </w:rPr>
        <w:t>视频</w:t>
      </w:r>
      <w:r>
        <w:rPr>
          <w:rFonts w:hint="eastAsia" w:ascii="宋体" w:hAnsi="宋体" w:eastAsia="宋体" w:cs="宋体"/>
          <w:color w:val="auto"/>
          <w:kern w:val="2"/>
          <w:sz w:val="21"/>
          <w:szCs w:val="21"/>
          <w:highlight w:val="none"/>
        </w:rPr>
        <w:t>监控、电站发电量整体分析、生产报表等于一体，使光伏电站实现安全、规范、高效、智能的运行，保证电站获得持续稳定的发电收益。本项目中系统监控管理由中标方提供，中标方负责安装调试及配合业主后期维护。</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视频监控</w:t>
      </w:r>
      <w:r>
        <w:rPr>
          <w:rFonts w:hint="eastAsia" w:ascii="宋体" w:hAnsi="宋体" w:eastAsia="宋体" w:cs="宋体"/>
          <w:color w:val="auto"/>
          <w:kern w:val="2"/>
          <w:sz w:val="21"/>
          <w:szCs w:val="21"/>
          <w:highlight w:val="none"/>
        </w:rPr>
        <w:t>采用高清光口网络摄像机加光口高速摄像机的模式，</w:t>
      </w:r>
      <w:r>
        <w:rPr>
          <w:rFonts w:hint="eastAsia" w:ascii="宋体" w:hAnsi="宋体" w:eastAsia="宋体" w:cs="宋体"/>
          <w:color w:val="auto"/>
          <w:kern w:val="2"/>
          <w:sz w:val="21"/>
          <w:szCs w:val="21"/>
          <w:highlight w:val="none"/>
          <w:lang w:val="en-US" w:eastAsia="zh-CN"/>
        </w:rPr>
        <w:t>投资方</w:t>
      </w:r>
      <w:r>
        <w:rPr>
          <w:rFonts w:hint="eastAsia" w:ascii="宋体" w:hAnsi="宋体" w:eastAsia="宋体" w:cs="宋体"/>
          <w:color w:val="auto"/>
          <w:kern w:val="2"/>
          <w:sz w:val="21"/>
          <w:szCs w:val="21"/>
          <w:highlight w:val="none"/>
        </w:rPr>
        <w:t>能通过投标单位提供的网络地址</w:t>
      </w:r>
      <w:r>
        <w:rPr>
          <w:rFonts w:hint="eastAsia" w:ascii="宋体" w:hAnsi="宋体" w:eastAsia="宋体" w:cs="宋体"/>
          <w:color w:val="auto"/>
          <w:kern w:val="2"/>
          <w:sz w:val="21"/>
          <w:szCs w:val="21"/>
          <w:highlight w:val="none"/>
          <w:lang w:val="en-US" w:eastAsia="zh-CN"/>
        </w:rPr>
        <w:t>或软件</w:t>
      </w:r>
      <w:r>
        <w:rPr>
          <w:rFonts w:hint="eastAsia" w:ascii="宋体" w:hAnsi="宋体" w:eastAsia="宋体" w:cs="宋体"/>
          <w:color w:val="auto"/>
          <w:kern w:val="2"/>
          <w:sz w:val="21"/>
          <w:szCs w:val="21"/>
          <w:highlight w:val="none"/>
        </w:rPr>
        <w:t>对</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电站</w:t>
      </w:r>
      <w:r>
        <w:rPr>
          <w:rFonts w:hint="eastAsia" w:ascii="宋体" w:hAnsi="宋体" w:eastAsia="宋体" w:cs="宋体"/>
          <w:color w:val="auto"/>
          <w:kern w:val="2"/>
          <w:sz w:val="21"/>
          <w:szCs w:val="21"/>
          <w:highlight w:val="none"/>
          <w:lang w:val="en-US" w:eastAsia="zh-CN"/>
        </w:rPr>
        <w:t>进行实时</w:t>
      </w:r>
      <w:r>
        <w:rPr>
          <w:rFonts w:hint="eastAsia" w:ascii="宋体" w:hAnsi="宋体" w:eastAsia="宋体" w:cs="宋体"/>
          <w:color w:val="auto"/>
          <w:kern w:val="2"/>
          <w:sz w:val="21"/>
          <w:szCs w:val="21"/>
          <w:highlight w:val="none"/>
        </w:rPr>
        <w:t>远程监控，图像分辨率达到1280*960以上，镜头变倍≥20 倍光学变焦，能够分辨出设备的外观及运行状态、识别出人员车辆等，防护等级要求达到IP67，TVS 8000V防雷、防浪涌、防突波，具有红外夜视功能，夜视距离≥150 米，使用先进的压缩编码技术，视频图像直接在前端进行压缩，通过网络传输回电站监控室，避免外界电磁场对图像的影响。</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视频监控</w:t>
      </w:r>
      <w:r>
        <w:rPr>
          <w:rFonts w:hint="eastAsia" w:ascii="宋体" w:hAnsi="宋体" w:eastAsia="宋体" w:cs="宋体"/>
          <w:color w:val="auto"/>
          <w:kern w:val="2"/>
          <w:sz w:val="21"/>
          <w:szCs w:val="21"/>
          <w:highlight w:val="none"/>
        </w:rPr>
        <w:t>系统既支持</w:t>
      </w:r>
      <w:r>
        <w:rPr>
          <w:rFonts w:hint="eastAsia" w:ascii="宋体" w:hAnsi="宋体" w:eastAsia="宋体" w:cs="宋体"/>
          <w:color w:val="auto"/>
          <w:kern w:val="2"/>
          <w:sz w:val="21"/>
          <w:szCs w:val="21"/>
          <w:highlight w:val="none"/>
          <w:lang w:val="en-US" w:eastAsia="zh-CN"/>
        </w:rPr>
        <w:t>光伏电</w:t>
      </w:r>
      <w:r>
        <w:rPr>
          <w:rFonts w:hint="eastAsia" w:ascii="宋体" w:hAnsi="宋体" w:eastAsia="宋体" w:cs="宋体"/>
          <w:color w:val="auto"/>
          <w:kern w:val="2"/>
          <w:sz w:val="21"/>
          <w:szCs w:val="21"/>
          <w:highlight w:val="none"/>
        </w:rPr>
        <w:t>站全景展示又能进行细节展示，对于重要设备还具有从多个摄像机进行多角度监视的功能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w:t>
      </w:r>
      <w:r>
        <w:rPr>
          <w:rFonts w:hint="eastAsia" w:ascii="宋体" w:hAnsi="宋体" w:eastAsia="宋体" w:cs="宋体"/>
          <w:color w:val="auto"/>
          <w:kern w:val="2"/>
          <w:sz w:val="21"/>
          <w:szCs w:val="21"/>
          <w:highlight w:val="none"/>
        </w:rPr>
        <w:t>实时图像自动复位，即可对发电阵列内可旋转的摄像机设定默认监视位置，正常状态下摄像机保持默认位置；在控制完成后自动恢复到默认监视位置。</w:t>
      </w:r>
    </w:p>
    <w:p>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）项目通电并网后</w:t>
      </w:r>
      <w:r>
        <w:rPr>
          <w:rFonts w:hint="eastAsia" w:ascii="宋体" w:hAnsi="宋体" w:eastAsia="宋体" w:cs="宋体"/>
          <w:color w:val="auto"/>
          <w:kern w:val="2"/>
          <w:sz w:val="21"/>
          <w:szCs w:val="21"/>
          <w:highlight w:val="none"/>
          <w:lang w:val="en-US" w:eastAsia="zh-CN"/>
        </w:rPr>
        <w:t>承包</w:t>
      </w:r>
      <w:r>
        <w:rPr>
          <w:rFonts w:hint="eastAsia" w:ascii="宋体" w:hAnsi="宋体" w:eastAsia="宋体" w:cs="宋体"/>
          <w:color w:val="auto"/>
          <w:kern w:val="2"/>
          <w:sz w:val="21"/>
          <w:szCs w:val="21"/>
          <w:highlight w:val="none"/>
        </w:rPr>
        <w:t>单位</w:t>
      </w:r>
      <w:r>
        <w:rPr>
          <w:rFonts w:hint="eastAsia" w:ascii="宋体" w:hAnsi="宋体" w:eastAsia="宋体" w:cs="宋体"/>
          <w:color w:val="auto"/>
          <w:kern w:val="2"/>
          <w:sz w:val="21"/>
          <w:szCs w:val="21"/>
          <w:highlight w:val="none"/>
          <w:lang w:val="en-US" w:eastAsia="zh-CN"/>
        </w:rPr>
        <w:t>必须</w:t>
      </w:r>
      <w:r>
        <w:rPr>
          <w:rFonts w:hint="eastAsia" w:ascii="宋体" w:hAnsi="宋体" w:eastAsia="宋体" w:cs="宋体"/>
          <w:color w:val="auto"/>
          <w:kern w:val="2"/>
          <w:sz w:val="21"/>
          <w:szCs w:val="21"/>
          <w:highlight w:val="none"/>
        </w:rPr>
        <w:t>负责</w:t>
      </w:r>
      <w:r>
        <w:rPr>
          <w:rFonts w:hint="eastAsia" w:ascii="宋体" w:hAnsi="宋体" w:eastAsia="宋体" w:cs="宋体"/>
          <w:color w:val="auto"/>
          <w:kern w:val="2"/>
          <w:sz w:val="21"/>
          <w:szCs w:val="21"/>
          <w:highlight w:val="none"/>
          <w:lang w:val="en-US" w:eastAsia="zh-CN"/>
        </w:rPr>
        <w:t>为安全运维部技术员</w:t>
      </w:r>
      <w:r>
        <w:rPr>
          <w:rFonts w:hint="eastAsia" w:ascii="宋体" w:hAnsi="宋体" w:eastAsia="宋体" w:cs="宋体"/>
          <w:color w:val="auto"/>
          <w:kern w:val="2"/>
          <w:sz w:val="21"/>
          <w:szCs w:val="21"/>
          <w:highlight w:val="none"/>
        </w:rPr>
        <w:t>注册APP</w:t>
      </w:r>
      <w:r>
        <w:rPr>
          <w:rFonts w:hint="eastAsia" w:ascii="宋体" w:hAnsi="宋体" w:eastAsia="宋体" w:cs="宋体"/>
          <w:color w:val="auto"/>
          <w:kern w:val="2"/>
          <w:sz w:val="21"/>
          <w:szCs w:val="21"/>
          <w:highlight w:val="none"/>
          <w:lang w:val="en-US" w:eastAsia="zh-CN"/>
        </w:rPr>
        <w:t>视频</w:t>
      </w:r>
      <w:r>
        <w:rPr>
          <w:rFonts w:hint="eastAsia" w:ascii="宋体" w:hAnsi="宋体" w:eastAsia="宋体" w:cs="宋体"/>
          <w:color w:val="auto"/>
          <w:kern w:val="2"/>
          <w:sz w:val="21"/>
          <w:szCs w:val="21"/>
          <w:highlight w:val="none"/>
        </w:rPr>
        <w:t>监控软件，并将光伏电站现场实时监测数据联通传送至东莞新锋光伏能源科技有限公司数据控制中心PC端，实现集中监控</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具体要求如下：</w:t>
      </w:r>
    </w:p>
    <w:tbl>
      <w:tblPr>
        <w:tblStyle w:val="78"/>
        <w:tblW w:w="838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2191"/>
        <w:gridCol w:w="51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3" w:hRule="atLeast"/>
          <w:jc w:val="center"/>
        </w:trPr>
        <w:tc>
          <w:tcPr>
            <w:tcW w:w="1044" w:type="dxa"/>
            <w:vAlign w:val="center"/>
          </w:tcPr>
          <w:p>
            <w:pPr>
              <w:widowControl w:val="0"/>
              <w:adjustRightInd/>
              <w:snapToGrid/>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5"/>
                <w:kern w:val="2"/>
                <w:sz w:val="21"/>
                <w:szCs w:val="21"/>
                <w:highlight w:val="none"/>
              </w:rPr>
              <w:t>区</w:t>
            </w:r>
            <w:r>
              <w:rPr>
                <w:rFonts w:ascii="宋体" w:hAnsi="宋体" w:eastAsia="宋体" w:cs="宋体"/>
                <w:b/>
                <w:bCs/>
                <w:color w:val="auto"/>
                <w:spacing w:val="-3"/>
                <w:kern w:val="2"/>
                <w:sz w:val="21"/>
                <w:szCs w:val="21"/>
                <w:highlight w:val="none"/>
              </w:rPr>
              <w:t>域</w:t>
            </w:r>
          </w:p>
        </w:tc>
        <w:tc>
          <w:tcPr>
            <w:tcW w:w="2191" w:type="dxa"/>
            <w:vAlign w:val="center"/>
          </w:tcPr>
          <w:p>
            <w:pPr>
              <w:widowControl w:val="0"/>
              <w:adjustRightInd/>
              <w:snapToGrid/>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8"/>
                <w:kern w:val="2"/>
                <w:sz w:val="21"/>
                <w:szCs w:val="21"/>
                <w:highlight w:val="none"/>
              </w:rPr>
              <w:t>摄像头数量</w:t>
            </w:r>
          </w:p>
        </w:tc>
        <w:tc>
          <w:tcPr>
            <w:tcW w:w="5153" w:type="dxa"/>
            <w:vAlign w:val="center"/>
          </w:tcPr>
          <w:p>
            <w:pPr>
              <w:widowControl w:val="0"/>
              <w:adjustRightInd/>
              <w:snapToGrid/>
              <w:spacing w:after="0" w:line="288" w:lineRule="auto"/>
              <w:jc w:val="center"/>
              <w:rPr>
                <w:rFonts w:ascii="宋体" w:hAnsi="宋体" w:eastAsia="宋体" w:cs="宋体"/>
                <w:b/>
                <w:bCs/>
                <w:color w:val="auto"/>
                <w:kern w:val="2"/>
                <w:sz w:val="21"/>
                <w:szCs w:val="21"/>
                <w:highlight w:val="none"/>
              </w:rPr>
            </w:pPr>
            <w:r>
              <w:rPr>
                <w:rFonts w:hint="eastAsia" w:ascii="宋体" w:hAnsi="宋体" w:eastAsia="宋体" w:cs="宋体"/>
                <w:b/>
                <w:bCs/>
                <w:color w:val="auto"/>
                <w:spacing w:val="4"/>
                <w:kern w:val="2"/>
                <w:sz w:val="21"/>
                <w:szCs w:val="21"/>
                <w:highlight w:val="none"/>
                <w:lang w:val="en-US" w:eastAsia="zh-CN"/>
              </w:rPr>
              <w:t>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53" w:hRule="atLeast"/>
          <w:jc w:val="center"/>
        </w:trPr>
        <w:tc>
          <w:tcPr>
            <w:tcW w:w="1044" w:type="dxa"/>
            <w:vAlign w:val="center"/>
          </w:tcPr>
          <w:p>
            <w:pPr>
              <w:widowControl w:val="0"/>
              <w:adjustRightInd/>
              <w:snapToGrid/>
              <w:spacing w:after="0" w:line="288" w:lineRule="auto"/>
              <w:jc w:val="center"/>
              <w:rPr>
                <w:rFonts w:hint="eastAsia" w:ascii="宋体" w:hAnsi="宋体" w:eastAsia="宋体" w:cs="宋体"/>
                <w:color w:val="auto"/>
                <w:spacing w:val="4"/>
                <w:kern w:val="2"/>
                <w:sz w:val="21"/>
                <w:szCs w:val="21"/>
                <w:highlight w:val="none"/>
                <w:lang w:val="en-US" w:eastAsia="zh-CN"/>
              </w:rPr>
            </w:pPr>
            <w:r>
              <w:rPr>
                <w:rFonts w:hint="eastAsia" w:ascii="宋体" w:hAnsi="宋体" w:eastAsia="宋体" w:cs="宋体"/>
                <w:color w:val="auto"/>
                <w:spacing w:val="4"/>
                <w:kern w:val="2"/>
                <w:sz w:val="21"/>
                <w:szCs w:val="21"/>
                <w:highlight w:val="none"/>
                <w:lang w:val="en-US" w:eastAsia="zh-CN"/>
              </w:rPr>
              <w:t>光伏</w:t>
            </w:r>
          </w:p>
          <w:p>
            <w:pPr>
              <w:widowControl w:val="0"/>
              <w:adjustRightInd/>
              <w:snapToGrid/>
              <w:spacing w:after="0" w:line="288" w:lineRule="auto"/>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spacing w:val="4"/>
                <w:kern w:val="2"/>
                <w:sz w:val="21"/>
                <w:szCs w:val="21"/>
                <w:highlight w:val="none"/>
                <w:lang w:val="en-US" w:eastAsia="zh-CN"/>
              </w:rPr>
              <w:t>组件</w:t>
            </w:r>
          </w:p>
        </w:tc>
        <w:tc>
          <w:tcPr>
            <w:tcW w:w="2191" w:type="dxa"/>
            <w:vMerge w:val="restart"/>
            <w:vAlign w:val="center"/>
          </w:tcPr>
          <w:p>
            <w:pPr>
              <w:widowControl w:val="0"/>
              <w:adjustRightInd/>
              <w:snapToGrid/>
              <w:spacing w:after="0" w:line="288" w:lineRule="auto"/>
              <w:jc w:val="center"/>
              <w:rPr>
                <w:rFonts w:ascii="宋体" w:hAnsi="宋体" w:eastAsia="宋体" w:cs="宋体"/>
                <w:color w:val="auto"/>
                <w:kern w:val="2"/>
                <w:sz w:val="21"/>
                <w:szCs w:val="21"/>
                <w:highlight w:val="none"/>
              </w:rPr>
            </w:pPr>
          </w:p>
          <w:p>
            <w:pPr>
              <w:widowControl w:val="0"/>
              <w:adjustRightInd/>
              <w:snapToGrid/>
              <w:spacing w:after="0" w:line="288" w:lineRule="auto"/>
              <w:jc w:val="left"/>
              <w:rPr>
                <w:rFonts w:hint="eastAsia" w:ascii="宋体" w:hAnsi="宋体" w:eastAsia="宋体" w:cs="宋体"/>
                <w:color w:val="auto"/>
                <w:kern w:val="2"/>
                <w:sz w:val="21"/>
                <w:szCs w:val="21"/>
                <w:highlight w:val="none"/>
                <w:lang w:eastAsia="zh-CN"/>
              </w:rPr>
            </w:pPr>
            <w:r>
              <w:rPr>
                <w:rFonts w:ascii="宋体" w:hAnsi="宋体" w:eastAsia="宋体" w:cs="宋体"/>
                <w:color w:val="auto"/>
                <w:spacing w:val="-4"/>
                <w:kern w:val="2"/>
                <w:sz w:val="21"/>
                <w:szCs w:val="21"/>
                <w:highlight w:val="none"/>
              </w:rPr>
              <w:t>1.</w:t>
            </w:r>
            <w:r>
              <w:rPr>
                <w:rFonts w:hint="eastAsia" w:ascii="宋体" w:hAnsi="宋体" w:eastAsia="宋体" w:cs="宋体"/>
                <w:color w:val="auto"/>
                <w:kern w:val="2"/>
                <w:sz w:val="21"/>
                <w:szCs w:val="21"/>
                <w:highlight w:val="none"/>
              </w:rPr>
              <w:t>根据现场及业主意见调整</w:t>
            </w:r>
            <w:r>
              <w:rPr>
                <w:rFonts w:hint="eastAsia" w:ascii="宋体" w:hAnsi="宋体" w:eastAsia="宋体" w:cs="宋体"/>
                <w:color w:val="auto"/>
                <w:kern w:val="2"/>
                <w:sz w:val="21"/>
                <w:szCs w:val="21"/>
                <w:highlight w:val="none"/>
                <w:lang w:eastAsia="zh-CN"/>
              </w:rPr>
              <w:t>；</w:t>
            </w:r>
          </w:p>
          <w:p>
            <w:pPr>
              <w:widowControl w:val="0"/>
              <w:adjustRightInd/>
              <w:snapToGrid/>
              <w:spacing w:after="0" w:line="288" w:lineRule="auto"/>
              <w:ind w:right="203"/>
              <w:jc w:val="both"/>
              <w:rPr>
                <w:rFonts w:hint="eastAsia" w:ascii="宋体" w:hAnsi="宋体" w:eastAsia="宋体" w:cs="宋体"/>
                <w:color w:val="auto"/>
                <w:spacing w:val="8"/>
                <w:kern w:val="2"/>
                <w:sz w:val="21"/>
                <w:szCs w:val="21"/>
                <w:highlight w:val="none"/>
                <w:lang w:eastAsia="zh-CN"/>
              </w:rPr>
            </w:pPr>
            <w:r>
              <w:rPr>
                <w:rFonts w:hint="eastAsia" w:ascii="宋体" w:hAnsi="宋体" w:eastAsia="宋体" w:cs="宋体"/>
                <w:color w:val="auto"/>
                <w:spacing w:val="8"/>
                <w:kern w:val="2"/>
                <w:sz w:val="21"/>
                <w:szCs w:val="21"/>
                <w:highlight w:val="none"/>
                <w:lang w:val="en-US" w:eastAsia="zh-CN"/>
              </w:rPr>
              <w:t>2</w:t>
            </w:r>
            <w:r>
              <w:rPr>
                <w:rFonts w:ascii="宋体" w:hAnsi="宋体" w:eastAsia="宋体" w:cs="宋体"/>
                <w:color w:val="auto"/>
                <w:spacing w:val="8"/>
                <w:kern w:val="2"/>
                <w:sz w:val="21"/>
                <w:szCs w:val="21"/>
                <w:highlight w:val="none"/>
              </w:rPr>
              <w:t>.</w:t>
            </w:r>
            <w:r>
              <w:rPr>
                <w:rFonts w:hint="eastAsia" w:ascii="宋体" w:hAnsi="宋体" w:eastAsia="宋体" w:cs="宋体"/>
                <w:color w:val="auto"/>
                <w:spacing w:val="8"/>
                <w:kern w:val="2"/>
                <w:sz w:val="21"/>
                <w:szCs w:val="21"/>
                <w:highlight w:val="none"/>
              </w:rPr>
              <w:t>视频监控画面必须覆盖所有光伏</w:t>
            </w:r>
            <w:r>
              <w:rPr>
                <w:rFonts w:hint="eastAsia" w:ascii="宋体" w:hAnsi="宋体" w:eastAsia="宋体" w:cs="宋体"/>
                <w:color w:val="auto"/>
                <w:spacing w:val="8"/>
                <w:kern w:val="2"/>
                <w:sz w:val="21"/>
                <w:szCs w:val="21"/>
                <w:highlight w:val="none"/>
                <w:lang w:val="en-US" w:eastAsia="zh-CN"/>
              </w:rPr>
              <w:t>组件</w:t>
            </w:r>
            <w:r>
              <w:rPr>
                <w:rFonts w:hint="eastAsia" w:ascii="宋体" w:hAnsi="宋体" w:eastAsia="宋体" w:cs="宋体"/>
                <w:color w:val="auto"/>
                <w:spacing w:val="8"/>
                <w:kern w:val="2"/>
                <w:sz w:val="21"/>
                <w:szCs w:val="21"/>
                <w:highlight w:val="none"/>
              </w:rPr>
              <w:t>、逆变器区域，不得存在盲区</w:t>
            </w:r>
            <w:r>
              <w:rPr>
                <w:rFonts w:hint="eastAsia" w:ascii="宋体" w:hAnsi="宋体" w:eastAsia="宋体" w:cs="宋体"/>
                <w:color w:val="auto"/>
                <w:spacing w:val="8"/>
                <w:kern w:val="2"/>
                <w:sz w:val="21"/>
                <w:szCs w:val="21"/>
                <w:highlight w:val="none"/>
                <w:lang w:eastAsia="zh-CN"/>
              </w:rPr>
              <w:t>；</w:t>
            </w:r>
          </w:p>
          <w:p>
            <w:pPr>
              <w:widowControl w:val="0"/>
              <w:adjustRightInd/>
              <w:snapToGrid/>
              <w:spacing w:after="0" w:line="288" w:lineRule="auto"/>
              <w:jc w:val="center"/>
              <w:rPr>
                <w:rFonts w:ascii="宋体" w:hAnsi="宋体" w:eastAsia="宋体" w:cs="宋体"/>
                <w:color w:val="auto"/>
                <w:kern w:val="2"/>
                <w:sz w:val="21"/>
                <w:szCs w:val="21"/>
                <w:highlight w:val="none"/>
              </w:rPr>
            </w:pPr>
          </w:p>
        </w:tc>
        <w:tc>
          <w:tcPr>
            <w:tcW w:w="5153" w:type="dxa"/>
            <w:vMerge w:val="restart"/>
            <w:tcBorders>
              <w:bottom w:val="nil"/>
            </w:tcBorders>
            <w:vAlign w:val="center"/>
          </w:tcPr>
          <w:p>
            <w:pPr>
              <w:pageBreakBefore w:val="0"/>
              <w:widowControl w:val="0"/>
              <w:kinsoku/>
              <w:overflowPunct/>
              <w:topLinePunct w:val="0"/>
              <w:autoSpaceDE/>
              <w:autoSpaceDN/>
              <w:bidi w:val="0"/>
              <w:adjustRightInd/>
              <w:snapToGrid/>
              <w:spacing w:after="0" w:line="400" w:lineRule="exact"/>
              <w:ind w:right="203"/>
              <w:jc w:val="both"/>
              <w:textAlignment w:val="auto"/>
              <w:rPr>
                <w:rFonts w:ascii="宋体" w:hAnsi="宋体" w:eastAsia="宋体" w:cs="宋体"/>
                <w:color w:val="auto"/>
                <w:spacing w:val="-2"/>
                <w:kern w:val="2"/>
                <w:sz w:val="21"/>
                <w:szCs w:val="21"/>
                <w:highlight w:val="none"/>
              </w:rPr>
            </w:pPr>
            <w:r>
              <w:rPr>
                <w:rFonts w:ascii="宋体" w:hAnsi="宋体" w:eastAsia="宋体" w:cs="宋体"/>
                <w:color w:val="auto"/>
                <w:spacing w:val="-4"/>
                <w:kern w:val="2"/>
                <w:sz w:val="21"/>
                <w:szCs w:val="21"/>
                <w:highlight w:val="none"/>
              </w:rPr>
              <w:t>1.</w:t>
            </w:r>
            <w:r>
              <w:rPr>
                <w:rFonts w:hint="eastAsia" w:ascii="宋体" w:hAnsi="宋体" w:eastAsia="宋体" w:cs="宋体"/>
                <w:color w:val="auto"/>
                <w:spacing w:val="-4"/>
                <w:kern w:val="2"/>
                <w:sz w:val="21"/>
                <w:szCs w:val="21"/>
                <w:highlight w:val="none"/>
                <w:lang w:val="en-US" w:eastAsia="zh-CN"/>
              </w:rPr>
              <w:t>支持</w:t>
            </w:r>
            <w:r>
              <w:rPr>
                <w:rFonts w:hint="eastAsia" w:ascii="宋体" w:hAnsi="宋体" w:eastAsia="宋体" w:cs="宋体"/>
                <w:color w:val="auto"/>
                <w:spacing w:val="-2"/>
                <w:kern w:val="2"/>
                <w:sz w:val="21"/>
                <w:szCs w:val="21"/>
                <w:highlight w:val="none"/>
                <w:lang w:val="en-US" w:eastAsia="zh-CN"/>
              </w:rPr>
              <w:t>1年移动数据流量包</w:t>
            </w:r>
            <w:r>
              <w:rPr>
                <w:rFonts w:ascii="宋体" w:hAnsi="宋体" w:eastAsia="宋体" w:cs="宋体"/>
                <w:color w:val="auto"/>
                <w:spacing w:val="-2"/>
                <w:kern w:val="2"/>
                <w:sz w:val="21"/>
                <w:szCs w:val="21"/>
                <w:highlight w:val="none"/>
              </w:rPr>
              <w:t>；</w:t>
            </w:r>
          </w:p>
          <w:p>
            <w:pPr>
              <w:pageBreakBefore w:val="0"/>
              <w:widowControl w:val="0"/>
              <w:kinsoku/>
              <w:overflowPunct/>
              <w:topLinePunct w:val="0"/>
              <w:autoSpaceDE/>
              <w:autoSpaceDN/>
              <w:bidi w:val="0"/>
              <w:adjustRightInd/>
              <w:snapToGrid/>
              <w:spacing w:after="0" w:line="400" w:lineRule="exact"/>
              <w:ind w:right="203"/>
              <w:jc w:val="both"/>
              <w:textAlignment w:val="auto"/>
              <w:rPr>
                <w:rFonts w:hint="eastAsia" w:ascii="宋体" w:hAnsi="宋体" w:eastAsia="宋体" w:cs="宋体"/>
                <w:color w:val="auto"/>
                <w:kern w:val="2"/>
                <w:sz w:val="21"/>
                <w:szCs w:val="21"/>
                <w:highlight w:val="none"/>
                <w:lang w:eastAsia="zh-CN"/>
              </w:rPr>
            </w:pPr>
            <w:r>
              <w:rPr>
                <w:rFonts w:ascii="宋体" w:hAnsi="宋体" w:eastAsia="宋体" w:cs="宋体"/>
                <w:color w:val="auto"/>
                <w:spacing w:val="1"/>
                <w:kern w:val="2"/>
                <w:sz w:val="21"/>
                <w:szCs w:val="21"/>
                <w:highlight w:val="none"/>
              </w:rPr>
              <w:t>2.支持手机远程监控，</w:t>
            </w:r>
            <w:r>
              <w:rPr>
                <w:rFonts w:hint="eastAsia" w:ascii="宋体" w:hAnsi="宋体" w:eastAsia="宋体" w:cs="宋体"/>
                <w:color w:val="auto"/>
                <w:kern w:val="2"/>
                <w:sz w:val="21"/>
                <w:szCs w:val="21"/>
                <w:highlight w:val="none"/>
              </w:rPr>
              <w:t>所有监控数据要</w:t>
            </w:r>
            <w:r>
              <w:rPr>
                <w:rFonts w:hint="eastAsia" w:ascii="宋体" w:hAnsi="宋体" w:eastAsia="宋体" w:cs="宋体"/>
                <w:color w:val="auto"/>
                <w:kern w:val="2"/>
                <w:sz w:val="21"/>
                <w:szCs w:val="21"/>
                <w:highlight w:val="none"/>
                <w:lang w:val="en-US" w:eastAsia="zh-CN"/>
              </w:rPr>
              <w:t>本地储存，硬盘容量要满足视频回放1</w:t>
            </w:r>
            <w:r>
              <w:rPr>
                <w:rFonts w:hint="eastAsia" w:ascii="宋体" w:hAnsi="宋体" w:eastAsia="宋体" w:cs="宋体"/>
                <w:color w:val="auto"/>
                <w:kern w:val="2"/>
                <w:sz w:val="21"/>
                <w:szCs w:val="21"/>
                <w:highlight w:val="none"/>
              </w:rPr>
              <w:t>个月以上</w:t>
            </w:r>
            <w:r>
              <w:rPr>
                <w:rFonts w:hint="eastAsia" w:ascii="宋体" w:hAnsi="宋体" w:eastAsia="宋体" w:cs="宋体"/>
                <w:color w:val="auto"/>
                <w:kern w:val="2"/>
                <w:sz w:val="21"/>
                <w:szCs w:val="21"/>
                <w:highlight w:val="none"/>
                <w:lang w:eastAsia="zh-CN"/>
              </w:rPr>
              <w:t>；</w:t>
            </w:r>
          </w:p>
          <w:p>
            <w:pPr>
              <w:widowControl w:val="0"/>
              <w:adjustRightInd/>
              <w:snapToGrid/>
              <w:spacing w:after="0" w:line="288" w:lineRule="auto"/>
              <w:ind w:right="203"/>
              <w:jc w:val="both"/>
              <w:rPr>
                <w:rFonts w:ascii="宋体" w:hAnsi="宋体" w:eastAsia="宋体" w:cs="宋体"/>
                <w:color w:val="auto"/>
                <w:spacing w:val="8"/>
                <w:kern w:val="2"/>
                <w:sz w:val="21"/>
                <w:szCs w:val="21"/>
                <w:highlight w:val="none"/>
              </w:rPr>
            </w:pPr>
            <w:r>
              <w:rPr>
                <w:rFonts w:ascii="宋体" w:hAnsi="宋体" w:eastAsia="宋体" w:cs="宋体"/>
                <w:color w:val="auto"/>
                <w:spacing w:val="11"/>
                <w:kern w:val="2"/>
                <w:sz w:val="21"/>
                <w:szCs w:val="21"/>
                <w:highlight w:val="none"/>
              </w:rPr>
              <w:t>3</w:t>
            </w:r>
            <w:r>
              <w:rPr>
                <w:rFonts w:ascii="宋体" w:hAnsi="宋体" w:eastAsia="宋体" w:cs="宋体"/>
                <w:color w:val="auto"/>
                <w:spacing w:val="8"/>
                <w:kern w:val="2"/>
                <w:sz w:val="21"/>
                <w:szCs w:val="21"/>
                <w:highlight w:val="none"/>
              </w:rPr>
              <w:t>.</w:t>
            </w:r>
            <w:r>
              <w:rPr>
                <w:rFonts w:hint="eastAsia" w:ascii="宋体" w:hAnsi="宋体" w:eastAsia="宋体" w:cs="宋体"/>
                <w:color w:val="auto"/>
                <w:spacing w:val="8"/>
                <w:kern w:val="2"/>
                <w:sz w:val="21"/>
                <w:szCs w:val="21"/>
                <w:highlight w:val="none"/>
                <w:lang w:val="en-US" w:eastAsia="zh-CN"/>
              </w:rPr>
              <w:t>视频</w:t>
            </w:r>
            <w:r>
              <w:rPr>
                <w:rFonts w:hint="eastAsia" w:ascii="宋体" w:hAnsi="宋体" w:eastAsia="宋体" w:cs="宋体"/>
                <w:color w:val="auto"/>
                <w:kern w:val="2"/>
                <w:sz w:val="21"/>
                <w:szCs w:val="21"/>
                <w:highlight w:val="none"/>
              </w:rPr>
              <w:t>摄像头为高清、</w:t>
            </w:r>
            <w:r>
              <w:rPr>
                <w:rFonts w:ascii="宋体" w:hAnsi="宋体" w:eastAsia="宋体" w:cs="宋体"/>
                <w:color w:val="auto"/>
                <w:spacing w:val="8"/>
                <w:kern w:val="2"/>
                <w:sz w:val="21"/>
                <w:szCs w:val="21"/>
                <w:highlight w:val="none"/>
              </w:rPr>
              <w:t>具有夜视功能，支持移动侦测报警</w:t>
            </w:r>
            <w:r>
              <w:rPr>
                <w:rFonts w:hint="eastAsia" w:ascii="宋体" w:hAnsi="宋体" w:eastAsia="宋体" w:cs="宋体"/>
                <w:color w:val="auto"/>
                <w:spacing w:val="8"/>
                <w:kern w:val="2"/>
                <w:sz w:val="21"/>
                <w:szCs w:val="21"/>
                <w:highlight w:val="none"/>
              </w:rPr>
              <w:t>；</w:t>
            </w:r>
          </w:p>
          <w:p>
            <w:pPr>
              <w:widowControl w:val="0"/>
              <w:adjustRightInd/>
              <w:snapToGrid/>
              <w:spacing w:after="0" w:line="288" w:lineRule="auto"/>
              <w:ind w:right="203"/>
              <w:jc w:val="both"/>
              <w:rPr>
                <w:rFonts w:hint="eastAsia" w:ascii="宋体" w:hAnsi="宋体" w:eastAsia="宋体" w:cs="宋体"/>
                <w:color w:val="auto"/>
                <w:spacing w:val="8"/>
                <w:kern w:val="2"/>
                <w:sz w:val="21"/>
                <w:szCs w:val="21"/>
                <w:highlight w:val="none"/>
                <w:lang w:eastAsia="zh-CN"/>
              </w:rPr>
            </w:pPr>
            <w:r>
              <w:rPr>
                <w:rFonts w:hint="eastAsia" w:ascii="宋体" w:hAnsi="宋体" w:eastAsia="宋体" w:cs="宋体"/>
                <w:color w:val="auto"/>
                <w:spacing w:val="8"/>
                <w:kern w:val="2"/>
                <w:sz w:val="21"/>
                <w:szCs w:val="21"/>
                <w:highlight w:val="none"/>
                <w:lang w:val="en-US" w:eastAsia="zh-CN"/>
              </w:rPr>
              <w:t>4</w:t>
            </w:r>
            <w:r>
              <w:rPr>
                <w:rFonts w:ascii="宋体" w:hAnsi="宋体" w:eastAsia="宋体" w:cs="宋体"/>
                <w:color w:val="auto"/>
                <w:spacing w:val="8"/>
                <w:kern w:val="2"/>
                <w:sz w:val="21"/>
                <w:szCs w:val="21"/>
                <w:highlight w:val="none"/>
              </w:rPr>
              <w:t>.</w:t>
            </w:r>
            <w:r>
              <w:rPr>
                <w:rFonts w:hint="eastAsia" w:ascii="宋体" w:hAnsi="宋体" w:eastAsia="宋体" w:cs="宋体"/>
                <w:color w:val="auto"/>
                <w:spacing w:val="8"/>
                <w:kern w:val="2"/>
                <w:sz w:val="21"/>
                <w:szCs w:val="21"/>
                <w:highlight w:val="none"/>
              </w:rPr>
              <w:t>视频监控</w:t>
            </w:r>
            <w:r>
              <w:rPr>
                <w:rFonts w:hint="eastAsia" w:ascii="宋体" w:hAnsi="宋体" w:eastAsia="宋体" w:cs="宋体"/>
                <w:color w:val="auto"/>
                <w:kern w:val="2"/>
                <w:sz w:val="21"/>
                <w:szCs w:val="21"/>
                <w:highlight w:val="none"/>
              </w:rPr>
              <w:t>电源需引自市电</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spacing w:val="8"/>
                <w:kern w:val="2"/>
                <w:sz w:val="21"/>
                <w:szCs w:val="21"/>
                <w:highlight w:val="none"/>
                <w:lang w:val="en-US" w:eastAsia="zh-CN"/>
              </w:rPr>
              <w:t>若配置室外立杆需可靠接地并不造成光伏组件阴影遮挡</w:t>
            </w:r>
            <w:r>
              <w:rPr>
                <w:rFonts w:hint="eastAsia" w:ascii="宋体" w:hAnsi="宋体" w:eastAsia="宋体" w:cs="宋体"/>
                <w:color w:val="auto"/>
                <w:spacing w:val="8"/>
                <w:kern w:val="2"/>
                <w:sz w:val="21"/>
                <w:szCs w:val="21"/>
                <w:highlight w:val="none"/>
                <w:lang w:eastAsia="zh-CN"/>
              </w:rPr>
              <w:t>；</w:t>
            </w:r>
          </w:p>
          <w:p>
            <w:pPr>
              <w:widowControl w:val="0"/>
              <w:adjustRightInd/>
              <w:snapToGrid/>
              <w:spacing w:after="0" w:line="288" w:lineRule="auto"/>
              <w:ind w:right="203"/>
              <w:jc w:val="both"/>
              <w:rPr>
                <w:rFonts w:hint="eastAsia" w:ascii="宋体" w:hAnsi="宋体" w:eastAsia="宋体" w:cs="宋体"/>
                <w:color w:val="auto"/>
                <w:spacing w:val="8"/>
                <w:kern w:val="2"/>
                <w:sz w:val="21"/>
                <w:szCs w:val="21"/>
                <w:highlight w:val="none"/>
                <w:lang w:eastAsia="zh-CN"/>
              </w:rPr>
            </w:pPr>
            <w:r>
              <w:rPr>
                <w:rFonts w:hint="eastAsia" w:ascii="宋体" w:hAnsi="宋体" w:eastAsia="宋体" w:cs="宋体"/>
                <w:color w:val="auto"/>
                <w:spacing w:val="8"/>
                <w:kern w:val="2"/>
                <w:sz w:val="21"/>
                <w:szCs w:val="21"/>
                <w:highlight w:val="none"/>
                <w:lang w:val="en-US" w:eastAsia="zh-CN"/>
              </w:rPr>
              <w:t>5</w:t>
            </w:r>
            <w:r>
              <w:rPr>
                <w:rFonts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所有摄像头均可360</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自由转动巡检</w:t>
            </w:r>
            <w:r>
              <w:rPr>
                <w:rFonts w:hint="eastAsia" w:ascii="宋体" w:hAnsi="宋体" w:eastAsia="宋体" w:cs="宋体"/>
                <w:color w:val="auto"/>
                <w:spacing w:val="8"/>
                <w:kern w:val="2"/>
                <w:sz w:val="21"/>
                <w:szCs w:val="21"/>
                <w:highlight w:val="none"/>
                <w:lang w:eastAsia="zh-CN"/>
              </w:rPr>
              <w:t>；</w:t>
            </w:r>
          </w:p>
          <w:p>
            <w:pPr>
              <w:widowControl w:val="0"/>
              <w:wordWrap w:val="0"/>
              <w:adjustRightInd/>
              <w:snapToGrid/>
              <w:spacing w:after="0" w:line="288" w:lineRule="auto"/>
              <w:jc w:val="both"/>
              <w:rPr>
                <w:rFonts w:hint="eastAsia"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spacing w:val="8"/>
                <w:kern w:val="2"/>
                <w:sz w:val="21"/>
                <w:szCs w:val="21"/>
                <w:highlight w:val="none"/>
              </w:rPr>
              <w:t>视频监控</w:t>
            </w:r>
            <w:r>
              <w:rPr>
                <w:rFonts w:hint="eastAsia" w:ascii="宋体" w:hAnsi="宋体" w:eastAsia="宋体" w:cs="宋体"/>
                <w:color w:val="auto"/>
                <w:kern w:val="2"/>
                <w:sz w:val="21"/>
                <w:szCs w:val="21"/>
                <w:highlight w:val="none"/>
                <w:lang w:val="en-US" w:eastAsia="zh-CN"/>
              </w:rPr>
              <w:t>推荐厂家品牌：海康威视、大华科技或具备同等质量的品牌</w:t>
            </w:r>
            <w:r>
              <w:rPr>
                <w:rFonts w:hint="eastAsia" w:ascii="宋体" w:hAnsi="宋体" w:eastAsia="宋体" w:cs="宋体"/>
                <w:b w:val="0"/>
                <w:bCs w:val="0"/>
                <w:color w:val="auto"/>
                <w:kern w:val="2"/>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38" w:hRule="atLeast"/>
          <w:jc w:val="center"/>
        </w:trPr>
        <w:tc>
          <w:tcPr>
            <w:tcW w:w="1044" w:type="dxa"/>
            <w:vAlign w:val="center"/>
          </w:tcPr>
          <w:p>
            <w:pPr>
              <w:widowControl w:val="0"/>
              <w:adjustRightInd/>
              <w:snapToGrid/>
              <w:spacing w:after="0" w:line="288" w:lineRule="auto"/>
              <w:jc w:val="center"/>
              <w:rPr>
                <w:rFonts w:hint="eastAsia" w:ascii="宋体" w:hAnsi="宋体" w:eastAsia="宋体" w:cs="宋体"/>
                <w:color w:val="auto"/>
                <w:spacing w:val="7"/>
                <w:kern w:val="2"/>
                <w:sz w:val="21"/>
                <w:szCs w:val="21"/>
                <w:highlight w:val="none"/>
                <w:lang w:val="en-US" w:eastAsia="zh-CN"/>
              </w:rPr>
            </w:pPr>
            <w:r>
              <w:rPr>
                <w:rFonts w:hint="eastAsia" w:ascii="宋体" w:hAnsi="宋体" w:eastAsia="宋体" w:cs="宋体"/>
                <w:color w:val="auto"/>
                <w:spacing w:val="7"/>
                <w:kern w:val="2"/>
                <w:sz w:val="21"/>
                <w:szCs w:val="21"/>
                <w:highlight w:val="none"/>
                <w:lang w:val="en-US" w:eastAsia="zh-CN"/>
              </w:rPr>
              <w:t>并网</w:t>
            </w:r>
          </w:p>
          <w:p>
            <w:pPr>
              <w:widowControl w:val="0"/>
              <w:adjustRightInd/>
              <w:snapToGrid/>
              <w:spacing w:after="0" w:line="288" w:lineRule="auto"/>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pacing w:val="7"/>
                <w:kern w:val="2"/>
                <w:sz w:val="21"/>
                <w:szCs w:val="21"/>
                <w:highlight w:val="none"/>
                <w:lang w:val="en-US" w:eastAsia="zh-CN"/>
              </w:rPr>
              <w:t>逆变器</w:t>
            </w:r>
          </w:p>
        </w:tc>
        <w:tc>
          <w:tcPr>
            <w:tcW w:w="2191" w:type="dxa"/>
            <w:vMerge w:val="continue"/>
            <w:vAlign w:val="center"/>
          </w:tcPr>
          <w:p>
            <w:pPr>
              <w:widowControl w:val="0"/>
              <w:adjustRightInd/>
              <w:snapToGrid/>
              <w:spacing w:after="0" w:line="288" w:lineRule="auto"/>
              <w:jc w:val="center"/>
              <w:rPr>
                <w:rFonts w:ascii="宋体" w:hAnsi="宋体" w:eastAsia="宋体" w:cs="宋体"/>
                <w:color w:val="auto"/>
                <w:kern w:val="2"/>
                <w:sz w:val="21"/>
                <w:szCs w:val="21"/>
                <w:highlight w:val="none"/>
              </w:rPr>
            </w:pPr>
          </w:p>
        </w:tc>
        <w:tc>
          <w:tcPr>
            <w:tcW w:w="5153" w:type="dxa"/>
            <w:vMerge w:val="continue"/>
            <w:tcBorders>
              <w:top w:val="nil"/>
            </w:tcBorders>
            <w:vAlign w:val="center"/>
          </w:tcPr>
          <w:p>
            <w:pPr>
              <w:widowControl w:val="0"/>
              <w:adjustRightInd/>
              <w:snapToGrid/>
              <w:spacing w:after="0" w:line="288" w:lineRule="auto"/>
              <w:jc w:val="center"/>
              <w:rPr>
                <w:rFonts w:ascii="Arial" w:hAnsi="Calibri" w:eastAsia="宋体" w:cs="Times New Roman"/>
                <w:color w:val="auto"/>
                <w:kern w:val="2"/>
                <w:sz w:val="21"/>
                <w:szCs w:val="21"/>
                <w:highlight w:val="none"/>
              </w:rPr>
            </w:pPr>
          </w:p>
        </w:tc>
      </w:tr>
    </w:tbl>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承包单位须在</w:t>
      </w:r>
      <w:r>
        <w:rPr>
          <w:rFonts w:hint="eastAsia" w:ascii="宋体" w:hAnsi="宋体" w:eastAsia="宋体" w:cs="宋体"/>
          <w:color w:val="auto"/>
          <w:kern w:val="2"/>
          <w:sz w:val="21"/>
          <w:szCs w:val="21"/>
          <w:highlight w:val="none"/>
        </w:rPr>
        <w:t>项目进场施工</w:t>
      </w:r>
      <w:r>
        <w:rPr>
          <w:rFonts w:hint="eastAsia" w:ascii="宋体" w:hAnsi="宋体" w:eastAsia="宋体" w:cs="宋体"/>
          <w:color w:val="auto"/>
          <w:kern w:val="2"/>
          <w:sz w:val="21"/>
          <w:szCs w:val="21"/>
          <w:highlight w:val="none"/>
          <w:lang w:val="en-US" w:eastAsia="zh-CN"/>
        </w:rPr>
        <w:t>后</w:t>
      </w:r>
      <w:r>
        <w:rPr>
          <w:rFonts w:hint="eastAsia" w:ascii="宋体" w:hAnsi="宋体" w:eastAsia="宋体" w:cs="宋体"/>
          <w:color w:val="auto"/>
          <w:kern w:val="2"/>
          <w:sz w:val="21"/>
          <w:szCs w:val="21"/>
          <w:highlight w:val="none"/>
        </w:rPr>
        <w:t>7天内</w:t>
      </w:r>
      <w:r>
        <w:rPr>
          <w:rFonts w:hint="eastAsia" w:ascii="宋体" w:hAnsi="宋体" w:eastAsia="宋体" w:cs="宋体"/>
          <w:color w:val="auto"/>
          <w:kern w:val="2"/>
          <w:sz w:val="21"/>
          <w:szCs w:val="21"/>
          <w:highlight w:val="none"/>
          <w:lang w:val="en-US" w:eastAsia="zh-CN"/>
        </w:rPr>
        <w:t>按以上要求</w:t>
      </w:r>
      <w:r>
        <w:rPr>
          <w:rFonts w:hint="eastAsia" w:ascii="宋体" w:hAnsi="宋体" w:eastAsia="宋体" w:cs="宋体"/>
          <w:color w:val="auto"/>
          <w:kern w:val="2"/>
          <w:sz w:val="21"/>
          <w:szCs w:val="21"/>
          <w:highlight w:val="none"/>
        </w:rPr>
        <w:t>完成所有区域视频监控</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安装</w:t>
      </w:r>
      <w:r>
        <w:rPr>
          <w:rFonts w:hint="eastAsia" w:ascii="宋体" w:hAnsi="宋体" w:eastAsia="宋体" w:cs="宋体"/>
          <w:color w:val="auto"/>
          <w:kern w:val="2"/>
          <w:sz w:val="21"/>
          <w:szCs w:val="21"/>
          <w:highlight w:val="none"/>
          <w:lang w:val="en-US" w:eastAsia="zh-CN"/>
        </w:rPr>
        <w:t>投运</w:t>
      </w:r>
      <w:r>
        <w:rPr>
          <w:rFonts w:hint="eastAsia" w:ascii="宋体" w:hAnsi="宋体" w:eastAsia="宋体" w:cs="宋体"/>
          <w:color w:val="auto"/>
          <w:kern w:val="2"/>
          <w:sz w:val="21"/>
          <w:szCs w:val="21"/>
          <w:highlight w:val="none"/>
        </w:rPr>
        <w:t>和移交，确保视频监控系统正常运行</w:t>
      </w:r>
    </w:p>
    <w:p>
      <w:pPr>
        <w:widowControl w:val="0"/>
        <w:adjustRightInd/>
        <w:snapToGrid/>
        <w:spacing w:after="0" w:line="360" w:lineRule="auto"/>
        <w:jc w:val="both"/>
        <w:rPr>
          <w:rFonts w:hint="eastAsia" w:ascii="宋体" w:hAnsi="宋体" w:eastAsia="宋体" w:cs="Times New Roman"/>
          <w:b/>
          <w:bCs/>
          <w:color w:val="auto"/>
          <w:kern w:val="2"/>
          <w:sz w:val="21"/>
          <w:szCs w:val="24"/>
          <w:highlight w:val="none"/>
          <w:lang w:val="en-US" w:eastAsia="zh-CN"/>
        </w:rPr>
      </w:pPr>
      <w:r>
        <w:rPr>
          <w:rFonts w:hint="eastAsia" w:ascii="宋体" w:hAnsi="宋体" w:eastAsia="宋体" w:cs="Times New Roman"/>
          <w:b/>
          <w:bCs/>
          <w:color w:val="auto"/>
          <w:kern w:val="2"/>
          <w:sz w:val="21"/>
          <w:szCs w:val="24"/>
          <w:highlight w:val="none"/>
          <w:lang w:val="en-US" w:eastAsia="zh-CN"/>
        </w:rPr>
        <w:t>11.红外远程抄表系统</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（1）系统结构</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红外远程抄表系统包括红外探头、数据采集器和智能云平台。</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（2）红外探头</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将外置红外</w:t>
      </w:r>
      <w:r>
        <w:rPr>
          <w:rFonts w:hint="eastAsia" w:ascii="宋体" w:hAnsi="宋体" w:eastAsia="宋体" w:cs="宋体"/>
          <w:color w:val="auto"/>
          <w:kern w:val="2"/>
          <w:sz w:val="21"/>
          <w:szCs w:val="21"/>
          <w:highlight w:val="none"/>
          <w:lang w:val="en-US" w:eastAsia="zh-CN"/>
        </w:rPr>
        <w:t>远程</w:t>
      </w:r>
      <w:r>
        <w:rPr>
          <w:rFonts w:hint="default" w:ascii="宋体" w:hAnsi="宋体" w:eastAsia="宋体" w:cs="宋体"/>
          <w:color w:val="auto"/>
          <w:kern w:val="2"/>
          <w:sz w:val="21"/>
          <w:szCs w:val="21"/>
          <w:highlight w:val="none"/>
          <w:lang w:val="en-US" w:eastAsia="zh-CN"/>
        </w:rPr>
        <w:t>抄表器固定在电能表附近，通过与电能表的红外光口实现近距离红外通信，定时读取智能电表的参数信息；</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（3）数据采集器</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采用 4G 无线通信方式，可采集南网电表的电能数据、电压、电流、功率因数等电参数数据，适合各种具备红外通信接口的电表等仪表的抄表场景。</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（4）智能云平台</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能够接入我司“光伏数字化运营管理平台”满足数据采集条件和确保数据准确率、及时率，通过数据采集器将数据上传至管理平台，用户可以通过APP或WEB平台访问查询电量信息。</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① 支持抄读正反向有功无功电能、分时电能等电表开放数据；</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② 与电力公司度数保持高度一致，无误差；</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③ 工业级器件选型，满足-25℃～+85℃的恶劣工作环境；</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④ 抗干扰能力强，与电表一对一抄读，无误读、串读等导致数据异常的情况；</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⑤ 一台采集器支持连接多个红外抄表探头，实现自发自用场景下发电侧电表与并网侧电表同时采集；</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⑥ 采集抄读标配吸盘天线，信号微弱地区可加强信号；</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⑦ 数据采集器即插即用，实现远程抄表；</w:t>
      </w:r>
    </w:p>
    <w:p>
      <w:pPr>
        <w:widowControl w:val="0"/>
        <w:tabs>
          <w:tab w:val="left" w:pos="360"/>
        </w:tabs>
        <w:adjustRightInd/>
        <w:snapToGrid/>
        <w:spacing w:after="0" w:line="288" w:lineRule="auto"/>
        <w:ind w:firstLine="420" w:firstLineChars="200"/>
        <w:jc w:val="both"/>
        <w:rPr>
          <w:rFonts w:hint="eastAsia" w:ascii="Calibri Light" w:hAnsi="Calibri Light" w:eastAsia="宋体" w:cs="Times New Roman"/>
          <w:b/>
          <w:bCs/>
          <w:color w:val="auto"/>
          <w:kern w:val="2"/>
          <w:sz w:val="24"/>
          <w:szCs w:val="28"/>
          <w:highlight w:val="none"/>
        </w:rPr>
      </w:pPr>
      <w:r>
        <w:rPr>
          <w:rFonts w:hint="default" w:ascii="宋体" w:hAnsi="宋体" w:eastAsia="宋体" w:cs="宋体"/>
          <w:color w:val="auto"/>
          <w:kern w:val="2"/>
          <w:sz w:val="21"/>
          <w:szCs w:val="21"/>
          <w:highlight w:val="none"/>
          <w:lang w:val="en-US" w:eastAsia="zh-CN"/>
        </w:rPr>
        <w:t>⑧ 安装模式方便灵活，探头和电表红外口之间无遮挡即可实现采集</w:t>
      </w:r>
      <w:r>
        <w:rPr>
          <w:rFonts w:hint="eastAsia" w:ascii="宋体" w:hAnsi="宋体" w:cs="宋体"/>
          <w:color w:val="auto"/>
          <w:kern w:val="2"/>
          <w:sz w:val="21"/>
          <w:szCs w:val="21"/>
          <w:highlight w:val="none"/>
          <w:lang w:val="en-US" w:eastAsia="zh-CN"/>
        </w:rPr>
        <w:t>。</w:t>
      </w:r>
    </w:p>
    <w:p>
      <w:pPr>
        <w:keepNext/>
        <w:keepLines/>
        <w:widowControl w:val="0"/>
        <w:adjustRightInd/>
        <w:snapToGrid/>
        <w:spacing w:after="0" w:line="360" w:lineRule="auto"/>
        <w:jc w:val="both"/>
        <w:outlineLvl w:val="9"/>
        <w:rPr>
          <w:rFonts w:hint="eastAsia" w:ascii="Calibri Light" w:hAnsi="Calibri Light" w:eastAsia="宋体" w:cs="Times New Roman"/>
          <w:b/>
          <w:bCs/>
          <w:color w:val="auto"/>
          <w:kern w:val="2"/>
          <w:sz w:val="24"/>
          <w:szCs w:val="28"/>
          <w:highlight w:val="none"/>
          <w:lang w:val="en-US" w:eastAsia="zh-CN"/>
        </w:rPr>
      </w:pPr>
    </w:p>
    <w:p>
      <w:pPr>
        <w:keepNext/>
        <w:keepLines/>
        <w:widowControl w:val="0"/>
        <w:adjustRightInd/>
        <w:snapToGrid/>
        <w:spacing w:after="0" w:line="360" w:lineRule="auto"/>
        <w:jc w:val="both"/>
        <w:outlineLvl w:val="9"/>
        <w:rPr>
          <w:rFonts w:hint="eastAsia" w:ascii="Calibri Light" w:hAnsi="Calibri Light" w:eastAsia="宋体" w:cs="Times New Roman"/>
          <w:b/>
          <w:bCs/>
          <w:color w:val="auto"/>
          <w:kern w:val="2"/>
          <w:sz w:val="24"/>
          <w:szCs w:val="28"/>
          <w:highlight w:val="none"/>
          <w:lang w:val="en-US" w:eastAsia="zh-CN"/>
        </w:rPr>
      </w:pPr>
      <w:r>
        <w:rPr>
          <w:rFonts w:hint="eastAsia" w:ascii="Calibri Light" w:hAnsi="Calibri Light" w:eastAsia="宋体" w:cs="Times New Roman"/>
          <w:b/>
          <w:bCs/>
          <w:color w:val="auto"/>
          <w:kern w:val="2"/>
          <w:sz w:val="24"/>
          <w:szCs w:val="28"/>
          <w:highlight w:val="none"/>
          <w:lang w:val="en-US" w:eastAsia="zh-CN"/>
        </w:rPr>
        <w:t>三、技术要求</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执行的标准和规范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《光伏发电工程验收规范》 GB 50796-2012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《屋面工程质量验收规范》 GB 50207-2012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《建筑结构加固工程施工质量验收规范》 GB 50550-2010</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《建筑工程施工质量验收统一标准》 GB 50300-2013</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施工组织布署</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（1）建立项目管理组织机构，健全安全质量保证体系。</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（2）组织建设所用的机械、劳动力等保障资源，以满足建设进度的要求。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（3）采购项目所需的组件等设备、支架等材料。</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（4）项目</w:t>
      </w:r>
      <w:r>
        <w:rPr>
          <w:rFonts w:hint="eastAsia" w:ascii="宋体" w:hAnsi="宋体" w:eastAsia="宋体" w:cs="宋体"/>
          <w:color w:val="auto"/>
          <w:kern w:val="2"/>
          <w:sz w:val="21"/>
          <w:szCs w:val="21"/>
          <w:highlight w:val="none"/>
          <w:lang w:val="en-US" w:eastAsia="zh-CN"/>
        </w:rPr>
        <w:t>按照</w:t>
      </w:r>
      <w:r>
        <w:rPr>
          <w:rFonts w:hint="eastAsia" w:ascii="宋体" w:hAnsi="宋体" w:eastAsia="宋体" w:cs="宋体"/>
          <w:color w:val="auto"/>
          <w:kern w:val="2"/>
          <w:sz w:val="21"/>
          <w:szCs w:val="21"/>
          <w:highlight w:val="none"/>
        </w:rPr>
        <w:t>图纸、</w:t>
      </w:r>
      <w:r>
        <w:rPr>
          <w:rFonts w:hint="eastAsia" w:ascii="宋体" w:hAnsi="宋体" w:eastAsia="宋体" w:cs="宋体"/>
          <w:color w:val="auto"/>
          <w:kern w:val="2"/>
          <w:sz w:val="21"/>
          <w:szCs w:val="21"/>
          <w:highlight w:val="none"/>
          <w:lang w:eastAsia="zh-CN"/>
        </w:rPr>
        <w:t>安装调试</w:t>
      </w:r>
      <w:r>
        <w:rPr>
          <w:rFonts w:hint="eastAsia" w:ascii="宋体" w:hAnsi="宋体" w:eastAsia="宋体" w:cs="宋体"/>
          <w:color w:val="auto"/>
          <w:kern w:val="2"/>
          <w:sz w:val="21"/>
          <w:szCs w:val="21"/>
          <w:highlight w:val="none"/>
        </w:rPr>
        <w:t>方案满足项目建设要求。</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项目开工前购买工程一切险（含第三者责任险）、</w:t>
      </w:r>
      <w:r>
        <w:rPr>
          <w:rFonts w:hint="eastAsia" w:ascii="宋体" w:hAnsi="宋体" w:eastAsia="宋体" w:cs="宋体"/>
          <w:color w:val="auto"/>
          <w:kern w:val="2"/>
          <w:sz w:val="21"/>
          <w:szCs w:val="21"/>
          <w:highlight w:val="none"/>
        </w:rPr>
        <w:t>团体人身意外伤害保险。</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项目开工前项目主出口处及每栋建筑施工点都须设置“五牌一图”</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 质量要求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（1）达到国家或</w:t>
      </w:r>
      <w:r>
        <w:rPr>
          <w:rFonts w:hint="eastAsia" w:ascii="宋体" w:hAnsi="宋体" w:eastAsia="宋体" w:cs="宋体"/>
          <w:color w:val="auto"/>
          <w:kern w:val="2"/>
          <w:sz w:val="21"/>
          <w:szCs w:val="21"/>
          <w:highlight w:val="none"/>
          <w:lang w:val="en-US" w:eastAsia="zh-CN"/>
        </w:rPr>
        <w:t>光伏、电力</w:t>
      </w:r>
      <w:r>
        <w:rPr>
          <w:rFonts w:hint="eastAsia" w:ascii="宋体" w:hAnsi="宋体" w:eastAsia="宋体" w:cs="宋体"/>
          <w:color w:val="auto"/>
          <w:kern w:val="2"/>
          <w:sz w:val="21"/>
          <w:szCs w:val="21"/>
          <w:highlight w:val="none"/>
        </w:rPr>
        <w:t>行业质量检验评定的</w:t>
      </w:r>
      <w:r>
        <w:rPr>
          <w:rFonts w:hint="eastAsia" w:ascii="宋体" w:hAnsi="宋体" w:eastAsia="宋体" w:cs="宋体"/>
          <w:color w:val="auto"/>
          <w:kern w:val="2"/>
          <w:sz w:val="21"/>
          <w:szCs w:val="21"/>
          <w:highlight w:val="none"/>
          <w:u w:val="single"/>
        </w:rPr>
        <w:t xml:space="preserve"> 合格 </w:t>
      </w:r>
      <w:r>
        <w:rPr>
          <w:rFonts w:hint="eastAsia" w:ascii="宋体" w:hAnsi="宋体" w:eastAsia="宋体" w:cs="宋体"/>
          <w:color w:val="auto"/>
          <w:kern w:val="2"/>
          <w:sz w:val="21"/>
          <w:szCs w:val="21"/>
          <w:highlight w:val="none"/>
        </w:rPr>
        <w:t>标准。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（2）建立健全质量保证体系，并保证其正常运作。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（3）加强</w:t>
      </w:r>
      <w:r>
        <w:rPr>
          <w:rFonts w:hint="eastAsia" w:ascii="宋体" w:hAnsi="宋体" w:eastAsia="宋体" w:cs="宋体"/>
          <w:color w:val="auto"/>
          <w:kern w:val="2"/>
          <w:sz w:val="21"/>
          <w:szCs w:val="21"/>
          <w:highlight w:val="none"/>
          <w:lang w:eastAsia="zh-CN"/>
        </w:rPr>
        <w:t>安装调试</w:t>
      </w:r>
      <w:r>
        <w:rPr>
          <w:rFonts w:hint="eastAsia" w:ascii="宋体" w:hAnsi="宋体" w:eastAsia="宋体" w:cs="宋体"/>
          <w:color w:val="auto"/>
          <w:kern w:val="2"/>
          <w:sz w:val="21"/>
          <w:szCs w:val="21"/>
          <w:highlight w:val="none"/>
        </w:rPr>
        <w:t>过程控制，设专人对</w:t>
      </w:r>
      <w:r>
        <w:rPr>
          <w:rFonts w:hint="eastAsia" w:ascii="宋体" w:hAnsi="宋体" w:eastAsia="宋体" w:cs="宋体"/>
          <w:color w:val="auto"/>
          <w:kern w:val="2"/>
          <w:sz w:val="21"/>
          <w:szCs w:val="21"/>
          <w:highlight w:val="none"/>
          <w:lang w:eastAsia="zh-CN"/>
        </w:rPr>
        <w:t>安装</w:t>
      </w:r>
      <w:r>
        <w:rPr>
          <w:rFonts w:hint="eastAsia" w:ascii="宋体" w:hAnsi="宋体" w:eastAsia="宋体" w:cs="宋体"/>
          <w:color w:val="auto"/>
          <w:kern w:val="2"/>
          <w:sz w:val="21"/>
          <w:szCs w:val="21"/>
          <w:highlight w:val="none"/>
        </w:rPr>
        <w:t>质量进行跟踪检查。</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（4）对</w:t>
      </w:r>
      <w:r>
        <w:rPr>
          <w:rFonts w:hint="eastAsia" w:ascii="宋体" w:hAnsi="宋体" w:eastAsia="宋体" w:cs="宋体"/>
          <w:color w:val="auto"/>
          <w:kern w:val="2"/>
          <w:sz w:val="21"/>
          <w:szCs w:val="21"/>
          <w:highlight w:val="none"/>
          <w:lang w:eastAsia="zh-CN"/>
        </w:rPr>
        <w:t>项目</w:t>
      </w:r>
      <w:r>
        <w:rPr>
          <w:rFonts w:hint="eastAsia" w:ascii="宋体" w:hAnsi="宋体" w:eastAsia="宋体" w:cs="宋体"/>
          <w:color w:val="auto"/>
          <w:kern w:val="2"/>
          <w:sz w:val="21"/>
          <w:szCs w:val="21"/>
          <w:highlight w:val="none"/>
        </w:rPr>
        <w:t>质量的检查严格执行三检制（自检、互检、专检）。</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 安全保证措施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（1）建立安全生产体系，制定详细的安全保证措施，加强安全管理，保证安全生产无事故。</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的布置符合防火、防爆、防雷电等安全规定及文明施工的要求。</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生活办公用房、仓库、材料堆放场按批准的总平面布置图进行布置。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（3）现场道路保持畅通，危险地点悬挂安全警示标牌，</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设置安全宣传标语。</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（4）各类房屋、库棚、料场等安全消防距离符合有关规定，现场易燃杂物随时清理，严禁在有火种的场所或其近旁堆放易燃物品。</w:t>
      </w:r>
    </w:p>
    <w:p>
      <w:pPr>
        <w:widowControl w:val="0"/>
        <w:tabs>
          <w:tab w:val="left" w:pos="360"/>
        </w:tabs>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）成品保护</w:t>
      </w:r>
      <w:r>
        <w:rPr>
          <w:rFonts w:hint="eastAsia" w:ascii="宋体" w:hAnsi="宋体" w:eastAsia="宋体" w:cs="宋体"/>
          <w:color w:val="auto"/>
          <w:kern w:val="2"/>
          <w:sz w:val="21"/>
          <w:szCs w:val="21"/>
          <w:highlight w:val="none"/>
          <w:lang w:val="en-US" w:eastAsia="zh-CN"/>
        </w:rPr>
        <w:t>措施</w:t>
      </w:r>
      <w:r>
        <w:rPr>
          <w:rFonts w:hint="eastAsia" w:ascii="宋体" w:hAnsi="宋体" w:eastAsia="宋体" w:cs="宋体"/>
          <w:color w:val="auto"/>
          <w:kern w:val="2"/>
          <w:sz w:val="21"/>
          <w:szCs w:val="21"/>
          <w:highlight w:val="none"/>
        </w:rPr>
        <w:t>：彩钢瓦屋面或脆弱屋面在实施前应采集承载数据，符合承载要求才可进行</w:t>
      </w:r>
      <w:r>
        <w:rPr>
          <w:rFonts w:hint="eastAsia" w:ascii="宋体" w:hAnsi="宋体" w:eastAsia="宋体" w:cs="宋体"/>
          <w:color w:val="auto"/>
          <w:kern w:val="2"/>
          <w:sz w:val="21"/>
          <w:szCs w:val="21"/>
          <w:highlight w:val="none"/>
          <w:lang w:eastAsia="zh-CN"/>
        </w:rPr>
        <w:t>安装</w:t>
      </w:r>
      <w:r>
        <w:rPr>
          <w:rFonts w:hint="eastAsia" w:ascii="宋体" w:hAnsi="宋体" w:eastAsia="宋体" w:cs="宋体"/>
          <w:color w:val="auto"/>
          <w:kern w:val="2"/>
          <w:sz w:val="21"/>
          <w:szCs w:val="21"/>
          <w:highlight w:val="none"/>
        </w:rPr>
        <w:t>；应采取避免集中受力的保证措施，如</w:t>
      </w:r>
      <w:r>
        <w:rPr>
          <w:rFonts w:hint="eastAsia" w:ascii="宋体" w:hAnsi="宋体" w:eastAsia="宋体" w:cs="宋体"/>
          <w:color w:val="auto"/>
          <w:kern w:val="2"/>
          <w:sz w:val="21"/>
          <w:szCs w:val="21"/>
          <w:highlight w:val="none"/>
          <w:lang w:val="en-US" w:eastAsia="zh-CN"/>
        </w:rPr>
        <w:t>架</w:t>
      </w:r>
      <w:r>
        <w:rPr>
          <w:rFonts w:hint="eastAsia" w:ascii="宋体" w:hAnsi="宋体" w:eastAsia="宋体" w:cs="宋体"/>
          <w:color w:val="auto"/>
          <w:kern w:val="2"/>
          <w:sz w:val="21"/>
          <w:szCs w:val="21"/>
          <w:highlight w:val="none"/>
        </w:rPr>
        <w:t>设</w:t>
      </w:r>
      <w:r>
        <w:rPr>
          <w:rFonts w:hint="eastAsia" w:ascii="宋体" w:hAnsi="宋体" w:eastAsia="宋体" w:cs="宋体"/>
          <w:b/>
          <w:bCs/>
          <w:color w:val="auto"/>
          <w:kern w:val="2"/>
          <w:sz w:val="21"/>
          <w:szCs w:val="21"/>
          <w:highlight w:val="none"/>
        </w:rPr>
        <w:t>保护踏板</w:t>
      </w:r>
      <w:r>
        <w:rPr>
          <w:rFonts w:hint="eastAsia" w:ascii="宋体" w:hAnsi="宋体" w:eastAsia="宋体" w:cs="宋体"/>
          <w:color w:val="auto"/>
          <w:kern w:val="2"/>
          <w:sz w:val="21"/>
          <w:szCs w:val="21"/>
          <w:highlight w:val="none"/>
        </w:rPr>
        <w:t>或其他增大受力面积的保证措施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w:t>
      </w:r>
      <w:r>
        <w:rPr>
          <w:rFonts w:hint="eastAsia" w:ascii="宋体" w:hAnsi="宋体" w:eastAsia="宋体" w:cs="宋体"/>
          <w:color w:val="auto"/>
          <w:kern w:val="2"/>
          <w:sz w:val="21"/>
          <w:szCs w:val="21"/>
          <w:highlight w:val="none"/>
        </w:rPr>
        <w:t>必须优先</w:t>
      </w:r>
      <w:r>
        <w:rPr>
          <w:rFonts w:hint="eastAsia" w:ascii="宋体" w:hAnsi="宋体" w:eastAsia="宋体" w:cs="宋体"/>
          <w:color w:val="auto"/>
          <w:kern w:val="2"/>
          <w:sz w:val="21"/>
          <w:szCs w:val="21"/>
          <w:highlight w:val="none"/>
          <w:lang w:val="en-US" w:eastAsia="zh-CN"/>
        </w:rPr>
        <w:t>安装</w:t>
      </w:r>
      <w:r>
        <w:rPr>
          <w:rFonts w:hint="eastAsia" w:ascii="宋体" w:hAnsi="宋体" w:eastAsia="宋体" w:cs="宋体"/>
          <w:color w:val="auto"/>
          <w:kern w:val="2"/>
          <w:sz w:val="21"/>
          <w:szCs w:val="21"/>
          <w:highlight w:val="none"/>
        </w:rPr>
        <w:t>运维通道，避免彩钢瓦因集中受力</w:t>
      </w:r>
      <w:r>
        <w:rPr>
          <w:rFonts w:hint="eastAsia" w:ascii="宋体" w:hAnsi="宋体" w:eastAsia="宋体" w:cs="宋体"/>
          <w:color w:val="auto"/>
          <w:kern w:val="2"/>
          <w:sz w:val="21"/>
          <w:szCs w:val="21"/>
          <w:highlight w:val="none"/>
          <w:lang w:val="en-US" w:eastAsia="zh-CN"/>
        </w:rPr>
        <w:t>变形破裂</w:t>
      </w:r>
      <w:r>
        <w:rPr>
          <w:rFonts w:hint="eastAsia" w:ascii="宋体" w:hAnsi="宋体" w:eastAsia="宋体" w:cs="宋体"/>
          <w:color w:val="auto"/>
          <w:kern w:val="2"/>
          <w:sz w:val="21"/>
          <w:szCs w:val="21"/>
          <w:highlight w:val="none"/>
        </w:rPr>
        <w:t>受损。如因保护措施不足，使原有彩钢瓦受损，</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应承担维修责任及费用，情况严重的，我司有权要求更换整片彩钢瓦</w:t>
      </w:r>
      <w:r>
        <w:rPr>
          <w:rFonts w:hint="eastAsia" w:ascii="宋体" w:hAnsi="宋体" w:eastAsia="宋体" w:cs="宋体"/>
          <w:color w:val="auto"/>
          <w:kern w:val="2"/>
          <w:sz w:val="21"/>
          <w:szCs w:val="21"/>
          <w:highlight w:val="none"/>
          <w:lang w:val="en-US" w:eastAsia="zh-CN"/>
        </w:rPr>
        <w:t>屋面</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的临时用电严格按照《施工现场临时用电安全技术规范》JGJ46-2005 的规定执行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严格按照三相五线制布设电线，做到二级保护，三级控制，一机一闸</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同时需出专项方案</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的</w:t>
      </w:r>
      <w:r>
        <w:rPr>
          <w:rFonts w:hint="eastAsia" w:ascii="宋体" w:hAnsi="宋体" w:eastAsia="宋体" w:cs="宋体"/>
          <w:color w:val="auto"/>
          <w:kern w:val="2"/>
          <w:sz w:val="21"/>
          <w:szCs w:val="21"/>
          <w:highlight w:val="none"/>
          <w:lang w:val="en-US" w:eastAsia="zh-CN"/>
        </w:rPr>
        <w:t>高处作业严格</w:t>
      </w:r>
      <w:r>
        <w:rPr>
          <w:rFonts w:hint="eastAsia" w:ascii="宋体" w:hAnsi="宋体" w:eastAsia="宋体" w:cs="宋体"/>
          <w:color w:val="auto"/>
          <w:kern w:val="2"/>
          <w:sz w:val="21"/>
          <w:szCs w:val="21"/>
          <w:highlight w:val="none"/>
        </w:rPr>
        <w:t>按照《建筑施工高处作业安全技术规范》JGJ80-2016的规定</w:t>
      </w:r>
      <w:r>
        <w:rPr>
          <w:rFonts w:hint="eastAsia" w:ascii="宋体" w:hAnsi="宋体" w:eastAsia="宋体" w:cs="宋体"/>
          <w:color w:val="auto"/>
          <w:kern w:val="2"/>
          <w:sz w:val="21"/>
          <w:szCs w:val="21"/>
          <w:highlight w:val="none"/>
          <w:lang w:val="en-US" w:eastAsia="zh-CN"/>
        </w:rPr>
        <w:t>落实安全措施，</w:t>
      </w:r>
      <w:r>
        <w:rPr>
          <w:rFonts w:hint="eastAsia" w:ascii="宋体" w:hAnsi="宋体" w:eastAsia="宋体" w:cs="宋体"/>
          <w:b/>
          <w:bCs/>
          <w:color w:val="auto"/>
          <w:kern w:val="2"/>
          <w:sz w:val="21"/>
          <w:szCs w:val="21"/>
          <w:highlight w:val="none"/>
          <w:lang w:val="en-US" w:eastAsia="zh-CN"/>
        </w:rPr>
        <w:t>正确佩戴五点式安全带（绳）</w:t>
      </w:r>
      <w:r>
        <w:rPr>
          <w:rFonts w:hint="eastAsia" w:ascii="宋体" w:hAnsi="宋体" w:eastAsia="宋体" w:cs="宋体"/>
          <w:color w:val="auto"/>
          <w:kern w:val="2"/>
          <w:sz w:val="21"/>
          <w:szCs w:val="21"/>
          <w:highlight w:val="none"/>
          <w:lang w:val="en-US" w:eastAsia="zh-CN"/>
        </w:rPr>
        <w:t>、安全帽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同时需出专项方案</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的</w:t>
      </w:r>
      <w:r>
        <w:rPr>
          <w:rFonts w:hint="eastAsia" w:ascii="宋体" w:hAnsi="宋体" w:eastAsia="宋体" w:cs="宋体"/>
          <w:color w:val="auto"/>
          <w:kern w:val="2"/>
          <w:sz w:val="21"/>
          <w:szCs w:val="21"/>
          <w:highlight w:val="none"/>
          <w:lang w:val="en-US" w:eastAsia="zh-CN"/>
        </w:rPr>
        <w:t>吊装作业必须设置警戒区域，禁止人员跟随物体起吊，禁止人员站在吊物作业范围内下方</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同时需出专项方案</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项目现场</w:t>
      </w:r>
      <w:r>
        <w:rPr>
          <w:rFonts w:hint="eastAsia" w:ascii="宋体" w:hAnsi="宋体" w:eastAsia="宋体" w:cs="宋体"/>
          <w:color w:val="auto"/>
          <w:kern w:val="2"/>
          <w:sz w:val="21"/>
          <w:szCs w:val="21"/>
          <w:highlight w:val="none"/>
        </w:rPr>
        <w:t>的</w:t>
      </w:r>
      <w:r>
        <w:rPr>
          <w:rFonts w:hint="eastAsia" w:ascii="宋体" w:hAnsi="宋体" w:eastAsia="宋体" w:cs="宋体"/>
          <w:color w:val="auto"/>
          <w:kern w:val="2"/>
          <w:sz w:val="21"/>
          <w:szCs w:val="21"/>
          <w:highlight w:val="none"/>
          <w:lang w:val="en-US" w:eastAsia="zh-CN"/>
        </w:rPr>
        <w:t>动火作业点应落实消防安全措施</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清理周边易燃、可燃物体，设置灭火毯、灭火器等设施</w:t>
      </w:r>
      <w:r>
        <w:rPr>
          <w:rFonts w:hint="eastAsia" w:ascii="宋体" w:hAnsi="宋体" w:eastAsia="宋体" w:cs="宋体"/>
          <w:color w:val="auto"/>
          <w:kern w:val="2"/>
          <w:sz w:val="21"/>
          <w:szCs w:val="21"/>
          <w:highlight w:val="none"/>
        </w:rPr>
        <w:t>，严禁在</w:t>
      </w:r>
      <w:r>
        <w:rPr>
          <w:rFonts w:hint="eastAsia" w:ascii="宋体" w:hAnsi="宋体" w:eastAsia="宋体" w:cs="宋体"/>
          <w:color w:val="auto"/>
          <w:kern w:val="2"/>
          <w:sz w:val="21"/>
          <w:szCs w:val="21"/>
          <w:highlight w:val="none"/>
          <w:lang w:val="en-US" w:eastAsia="zh-CN"/>
        </w:rPr>
        <w:t>禁火区域进行动火</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同时需出专项方案</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项目现场</w:t>
      </w:r>
      <w:r>
        <w:rPr>
          <w:rFonts w:hint="eastAsia" w:ascii="宋体" w:hAnsi="宋体" w:eastAsia="宋体" w:cs="宋体"/>
          <w:color w:val="auto"/>
          <w:kern w:val="2"/>
          <w:sz w:val="21"/>
          <w:szCs w:val="21"/>
          <w:highlight w:val="none"/>
        </w:rPr>
        <w:t>设立安全</w:t>
      </w:r>
      <w:r>
        <w:rPr>
          <w:rFonts w:hint="eastAsia" w:ascii="宋体" w:hAnsi="宋体" w:eastAsia="宋体" w:cs="宋体"/>
          <w:color w:val="auto"/>
          <w:kern w:val="2"/>
          <w:sz w:val="21"/>
          <w:szCs w:val="21"/>
          <w:highlight w:val="none"/>
          <w:lang w:val="en-US" w:eastAsia="zh-CN"/>
        </w:rPr>
        <w:t>警示牌</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危险区域必须</w:t>
      </w:r>
      <w:r>
        <w:rPr>
          <w:rFonts w:hint="eastAsia" w:ascii="宋体" w:hAnsi="宋体" w:eastAsia="宋体" w:cs="宋体"/>
          <w:color w:val="auto"/>
          <w:kern w:val="2"/>
          <w:sz w:val="21"/>
          <w:szCs w:val="21"/>
          <w:highlight w:val="none"/>
        </w:rPr>
        <w:t>悬挂“</w:t>
      </w:r>
      <w:r>
        <w:rPr>
          <w:rFonts w:hint="eastAsia" w:ascii="宋体" w:hAnsi="宋体" w:eastAsia="宋体" w:cs="宋体"/>
          <w:color w:val="auto"/>
          <w:kern w:val="2"/>
          <w:sz w:val="21"/>
          <w:szCs w:val="21"/>
          <w:highlight w:val="none"/>
          <w:lang w:val="en-US" w:eastAsia="zh-CN"/>
        </w:rPr>
        <w:t>临边区域，当心坠落</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高空作业，当心坠落</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小心踏空，以防坠落</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以防坠落，请勿攀爬</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吊装作业，请勿靠近</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高压有电，请勿靠近</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当心触电</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注意安全</w:t>
      </w:r>
      <w:r>
        <w:rPr>
          <w:rFonts w:hint="eastAsia" w:ascii="宋体" w:hAnsi="宋体" w:eastAsia="宋体" w:cs="宋体"/>
          <w:color w:val="auto"/>
          <w:kern w:val="2"/>
          <w:sz w:val="21"/>
          <w:szCs w:val="21"/>
          <w:highlight w:val="none"/>
        </w:rPr>
        <w:t xml:space="preserve"> ”</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“严禁烟火”、“禁止通行”或“</w:t>
      </w:r>
      <w:r>
        <w:rPr>
          <w:rFonts w:hint="eastAsia" w:ascii="宋体" w:hAnsi="宋体" w:eastAsia="宋体" w:cs="宋体"/>
          <w:color w:val="auto"/>
          <w:kern w:val="2"/>
          <w:sz w:val="21"/>
          <w:szCs w:val="21"/>
          <w:highlight w:val="none"/>
          <w:lang w:val="en-US" w:eastAsia="zh-CN"/>
        </w:rPr>
        <w:t>高空作业，系好安全带</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必须系安全带</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必须戴安全帽</w:t>
      </w:r>
      <w:r>
        <w:rPr>
          <w:rFonts w:hint="eastAsia" w:ascii="宋体" w:hAnsi="宋体" w:eastAsia="宋体" w:cs="宋体"/>
          <w:color w:val="auto"/>
          <w:kern w:val="2"/>
          <w:sz w:val="21"/>
          <w:szCs w:val="21"/>
          <w:highlight w:val="none"/>
        </w:rPr>
        <w:t>”等</w:t>
      </w:r>
      <w:r>
        <w:rPr>
          <w:rFonts w:hint="eastAsia" w:ascii="宋体" w:hAnsi="宋体" w:eastAsia="宋体" w:cs="宋体"/>
          <w:color w:val="auto"/>
          <w:kern w:val="2"/>
          <w:sz w:val="21"/>
          <w:szCs w:val="21"/>
          <w:highlight w:val="none"/>
          <w:lang w:val="en-US" w:eastAsia="zh-CN"/>
        </w:rPr>
        <w:t>警示</w:t>
      </w:r>
      <w:r>
        <w:rPr>
          <w:rFonts w:hint="eastAsia" w:ascii="宋体" w:hAnsi="宋体" w:eastAsia="宋体" w:cs="宋体"/>
          <w:color w:val="auto"/>
          <w:kern w:val="2"/>
          <w:sz w:val="21"/>
          <w:szCs w:val="21"/>
          <w:highlight w:val="none"/>
        </w:rPr>
        <w:t>标志。</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各处堵路</w:t>
      </w:r>
      <w:r>
        <w:rPr>
          <w:rFonts w:hint="eastAsia" w:ascii="宋体" w:hAnsi="宋体" w:eastAsia="宋体" w:cs="宋体"/>
          <w:color w:val="auto"/>
          <w:kern w:val="2"/>
          <w:sz w:val="21"/>
          <w:szCs w:val="21"/>
          <w:highlight w:val="none"/>
        </w:rPr>
        <w:t>垂直接地极</w:t>
      </w:r>
      <w:r>
        <w:rPr>
          <w:rFonts w:hint="eastAsia" w:ascii="宋体" w:hAnsi="宋体" w:eastAsia="宋体" w:cs="宋体"/>
          <w:color w:val="auto"/>
          <w:kern w:val="2"/>
          <w:sz w:val="21"/>
          <w:szCs w:val="21"/>
          <w:highlight w:val="none"/>
          <w:lang w:val="en-US" w:eastAsia="zh-CN"/>
        </w:rPr>
        <w:t>需配置接地标志</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）配电房、并网柜、交流汇流箱、逆变器</w:t>
      </w:r>
      <w:r>
        <w:rPr>
          <w:rFonts w:hint="eastAsia" w:ascii="宋体" w:hAnsi="宋体" w:eastAsia="宋体" w:cs="宋体"/>
          <w:color w:val="auto"/>
          <w:kern w:val="2"/>
          <w:sz w:val="21"/>
          <w:szCs w:val="21"/>
          <w:highlight w:val="none"/>
          <w:lang w:val="en-US" w:eastAsia="zh-CN"/>
        </w:rPr>
        <w:t>等电气设备</w:t>
      </w:r>
      <w:r>
        <w:rPr>
          <w:rFonts w:hint="eastAsia" w:ascii="宋体" w:hAnsi="宋体" w:eastAsia="宋体" w:cs="宋体"/>
          <w:color w:val="auto"/>
          <w:kern w:val="2"/>
          <w:sz w:val="21"/>
          <w:szCs w:val="21"/>
          <w:highlight w:val="none"/>
        </w:rPr>
        <w:t>的安健环必须满足供电验收要求并设计“当心触电”、“高压有电，请勿靠近”等安全警示标志。</w:t>
      </w:r>
    </w:p>
    <w:p>
      <w:pPr>
        <w:widowControl w:val="0"/>
        <w:tabs>
          <w:tab w:val="left" w:pos="360"/>
        </w:tabs>
        <w:adjustRightInd/>
        <w:snapToGrid/>
        <w:spacing w:after="0" w:line="288" w:lineRule="auto"/>
        <w:ind w:firstLine="420" w:firstLineChars="200"/>
        <w:jc w:val="both"/>
        <w:rPr>
          <w:color w:val="auto"/>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项目现场施工人员穿戴反光衣（附有“东莞能源”LOGO）</w:t>
      </w:r>
      <w:r>
        <w:rPr>
          <w:rFonts w:hint="eastAsia" w:ascii="宋体" w:hAnsi="宋体" w:eastAsia="宋体" w:cs="宋体"/>
          <w:color w:val="auto"/>
          <w:kern w:val="2"/>
          <w:sz w:val="21"/>
          <w:szCs w:val="21"/>
          <w:highlight w:val="none"/>
        </w:rPr>
        <w:t>。</w:t>
      </w:r>
    </w:p>
    <w:p>
      <w:pPr>
        <w:keepNext/>
        <w:keepLines/>
        <w:widowControl w:val="0"/>
        <w:adjustRightInd/>
        <w:snapToGrid/>
        <w:spacing w:after="0" w:line="240" w:lineRule="auto"/>
        <w:jc w:val="both"/>
        <w:outlineLvl w:val="9"/>
        <w:rPr>
          <w:rFonts w:ascii="Calibri Light" w:hAnsi="Calibri Light" w:eastAsia="宋体" w:cs="Times New Roman"/>
          <w:b/>
          <w:bCs/>
          <w:color w:val="auto"/>
          <w:kern w:val="2"/>
          <w:sz w:val="24"/>
          <w:szCs w:val="28"/>
          <w:highlight w:val="none"/>
        </w:rPr>
      </w:pP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lang w:val="en-US" w:eastAsia="zh-CN"/>
        </w:rPr>
        <w:t>四</w:t>
      </w:r>
      <w:r>
        <w:rPr>
          <w:rFonts w:hint="eastAsia" w:ascii="Calibri Light" w:hAnsi="Calibri Light" w:eastAsia="宋体" w:cs="Times New Roman"/>
          <w:b/>
          <w:bCs/>
          <w:color w:val="auto"/>
          <w:kern w:val="2"/>
          <w:sz w:val="24"/>
          <w:szCs w:val="28"/>
          <w:highlight w:val="none"/>
        </w:rPr>
        <w:t>、安全运维技术要求</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 xml:space="preserve">1. </w:t>
      </w:r>
      <w:r>
        <w:rPr>
          <w:rFonts w:hint="eastAsia" w:ascii="宋体" w:hAnsi="宋体" w:eastAsia="宋体" w:cs="宋体"/>
          <w:b/>
          <w:bCs/>
          <w:color w:val="auto"/>
          <w:kern w:val="2"/>
          <w:sz w:val="21"/>
          <w:szCs w:val="21"/>
          <w:highlight w:val="none"/>
          <w:lang w:val="en-US" w:eastAsia="zh-CN"/>
        </w:rPr>
        <w:t>安全</w:t>
      </w:r>
      <w:r>
        <w:rPr>
          <w:rFonts w:hint="eastAsia" w:ascii="宋体" w:hAnsi="宋体" w:eastAsia="宋体" w:cs="宋体"/>
          <w:b/>
          <w:bCs/>
          <w:color w:val="auto"/>
          <w:kern w:val="2"/>
          <w:sz w:val="21"/>
          <w:szCs w:val="21"/>
          <w:highlight w:val="none"/>
        </w:rPr>
        <w:t>运维要求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光伏系统</w:t>
      </w:r>
      <w:r>
        <w:rPr>
          <w:rFonts w:hint="eastAsia" w:ascii="宋体" w:hAnsi="宋体" w:eastAsia="宋体" w:cs="宋体"/>
          <w:color w:val="auto"/>
          <w:kern w:val="2"/>
          <w:sz w:val="21"/>
          <w:szCs w:val="21"/>
          <w:highlight w:val="none"/>
        </w:rPr>
        <w:t>投入运行后，投资方应当制定相应的运维制度，成立专门的管理团队，确保光伏设施的安全运行；</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在质保期内需配合投资方</w:t>
      </w:r>
      <w:r>
        <w:rPr>
          <w:rFonts w:hint="eastAsia" w:ascii="宋体" w:hAnsi="宋体" w:eastAsia="宋体" w:cs="宋体"/>
          <w:color w:val="auto"/>
          <w:kern w:val="2"/>
          <w:sz w:val="21"/>
          <w:szCs w:val="21"/>
          <w:highlight w:val="none"/>
          <w:lang w:val="en-US" w:eastAsia="zh-CN"/>
        </w:rPr>
        <w:t>安全运维部门进行</w:t>
      </w:r>
      <w:r>
        <w:rPr>
          <w:rFonts w:hint="eastAsia" w:ascii="宋体" w:hAnsi="宋体" w:eastAsia="宋体" w:cs="宋体"/>
          <w:color w:val="auto"/>
          <w:kern w:val="2"/>
          <w:sz w:val="21"/>
          <w:szCs w:val="21"/>
          <w:highlight w:val="none"/>
        </w:rPr>
        <w:t>运维管理。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光伏系统</w:t>
      </w:r>
      <w:r>
        <w:rPr>
          <w:rFonts w:hint="eastAsia" w:ascii="宋体" w:hAnsi="宋体" w:eastAsia="宋体" w:cs="宋体"/>
          <w:color w:val="auto"/>
          <w:kern w:val="2"/>
          <w:sz w:val="21"/>
          <w:szCs w:val="21"/>
          <w:highlight w:val="none"/>
        </w:rPr>
        <w:t>投入运行后经营期最高不得超过 25 年；最低不得低于 10 年；</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（3）质保期内</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应确保</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系统安全、稳定、可靠运行，定期派人检查、监管和记录项目的运行情况，并定期汇总给投资方</w:t>
      </w:r>
      <w:r>
        <w:rPr>
          <w:rFonts w:hint="eastAsia" w:ascii="宋体" w:hAnsi="宋体" w:eastAsia="宋体" w:cs="宋体"/>
          <w:color w:val="auto"/>
          <w:kern w:val="2"/>
          <w:sz w:val="21"/>
          <w:szCs w:val="21"/>
          <w:highlight w:val="none"/>
          <w:lang w:val="en-US" w:eastAsia="zh-CN"/>
        </w:rPr>
        <w:t>安全运维部门</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承包单位</w:t>
      </w:r>
      <w:r>
        <w:rPr>
          <w:rFonts w:hint="eastAsia" w:ascii="宋体" w:hAnsi="宋体" w:eastAsia="宋体" w:cs="宋体"/>
          <w:color w:val="auto"/>
          <w:kern w:val="2"/>
          <w:sz w:val="21"/>
          <w:szCs w:val="21"/>
          <w:highlight w:val="none"/>
        </w:rPr>
        <w:t>承诺对</w:t>
      </w:r>
      <w:r>
        <w:rPr>
          <w:rFonts w:hint="eastAsia" w:ascii="宋体" w:hAnsi="宋体" w:eastAsia="宋体" w:cs="宋体"/>
          <w:color w:val="auto"/>
          <w:kern w:val="2"/>
          <w:sz w:val="21"/>
          <w:szCs w:val="21"/>
          <w:highlight w:val="none"/>
          <w:lang w:val="en-US" w:eastAsia="zh-CN"/>
        </w:rPr>
        <w:t>光伏系统</w:t>
      </w:r>
      <w:r>
        <w:rPr>
          <w:rFonts w:hint="eastAsia" w:ascii="宋体" w:hAnsi="宋体" w:eastAsia="宋体" w:cs="宋体"/>
          <w:color w:val="auto"/>
          <w:kern w:val="2"/>
          <w:sz w:val="21"/>
          <w:szCs w:val="21"/>
          <w:highlight w:val="none"/>
        </w:rPr>
        <w:t>提供合同期内维修保养服务，并承担维修保养费用。</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 xml:space="preserve">2. </w:t>
      </w:r>
      <w:r>
        <w:rPr>
          <w:rFonts w:hint="eastAsia" w:ascii="宋体" w:hAnsi="宋体" w:eastAsia="宋体" w:cs="宋体"/>
          <w:b/>
          <w:bCs/>
          <w:color w:val="auto"/>
          <w:kern w:val="2"/>
          <w:sz w:val="21"/>
          <w:szCs w:val="21"/>
          <w:highlight w:val="none"/>
          <w:lang w:val="en-US" w:eastAsia="zh-CN"/>
        </w:rPr>
        <w:t>安全</w:t>
      </w:r>
      <w:r>
        <w:rPr>
          <w:rFonts w:hint="eastAsia" w:ascii="宋体" w:hAnsi="宋体" w:eastAsia="宋体" w:cs="宋体"/>
          <w:b/>
          <w:bCs/>
          <w:color w:val="auto"/>
          <w:kern w:val="2"/>
          <w:sz w:val="21"/>
          <w:szCs w:val="21"/>
          <w:highlight w:val="none"/>
        </w:rPr>
        <w:t>运维设施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水清洗</w:t>
      </w:r>
      <w:r>
        <w:rPr>
          <w:rFonts w:hint="eastAsia" w:ascii="宋体" w:hAnsi="宋体" w:eastAsia="宋体" w:cs="宋体"/>
          <w:color w:val="auto"/>
          <w:kern w:val="2"/>
          <w:sz w:val="21"/>
          <w:szCs w:val="21"/>
          <w:highlight w:val="none"/>
        </w:rPr>
        <w:t>系统</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①考虑到后期</w:t>
      </w:r>
      <w:r>
        <w:rPr>
          <w:rFonts w:hint="eastAsia" w:ascii="宋体" w:hAnsi="宋体" w:eastAsia="宋体" w:cs="宋体"/>
          <w:color w:val="auto"/>
          <w:kern w:val="2"/>
          <w:sz w:val="21"/>
          <w:szCs w:val="21"/>
          <w:highlight w:val="none"/>
          <w:lang w:val="en-US" w:eastAsia="zh-CN"/>
        </w:rPr>
        <w:t>光伏组件</w:t>
      </w:r>
      <w:r>
        <w:rPr>
          <w:rFonts w:hint="eastAsia" w:ascii="宋体" w:hAnsi="宋体" w:eastAsia="宋体" w:cs="宋体"/>
          <w:color w:val="auto"/>
          <w:kern w:val="2"/>
          <w:sz w:val="21"/>
          <w:szCs w:val="21"/>
          <w:highlight w:val="none"/>
        </w:rPr>
        <w:t>清洗，每个屋面光伏</w:t>
      </w:r>
      <w:r>
        <w:rPr>
          <w:rFonts w:hint="eastAsia" w:ascii="宋体" w:hAnsi="宋体" w:eastAsia="宋体" w:cs="宋体"/>
          <w:color w:val="auto"/>
          <w:kern w:val="2"/>
          <w:sz w:val="21"/>
          <w:szCs w:val="21"/>
          <w:highlight w:val="none"/>
          <w:lang w:val="en-US" w:eastAsia="zh-CN"/>
        </w:rPr>
        <w:t>系统需</w:t>
      </w:r>
      <w:r>
        <w:rPr>
          <w:rFonts w:hint="eastAsia" w:ascii="宋体" w:hAnsi="宋体" w:eastAsia="宋体" w:cs="宋体"/>
          <w:color w:val="auto"/>
          <w:kern w:val="2"/>
          <w:sz w:val="21"/>
          <w:szCs w:val="21"/>
          <w:highlight w:val="none"/>
        </w:rPr>
        <w:t>设计</w:t>
      </w:r>
      <w:r>
        <w:rPr>
          <w:rFonts w:hint="eastAsia" w:ascii="宋体" w:hAnsi="宋体" w:eastAsia="宋体" w:cs="宋体"/>
          <w:color w:val="auto"/>
          <w:kern w:val="2"/>
          <w:sz w:val="21"/>
          <w:szCs w:val="21"/>
          <w:highlight w:val="none"/>
          <w:lang w:val="en-US" w:eastAsia="zh-CN"/>
        </w:rPr>
        <w:t>水清洗</w:t>
      </w:r>
      <w:r>
        <w:rPr>
          <w:rFonts w:hint="eastAsia" w:ascii="宋体" w:hAnsi="宋体" w:eastAsia="宋体" w:cs="宋体"/>
          <w:color w:val="auto"/>
          <w:kern w:val="2"/>
          <w:sz w:val="21"/>
          <w:szCs w:val="21"/>
          <w:highlight w:val="none"/>
        </w:rPr>
        <w:t>系统，要求在</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组件排布屋面安装</w:t>
      </w:r>
      <w:r>
        <w:rPr>
          <w:rFonts w:hint="eastAsia" w:ascii="宋体" w:hAnsi="宋体" w:eastAsia="宋体" w:cs="宋体"/>
          <w:color w:val="auto"/>
          <w:kern w:val="2"/>
          <w:sz w:val="21"/>
          <w:szCs w:val="21"/>
          <w:highlight w:val="none"/>
          <w:lang w:val="en-US" w:eastAsia="zh-CN"/>
        </w:rPr>
        <w:t>水管，并在出水口加装</w:t>
      </w:r>
      <w:r>
        <w:rPr>
          <w:rFonts w:hint="eastAsia" w:ascii="宋体" w:hAnsi="宋体" w:eastAsia="宋体" w:cs="宋体"/>
          <w:color w:val="auto"/>
          <w:kern w:val="2"/>
          <w:sz w:val="21"/>
          <w:szCs w:val="21"/>
          <w:highlight w:val="none"/>
        </w:rPr>
        <w:t>水龙头，</w:t>
      </w:r>
      <w:r>
        <w:rPr>
          <w:rFonts w:hint="eastAsia" w:ascii="宋体" w:hAnsi="宋体" w:eastAsia="宋体" w:cs="宋体"/>
          <w:color w:val="auto"/>
          <w:kern w:val="2"/>
          <w:sz w:val="21"/>
          <w:szCs w:val="21"/>
          <w:highlight w:val="none"/>
          <w:lang w:val="en-US" w:eastAsia="zh-CN"/>
        </w:rPr>
        <w:t>在每个接水口需要</w:t>
      </w:r>
      <w:r>
        <w:rPr>
          <w:rFonts w:hint="eastAsia" w:ascii="宋体" w:hAnsi="宋体" w:eastAsia="宋体" w:cs="宋体"/>
          <w:color w:val="auto"/>
          <w:kern w:val="2"/>
          <w:sz w:val="21"/>
          <w:szCs w:val="21"/>
          <w:highlight w:val="none"/>
        </w:rPr>
        <w:t>配置相应的计量水表。</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w:t>
      </w:r>
      <w:r>
        <w:rPr>
          <w:rFonts w:hint="eastAsia" w:ascii="宋体" w:hAnsi="宋体" w:eastAsia="宋体" w:cs="宋体"/>
          <w:color w:val="auto"/>
          <w:kern w:val="2"/>
          <w:sz w:val="21"/>
          <w:szCs w:val="21"/>
          <w:highlight w:val="none"/>
          <w:lang w:val="en-US" w:eastAsia="zh-CN"/>
        </w:rPr>
        <w:t>水清洗</w:t>
      </w:r>
      <w:r>
        <w:rPr>
          <w:rFonts w:hint="eastAsia" w:ascii="宋体" w:hAnsi="宋体" w:eastAsia="宋体" w:cs="宋体"/>
          <w:color w:val="auto"/>
          <w:kern w:val="2"/>
          <w:sz w:val="21"/>
          <w:szCs w:val="21"/>
          <w:highlight w:val="none"/>
        </w:rPr>
        <w:t>系统冲洗端</w:t>
      </w:r>
      <w:r>
        <w:rPr>
          <w:rFonts w:hint="eastAsia" w:ascii="宋体" w:hAnsi="宋体" w:eastAsia="宋体" w:cs="宋体"/>
          <w:color w:val="auto"/>
          <w:kern w:val="2"/>
          <w:sz w:val="21"/>
          <w:szCs w:val="21"/>
          <w:highlight w:val="none"/>
          <w:lang w:val="en-US" w:eastAsia="zh-CN"/>
        </w:rPr>
        <w:t>水压不足（压力小于</w:t>
      </w:r>
      <w:r>
        <w:rPr>
          <w:rFonts w:hint="eastAsia" w:ascii="宋体" w:hAnsi="宋体" w:eastAsia="宋体" w:cs="宋体"/>
          <w:color w:val="auto"/>
          <w:kern w:val="2"/>
          <w:sz w:val="21"/>
          <w:szCs w:val="21"/>
          <w:highlight w:val="none"/>
        </w:rPr>
        <w:t>0.2MPa</w:t>
      </w:r>
      <w:r>
        <w:rPr>
          <w:rFonts w:hint="eastAsia" w:ascii="宋体" w:hAnsi="宋体" w:eastAsia="宋体" w:cs="宋体"/>
          <w:color w:val="auto"/>
          <w:kern w:val="2"/>
          <w:sz w:val="21"/>
          <w:szCs w:val="21"/>
          <w:highlight w:val="none"/>
          <w:lang w:val="en-US" w:eastAsia="zh-CN"/>
        </w:rPr>
        <w:t>时）需加装</w:t>
      </w:r>
      <w:r>
        <w:rPr>
          <w:rFonts w:hint="eastAsia" w:ascii="宋体" w:hAnsi="宋体" w:eastAsia="宋体" w:cs="宋体"/>
          <w:color w:val="auto"/>
          <w:kern w:val="2"/>
          <w:sz w:val="21"/>
          <w:szCs w:val="21"/>
          <w:highlight w:val="none"/>
        </w:rPr>
        <w:t>增压泵，出口压力可调节，最小出口压力保证</w:t>
      </w:r>
      <w:r>
        <w:rPr>
          <w:rFonts w:hint="eastAsia" w:ascii="宋体" w:hAnsi="宋体" w:eastAsia="宋体" w:cs="宋体"/>
          <w:color w:val="auto"/>
          <w:kern w:val="2"/>
          <w:sz w:val="21"/>
          <w:szCs w:val="21"/>
          <w:highlight w:val="none"/>
          <w:lang w:val="en-US" w:eastAsia="zh-CN"/>
        </w:rPr>
        <w:t>每</w:t>
      </w:r>
      <w:r>
        <w:rPr>
          <w:rFonts w:hint="eastAsia" w:ascii="宋体" w:hAnsi="宋体" w:eastAsia="宋体" w:cs="宋体"/>
          <w:color w:val="auto"/>
          <w:kern w:val="2"/>
          <w:sz w:val="21"/>
          <w:szCs w:val="21"/>
          <w:highlight w:val="none"/>
        </w:rPr>
        <w:t>个终端同时开启时冲洗压力大于0.2MPa，泵入口设置可拆卸式滤网保证冲洗水不含杂质。</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③所有的冲洗水管采用</w:t>
      </w:r>
      <w:r>
        <w:rPr>
          <w:rFonts w:hint="eastAsia" w:ascii="宋体" w:hAnsi="宋体" w:eastAsia="宋体" w:cs="宋体"/>
          <w:b/>
          <w:bCs/>
          <w:color w:val="auto"/>
          <w:kern w:val="2"/>
          <w:sz w:val="21"/>
          <w:szCs w:val="21"/>
          <w:highlight w:val="none"/>
        </w:rPr>
        <w:t>PPR热熔管</w:t>
      </w:r>
      <w:r>
        <w:rPr>
          <w:rFonts w:hint="eastAsia" w:ascii="宋体" w:hAnsi="宋体" w:eastAsia="宋体" w:cs="宋体"/>
          <w:color w:val="auto"/>
          <w:kern w:val="2"/>
          <w:sz w:val="21"/>
          <w:szCs w:val="21"/>
          <w:highlight w:val="none"/>
        </w:rPr>
        <w:t>，清洗水管管网放在通道上</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水管拖长不超过</w:t>
      </w:r>
      <w:r>
        <w:rPr>
          <w:rFonts w:hint="eastAsia" w:ascii="宋体" w:hAnsi="宋体" w:eastAsia="宋体" w:cs="宋体"/>
          <w:color w:val="auto"/>
          <w:kern w:val="2"/>
          <w:sz w:val="21"/>
          <w:szCs w:val="21"/>
          <w:highlight w:val="none"/>
          <w:lang w:val="en-US" w:eastAsia="zh-CN"/>
        </w:rPr>
        <w:t>50</w:t>
      </w:r>
      <w:r>
        <w:rPr>
          <w:rFonts w:hint="eastAsia" w:ascii="宋体" w:hAnsi="宋体" w:eastAsia="宋体" w:cs="宋体"/>
          <w:color w:val="auto"/>
          <w:kern w:val="2"/>
          <w:sz w:val="21"/>
          <w:szCs w:val="21"/>
          <w:highlight w:val="none"/>
        </w:rPr>
        <w:t>米且不能放在</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组件上，在阵列式屋面、彩钢瓦屋面、棚架</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组件面每25米设置一个水龙头，按只能走通道的原则来布置水龙头。</w:t>
      </w:r>
    </w:p>
    <w:p>
      <w:pPr>
        <w:widowControl w:val="0"/>
        <w:tabs>
          <w:tab w:val="left" w:pos="360"/>
        </w:tabs>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④</w:t>
      </w:r>
      <w:r>
        <w:rPr>
          <w:rFonts w:hint="eastAsia" w:ascii="宋体" w:hAnsi="宋体" w:eastAsia="宋体" w:cs="宋体"/>
          <w:color w:val="auto"/>
          <w:kern w:val="2"/>
          <w:sz w:val="21"/>
          <w:szCs w:val="21"/>
          <w:highlight w:val="none"/>
          <w:lang w:val="en-US" w:eastAsia="zh-CN"/>
        </w:rPr>
        <w:t>水管、水龙头应安装整齐、牢固，外观无明显破损和质量问题</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运维</w:t>
      </w:r>
      <w:r>
        <w:rPr>
          <w:rFonts w:hint="eastAsia" w:ascii="宋体" w:hAnsi="宋体" w:eastAsia="宋体" w:cs="宋体"/>
          <w:color w:val="auto"/>
          <w:kern w:val="2"/>
          <w:sz w:val="21"/>
          <w:szCs w:val="21"/>
          <w:highlight w:val="none"/>
        </w:rPr>
        <w:t>通道</w:t>
      </w:r>
      <w:r>
        <w:rPr>
          <w:rFonts w:hint="eastAsia" w:ascii="宋体" w:hAnsi="宋体" w:eastAsia="宋体" w:cs="宋体"/>
          <w:color w:val="auto"/>
          <w:kern w:val="2"/>
          <w:sz w:val="21"/>
          <w:szCs w:val="21"/>
          <w:highlight w:val="none"/>
          <w:lang w:val="en-US" w:eastAsia="zh-CN"/>
        </w:rPr>
        <w:t>与水平“生命线”</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各项目根据组件排布设置合理的运维通道，确保方便运维人员进行运维。运维通道应连成一体，并和水管、</w:t>
      </w:r>
      <w:r>
        <w:rPr>
          <w:rFonts w:hint="eastAsia" w:ascii="宋体" w:hAnsi="宋体" w:eastAsia="宋体" w:cs="宋体"/>
          <w:color w:val="auto"/>
          <w:kern w:val="2"/>
          <w:sz w:val="21"/>
          <w:szCs w:val="21"/>
          <w:highlight w:val="none"/>
          <w:lang w:val="en-US" w:eastAsia="zh-CN"/>
        </w:rPr>
        <w:t>桥架</w:t>
      </w:r>
      <w:r>
        <w:rPr>
          <w:rFonts w:hint="eastAsia" w:ascii="宋体" w:hAnsi="宋体" w:eastAsia="宋体" w:cs="宋体"/>
          <w:color w:val="auto"/>
          <w:kern w:val="2"/>
          <w:sz w:val="21"/>
          <w:szCs w:val="21"/>
          <w:highlight w:val="none"/>
        </w:rPr>
        <w:t>等统一布置。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A.</w:t>
      </w:r>
      <w:r>
        <w:rPr>
          <w:rFonts w:hint="eastAsia" w:ascii="宋体" w:hAnsi="宋体" w:eastAsia="宋体" w:cs="宋体"/>
          <w:color w:val="auto"/>
          <w:kern w:val="2"/>
          <w:sz w:val="21"/>
          <w:szCs w:val="21"/>
          <w:highlight w:val="none"/>
        </w:rPr>
        <w:t>彩钢瓦屋面</w:t>
      </w:r>
      <w:r>
        <w:rPr>
          <w:rFonts w:hint="eastAsia" w:ascii="宋体" w:hAnsi="宋体" w:eastAsia="宋体" w:cs="宋体"/>
          <w:color w:val="auto"/>
          <w:kern w:val="2"/>
          <w:sz w:val="21"/>
          <w:szCs w:val="21"/>
          <w:highlight w:val="none"/>
          <w:lang w:val="en-US" w:eastAsia="zh-CN"/>
        </w:rPr>
        <w:t>宜沿着护杆设置</w:t>
      </w:r>
      <w:r>
        <w:rPr>
          <w:rFonts w:hint="eastAsia" w:ascii="宋体" w:hAnsi="宋体" w:eastAsia="宋体" w:cs="宋体"/>
          <w:b/>
          <w:bCs/>
          <w:color w:val="auto"/>
          <w:kern w:val="2"/>
          <w:sz w:val="21"/>
          <w:szCs w:val="21"/>
          <w:highlight w:val="none"/>
          <w:lang w:val="en-US" w:eastAsia="zh-CN"/>
        </w:rPr>
        <w:t>镀锌</w:t>
      </w:r>
      <w:r>
        <w:rPr>
          <w:rFonts w:hint="eastAsia" w:ascii="宋体" w:hAnsi="宋体" w:eastAsia="宋体" w:cs="宋体"/>
          <w:b/>
          <w:bCs/>
          <w:color w:val="auto"/>
          <w:kern w:val="2"/>
          <w:sz w:val="21"/>
          <w:szCs w:val="21"/>
          <w:highlight w:val="none"/>
        </w:rPr>
        <w:t>格栅板</w:t>
      </w:r>
      <w:r>
        <w:rPr>
          <w:rFonts w:hint="eastAsia" w:ascii="宋体" w:hAnsi="宋体" w:eastAsia="宋体" w:cs="宋体"/>
          <w:color w:val="auto"/>
          <w:kern w:val="2"/>
          <w:sz w:val="21"/>
          <w:szCs w:val="21"/>
          <w:highlight w:val="none"/>
          <w:lang w:val="en-US" w:eastAsia="zh-CN"/>
        </w:rPr>
        <w:t>运维</w:t>
      </w:r>
      <w:r>
        <w:rPr>
          <w:rFonts w:hint="eastAsia" w:ascii="宋体" w:hAnsi="宋体" w:eastAsia="宋体" w:cs="宋体"/>
          <w:color w:val="auto"/>
          <w:kern w:val="2"/>
          <w:sz w:val="21"/>
          <w:szCs w:val="21"/>
          <w:highlight w:val="none"/>
        </w:rPr>
        <w:t>通道，通道能直达到每一路逆变器。且不影响光伏系统件的正常运行。运维格栅板要求如下：</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①格栅板材质</w:t>
      </w:r>
      <w:r>
        <w:rPr>
          <w:rFonts w:hint="eastAsia" w:ascii="宋体" w:hAnsi="宋体" w:eastAsia="宋体" w:cs="宋体"/>
          <w:color w:val="auto"/>
          <w:kern w:val="2"/>
          <w:sz w:val="21"/>
          <w:szCs w:val="21"/>
          <w:highlight w:val="none"/>
          <w:lang w:val="en-US" w:eastAsia="zh-CN"/>
        </w:rPr>
        <w:t>采用</w:t>
      </w:r>
      <w:r>
        <w:rPr>
          <w:rFonts w:hint="eastAsia" w:ascii="宋体" w:hAnsi="宋体" w:eastAsia="宋体" w:cs="宋体"/>
          <w:color w:val="auto"/>
          <w:kern w:val="2"/>
          <w:sz w:val="21"/>
          <w:szCs w:val="21"/>
          <w:highlight w:val="none"/>
        </w:rPr>
        <w:t>镀锌钢，格栅板的重量在15kg/m2以内，宽度不低于400mm；</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②格栅板能够满足并能覆盖整个屋面太阳能板区域运维过程中的清洗、检修等工作；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③格栅板与格栅板衔接处可靠固定，格栅板与屋面可靠连接；</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④格栅板强度和质量，满足如下要求：每间隔500mm在格栅板底部加一道支撑，同时格栅板用</w:t>
      </w:r>
      <w:r>
        <w:rPr>
          <w:rFonts w:hint="eastAsia" w:ascii="宋体" w:hAnsi="宋体" w:eastAsia="宋体" w:cs="宋体"/>
          <w:color w:val="auto"/>
          <w:kern w:val="2"/>
          <w:sz w:val="21"/>
          <w:szCs w:val="21"/>
          <w:highlight w:val="none"/>
          <w:lang w:val="en-US" w:eastAsia="zh-CN"/>
        </w:rPr>
        <w:t>铝合金</w:t>
      </w:r>
      <w:r>
        <w:rPr>
          <w:rFonts w:hint="eastAsia" w:ascii="宋体" w:hAnsi="宋体" w:eastAsia="宋体" w:cs="宋体"/>
          <w:color w:val="auto"/>
          <w:kern w:val="2"/>
          <w:sz w:val="21"/>
          <w:szCs w:val="21"/>
          <w:highlight w:val="none"/>
        </w:rPr>
        <w:t>支撑，确保格栅板不移位晃动，不下垂并满足踩踏强度要求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同时要做好</w:t>
      </w:r>
      <w:r>
        <w:rPr>
          <w:rFonts w:hint="eastAsia" w:ascii="宋体" w:hAnsi="宋体" w:eastAsia="宋体" w:cs="宋体"/>
          <w:color w:val="auto"/>
          <w:kern w:val="2"/>
          <w:sz w:val="21"/>
          <w:szCs w:val="21"/>
          <w:highlight w:val="none"/>
        </w:rPr>
        <w:t>防腐措施，寿命要求25年以上；</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⑤因特殊情况</w:t>
      </w:r>
      <w:r>
        <w:rPr>
          <w:rFonts w:hint="eastAsia" w:ascii="宋体" w:hAnsi="宋体" w:eastAsia="宋体" w:cs="宋体"/>
          <w:color w:val="auto"/>
          <w:kern w:val="2"/>
          <w:sz w:val="21"/>
          <w:szCs w:val="21"/>
          <w:highlight w:val="none"/>
          <w:lang w:val="en-US" w:eastAsia="zh-CN"/>
        </w:rPr>
        <w:t>无法</w:t>
      </w:r>
      <w:r>
        <w:rPr>
          <w:rFonts w:hint="eastAsia" w:ascii="宋体" w:hAnsi="宋体" w:eastAsia="宋体" w:cs="宋体"/>
          <w:color w:val="auto"/>
          <w:kern w:val="2"/>
          <w:sz w:val="21"/>
          <w:szCs w:val="21"/>
          <w:highlight w:val="none"/>
        </w:rPr>
        <w:t>设置护栏的彩钢瓦屋面，格栅板运维通道不宜设置在高处临边侧，同时</w:t>
      </w:r>
      <w:r>
        <w:rPr>
          <w:rFonts w:hint="eastAsia" w:ascii="宋体" w:hAnsi="宋体" w:eastAsia="宋体" w:cs="宋体"/>
          <w:color w:val="auto"/>
          <w:kern w:val="2"/>
          <w:sz w:val="21"/>
          <w:szCs w:val="21"/>
          <w:highlight w:val="none"/>
          <w:lang w:val="en-US" w:eastAsia="zh-CN"/>
        </w:rPr>
        <w:t>参照</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坠落防护 水平生命线装置》GB38454-2019</w:t>
      </w:r>
      <w:r>
        <w:rPr>
          <w:rFonts w:hint="eastAsia" w:ascii="宋体" w:hAnsi="宋体" w:eastAsia="宋体" w:cs="宋体"/>
          <w:color w:val="auto"/>
          <w:kern w:val="2"/>
          <w:sz w:val="21"/>
          <w:szCs w:val="21"/>
          <w:highlight w:val="none"/>
        </w:rPr>
        <w:t>沿着格栅板运维通道设置水平生命线。</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B.混凝土屋面光伏结构棚面中间</w:t>
      </w:r>
      <w:r>
        <w:rPr>
          <w:rFonts w:hint="eastAsia" w:ascii="宋体" w:hAnsi="宋体" w:eastAsia="宋体" w:cs="宋体"/>
          <w:color w:val="auto"/>
          <w:kern w:val="2"/>
          <w:sz w:val="21"/>
          <w:szCs w:val="21"/>
          <w:highlight w:val="none"/>
        </w:rPr>
        <w:t>设置</w:t>
      </w:r>
      <w:r>
        <w:rPr>
          <w:rFonts w:hint="eastAsia" w:ascii="宋体" w:hAnsi="宋体" w:eastAsia="宋体" w:cs="宋体"/>
          <w:b/>
          <w:bCs/>
          <w:color w:val="auto"/>
          <w:kern w:val="2"/>
          <w:sz w:val="21"/>
          <w:szCs w:val="21"/>
          <w:highlight w:val="none"/>
          <w:lang w:val="en-US" w:eastAsia="zh-CN"/>
        </w:rPr>
        <w:t>镀锌花纹钢</w:t>
      </w:r>
      <w:r>
        <w:rPr>
          <w:rFonts w:hint="eastAsia" w:ascii="宋体" w:hAnsi="宋体" w:eastAsia="宋体" w:cs="宋体"/>
          <w:b/>
          <w:bCs/>
          <w:color w:val="auto"/>
          <w:kern w:val="2"/>
          <w:sz w:val="21"/>
          <w:szCs w:val="21"/>
          <w:highlight w:val="none"/>
        </w:rPr>
        <w:t>板</w:t>
      </w:r>
      <w:r>
        <w:rPr>
          <w:rFonts w:hint="eastAsia" w:ascii="宋体" w:hAnsi="宋体" w:eastAsia="宋体" w:cs="宋体"/>
          <w:color w:val="auto"/>
          <w:kern w:val="2"/>
          <w:sz w:val="21"/>
          <w:szCs w:val="21"/>
          <w:highlight w:val="none"/>
          <w:lang w:val="en-US" w:eastAsia="zh-CN"/>
        </w:rPr>
        <w:t>运维</w:t>
      </w:r>
      <w:r>
        <w:rPr>
          <w:rFonts w:hint="eastAsia" w:ascii="宋体" w:hAnsi="宋体" w:eastAsia="宋体" w:cs="宋体"/>
          <w:color w:val="auto"/>
          <w:kern w:val="2"/>
          <w:sz w:val="21"/>
          <w:szCs w:val="21"/>
          <w:highlight w:val="none"/>
        </w:rPr>
        <w:t>通道，通道能直达到</w:t>
      </w:r>
      <w:r>
        <w:rPr>
          <w:rFonts w:hint="eastAsia" w:ascii="宋体" w:hAnsi="宋体" w:eastAsia="宋体" w:cs="宋体"/>
          <w:color w:val="auto"/>
          <w:kern w:val="2"/>
          <w:sz w:val="21"/>
          <w:szCs w:val="21"/>
          <w:highlight w:val="none"/>
          <w:lang w:val="en-US" w:eastAsia="zh-CN"/>
        </w:rPr>
        <w:t>检修楼梯平台</w:t>
      </w:r>
      <w:r>
        <w:rPr>
          <w:rFonts w:hint="eastAsia" w:ascii="宋体" w:hAnsi="宋体" w:eastAsia="宋体" w:cs="宋体"/>
          <w:color w:val="auto"/>
          <w:kern w:val="2"/>
          <w:sz w:val="21"/>
          <w:szCs w:val="21"/>
          <w:highlight w:val="none"/>
        </w:rPr>
        <w:t>且不影响光伏系统件的正常运行。运维</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板要求如下：</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板材质</w:t>
      </w:r>
      <w:r>
        <w:rPr>
          <w:rFonts w:hint="eastAsia" w:ascii="宋体" w:hAnsi="宋体" w:eastAsia="宋体" w:cs="宋体"/>
          <w:color w:val="auto"/>
          <w:kern w:val="2"/>
          <w:sz w:val="21"/>
          <w:szCs w:val="21"/>
          <w:highlight w:val="none"/>
          <w:lang w:val="en-US" w:eastAsia="zh-CN"/>
        </w:rPr>
        <w:t>采用</w:t>
      </w:r>
      <w:r>
        <w:rPr>
          <w:rFonts w:hint="eastAsia" w:ascii="宋体" w:hAnsi="宋体" w:eastAsia="宋体" w:cs="宋体"/>
          <w:color w:val="auto"/>
          <w:kern w:val="2"/>
          <w:sz w:val="21"/>
          <w:szCs w:val="21"/>
          <w:highlight w:val="none"/>
        </w:rPr>
        <w:t>镀锌钢，</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板的重量在15kg/m2以内，宽度不低于</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00mm；</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板能够满足并能覆盖整个屋面太阳能板区域运维过程中的清洗、检修等工作；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板与</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板衔接处可靠固定，</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板与光伏结构棚可靠连接；</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④</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板强度和质量，满足如下要求：每间隔500mm在</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板底部加一道支撑，同时</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板用</w:t>
      </w:r>
      <w:r>
        <w:rPr>
          <w:rFonts w:hint="eastAsia" w:ascii="宋体" w:hAnsi="宋体" w:eastAsia="宋体" w:cs="宋体"/>
          <w:color w:val="auto"/>
          <w:kern w:val="2"/>
          <w:sz w:val="21"/>
          <w:szCs w:val="21"/>
          <w:highlight w:val="none"/>
          <w:lang w:val="en-US" w:eastAsia="zh-CN"/>
        </w:rPr>
        <w:t>钢材做好</w:t>
      </w:r>
      <w:r>
        <w:rPr>
          <w:rFonts w:hint="eastAsia" w:ascii="宋体" w:hAnsi="宋体" w:eastAsia="宋体" w:cs="宋体"/>
          <w:color w:val="auto"/>
          <w:kern w:val="2"/>
          <w:sz w:val="21"/>
          <w:szCs w:val="21"/>
          <w:highlight w:val="none"/>
        </w:rPr>
        <w:t>支撑，确保</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板不移位晃动，不下垂并满足踩踏强度要求</w:t>
      </w:r>
      <w:r>
        <w:rPr>
          <w:rFonts w:hint="eastAsia" w:ascii="宋体" w:hAnsi="宋体" w:eastAsia="宋体" w:cs="宋体"/>
          <w:color w:val="auto"/>
          <w:kern w:val="2"/>
          <w:sz w:val="21"/>
          <w:szCs w:val="21"/>
          <w:highlight w:val="none"/>
          <w:lang w:eastAsia="zh-CN"/>
        </w:rPr>
        <w:t>，同时要做好防腐措施，</w:t>
      </w:r>
      <w:r>
        <w:rPr>
          <w:rFonts w:hint="eastAsia" w:ascii="宋体" w:hAnsi="宋体" w:eastAsia="宋体" w:cs="宋体"/>
          <w:color w:val="auto"/>
          <w:kern w:val="2"/>
          <w:sz w:val="21"/>
          <w:szCs w:val="21"/>
          <w:highlight w:val="none"/>
        </w:rPr>
        <w:t>寿命要求25年以上；</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⑤</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w:t>
      </w:r>
      <w:r>
        <w:rPr>
          <w:rFonts w:hint="eastAsia" w:ascii="宋体" w:hAnsi="宋体" w:eastAsia="宋体" w:cs="宋体"/>
          <w:color w:val="auto"/>
          <w:kern w:val="2"/>
          <w:sz w:val="21"/>
          <w:szCs w:val="21"/>
          <w:highlight w:val="none"/>
          <w:lang w:val="en-US" w:eastAsia="zh-CN"/>
        </w:rPr>
        <w:t>侧必须设置悬挂安全绳的牢固点，并参照</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坠落防护 水平生命线装置》GB38454-2019</w:t>
      </w:r>
      <w:r>
        <w:rPr>
          <w:rFonts w:hint="eastAsia" w:ascii="宋体" w:hAnsi="宋体" w:eastAsia="宋体" w:cs="宋体"/>
          <w:color w:val="auto"/>
          <w:kern w:val="2"/>
          <w:sz w:val="21"/>
          <w:szCs w:val="21"/>
          <w:highlight w:val="none"/>
        </w:rPr>
        <w:t>沿着</w:t>
      </w:r>
      <w:r>
        <w:rPr>
          <w:rFonts w:hint="eastAsia" w:ascii="宋体" w:hAnsi="宋体" w:eastAsia="宋体" w:cs="宋体"/>
          <w:color w:val="auto"/>
          <w:kern w:val="2"/>
          <w:sz w:val="21"/>
          <w:szCs w:val="21"/>
          <w:highlight w:val="none"/>
          <w:lang w:val="en-US" w:eastAsia="zh-CN"/>
        </w:rPr>
        <w:t>花纹钢</w:t>
      </w:r>
      <w:r>
        <w:rPr>
          <w:rFonts w:hint="eastAsia" w:ascii="宋体" w:hAnsi="宋体" w:eastAsia="宋体" w:cs="宋体"/>
          <w:color w:val="auto"/>
          <w:kern w:val="2"/>
          <w:sz w:val="21"/>
          <w:szCs w:val="21"/>
          <w:highlight w:val="none"/>
        </w:rPr>
        <w:t>板</w:t>
      </w:r>
      <w:r>
        <w:rPr>
          <w:rFonts w:hint="eastAsia" w:ascii="宋体" w:hAnsi="宋体" w:eastAsia="宋体" w:cs="宋体"/>
          <w:color w:val="auto"/>
          <w:kern w:val="2"/>
          <w:sz w:val="21"/>
          <w:szCs w:val="21"/>
          <w:highlight w:val="none"/>
          <w:lang w:val="en-US" w:eastAsia="zh-CN"/>
        </w:rPr>
        <w:t>加装水平生命线，使用φ12mm镀锌圆钢焊接，与花纹钢板或棚架焊接牢固，固定点间距≤3m，高度为100mm，</w:t>
      </w:r>
      <w:r>
        <w:rPr>
          <w:rFonts w:hint="eastAsia" w:ascii="宋体" w:hAnsi="宋体" w:eastAsia="宋体" w:cs="宋体"/>
          <w:color w:val="auto"/>
          <w:kern w:val="2"/>
          <w:sz w:val="21"/>
          <w:szCs w:val="21"/>
          <w:highlight w:val="none"/>
        </w:rPr>
        <w:t>确保方便运维人员</w:t>
      </w:r>
      <w:r>
        <w:rPr>
          <w:rFonts w:hint="eastAsia" w:ascii="宋体" w:hAnsi="宋体" w:eastAsia="宋体" w:cs="宋体"/>
          <w:color w:val="auto"/>
          <w:kern w:val="2"/>
          <w:sz w:val="21"/>
          <w:szCs w:val="21"/>
          <w:highlight w:val="none"/>
          <w:lang w:val="en-US" w:eastAsia="zh-CN"/>
        </w:rPr>
        <w:t>安全</w:t>
      </w:r>
      <w:r>
        <w:rPr>
          <w:rFonts w:hint="eastAsia" w:ascii="宋体" w:hAnsi="宋体" w:eastAsia="宋体" w:cs="宋体"/>
          <w:color w:val="auto"/>
          <w:kern w:val="2"/>
          <w:sz w:val="21"/>
          <w:szCs w:val="21"/>
          <w:highlight w:val="none"/>
        </w:rPr>
        <w:t>清洗、运维</w:t>
      </w:r>
      <w:r>
        <w:rPr>
          <w:rFonts w:hint="eastAsia" w:ascii="宋体" w:hAnsi="宋体" w:eastAsia="宋体" w:cs="宋体"/>
          <w:color w:val="auto"/>
          <w:kern w:val="2"/>
          <w:sz w:val="21"/>
          <w:szCs w:val="21"/>
          <w:highlight w:val="none"/>
          <w:lang w:eastAsia="zh-CN"/>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⑥</w:t>
      </w:r>
      <w:r>
        <w:rPr>
          <w:rFonts w:hint="eastAsia" w:ascii="宋体" w:hAnsi="宋体" w:eastAsia="宋体" w:cs="宋体"/>
          <w:b/>
          <w:bCs/>
          <w:color w:val="auto"/>
          <w:kern w:val="2"/>
          <w:sz w:val="21"/>
          <w:szCs w:val="21"/>
          <w:highlight w:val="none"/>
          <w:lang w:val="en-US" w:eastAsia="zh-CN"/>
        </w:rPr>
        <w:t>水平生命线必须喷涂</w:t>
      </w:r>
      <w:r>
        <w:rPr>
          <w:rFonts w:hint="eastAsia" w:ascii="宋体" w:hAnsi="宋体" w:eastAsia="宋体" w:cs="宋体"/>
          <w:b/>
          <w:bCs/>
          <w:color w:val="auto"/>
          <w:kern w:val="2"/>
          <w:sz w:val="21"/>
          <w:szCs w:val="21"/>
          <w:highlight w:val="none"/>
        </w:rPr>
        <w:t>黄黑</w:t>
      </w:r>
      <w:r>
        <w:rPr>
          <w:rFonts w:hint="eastAsia" w:ascii="宋体" w:hAnsi="宋体" w:eastAsia="宋体" w:cs="宋体"/>
          <w:b/>
          <w:bCs/>
          <w:color w:val="auto"/>
          <w:kern w:val="2"/>
          <w:sz w:val="21"/>
          <w:szCs w:val="21"/>
          <w:highlight w:val="none"/>
          <w:lang w:val="en-US" w:eastAsia="zh-CN"/>
        </w:rPr>
        <w:t>相间</w:t>
      </w:r>
      <w:r>
        <w:rPr>
          <w:rFonts w:hint="eastAsia" w:ascii="宋体" w:hAnsi="宋体" w:eastAsia="宋体" w:cs="宋体"/>
          <w:b/>
          <w:bCs/>
          <w:color w:val="auto"/>
          <w:kern w:val="2"/>
          <w:sz w:val="21"/>
          <w:szCs w:val="21"/>
          <w:highlight w:val="none"/>
        </w:rPr>
        <w:t>安全警示颜色</w:t>
      </w:r>
      <w:r>
        <w:rPr>
          <w:rFonts w:hint="eastAsia" w:ascii="宋体" w:hAnsi="宋体" w:eastAsia="宋体" w:cs="宋体"/>
          <w:b/>
          <w:bCs/>
          <w:color w:val="auto"/>
          <w:kern w:val="2"/>
          <w:sz w:val="21"/>
          <w:szCs w:val="21"/>
          <w:highlight w:val="none"/>
          <w:lang w:val="en-US" w:eastAsia="zh-CN"/>
        </w:rPr>
        <w:t>油漆</w:t>
      </w:r>
      <w:r>
        <w:rPr>
          <w:rFonts w:hint="eastAsia" w:ascii="宋体" w:hAnsi="宋体" w:eastAsia="宋体" w:cs="宋体"/>
          <w:b/>
          <w:bCs/>
          <w:color w:val="auto"/>
          <w:kern w:val="2"/>
          <w:sz w:val="21"/>
          <w:szCs w:val="21"/>
          <w:highlight w:val="none"/>
        </w:rPr>
        <w:t>，防止绊脚跌落</w:t>
      </w:r>
      <w:r>
        <w:rPr>
          <w:rFonts w:hint="eastAsia" w:ascii="宋体" w:hAnsi="宋体" w:eastAsia="宋体" w:cs="宋体"/>
          <w:color w:val="auto"/>
          <w:kern w:val="2"/>
          <w:sz w:val="21"/>
          <w:szCs w:val="21"/>
          <w:highlight w:val="none"/>
          <w:lang w:eastAsia="zh-CN"/>
        </w:rPr>
        <w:t>。</w:t>
      </w:r>
    </w:p>
    <w:p>
      <w:pPr>
        <w:widowControl w:val="0"/>
        <w:tabs>
          <w:tab w:val="left" w:pos="360"/>
        </w:tabs>
        <w:adjustRightInd/>
        <w:snapToGrid/>
        <w:spacing w:after="0" w:line="288" w:lineRule="auto"/>
        <w:ind w:firstLine="420" w:firstLineChars="200"/>
        <w:jc w:val="both"/>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检修配电箱</w:t>
      </w:r>
    </w:p>
    <w:p>
      <w:pPr>
        <w:widowControl w:val="0"/>
        <w:tabs>
          <w:tab w:val="left" w:pos="360"/>
        </w:tabs>
        <w:adjustRightInd/>
        <w:snapToGrid/>
        <w:spacing w:after="0" w:line="288" w:lineRule="auto"/>
        <w:ind w:firstLine="420" w:firstLineChars="200"/>
        <w:jc w:val="both"/>
        <w:rPr>
          <w:rFonts w:ascii="Calibri"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lang w:val="en-US" w:eastAsia="zh-CN"/>
        </w:rPr>
        <w:t>为</w:t>
      </w:r>
      <w:r>
        <w:rPr>
          <w:rFonts w:hint="eastAsia" w:ascii="宋体" w:hAnsi="宋体" w:eastAsia="宋体" w:cs="宋体"/>
          <w:color w:val="auto"/>
          <w:kern w:val="2"/>
          <w:sz w:val="21"/>
          <w:szCs w:val="21"/>
          <w:highlight w:val="none"/>
        </w:rPr>
        <w:t>方便运维人员进行</w:t>
      </w:r>
      <w:r>
        <w:rPr>
          <w:rFonts w:hint="eastAsia" w:ascii="宋体" w:hAnsi="宋体" w:eastAsia="宋体" w:cs="宋体"/>
          <w:color w:val="auto"/>
          <w:kern w:val="2"/>
          <w:sz w:val="21"/>
          <w:szCs w:val="21"/>
          <w:highlight w:val="none"/>
          <w:lang w:val="en-US" w:eastAsia="zh-CN"/>
        </w:rPr>
        <w:t>后期</w:t>
      </w:r>
      <w:r>
        <w:rPr>
          <w:rFonts w:hint="eastAsia" w:ascii="宋体" w:hAnsi="宋体" w:eastAsia="宋体" w:cs="宋体"/>
          <w:color w:val="auto"/>
          <w:kern w:val="2"/>
          <w:sz w:val="21"/>
          <w:szCs w:val="21"/>
          <w:highlight w:val="none"/>
        </w:rPr>
        <w:t>运维</w:t>
      </w:r>
      <w:r>
        <w:rPr>
          <w:rFonts w:hint="eastAsia" w:ascii="宋体" w:hAnsi="宋体" w:eastAsia="宋体" w:cs="宋体"/>
          <w:color w:val="auto"/>
          <w:kern w:val="2"/>
          <w:sz w:val="21"/>
          <w:szCs w:val="21"/>
          <w:highlight w:val="none"/>
          <w:lang w:val="en-US" w:eastAsia="zh-CN"/>
        </w:rPr>
        <w:t>作业</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安装光伏系统的屋面需加装</w:t>
      </w:r>
      <w:r>
        <w:rPr>
          <w:rFonts w:hint="eastAsia" w:ascii="宋体" w:hAnsi="宋体" w:eastAsia="宋体" w:cs="宋体"/>
          <w:color w:val="auto"/>
          <w:kern w:val="2"/>
          <w:sz w:val="21"/>
          <w:szCs w:val="21"/>
          <w:highlight w:val="none"/>
        </w:rPr>
        <w:t>检修配电箱</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做法同逆变器</w:t>
      </w:r>
      <w:r>
        <w:rPr>
          <w:rFonts w:hint="eastAsia" w:ascii="宋体" w:hAnsi="宋体" w:eastAsia="宋体" w:cs="宋体"/>
          <w:color w:val="auto"/>
          <w:kern w:val="2"/>
          <w:sz w:val="21"/>
          <w:szCs w:val="21"/>
          <w:highlight w:val="none"/>
          <w:lang w:val="en-US" w:eastAsia="zh-CN"/>
        </w:rPr>
        <w:t>一样，</w:t>
      </w:r>
      <w:r>
        <w:rPr>
          <w:rFonts w:hint="eastAsia" w:ascii="宋体" w:hAnsi="宋体" w:eastAsia="宋体" w:cs="宋体"/>
          <w:color w:val="auto"/>
          <w:kern w:val="2"/>
          <w:sz w:val="21"/>
          <w:szCs w:val="21"/>
          <w:highlight w:val="none"/>
        </w:rPr>
        <w:t>安装户外支架或挂墙安装,箱体采用厚度≥1.5mm的冷轧钢板制成，防护等级不低于IP65</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可靠接地，电</w:t>
      </w:r>
      <w:r>
        <w:rPr>
          <w:rFonts w:hint="eastAsia" w:ascii="宋体" w:hAnsi="宋体" w:eastAsia="宋体" w:cs="宋体"/>
          <w:color w:val="auto"/>
          <w:kern w:val="2"/>
          <w:sz w:val="21"/>
          <w:szCs w:val="21"/>
          <w:highlight w:val="none"/>
          <w:lang w:eastAsia="zh-CN"/>
        </w:rPr>
        <w:t>源由</w:t>
      </w:r>
      <w:r>
        <w:rPr>
          <w:rFonts w:hint="eastAsia" w:ascii="宋体" w:hAnsi="宋体" w:eastAsia="宋体" w:cs="宋体"/>
          <w:color w:val="auto"/>
          <w:kern w:val="2"/>
          <w:sz w:val="21"/>
          <w:szCs w:val="21"/>
          <w:highlight w:val="none"/>
          <w:lang w:val="en-US" w:eastAsia="zh-CN"/>
        </w:rPr>
        <w:t>交流汇流箱、逆变器交流端</w:t>
      </w:r>
      <w:r>
        <w:rPr>
          <w:rFonts w:hint="eastAsia" w:ascii="宋体" w:hAnsi="宋体" w:eastAsia="宋体" w:cs="宋体"/>
          <w:color w:val="auto"/>
          <w:kern w:val="2"/>
          <w:sz w:val="21"/>
          <w:szCs w:val="21"/>
          <w:highlight w:val="none"/>
          <w:lang w:eastAsia="zh-CN"/>
        </w:rPr>
        <w:t>就近引入，</w:t>
      </w:r>
      <w:r>
        <w:rPr>
          <w:rFonts w:hint="eastAsia" w:ascii="宋体" w:hAnsi="宋体" w:eastAsia="宋体" w:cs="宋体"/>
          <w:color w:val="auto"/>
          <w:kern w:val="2"/>
          <w:sz w:val="21"/>
          <w:szCs w:val="21"/>
          <w:highlight w:val="none"/>
          <w:lang w:val="en-US" w:eastAsia="zh-CN"/>
        </w:rPr>
        <w:t>开关与线缆大小的选型需满足焊接要求，同时方便视频监控系统取电</w:t>
      </w:r>
      <w:r>
        <w:rPr>
          <w:rFonts w:hint="eastAsia" w:ascii="宋体" w:hAnsi="宋体" w:eastAsia="宋体" w:cs="宋体"/>
          <w:b/>
          <w:bCs/>
          <w:color w:val="auto"/>
          <w:kern w:val="2"/>
          <w:sz w:val="21"/>
          <w:szCs w:val="21"/>
          <w:highlight w:val="none"/>
          <w:lang w:val="en-US" w:eastAsia="zh-CN"/>
        </w:rPr>
        <w:t>，若客户有收费需求需另外加装计量电表</w:t>
      </w:r>
      <w:r>
        <w:rPr>
          <w:rFonts w:hint="eastAsia" w:ascii="宋体" w:hAnsi="宋体" w:eastAsia="宋体" w:cs="宋体"/>
          <w:color w:val="auto"/>
          <w:kern w:val="2"/>
          <w:sz w:val="21"/>
          <w:szCs w:val="21"/>
          <w:highlight w:val="none"/>
          <w:lang w:val="en-US" w:eastAsia="zh-CN"/>
        </w:rPr>
        <w:t>。</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）安全护栏、</w:t>
      </w:r>
      <w:r>
        <w:rPr>
          <w:rFonts w:hint="eastAsia" w:ascii="宋体" w:hAnsi="宋体" w:eastAsia="宋体" w:cs="宋体"/>
          <w:color w:val="auto"/>
          <w:kern w:val="2"/>
          <w:sz w:val="21"/>
          <w:szCs w:val="21"/>
          <w:highlight w:val="none"/>
          <w:lang w:val="en-US" w:eastAsia="zh-CN"/>
        </w:rPr>
        <w:t>钢</w:t>
      </w:r>
      <w:r>
        <w:rPr>
          <w:rFonts w:hint="eastAsia" w:ascii="宋体" w:hAnsi="宋体" w:eastAsia="宋体" w:cs="宋体"/>
          <w:color w:val="auto"/>
          <w:kern w:val="2"/>
          <w:sz w:val="21"/>
          <w:szCs w:val="21"/>
          <w:highlight w:val="none"/>
        </w:rPr>
        <w:t>斜梯、采光带标识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①安全护栏</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若</w:t>
      </w:r>
      <w:r>
        <w:rPr>
          <w:rFonts w:hint="eastAsia" w:ascii="宋体" w:hAnsi="宋体" w:eastAsia="宋体" w:cs="宋体"/>
          <w:color w:val="auto"/>
          <w:kern w:val="2"/>
          <w:sz w:val="21"/>
          <w:szCs w:val="21"/>
          <w:highlight w:val="none"/>
          <w:lang w:val="en-US" w:eastAsia="zh-CN"/>
        </w:rPr>
        <w:t>彩钢瓦屋顶</w:t>
      </w:r>
      <w:r>
        <w:rPr>
          <w:rFonts w:hint="eastAsia" w:ascii="宋体" w:hAnsi="宋体" w:eastAsia="宋体" w:cs="宋体"/>
          <w:color w:val="auto"/>
          <w:kern w:val="2"/>
          <w:sz w:val="21"/>
          <w:szCs w:val="21"/>
          <w:highlight w:val="none"/>
        </w:rPr>
        <w:t>无护栏或女儿墙屋顶的屋顶</w:t>
      </w:r>
      <w:r>
        <w:rPr>
          <w:rFonts w:hint="eastAsia" w:ascii="宋体" w:hAnsi="宋体" w:eastAsia="宋体" w:cs="宋体"/>
          <w:color w:val="auto"/>
          <w:kern w:val="2"/>
          <w:sz w:val="21"/>
          <w:szCs w:val="21"/>
          <w:highlight w:val="none"/>
          <w:lang w:val="en-US" w:eastAsia="zh-CN"/>
        </w:rPr>
        <w:t>临边、洞口处</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需</w:t>
      </w:r>
      <w:r>
        <w:rPr>
          <w:rFonts w:hint="eastAsia" w:ascii="宋体" w:hAnsi="宋体" w:eastAsia="宋体" w:cs="宋体"/>
          <w:color w:val="auto"/>
          <w:kern w:val="2"/>
          <w:sz w:val="21"/>
          <w:szCs w:val="21"/>
          <w:highlight w:val="none"/>
        </w:rPr>
        <w:t>加装高度</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1200mm的永久</w:t>
      </w:r>
      <w:r>
        <w:rPr>
          <w:rFonts w:hint="eastAsia" w:ascii="宋体" w:hAnsi="宋体" w:eastAsia="宋体" w:cs="宋体"/>
          <w:color w:val="auto"/>
          <w:kern w:val="2"/>
          <w:sz w:val="21"/>
          <w:szCs w:val="21"/>
          <w:highlight w:val="none"/>
          <w:lang w:val="en-US" w:eastAsia="zh-CN"/>
        </w:rPr>
        <w:t>热镀锌角钢、U型钢</w:t>
      </w:r>
      <w:r>
        <w:rPr>
          <w:rFonts w:hint="eastAsia" w:ascii="宋体" w:hAnsi="宋体" w:eastAsia="宋体" w:cs="宋体"/>
          <w:color w:val="auto"/>
          <w:kern w:val="2"/>
          <w:sz w:val="21"/>
          <w:szCs w:val="21"/>
          <w:highlight w:val="none"/>
        </w:rPr>
        <w:t>材质</w:t>
      </w:r>
      <w:r>
        <w:rPr>
          <w:rFonts w:hint="eastAsia" w:ascii="宋体" w:hAnsi="宋体" w:eastAsia="宋体" w:cs="宋体"/>
          <w:color w:val="auto"/>
          <w:kern w:val="2"/>
          <w:sz w:val="21"/>
          <w:szCs w:val="21"/>
          <w:highlight w:val="none"/>
          <w:lang w:val="en-US" w:eastAsia="zh-CN"/>
        </w:rPr>
        <w:t>防</w:t>
      </w:r>
      <w:r>
        <w:rPr>
          <w:rFonts w:hint="eastAsia" w:ascii="宋体" w:hAnsi="宋体" w:eastAsia="宋体" w:cs="宋体"/>
          <w:color w:val="auto"/>
          <w:kern w:val="2"/>
          <w:sz w:val="21"/>
          <w:szCs w:val="21"/>
          <w:highlight w:val="none"/>
        </w:rPr>
        <w:t>护</w:t>
      </w:r>
      <w:r>
        <w:rPr>
          <w:rFonts w:hint="eastAsia" w:ascii="宋体" w:hAnsi="宋体" w:eastAsia="宋体" w:cs="宋体"/>
          <w:color w:val="auto"/>
          <w:kern w:val="2"/>
          <w:sz w:val="21"/>
          <w:szCs w:val="21"/>
          <w:highlight w:val="none"/>
          <w:lang w:val="en-US" w:eastAsia="zh-CN"/>
        </w:rPr>
        <w:t>围栏</w:t>
      </w:r>
      <w:r>
        <w:rPr>
          <w:rFonts w:hint="eastAsia" w:ascii="宋体" w:hAnsi="宋体" w:eastAsia="宋体" w:cs="宋体"/>
          <w:color w:val="auto"/>
          <w:kern w:val="2"/>
          <w:sz w:val="21"/>
          <w:szCs w:val="21"/>
          <w:highlight w:val="none"/>
        </w:rPr>
        <w:t>，以保护人身安全，</w:t>
      </w:r>
      <w:r>
        <w:rPr>
          <w:rFonts w:hint="eastAsia" w:ascii="宋体" w:hAnsi="宋体" w:eastAsia="宋体" w:cs="宋体"/>
          <w:color w:val="auto"/>
          <w:kern w:val="2"/>
          <w:sz w:val="21"/>
          <w:szCs w:val="21"/>
          <w:highlight w:val="none"/>
          <w:lang w:val="en-US" w:eastAsia="zh-CN"/>
        </w:rPr>
        <w:t>同时也要</w:t>
      </w:r>
      <w:r>
        <w:rPr>
          <w:rFonts w:hint="eastAsia" w:ascii="宋体" w:hAnsi="宋体" w:eastAsia="宋体" w:cs="宋体"/>
          <w:color w:val="auto"/>
          <w:kern w:val="2"/>
          <w:sz w:val="21"/>
          <w:szCs w:val="21"/>
          <w:highlight w:val="none"/>
        </w:rPr>
        <w:t>减少护栏对</w:t>
      </w:r>
      <w:r>
        <w:rPr>
          <w:rFonts w:hint="eastAsia" w:ascii="宋体" w:hAnsi="宋体" w:eastAsia="宋体" w:cs="宋体"/>
          <w:color w:val="auto"/>
          <w:kern w:val="2"/>
          <w:sz w:val="21"/>
          <w:szCs w:val="21"/>
          <w:highlight w:val="none"/>
          <w:lang w:val="en-US" w:eastAsia="zh-CN"/>
        </w:rPr>
        <w:t>光伏</w:t>
      </w:r>
      <w:r>
        <w:rPr>
          <w:rFonts w:hint="eastAsia" w:ascii="宋体" w:hAnsi="宋体" w:eastAsia="宋体" w:cs="宋体"/>
          <w:color w:val="auto"/>
          <w:kern w:val="2"/>
          <w:sz w:val="21"/>
          <w:szCs w:val="21"/>
          <w:highlight w:val="none"/>
        </w:rPr>
        <w:t>组件阴影</w:t>
      </w:r>
      <w:r>
        <w:rPr>
          <w:rFonts w:hint="eastAsia" w:ascii="宋体" w:hAnsi="宋体" w:eastAsia="宋体" w:cs="宋体"/>
          <w:color w:val="auto"/>
          <w:kern w:val="2"/>
          <w:sz w:val="21"/>
          <w:szCs w:val="21"/>
          <w:highlight w:val="none"/>
          <w:lang w:val="en-US" w:eastAsia="zh-CN"/>
        </w:rPr>
        <w:t>遮挡</w:t>
      </w:r>
      <w:r>
        <w:rPr>
          <w:rFonts w:hint="eastAsia" w:ascii="宋体" w:hAnsi="宋体" w:eastAsia="宋体" w:cs="宋体"/>
          <w:color w:val="auto"/>
          <w:kern w:val="2"/>
          <w:sz w:val="21"/>
          <w:szCs w:val="21"/>
          <w:highlight w:val="none"/>
        </w:rPr>
        <w:t>影响。</w:t>
      </w:r>
      <w:r>
        <w:rPr>
          <w:rFonts w:hint="eastAsia" w:ascii="宋体" w:hAnsi="宋体" w:eastAsia="宋体" w:cs="宋体"/>
          <w:color w:val="auto"/>
          <w:kern w:val="2"/>
          <w:sz w:val="21"/>
          <w:szCs w:val="21"/>
          <w:highlight w:val="none"/>
          <w:lang w:val="en-US" w:eastAsia="zh-CN"/>
        </w:rPr>
        <w:t>设置</w:t>
      </w:r>
      <w:r>
        <w:rPr>
          <w:rFonts w:hint="eastAsia" w:ascii="宋体" w:hAnsi="宋体" w:eastAsia="宋体" w:cs="宋体"/>
          <w:color w:val="auto"/>
          <w:kern w:val="2"/>
          <w:sz w:val="21"/>
          <w:szCs w:val="21"/>
          <w:highlight w:val="none"/>
          <w:lang w:eastAsia="zh-CN"/>
        </w:rPr>
        <w:t>底部</w:t>
      </w:r>
      <w:r>
        <w:rPr>
          <w:rFonts w:hint="eastAsia" w:ascii="宋体" w:hAnsi="宋体" w:eastAsia="宋体" w:cs="宋体"/>
          <w:color w:val="auto"/>
          <w:kern w:val="2"/>
          <w:sz w:val="21"/>
          <w:szCs w:val="21"/>
          <w:highlight w:val="none"/>
          <w:lang w:val="en-US" w:eastAsia="zh-CN"/>
        </w:rPr>
        <w:t>防护密目网</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防护网采用不锈钢材质，</w:t>
      </w:r>
      <w:r>
        <w:rPr>
          <w:rFonts w:hint="eastAsia" w:ascii="宋体" w:hAnsi="宋体" w:eastAsia="宋体" w:cs="宋体"/>
          <w:color w:val="auto"/>
          <w:kern w:val="2"/>
          <w:sz w:val="21"/>
          <w:szCs w:val="21"/>
          <w:highlight w:val="none"/>
          <w:lang w:eastAsia="zh-CN"/>
        </w:rPr>
        <w:t>高度</w:t>
      </w:r>
      <w:r>
        <w:rPr>
          <w:rFonts w:hint="eastAsia" w:ascii="宋体" w:hAnsi="宋体" w:eastAsia="宋体" w:cs="宋体"/>
          <w:color w:val="auto"/>
          <w:kern w:val="2"/>
          <w:sz w:val="21"/>
          <w:szCs w:val="21"/>
          <w:highlight w:val="none"/>
          <w:lang w:val="en-US" w:eastAsia="zh-CN"/>
        </w:rPr>
        <w:t>不小于0.2</w:t>
      </w:r>
      <w:r>
        <w:rPr>
          <w:rFonts w:hint="eastAsia" w:ascii="宋体" w:hAnsi="宋体" w:eastAsia="宋体" w:cs="宋体"/>
          <w:color w:val="auto"/>
          <w:kern w:val="2"/>
          <w:sz w:val="21"/>
          <w:szCs w:val="21"/>
          <w:highlight w:val="none"/>
          <w:lang w:eastAsia="zh-CN"/>
        </w:rPr>
        <w:t>m，</w:t>
      </w:r>
      <w:r>
        <w:rPr>
          <w:rFonts w:hint="eastAsia" w:ascii="宋体" w:hAnsi="宋体" w:eastAsia="宋体" w:cs="宋体"/>
          <w:color w:val="auto"/>
          <w:kern w:val="2"/>
          <w:sz w:val="21"/>
          <w:szCs w:val="21"/>
          <w:highlight w:val="none"/>
          <w:lang w:val="en-US" w:eastAsia="zh-CN"/>
        </w:rPr>
        <w:t>防止工具材料掉落，防护网上端至防护栏顶部设置三条横杆，横杆</w:t>
      </w:r>
      <w:r>
        <w:rPr>
          <w:rFonts w:hint="eastAsia" w:ascii="宋体" w:hAnsi="宋体" w:eastAsia="宋体" w:cs="宋体"/>
          <w:color w:val="auto"/>
          <w:kern w:val="2"/>
          <w:sz w:val="21"/>
          <w:szCs w:val="21"/>
          <w:highlight w:val="none"/>
        </w:rPr>
        <w:t>之间的间距</w:t>
      </w:r>
      <w:r>
        <w:rPr>
          <w:rFonts w:hint="eastAsia" w:ascii="宋体" w:hAnsi="宋体" w:eastAsia="宋体" w:cs="宋体"/>
          <w:color w:val="auto"/>
          <w:kern w:val="2"/>
          <w:sz w:val="21"/>
          <w:szCs w:val="21"/>
          <w:highlight w:val="none"/>
          <w:lang w:val="en-US" w:eastAsia="zh-CN"/>
        </w:rPr>
        <w:t>0.5</w:t>
      </w:r>
      <w:r>
        <w:rPr>
          <w:rFonts w:hint="eastAsia"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护</w:t>
      </w:r>
      <w:r>
        <w:rPr>
          <w:rFonts w:hint="eastAsia" w:ascii="宋体" w:hAnsi="宋体" w:eastAsia="宋体" w:cs="宋体"/>
          <w:color w:val="auto"/>
          <w:kern w:val="2"/>
          <w:sz w:val="21"/>
          <w:szCs w:val="21"/>
          <w:highlight w:val="none"/>
          <w:lang w:val="en-US" w:eastAsia="zh-CN"/>
        </w:rPr>
        <w:t>栏</w:t>
      </w:r>
      <w:r>
        <w:rPr>
          <w:rFonts w:hint="eastAsia" w:ascii="宋体" w:hAnsi="宋体" w:eastAsia="宋体" w:cs="宋体"/>
          <w:color w:val="auto"/>
          <w:kern w:val="2"/>
          <w:sz w:val="21"/>
          <w:szCs w:val="21"/>
          <w:highlight w:val="none"/>
        </w:rPr>
        <w:t>立柱之间的间距小于1.5m，</w:t>
      </w:r>
      <w:r>
        <w:rPr>
          <w:rFonts w:hint="eastAsia" w:ascii="宋体" w:hAnsi="宋体" w:eastAsia="宋体" w:cs="宋体"/>
          <w:color w:val="auto"/>
          <w:kern w:val="2"/>
          <w:sz w:val="21"/>
          <w:szCs w:val="21"/>
          <w:highlight w:val="none"/>
          <w:lang w:val="en-US" w:eastAsia="zh-CN"/>
        </w:rPr>
        <w:t>防护</w:t>
      </w:r>
      <w:r>
        <w:rPr>
          <w:rFonts w:hint="eastAsia" w:ascii="宋体" w:hAnsi="宋体" w:eastAsia="宋体" w:cs="宋体"/>
          <w:color w:val="auto"/>
          <w:kern w:val="2"/>
          <w:sz w:val="21"/>
          <w:szCs w:val="21"/>
          <w:highlight w:val="none"/>
        </w:rPr>
        <w:t>栏按间隔可靠</w:t>
      </w:r>
      <w:r>
        <w:rPr>
          <w:rFonts w:hint="eastAsia" w:ascii="宋体" w:hAnsi="宋体" w:eastAsia="宋体" w:cs="宋体"/>
          <w:color w:val="auto"/>
          <w:kern w:val="2"/>
          <w:sz w:val="21"/>
          <w:szCs w:val="21"/>
          <w:highlight w:val="none"/>
          <w:lang w:val="en-US" w:eastAsia="zh-CN"/>
        </w:rPr>
        <w:t>防雷</w:t>
      </w:r>
      <w:r>
        <w:rPr>
          <w:rFonts w:hint="eastAsia" w:ascii="宋体" w:hAnsi="宋体" w:eastAsia="宋体" w:cs="宋体"/>
          <w:color w:val="auto"/>
          <w:kern w:val="2"/>
          <w:sz w:val="21"/>
          <w:szCs w:val="21"/>
          <w:highlight w:val="none"/>
        </w:rPr>
        <w:t>接地</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护栏按间隔可靠</w:t>
      </w:r>
      <w:r>
        <w:rPr>
          <w:rFonts w:hint="eastAsia" w:ascii="宋体" w:hAnsi="宋体" w:eastAsia="宋体" w:cs="宋体"/>
          <w:color w:val="auto"/>
          <w:kern w:val="2"/>
          <w:sz w:val="21"/>
          <w:szCs w:val="21"/>
          <w:highlight w:val="none"/>
          <w:lang w:val="en-US" w:eastAsia="zh-CN"/>
        </w:rPr>
        <w:t>防雷</w:t>
      </w:r>
      <w:r>
        <w:rPr>
          <w:rFonts w:hint="eastAsia" w:ascii="宋体" w:hAnsi="宋体" w:eastAsia="宋体" w:cs="宋体"/>
          <w:color w:val="auto"/>
          <w:kern w:val="2"/>
          <w:sz w:val="21"/>
          <w:szCs w:val="21"/>
          <w:highlight w:val="none"/>
        </w:rPr>
        <w:t>接地。</w:t>
      </w:r>
      <w:r>
        <w:rPr>
          <w:rFonts w:hint="eastAsia" w:ascii="宋体" w:hAnsi="宋体" w:eastAsia="宋体" w:cs="宋体"/>
          <w:color w:val="auto"/>
          <w:kern w:val="2"/>
          <w:sz w:val="21"/>
          <w:szCs w:val="21"/>
          <w:highlight w:val="none"/>
          <w:lang w:val="en-US" w:eastAsia="zh-CN"/>
        </w:rPr>
        <w:t>护栏安装应牢固、美观，符合《建筑施工高处作业安全技术规范》JGJ80-2016</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w:t>
      </w:r>
      <w:r>
        <w:rPr>
          <w:rFonts w:hint="eastAsia" w:ascii="宋体" w:hAnsi="宋体" w:eastAsia="宋体" w:cs="宋体"/>
          <w:color w:val="auto"/>
          <w:kern w:val="2"/>
          <w:sz w:val="21"/>
          <w:szCs w:val="21"/>
          <w:highlight w:val="none"/>
          <w:lang w:val="en-US" w:eastAsia="zh-CN"/>
        </w:rPr>
        <w:t>扶手踏步</w:t>
      </w:r>
      <w:r>
        <w:rPr>
          <w:rFonts w:hint="eastAsia" w:ascii="宋体" w:hAnsi="宋体" w:eastAsia="宋体" w:cs="宋体"/>
          <w:color w:val="auto"/>
          <w:kern w:val="2"/>
          <w:sz w:val="21"/>
          <w:szCs w:val="21"/>
          <w:highlight w:val="none"/>
        </w:rPr>
        <w:t>钢斜梯</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为方便运维和安全作业，未设置楼梯的</w:t>
      </w:r>
      <w:r>
        <w:rPr>
          <w:rFonts w:hint="eastAsia" w:ascii="宋体" w:hAnsi="宋体" w:eastAsia="宋体" w:cs="宋体"/>
          <w:color w:val="auto"/>
          <w:kern w:val="2"/>
          <w:sz w:val="21"/>
          <w:szCs w:val="21"/>
          <w:highlight w:val="none"/>
          <w:lang w:val="en-US" w:eastAsia="zh-CN"/>
        </w:rPr>
        <w:t>彩钢瓦屋</w:t>
      </w:r>
      <w:r>
        <w:rPr>
          <w:rFonts w:hint="eastAsia" w:ascii="宋体" w:hAnsi="宋体" w:eastAsia="宋体" w:cs="宋体"/>
          <w:color w:val="auto"/>
          <w:kern w:val="2"/>
          <w:sz w:val="21"/>
          <w:szCs w:val="21"/>
          <w:highlight w:val="none"/>
        </w:rPr>
        <w:t>面、棚</w:t>
      </w:r>
      <w:r>
        <w:rPr>
          <w:rFonts w:hint="eastAsia" w:ascii="宋体" w:hAnsi="宋体" w:eastAsia="宋体" w:cs="宋体"/>
          <w:color w:val="auto"/>
          <w:kern w:val="2"/>
          <w:sz w:val="21"/>
          <w:szCs w:val="21"/>
          <w:highlight w:val="none"/>
          <w:lang w:val="en-US" w:eastAsia="zh-CN"/>
        </w:rPr>
        <w:t>架</w:t>
      </w:r>
      <w:r>
        <w:rPr>
          <w:rFonts w:hint="eastAsia" w:ascii="宋体" w:hAnsi="宋体" w:eastAsia="宋体" w:cs="宋体"/>
          <w:color w:val="auto"/>
          <w:kern w:val="2"/>
          <w:sz w:val="21"/>
          <w:szCs w:val="21"/>
          <w:highlight w:val="none"/>
        </w:rPr>
        <w:t>式光伏</w:t>
      </w:r>
      <w:r>
        <w:rPr>
          <w:rFonts w:hint="eastAsia" w:ascii="宋体" w:hAnsi="宋体" w:eastAsia="宋体" w:cs="宋体"/>
          <w:color w:val="auto"/>
          <w:kern w:val="2"/>
          <w:sz w:val="21"/>
          <w:szCs w:val="21"/>
          <w:highlight w:val="none"/>
          <w:lang w:val="en-US" w:eastAsia="zh-CN"/>
        </w:rPr>
        <w:t>组件</w:t>
      </w:r>
      <w:r>
        <w:rPr>
          <w:rFonts w:hint="eastAsia" w:ascii="宋体" w:hAnsi="宋体" w:eastAsia="宋体" w:cs="宋体"/>
          <w:color w:val="auto"/>
          <w:kern w:val="2"/>
          <w:sz w:val="21"/>
          <w:szCs w:val="21"/>
          <w:highlight w:val="none"/>
        </w:rPr>
        <w:t>面，须设置</w:t>
      </w:r>
      <w:r>
        <w:rPr>
          <w:rFonts w:hint="eastAsia" w:ascii="宋体" w:hAnsi="宋体" w:eastAsia="宋体" w:cs="宋体"/>
          <w:color w:val="auto"/>
          <w:kern w:val="2"/>
          <w:sz w:val="21"/>
          <w:szCs w:val="21"/>
          <w:highlight w:val="none"/>
          <w:lang w:val="en-US" w:eastAsia="zh-CN"/>
        </w:rPr>
        <w:t>扶手踏步镀锌</w:t>
      </w:r>
      <w:r>
        <w:rPr>
          <w:rFonts w:hint="eastAsia" w:ascii="宋体" w:hAnsi="宋体" w:eastAsia="宋体" w:cs="宋体"/>
          <w:color w:val="auto"/>
          <w:kern w:val="2"/>
          <w:sz w:val="21"/>
          <w:szCs w:val="21"/>
          <w:highlight w:val="none"/>
        </w:rPr>
        <w:t>钢斜梯，</w:t>
      </w:r>
      <w:r>
        <w:rPr>
          <w:rFonts w:hint="eastAsia" w:ascii="宋体" w:hAnsi="宋体" w:eastAsia="宋体" w:cs="宋体"/>
          <w:color w:val="auto"/>
          <w:kern w:val="2"/>
          <w:sz w:val="21"/>
          <w:szCs w:val="21"/>
          <w:highlight w:val="none"/>
          <w:lang w:val="en-US" w:eastAsia="zh-CN"/>
        </w:rPr>
        <w:t>钢斜梯踏面宽度</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0.8</w:t>
      </w:r>
      <w:r>
        <w:rPr>
          <w:rFonts w:hint="eastAsia"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踏面深度≥0.18m、踏面高度≤0.2m，双扶手高度</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0.9</w:t>
      </w:r>
      <w:r>
        <w:rPr>
          <w:rFonts w:hint="eastAsia"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搭棚方式的钢梯需同时设置0.8</w:t>
      </w:r>
      <w:r>
        <w:rPr>
          <w:rFonts w:hint="eastAsia"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m</w:t>
      </w:r>
      <w:r>
        <w:rPr>
          <w:rFonts w:hint="eastAsia" w:ascii="宋体" w:hAnsi="宋体" w:eastAsia="宋体" w:cs="宋体"/>
          <w:color w:val="auto"/>
          <w:kern w:val="2"/>
          <w:sz w:val="21"/>
          <w:szCs w:val="21"/>
          <w:highlight w:val="none"/>
          <w:lang w:val="en-US" w:eastAsia="zh-CN"/>
        </w:rPr>
        <w:t>运维操作平台并与运维通道进行连接，</w:t>
      </w:r>
      <w:r>
        <w:rPr>
          <w:rFonts w:hint="eastAsia" w:ascii="宋体" w:hAnsi="宋体" w:eastAsia="宋体" w:cs="宋体"/>
          <w:b w:val="0"/>
          <w:bCs w:val="0"/>
          <w:color w:val="auto"/>
          <w:kern w:val="2"/>
          <w:sz w:val="21"/>
          <w:szCs w:val="21"/>
          <w:highlight w:val="none"/>
          <w:lang w:val="en-US" w:eastAsia="zh-CN"/>
        </w:rPr>
        <w:t>各立柱须增加水泥墩基础，</w:t>
      </w:r>
      <w:r>
        <w:rPr>
          <w:rFonts w:hint="eastAsia" w:ascii="宋体" w:hAnsi="宋体" w:eastAsia="宋体" w:cs="宋体"/>
          <w:color w:val="auto"/>
          <w:kern w:val="2"/>
          <w:sz w:val="21"/>
          <w:szCs w:val="21"/>
          <w:highlight w:val="none"/>
        </w:rPr>
        <w:t>应符合《</w:t>
      </w:r>
      <w:r>
        <w:rPr>
          <w:rFonts w:ascii="宋体" w:hAnsi="宋体" w:eastAsia="宋体" w:cs="宋体"/>
          <w:color w:val="auto"/>
          <w:kern w:val="2"/>
          <w:sz w:val="21"/>
          <w:szCs w:val="21"/>
          <w:highlight w:val="none"/>
        </w:rPr>
        <w:t>固定式钢梯及平台安全要求.第2部分:钢斜梯</w:t>
      </w: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GB4053.2-2009</w:t>
      </w:r>
      <w:r>
        <w:rPr>
          <w:rFonts w:hint="eastAsia" w:ascii="宋体" w:hAnsi="宋体" w:eastAsia="宋体" w:cs="宋体"/>
          <w:color w:val="auto"/>
          <w:kern w:val="2"/>
          <w:sz w:val="21"/>
          <w:szCs w:val="21"/>
          <w:highlight w:val="none"/>
          <w:lang w:val="en-US" w:eastAsia="zh-CN"/>
        </w:rPr>
        <w:t>规定</w:t>
      </w:r>
      <w:r>
        <w:rPr>
          <w:rFonts w:hint="eastAsia" w:ascii="宋体" w:hAnsi="宋体" w:eastAsia="宋体" w:cs="宋体"/>
          <w:color w:val="auto"/>
          <w:kern w:val="2"/>
          <w:sz w:val="21"/>
          <w:szCs w:val="21"/>
          <w:highlight w:val="none"/>
        </w:rPr>
        <w:t>。钢斜梯</w:t>
      </w:r>
      <w:r>
        <w:rPr>
          <w:rFonts w:hint="eastAsia" w:ascii="宋体" w:hAnsi="宋体" w:eastAsia="宋体" w:cs="宋体"/>
          <w:color w:val="auto"/>
          <w:kern w:val="2"/>
          <w:sz w:val="21"/>
          <w:szCs w:val="21"/>
          <w:highlight w:val="none"/>
          <w:lang w:val="en-US" w:eastAsia="zh-CN"/>
        </w:rPr>
        <w:t>高度1.5m内的部分空隙不大于0.15m</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并在</w:t>
      </w:r>
      <w:r>
        <w:rPr>
          <w:rFonts w:hint="eastAsia" w:ascii="宋体" w:hAnsi="宋体" w:eastAsia="宋体" w:cs="宋体"/>
          <w:color w:val="auto"/>
          <w:kern w:val="2"/>
          <w:sz w:val="21"/>
          <w:szCs w:val="21"/>
          <w:highlight w:val="none"/>
        </w:rPr>
        <w:t>入口</w:t>
      </w:r>
      <w:r>
        <w:rPr>
          <w:rFonts w:hint="eastAsia" w:ascii="宋体" w:hAnsi="宋体" w:eastAsia="宋体" w:cs="宋体"/>
          <w:color w:val="auto"/>
          <w:kern w:val="2"/>
          <w:sz w:val="21"/>
          <w:szCs w:val="21"/>
          <w:highlight w:val="none"/>
          <w:lang w:val="en-US" w:eastAsia="zh-CN"/>
        </w:rPr>
        <w:t>处设置</w:t>
      </w:r>
      <w:r>
        <w:rPr>
          <w:rFonts w:hint="eastAsia" w:ascii="宋体" w:hAnsi="宋体" w:eastAsia="宋体" w:cs="宋体"/>
          <w:color w:val="auto"/>
          <w:kern w:val="2"/>
          <w:sz w:val="21"/>
          <w:szCs w:val="21"/>
          <w:highlight w:val="none"/>
        </w:rPr>
        <w:t>带锁的活动门</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钢斜梯踏步应使用槽钢、型钢，宜用热镀锌材质，</w:t>
      </w:r>
      <w:r>
        <w:rPr>
          <w:rFonts w:hint="eastAsia" w:ascii="宋体" w:hAnsi="宋体" w:eastAsia="宋体" w:cs="宋体"/>
          <w:color w:val="auto"/>
          <w:kern w:val="2"/>
          <w:sz w:val="21"/>
          <w:szCs w:val="21"/>
          <w:highlight w:val="none"/>
        </w:rPr>
        <w:t>钢斜梯旁边设置“</w:t>
      </w:r>
      <w:r>
        <w:rPr>
          <w:rFonts w:hint="eastAsia" w:ascii="宋体" w:hAnsi="宋体" w:eastAsia="宋体" w:cs="宋体"/>
          <w:color w:val="auto"/>
          <w:kern w:val="2"/>
          <w:sz w:val="21"/>
          <w:szCs w:val="21"/>
          <w:highlight w:val="none"/>
          <w:lang w:val="en-US" w:eastAsia="zh-CN"/>
        </w:rPr>
        <w:t>高处危险，非作业人员</w:t>
      </w:r>
      <w:r>
        <w:rPr>
          <w:rFonts w:hint="eastAsia" w:ascii="宋体" w:hAnsi="宋体" w:eastAsia="宋体" w:cs="宋体"/>
          <w:color w:val="auto"/>
          <w:kern w:val="2"/>
          <w:sz w:val="21"/>
          <w:szCs w:val="21"/>
          <w:highlight w:val="none"/>
        </w:rPr>
        <w:t>禁止</w:t>
      </w:r>
      <w:r>
        <w:rPr>
          <w:rFonts w:hint="eastAsia" w:ascii="宋体" w:hAnsi="宋体" w:eastAsia="宋体" w:cs="宋体"/>
          <w:color w:val="auto"/>
          <w:kern w:val="2"/>
          <w:sz w:val="21"/>
          <w:szCs w:val="21"/>
          <w:highlight w:val="none"/>
          <w:lang w:val="en-US" w:eastAsia="zh-CN"/>
        </w:rPr>
        <w:t>进入</w:t>
      </w:r>
      <w:r>
        <w:rPr>
          <w:rFonts w:hint="eastAsia" w:ascii="宋体" w:hAnsi="宋体" w:eastAsia="宋体" w:cs="宋体"/>
          <w:color w:val="auto"/>
          <w:kern w:val="2"/>
          <w:sz w:val="21"/>
          <w:szCs w:val="21"/>
          <w:highlight w:val="none"/>
        </w:rPr>
        <w:t>”。</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③采光带周围用宽度不少于100mm黄色油漆标识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或贴警示带</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，并</w:t>
      </w:r>
      <w:r>
        <w:rPr>
          <w:rFonts w:hint="eastAsia" w:ascii="宋体" w:hAnsi="宋体" w:eastAsia="宋体" w:cs="宋体"/>
          <w:color w:val="auto"/>
          <w:kern w:val="2"/>
          <w:sz w:val="21"/>
          <w:szCs w:val="21"/>
          <w:highlight w:val="none"/>
          <w:lang w:val="en-US" w:eastAsia="zh-CN"/>
        </w:rPr>
        <w:t>设置“</w:t>
      </w:r>
      <w:r>
        <w:rPr>
          <w:rFonts w:hint="eastAsia" w:ascii="宋体" w:hAnsi="宋体" w:eastAsia="宋体" w:cs="宋体"/>
          <w:color w:val="auto"/>
          <w:kern w:val="2"/>
          <w:sz w:val="21"/>
          <w:szCs w:val="21"/>
          <w:highlight w:val="none"/>
        </w:rPr>
        <w:t>禁止踩踏</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警示牌</w:t>
      </w:r>
      <w:r>
        <w:rPr>
          <w:rFonts w:hint="eastAsia" w:ascii="宋体" w:hAnsi="宋体" w:eastAsia="宋体" w:cs="宋体"/>
          <w:color w:val="auto"/>
          <w:kern w:val="2"/>
          <w:sz w:val="21"/>
          <w:szCs w:val="21"/>
          <w:highlight w:val="none"/>
        </w:rPr>
        <w:t>；同时</w:t>
      </w:r>
      <w:r>
        <w:rPr>
          <w:rFonts w:hint="eastAsia" w:ascii="宋体" w:hAnsi="宋体" w:eastAsia="宋体" w:cs="宋体"/>
          <w:b/>
          <w:bCs/>
          <w:color w:val="auto"/>
          <w:kern w:val="2"/>
          <w:sz w:val="21"/>
          <w:szCs w:val="21"/>
          <w:highlight w:val="none"/>
        </w:rPr>
        <w:t>设置</w:t>
      </w:r>
      <w:r>
        <w:rPr>
          <w:rFonts w:hint="eastAsia" w:ascii="宋体" w:hAnsi="宋体" w:eastAsia="宋体" w:cs="宋体"/>
          <w:b/>
          <w:bCs/>
          <w:color w:val="auto"/>
          <w:kern w:val="2"/>
          <w:sz w:val="21"/>
          <w:szCs w:val="21"/>
          <w:highlight w:val="none"/>
          <w:lang w:val="en-US" w:eastAsia="zh-CN"/>
        </w:rPr>
        <w:t>防坠落网</w:t>
      </w:r>
      <w:r>
        <w:rPr>
          <w:rFonts w:hint="eastAsia" w:ascii="宋体" w:hAnsi="宋体" w:eastAsia="宋体" w:cs="宋体"/>
          <w:color w:val="auto"/>
          <w:kern w:val="2"/>
          <w:sz w:val="21"/>
          <w:szCs w:val="21"/>
          <w:highlight w:val="none"/>
          <w:lang w:val="en-US" w:eastAsia="zh-CN"/>
        </w:rPr>
        <w:t>进行</w:t>
      </w:r>
      <w:r>
        <w:rPr>
          <w:rFonts w:hint="eastAsia" w:ascii="宋体" w:hAnsi="宋体" w:eastAsia="宋体" w:cs="宋体"/>
          <w:color w:val="auto"/>
          <w:kern w:val="2"/>
          <w:sz w:val="21"/>
          <w:szCs w:val="21"/>
          <w:highlight w:val="none"/>
        </w:rPr>
        <w:t>保护，</w:t>
      </w:r>
      <w:r>
        <w:rPr>
          <w:rFonts w:hint="eastAsia" w:ascii="宋体" w:hAnsi="宋体" w:eastAsia="宋体" w:cs="宋体"/>
          <w:color w:val="auto"/>
          <w:kern w:val="2"/>
          <w:sz w:val="21"/>
          <w:szCs w:val="21"/>
          <w:highlight w:val="none"/>
          <w:lang w:val="en-US" w:eastAsia="zh-CN"/>
        </w:rPr>
        <w:t>防止</w:t>
      </w:r>
      <w:r>
        <w:rPr>
          <w:rFonts w:hint="eastAsia" w:ascii="宋体" w:hAnsi="宋体" w:eastAsia="宋体" w:cs="宋体"/>
          <w:color w:val="auto"/>
          <w:kern w:val="2"/>
          <w:sz w:val="21"/>
          <w:szCs w:val="21"/>
          <w:highlight w:val="none"/>
        </w:rPr>
        <w:t>人员踩空。</w:t>
      </w:r>
    </w:p>
    <w:p>
      <w:pPr>
        <w:widowControl w:val="0"/>
        <w:tabs>
          <w:tab w:val="left" w:pos="360"/>
        </w:tabs>
        <w:adjustRightInd/>
        <w:snapToGrid/>
        <w:spacing w:after="0" w:line="288" w:lineRule="auto"/>
        <w:ind w:firstLine="482" w:firstLineChars="200"/>
        <w:jc w:val="both"/>
        <w:outlineLvl w:val="9"/>
        <w:rPr>
          <w:rFonts w:ascii="Calibri Light" w:hAnsi="Calibri Light" w:eastAsia="宋体" w:cs="Times New Roman"/>
          <w:b/>
          <w:bCs/>
          <w:color w:val="auto"/>
          <w:kern w:val="2"/>
          <w:sz w:val="24"/>
          <w:szCs w:val="28"/>
          <w:highlight w:val="none"/>
        </w:rPr>
      </w:pP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lang w:eastAsia="zh-CN"/>
        </w:rPr>
        <w:t>五</w:t>
      </w:r>
      <w:r>
        <w:rPr>
          <w:rFonts w:hint="eastAsia" w:ascii="Calibri Light" w:hAnsi="Calibri Light" w:eastAsia="宋体" w:cs="Times New Roman"/>
          <w:b/>
          <w:bCs/>
          <w:color w:val="auto"/>
          <w:kern w:val="2"/>
          <w:sz w:val="24"/>
          <w:szCs w:val="28"/>
          <w:highlight w:val="none"/>
        </w:rPr>
        <w:t>、设计规范和设计依据</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（1）建筑平面、总平面；其他相关专业提出的要求。</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（2）建设方所提供的设计任务委托书、设计要点、经批准的扩初设计文件、配电房管线资料等。</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（3）国家及省的有关规范、标准、规程：</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《光伏发电站防雷技术规程》 DL/T 1364-2014(国家能源局)</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《光伏发电并网逆变器技术规范》 NB/T 32004-201</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(国家能源局)</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《光伏发电站电能质量检测技术规程》 NB/T 32006-2013(国家能源局)</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《光伏发电站功率预测系统技术要求》 NB/T 32011-2013(国家能源局)</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《光伏发电站防孤岛效应检测技术规程》 NB/T 32014-2013(国家能源局)</w:t>
      </w:r>
    </w:p>
    <w:p>
      <w:pPr>
        <w:widowControl w:val="0"/>
        <w:wordWrap w:val="0"/>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《并网光伏发电监控系统技术规范》 NB/T 32016-2013(国家能源局)</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《太阳能光伏系统防雷技术规范》 QX/T 263-2015(中国气象局)</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《光伏发电接入配电网设计规范》 GB/T 50865-2013</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《光伏发电站接入电力系统设计规范》 GB/T 50866-2013</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《光伏发电站继电保护技术规范》 GB/T_32900-2016</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《分布式光伏发电系统接入电网技术规范》 Q/CSG_1211001-2014</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《光伏发电站接入电网技术规范》 Q/CSG_1211002-2014</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《光伏发电并网技术标准》 Q/CSG_1211006-2016</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《并网光伏发电站监控系统技术规范》 Q/CSG_1211011-2016</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《建筑结构荷载规范》 GB50009-2012</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《建筑物防雷设计规范》 GB50057-2010</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《分布式光伏发电开发建设管理办法》</w:t>
      </w:r>
      <w:r>
        <w:rPr>
          <w:rFonts w:hint="eastAsia" w:ascii="宋体" w:hAnsi="宋体" w:eastAsia="宋体" w:cs="宋体"/>
          <w:color w:val="auto"/>
          <w:kern w:val="2"/>
          <w:sz w:val="21"/>
          <w:szCs w:val="21"/>
          <w:highlight w:val="none"/>
          <w:lang w:val="en-US" w:eastAsia="zh-CN"/>
        </w:rPr>
        <w:t xml:space="preserve"> </w:t>
      </w:r>
      <w:r>
        <w:rPr>
          <w:rFonts w:hint="eastAsia" w:ascii="宋体" w:hAnsi="宋体" w:eastAsia="宋体" w:cs="宋体"/>
          <w:color w:val="auto"/>
          <w:kern w:val="2"/>
          <w:sz w:val="21"/>
          <w:szCs w:val="21"/>
          <w:highlight w:val="none"/>
          <w:lang w:eastAsia="zh-CN"/>
        </w:rPr>
        <w:t>国能发新能</w:t>
      </w:r>
      <w:r>
        <w:rPr>
          <w:rFonts w:hint="eastAsia" w:ascii="宋体" w:hAnsi="宋体" w:eastAsia="宋体" w:cs="宋体"/>
          <w:color w:val="auto"/>
          <w:kern w:val="2"/>
          <w:sz w:val="21"/>
          <w:szCs w:val="21"/>
          <w:highlight w:val="none"/>
          <w:lang w:val="en-US" w:eastAsia="zh-CN"/>
        </w:rPr>
        <w:t>规</w:t>
      </w:r>
      <w:r>
        <w:rPr>
          <w:rFonts w:hint="eastAsia" w:ascii="宋体" w:hAnsi="宋体" w:eastAsia="宋体" w:cs="宋体"/>
          <w:color w:val="auto"/>
          <w:kern w:val="2"/>
          <w:sz w:val="21"/>
          <w:szCs w:val="21"/>
          <w:highlight w:val="none"/>
          <w:lang w:eastAsia="zh-CN"/>
        </w:rPr>
        <w:t>[2025]7号</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广东电网公司低压分布式光伏“四可”能力计量典型设计(试行)</w:t>
      </w:r>
      <w:r>
        <w:rPr>
          <w:rFonts w:hint="eastAsia" w:ascii="宋体" w:hAnsi="宋体" w:eastAsia="宋体" w:cs="宋体"/>
          <w:color w:val="auto"/>
          <w:kern w:val="2"/>
          <w:sz w:val="21"/>
          <w:szCs w:val="21"/>
          <w:highlight w:val="none"/>
          <w:lang w:eastAsia="zh-CN"/>
        </w:rPr>
        <w:t>》</w:t>
      </w:r>
    </w:p>
    <w:p>
      <w:pPr>
        <w:widowControl w:val="0"/>
        <w:tabs>
          <w:tab w:val="left" w:pos="360"/>
        </w:tabs>
        <w:adjustRightInd/>
        <w:snapToGrid/>
        <w:spacing w:after="0" w:line="288" w:lineRule="auto"/>
        <w:ind w:firstLine="420" w:firstLineChars="200"/>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上述标准、规范及规程仅是本工程的最基本依据，并未包括实施中所涉及到的所有标准、规范和规程，项目的设计应符合中华人民共和国国家标准（GB），中华人民共和国电力行业标准（DL），中华人民共和国电子行业标准（SJ）及相关的IEC标准。在国内标准与IEC标准矛盾时，应按较高标准执行，并且所用标准和技术规范均应为合同签订之日为止时的最新版本。</w:t>
      </w:r>
    </w:p>
    <w:p>
      <w:pPr>
        <w:keepNext/>
        <w:keepLines/>
        <w:widowControl w:val="0"/>
        <w:adjustRightInd/>
        <w:snapToGrid/>
        <w:spacing w:after="0" w:line="360" w:lineRule="auto"/>
        <w:jc w:val="both"/>
        <w:outlineLvl w:val="9"/>
        <w:rPr>
          <w:rFonts w:hint="eastAsia" w:ascii="Calibri Light" w:hAnsi="Calibri Light" w:eastAsia="宋体" w:cs="Times New Roman"/>
          <w:b/>
          <w:bCs/>
          <w:color w:val="auto"/>
          <w:kern w:val="2"/>
          <w:sz w:val="24"/>
          <w:szCs w:val="28"/>
          <w:highlight w:val="none"/>
          <w:lang w:eastAsia="zh-CN"/>
        </w:rPr>
      </w:pP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lang w:eastAsia="zh-CN"/>
        </w:rPr>
        <w:t>六</w:t>
      </w:r>
      <w:r>
        <w:rPr>
          <w:rFonts w:hint="eastAsia" w:ascii="Calibri Light" w:hAnsi="Calibri Light" w:eastAsia="宋体" w:cs="Times New Roman"/>
          <w:b/>
          <w:bCs/>
          <w:color w:val="auto"/>
          <w:kern w:val="2"/>
          <w:sz w:val="24"/>
          <w:szCs w:val="28"/>
          <w:highlight w:val="none"/>
        </w:rPr>
        <w:t>、消防要求</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主要设计原则、功能及配置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本项目依据国家有关消防条例、规范进行设计，本着“预防为主、防消结合 ”的消防工作方针，消防系统的设置以加强自身防范力量为主，立足于自救，同时与消防部门联防，做到“防患于未然 ”，从积极的方面预防火灾的发生及蔓延。变电站内电气设备较多，消防设计的重点是防止电气火灾。</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（1）对设有电气仪表设备的房间，应配置移动式气体灭火器和手动火灾报警（警铃）。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（2）对光伏组件屋面应按方阵、逆变器数量配置干粉灭火器和消防沙，用于发电单元电气设备的灭火。</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（3）根据“预防为主、防消结合 ”的原则，本着减少着火机率，阻止电缆着火延燃及窜燃的目的，结合现场实际情况，主要采取“封 ”“堵 ”“隔 ”“涂 ”等技术措施，封堵施工按照国家及行业有关标准和以往的电缆防火封堵措施并结合电站实际情况进行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交流电缆采用阻燃型</w:t>
      </w:r>
      <w:r>
        <w:rPr>
          <w:rFonts w:hint="eastAsia" w:ascii="宋体" w:hAnsi="宋体" w:eastAsia="宋体" w:cs="宋体"/>
          <w:color w:val="auto"/>
          <w:kern w:val="2"/>
          <w:sz w:val="21"/>
          <w:szCs w:val="21"/>
          <w:highlight w:val="none"/>
        </w:rPr>
        <w:t xml:space="preserve"> 。</w:t>
      </w:r>
      <w:r>
        <w:rPr>
          <w:rFonts w:hint="eastAsia" w:ascii="宋体" w:hAnsi="宋体" w:eastAsia="宋体" w:cs="宋体"/>
          <w:color w:val="auto"/>
          <w:kern w:val="2"/>
          <w:sz w:val="21"/>
          <w:szCs w:val="21"/>
          <w:highlight w:val="none"/>
          <w:lang w:eastAsia="zh-CN"/>
        </w:rPr>
        <w:t>安装</w:t>
      </w:r>
      <w:r>
        <w:rPr>
          <w:rFonts w:hint="eastAsia" w:ascii="宋体" w:hAnsi="宋体" w:eastAsia="宋体" w:cs="宋体"/>
          <w:color w:val="auto"/>
          <w:kern w:val="2"/>
          <w:sz w:val="21"/>
          <w:szCs w:val="21"/>
          <w:highlight w:val="none"/>
        </w:rPr>
        <w:t>主要达到《电气装置安装工程 电缆线路施工及验收标准》GB50168-2018。</w:t>
      </w:r>
    </w:p>
    <w:p>
      <w:pPr>
        <w:widowControl w:val="0"/>
        <w:wordWrap w:val="0"/>
        <w:adjustRightInd/>
        <w:snapToGrid/>
        <w:spacing w:after="0" w:line="288" w:lineRule="auto"/>
        <w:jc w:val="both"/>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消防设计及消防验收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投标方须依据《中华人名共和国消防法》、《建设工程消防监督管理规定》等法律法规及当地消防管理部门的要求，完成如下事项（包括但不限于）:</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（1）光伏发电项目的消防设计及备案；</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（2）委托有资质的第三方机构进行消防检测，并取得消防设施检测合格证明文件；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（3）竣工验收消防备案；</w:t>
      </w:r>
    </w:p>
    <w:p>
      <w:pPr>
        <w:widowControl w:val="0"/>
        <w:wordWrap w:val="0"/>
        <w:adjustRightInd/>
        <w:snapToGrid/>
        <w:spacing w:after="0" w:line="288" w:lineRule="auto"/>
        <w:ind w:left="420" w:leftChars="200"/>
        <w:jc w:val="both"/>
        <w:outlineLvl w:val="9"/>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（4）如本项目被确定为抽查对象，须通过当地消防管理部门的检测检验。</w:t>
      </w: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p>
    <w:p>
      <w:pPr>
        <w:keepNext/>
        <w:keepLines/>
        <w:widowControl w:val="0"/>
        <w:adjustRightInd/>
        <w:snapToGrid/>
        <w:spacing w:after="0" w:line="360" w:lineRule="auto"/>
        <w:jc w:val="both"/>
        <w:outlineLvl w:val="9"/>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lang w:val="en-US" w:eastAsia="zh-CN"/>
        </w:rPr>
        <w:t>七</w:t>
      </w:r>
      <w:r>
        <w:rPr>
          <w:rFonts w:hint="eastAsia" w:ascii="Calibri Light" w:hAnsi="Calibri Light" w:eastAsia="宋体" w:cs="Times New Roman"/>
          <w:b/>
          <w:bCs/>
          <w:color w:val="auto"/>
          <w:kern w:val="2"/>
          <w:sz w:val="24"/>
          <w:szCs w:val="28"/>
          <w:highlight w:val="none"/>
        </w:rPr>
        <w:t>、特别要求</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1、承包单位</w:t>
      </w:r>
      <w:r>
        <w:rPr>
          <w:rFonts w:hint="eastAsia" w:ascii="宋体" w:hAnsi="宋体" w:eastAsia="宋体" w:cs="宋体"/>
          <w:color w:val="auto"/>
          <w:kern w:val="2"/>
          <w:sz w:val="21"/>
          <w:szCs w:val="21"/>
          <w:highlight w:val="none"/>
          <w:lang w:val="en-US" w:eastAsia="zh-CN"/>
        </w:rPr>
        <w:t>在</w:t>
      </w:r>
      <w:r>
        <w:rPr>
          <w:rFonts w:hint="eastAsia" w:ascii="宋体" w:hAnsi="宋体" w:eastAsia="宋体" w:cs="宋体"/>
          <w:color w:val="auto"/>
          <w:kern w:val="2"/>
          <w:sz w:val="21"/>
          <w:szCs w:val="21"/>
          <w:highlight w:val="none"/>
        </w:rPr>
        <w:t>涉及</w:t>
      </w:r>
      <w:r>
        <w:rPr>
          <w:rFonts w:hint="eastAsia" w:ascii="宋体" w:hAnsi="宋体" w:eastAsia="宋体" w:cs="宋体"/>
          <w:color w:val="auto"/>
          <w:kern w:val="2"/>
          <w:sz w:val="21"/>
          <w:szCs w:val="21"/>
          <w:highlight w:val="none"/>
          <w:lang w:val="en-US" w:eastAsia="zh-CN"/>
        </w:rPr>
        <w:t>光伏发电</w:t>
      </w:r>
      <w:r>
        <w:rPr>
          <w:rFonts w:hint="eastAsia" w:ascii="宋体" w:hAnsi="宋体" w:eastAsia="宋体" w:cs="宋体"/>
          <w:color w:val="auto"/>
          <w:kern w:val="2"/>
          <w:sz w:val="21"/>
          <w:szCs w:val="21"/>
          <w:highlight w:val="none"/>
        </w:rPr>
        <w:t>系统并网验收及报批方面，必须</w:t>
      </w:r>
      <w:r>
        <w:rPr>
          <w:rFonts w:hint="eastAsia" w:ascii="宋体" w:hAnsi="宋体" w:eastAsia="宋体" w:cs="宋体"/>
          <w:color w:val="auto"/>
          <w:kern w:val="2"/>
          <w:sz w:val="21"/>
          <w:szCs w:val="21"/>
          <w:highlight w:val="none"/>
          <w:lang w:val="en-US" w:eastAsia="zh-CN"/>
        </w:rPr>
        <w:t>充分</w:t>
      </w:r>
      <w:r>
        <w:rPr>
          <w:rFonts w:hint="eastAsia" w:ascii="宋体" w:hAnsi="宋体" w:eastAsia="宋体" w:cs="宋体"/>
          <w:color w:val="auto"/>
          <w:kern w:val="2"/>
          <w:sz w:val="21"/>
          <w:szCs w:val="21"/>
          <w:highlight w:val="none"/>
        </w:rPr>
        <w:t>与当地供电</w:t>
      </w:r>
      <w:r>
        <w:rPr>
          <w:rFonts w:hint="eastAsia" w:ascii="Calibri" w:hAnsi="Calibri" w:eastAsia="宋体" w:cs="Times New Roman"/>
          <w:color w:val="auto"/>
          <w:kern w:val="2"/>
          <w:sz w:val="21"/>
          <w:szCs w:val="21"/>
          <w:highlight w:val="none"/>
        </w:rPr>
        <w:t>部门</w:t>
      </w:r>
      <w:r>
        <w:rPr>
          <w:rFonts w:hint="eastAsia" w:ascii="宋体" w:hAnsi="宋体" w:eastAsia="宋体" w:cs="宋体"/>
          <w:color w:val="auto"/>
          <w:kern w:val="2"/>
          <w:sz w:val="21"/>
          <w:szCs w:val="21"/>
          <w:highlight w:val="none"/>
        </w:rPr>
        <w:t>协调沟通，保证项目</w:t>
      </w:r>
      <w:r>
        <w:rPr>
          <w:rFonts w:hint="eastAsia" w:ascii="宋体" w:hAnsi="宋体" w:eastAsia="宋体" w:cs="宋体"/>
          <w:color w:val="auto"/>
          <w:kern w:val="2"/>
          <w:sz w:val="21"/>
          <w:szCs w:val="21"/>
          <w:highlight w:val="none"/>
          <w:lang w:val="en-US" w:eastAsia="zh-CN"/>
        </w:rPr>
        <w:t>按工期并网投运</w:t>
      </w:r>
      <w:r>
        <w:rPr>
          <w:rFonts w:hint="eastAsia" w:ascii="宋体" w:hAnsi="宋体" w:eastAsia="宋体" w:cs="宋体"/>
          <w:color w:val="auto"/>
          <w:kern w:val="2"/>
          <w:sz w:val="21"/>
          <w:szCs w:val="21"/>
          <w:highlight w:val="none"/>
        </w:rPr>
        <w:t>。</w:t>
      </w:r>
    </w:p>
    <w:p>
      <w:pPr>
        <w:widowControl w:val="0"/>
        <w:wordWrap w:val="0"/>
        <w:adjustRightInd/>
        <w:snapToGrid/>
        <w:spacing w:after="0" w:line="288"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、如涉及</w:t>
      </w:r>
      <w:r>
        <w:rPr>
          <w:rFonts w:hint="eastAsia" w:ascii="宋体" w:hAnsi="宋体" w:eastAsia="宋体" w:cs="宋体"/>
          <w:color w:val="auto"/>
          <w:kern w:val="2"/>
          <w:sz w:val="21"/>
          <w:szCs w:val="21"/>
          <w:highlight w:val="none"/>
          <w:lang w:val="en-US" w:eastAsia="zh-CN"/>
        </w:rPr>
        <w:t>屋顶</w:t>
      </w:r>
      <w:r>
        <w:rPr>
          <w:rFonts w:hint="eastAsia" w:ascii="Calibri" w:hAnsi="Calibri" w:eastAsia="宋体" w:cs="Times New Roman"/>
          <w:color w:val="auto"/>
          <w:kern w:val="2"/>
          <w:sz w:val="21"/>
          <w:szCs w:val="21"/>
          <w:highlight w:val="none"/>
        </w:rPr>
        <w:t>业主、</w:t>
      </w:r>
      <w:r>
        <w:rPr>
          <w:rFonts w:hint="eastAsia" w:ascii="Calibri" w:hAnsi="Calibri" w:eastAsia="宋体" w:cs="Times New Roman"/>
          <w:color w:val="auto"/>
          <w:kern w:val="2"/>
          <w:sz w:val="21"/>
          <w:szCs w:val="21"/>
          <w:highlight w:val="none"/>
          <w:lang w:val="en-US" w:eastAsia="zh-CN"/>
        </w:rPr>
        <w:t>当地两违办</w:t>
      </w:r>
      <w:r>
        <w:rPr>
          <w:rFonts w:hint="eastAsia" w:ascii="Calibri" w:hAnsi="Calibri" w:eastAsia="宋体" w:cs="Times New Roman"/>
          <w:color w:val="auto"/>
          <w:kern w:val="2"/>
          <w:sz w:val="21"/>
          <w:szCs w:val="21"/>
          <w:highlight w:val="none"/>
        </w:rPr>
        <w:t>、</w:t>
      </w:r>
      <w:r>
        <w:rPr>
          <w:rFonts w:hint="eastAsia" w:ascii="Calibri" w:hAnsi="Calibri" w:eastAsia="宋体" w:cs="Times New Roman"/>
          <w:color w:val="auto"/>
          <w:kern w:val="2"/>
          <w:sz w:val="21"/>
          <w:szCs w:val="21"/>
          <w:highlight w:val="none"/>
          <w:lang w:val="en-US" w:eastAsia="zh-CN"/>
        </w:rPr>
        <w:t>经发局、</w:t>
      </w:r>
      <w:r>
        <w:rPr>
          <w:rFonts w:hint="eastAsia" w:ascii="Calibri" w:hAnsi="Calibri" w:eastAsia="宋体" w:cs="Times New Roman"/>
          <w:color w:val="auto"/>
          <w:kern w:val="2"/>
          <w:sz w:val="21"/>
          <w:szCs w:val="21"/>
          <w:highlight w:val="none"/>
        </w:rPr>
        <w:t>供电部门及其他相关</w:t>
      </w:r>
      <w:r>
        <w:rPr>
          <w:rFonts w:hint="eastAsia" w:ascii="Calibri" w:hAnsi="Calibri" w:eastAsia="宋体" w:cs="Times New Roman"/>
          <w:color w:val="auto"/>
          <w:kern w:val="2"/>
          <w:sz w:val="21"/>
          <w:szCs w:val="21"/>
          <w:highlight w:val="none"/>
          <w:lang w:val="en-US" w:eastAsia="zh-CN"/>
        </w:rPr>
        <w:t>部门</w:t>
      </w:r>
      <w:r>
        <w:rPr>
          <w:rFonts w:hint="eastAsia" w:ascii="Calibri" w:hAnsi="Calibri" w:eastAsia="宋体" w:cs="Times New Roman"/>
          <w:color w:val="auto"/>
          <w:kern w:val="2"/>
          <w:sz w:val="21"/>
          <w:szCs w:val="21"/>
          <w:highlight w:val="none"/>
        </w:rPr>
        <w:t>协调工作及费用一切由</w:t>
      </w:r>
      <w:r>
        <w:rPr>
          <w:rFonts w:hint="eastAsia" w:ascii="宋体" w:hAnsi="宋体" w:eastAsia="宋体" w:cs="宋体"/>
          <w:color w:val="auto"/>
          <w:kern w:val="2"/>
          <w:sz w:val="21"/>
          <w:szCs w:val="21"/>
          <w:highlight w:val="none"/>
        </w:rPr>
        <w:t>承包单位</w:t>
      </w:r>
      <w:r>
        <w:rPr>
          <w:rFonts w:hint="eastAsia" w:ascii="Calibri" w:hAnsi="Calibri" w:eastAsia="宋体" w:cs="Times New Roman"/>
          <w:color w:val="auto"/>
          <w:kern w:val="2"/>
          <w:sz w:val="21"/>
          <w:szCs w:val="21"/>
          <w:highlight w:val="none"/>
        </w:rPr>
        <w:t>负责，在不增加装机容量的前提，不得</w:t>
      </w:r>
      <w:r>
        <w:rPr>
          <w:rFonts w:hint="eastAsia" w:ascii="Calibri" w:hAnsi="Calibri" w:eastAsia="宋体" w:cs="Times New Roman"/>
          <w:color w:val="auto"/>
          <w:kern w:val="2"/>
          <w:sz w:val="21"/>
          <w:szCs w:val="21"/>
          <w:highlight w:val="none"/>
          <w:lang w:val="en-US" w:eastAsia="zh-CN"/>
        </w:rPr>
        <w:t>额外</w:t>
      </w:r>
      <w:r>
        <w:rPr>
          <w:rFonts w:hint="eastAsia" w:ascii="Calibri" w:hAnsi="Calibri" w:eastAsia="宋体" w:cs="Times New Roman"/>
          <w:color w:val="auto"/>
          <w:kern w:val="2"/>
          <w:sz w:val="21"/>
          <w:szCs w:val="21"/>
          <w:highlight w:val="none"/>
        </w:rPr>
        <w:t>增加费用</w:t>
      </w:r>
      <w:r>
        <w:rPr>
          <w:rFonts w:hint="eastAsia" w:ascii="宋体" w:hAnsi="宋体" w:eastAsia="宋体" w:cs="宋体"/>
          <w:color w:val="auto"/>
          <w:kern w:val="2"/>
          <w:sz w:val="21"/>
          <w:szCs w:val="21"/>
          <w:highlight w:val="none"/>
        </w:rPr>
        <w:t>。</w:t>
      </w:r>
    </w:p>
    <w:p>
      <w:pPr>
        <w:ind w:firstLine="420" w:firstLineChars="200"/>
        <w:rPr>
          <w:rFonts w:hint="eastAsia"/>
          <w:color w:val="auto"/>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、本项目</w:t>
      </w:r>
      <w:r>
        <w:rPr>
          <w:rFonts w:hint="eastAsia" w:ascii="宋体" w:hAnsi="宋体" w:eastAsia="宋体" w:cs="宋体"/>
          <w:color w:val="auto"/>
          <w:kern w:val="2"/>
          <w:sz w:val="21"/>
          <w:szCs w:val="21"/>
          <w:highlight w:val="none"/>
          <w:lang w:val="en-US" w:eastAsia="zh-CN"/>
        </w:rPr>
        <w:t>实行发电量</w:t>
      </w:r>
      <w:r>
        <w:rPr>
          <w:rFonts w:hint="eastAsia" w:ascii="宋体" w:hAnsi="宋体" w:eastAsia="宋体" w:cs="宋体"/>
          <w:color w:val="auto"/>
          <w:kern w:val="2"/>
          <w:sz w:val="21"/>
          <w:szCs w:val="21"/>
          <w:highlight w:val="none"/>
        </w:rPr>
        <w:t>考核制</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承包单位应确保</w:t>
      </w:r>
      <w:r>
        <w:rPr>
          <w:rFonts w:hint="eastAsia" w:ascii="宋体" w:hAnsi="宋体" w:eastAsia="宋体" w:cs="宋体"/>
          <w:color w:val="auto"/>
          <w:kern w:val="2"/>
          <w:sz w:val="21"/>
          <w:szCs w:val="21"/>
          <w:highlight w:val="none"/>
          <w:lang w:val="en-US" w:eastAsia="zh-CN"/>
        </w:rPr>
        <w:t>该</w:t>
      </w:r>
      <w:r>
        <w:rPr>
          <w:rFonts w:hint="eastAsia" w:ascii="宋体" w:hAnsi="宋体" w:eastAsia="宋体" w:cs="宋体"/>
          <w:color w:val="auto"/>
          <w:kern w:val="2"/>
          <w:sz w:val="21"/>
          <w:szCs w:val="21"/>
          <w:highlight w:val="none"/>
        </w:rPr>
        <w:t>项目发电量数据（即年发电保底电量发电时数，详见下表）按月统计、确认，以</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年为周期考核，考核期限为光伏发电项目并网</w:t>
      </w:r>
      <w:r>
        <w:rPr>
          <w:rFonts w:hint="eastAsia" w:ascii="宋体" w:hAnsi="宋体" w:eastAsia="宋体" w:cs="宋体"/>
          <w:color w:val="auto"/>
          <w:kern w:val="2"/>
          <w:sz w:val="21"/>
          <w:szCs w:val="21"/>
          <w:highlight w:val="none"/>
          <w:lang w:val="en-US" w:eastAsia="zh-CN"/>
        </w:rPr>
        <w:t>投运</w:t>
      </w:r>
      <w:r>
        <w:rPr>
          <w:rFonts w:hint="eastAsia" w:ascii="宋体" w:hAnsi="宋体" w:eastAsia="宋体" w:cs="宋体"/>
          <w:color w:val="auto"/>
          <w:kern w:val="2"/>
          <w:sz w:val="21"/>
          <w:szCs w:val="21"/>
          <w:highlight w:val="none"/>
        </w:rPr>
        <w:t>后连续</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年运营期。因</w:t>
      </w:r>
      <w:r>
        <w:rPr>
          <w:rFonts w:hint="eastAsia" w:ascii="宋体" w:hAnsi="宋体" w:eastAsia="宋体" w:cs="宋体"/>
          <w:color w:val="auto"/>
          <w:kern w:val="2"/>
          <w:sz w:val="21"/>
          <w:szCs w:val="21"/>
          <w:highlight w:val="none"/>
          <w:lang w:val="en-US" w:eastAsia="zh-CN"/>
        </w:rPr>
        <w:t>业主单位或供电部门</w:t>
      </w:r>
      <w:r>
        <w:rPr>
          <w:rFonts w:hint="eastAsia" w:ascii="宋体" w:hAnsi="宋体" w:eastAsia="宋体" w:cs="宋体"/>
          <w:color w:val="auto"/>
          <w:kern w:val="2"/>
          <w:sz w:val="21"/>
          <w:szCs w:val="21"/>
          <w:highlight w:val="none"/>
        </w:rPr>
        <w:t>计划停电</w:t>
      </w:r>
      <w:r>
        <w:rPr>
          <w:rFonts w:hint="eastAsia" w:ascii="宋体" w:hAnsi="宋体" w:eastAsia="宋体" w:cs="宋体"/>
          <w:color w:val="auto"/>
          <w:kern w:val="2"/>
          <w:sz w:val="21"/>
          <w:szCs w:val="21"/>
          <w:highlight w:val="none"/>
          <w:lang w:val="en-US" w:eastAsia="zh-CN"/>
        </w:rPr>
        <w:t>或</w:t>
      </w:r>
      <w:r>
        <w:rPr>
          <w:rFonts w:hint="eastAsia" w:ascii="宋体" w:hAnsi="宋体" w:eastAsia="宋体" w:cs="宋体"/>
          <w:color w:val="auto"/>
          <w:kern w:val="2"/>
          <w:sz w:val="21"/>
          <w:szCs w:val="21"/>
          <w:highlight w:val="none"/>
        </w:rPr>
        <w:t>检修产生的电量损失、双方认定的不可抗力影响的发电量损失等不在考核范围内，属于免考核发电量。当光伏电站由于承包单位</w:t>
      </w:r>
      <w:r>
        <w:rPr>
          <w:rFonts w:hint="eastAsia" w:ascii="宋体" w:hAnsi="宋体" w:eastAsia="宋体" w:cs="宋体"/>
          <w:color w:val="auto"/>
          <w:kern w:val="2"/>
          <w:sz w:val="21"/>
          <w:szCs w:val="21"/>
          <w:highlight w:val="none"/>
          <w:lang w:val="en-US" w:eastAsia="zh-CN"/>
        </w:rPr>
        <w:t>在安装时</w:t>
      </w:r>
      <w:r>
        <w:rPr>
          <w:rFonts w:hint="eastAsia" w:ascii="宋体" w:hAnsi="宋体" w:eastAsia="宋体" w:cs="宋体"/>
          <w:color w:val="auto"/>
          <w:kern w:val="2"/>
          <w:sz w:val="21"/>
          <w:szCs w:val="21"/>
          <w:highlight w:val="none"/>
        </w:rPr>
        <w:t>自身原因未达到相应年限考核发电量时，承包单位向</w:t>
      </w:r>
      <w:r>
        <w:rPr>
          <w:rFonts w:hint="eastAsia" w:ascii="宋体" w:hAnsi="宋体" w:eastAsia="宋体" w:cs="宋体"/>
          <w:color w:val="auto"/>
          <w:kern w:val="2"/>
          <w:sz w:val="21"/>
          <w:szCs w:val="21"/>
          <w:highlight w:val="none"/>
          <w:lang w:val="en-US" w:eastAsia="zh-CN"/>
        </w:rPr>
        <w:t>发包单位</w:t>
      </w:r>
      <w:r>
        <w:rPr>
          <w:rFonts w:hint="eastAsia" w:ascii="宋体" w:hAnsi="宋体" w:eastAsia="宋体" w:cs="宋体"/>
          <w:color w:val="auto"/>
          <w:kern w:val="2"/>
          <w:sz w:val="21"/>
          <w:szCs w:val="21"/>
          <w:highlight w:val="none"/>
        </w:rPr>
        <w:t>补足本应发电量的差额部分</w:t>
      </w:r>
      <w:r>
        <w:rPr>
          <w:rFonts w:hint="eastAsia" w:ascii="宋体" w:hAnsi="宋体" w:eastAsia="宋体" w:cs="宋体"/>
          <w:color w:val="auto"/>
          <w:kern w:val="2"/>
          <w:sz w:val="21"/>
          <w:szCs w:val="21"/>
          <w:highlight w:val="none"/>
          <w:lang w:eastAsia="zh-CN"/>
        </w:rPr>
        <w:t>（</w:t>
      </w:r>
      <w:r>
        <w:rPr>
          <w:rFonts w:hint="eastAsia" w:ascii="宋体" w:hAnsi="宋体" w:eastAsia="宋体" w:cs="宋体"/>
          <w:b/>
          <w:bCs/>
          <w:color w:val="auto"/>
          <w:kern w:val="2"/>
          <w:sz w:val="21"/>
          <w:szCs w:val="21"/>
          <w:highlight w:val="none"/>
        </w:rPr>
        <w:t>差额部分</w:t>
      </w:r>
      <w:r>
        <w:rPr>
          <w:rFonts w:hint="eastAsia" w:ascii="宋体" w:hAnsi="宋体" w:eastAsia="宋体" w:cs="宋体"/>
          <w:b/>
          <w:bCs/>
          <w:color w:val="auto"/>
          <w:kern w:val="2"/>
          <w:sz w:val="21"/>
          <w:szCs w:val="21"/>
          <w:highlight w:val="none"/>
          <w:lang w:val="en-US" w:eastAsia="zh-CN"/>
        </w:rPr>
        <w:t>=</w:t>
      </w:r>
      <w:r>
        <w:rPr>
          <w:rFonts w:hint="eastAsia" w:ascii="宋体" w:hAnsi="宋体" w:eastAsia="宋体" w:cs="宋体"/>
          <w:b/>
          <w:bCs/>
          <w:color w:val="auto"/>
          <w:kern w:val="2"/>
          <w:sz w:val="21"/>
          <w:szCs w:val="21"/>
          <w:highlight w:val="none"/>
          <w:lang w:eastAsia="zh-CN"/>
        </w:rPr>
        <w:t>全年考核发电时数</w:t>
      </w:r>
      <w:r>
        <w:rPr>
          <w:rFonts w:hint="eastAsia" w:ascii="宋体" w:hAnsi="宋体" w:eastAsia="宋体" w:cs="宋体"/>
          <w:b/>
          <w:bCs/>
          <w:color w:val="auto"/>
          <w:kern w:val="2"/>
          <w:sz w:val="21"/>
          <w:szCs w:val="21"/>
          <w:highlight w:val="none"/>
        </w:rPr>
        <w:t>差额</w:t>
      </w:r>
      <w:r>
        <w:rPr>
          <w:rFonts w:hint="eastAsia" w:ascii="宋体" w:hAnsi="宋体" w:eastAsia="宋体" w:cs="宋体"/>
          <w:b/>
          <w:bCs/>
          <w:color w:val="auto"/>
          <w:kern w:val="2"/>
          <w:sz w:val="21"/>
          <w:szCs w:val="21"/>
          <w:highlight w:val="none"/>
          <w:lang w:val="en-US" w:eastAsia="zh-CN"/>
        </w:rPr>
        <w:t>×实际装机容量×本项目应收电价</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，差额部分</w:t>
      </w:r>
      <w:r>
        <w:rPr>
          <w:rFonts w:hint="eastAsia" w:ascii="宋体" w:hAnsi="宋体" w:eastAsia="宋体" w:cs="宋体"/>
          <w:color w:val="auto"/>
          <w:kern w:val="2"/>
          <w:sz w:val="21"/>
          <w:szCs w:val="21"/>
          <w:highlight w:val="none"/>
          <w:lang w:val="en-US" w:eastAsia="zh-CN"/>
        </w:rPr>
        <w:t>从工程款质量保修金中扣除</w:t>
      </w:r>
      <w:r>
        <w:rPr>
          <w:rFonts w:hint="eastAsia"/>
          <w:color w:val="auto"/>
          <w:highlight w:val="none"/>
        </w:rPr>
        <w:t>。</w:t>
      </w:r>
    </w:p>
    <w:p>
      <w:pPr>
        <w:pageBreakBefore w:val="0"/>
        <w:numPr>
          <w:ilvl w:val="255"/>
          <w:numId w:val="0"/>
        </w:numPr>
        <w:kinsoku/>
        <w:wordWrap/>
        <w:overflowPunct/>
        <w:topLinePunct w:val="0"/>
        <w:bidi w:val="0"/>
        <w:spacing w:line="400" w:lineRule="exact"/>
        <w:ind w:left="0" w:leftChars="0"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项目运营期考核发电量数据表</w:t>
      </w:r>
    </w:p>
    <w:tbl>
      <w:tblPr>
        <w:tblStyle w:val="33"/>
        <w:tblW w:w="8522" w:type="dxa"/>
        <w:jc w:val="center"/>
        <w:tblInd w:w="0" w:type="dxa"/>
        <w:tblLayout w:type="fixed"/>
        <w:tblCellMar>
          <w:top w:w="0" w:type="dxa"/>
          <w:left w:w="108" w:type="dxa"/>
          <w:bottom w:w="0" w:type="dxa"/>
          <w:right w:w="108" w:type="dxa"/>
        </w:tblCellMar>
      </w:tblPr>
      <w:tblGrid>
        <w:gridCol w:w="2724"/>
        <w:gridCol w:w="1737"/>
        <w:gridCol w:w="1824"/>
        <w:gridCol w:w="2237"/>
      </w:tblGrid>
      <w:tr>
        <w:tblPrEx>
          <w:tblLayout w:type="fixed"/>
        </w:tblPrEx>
        <w:trPr>
          <w:trHeight w:val="567" w:hRule="atLeast"/>
          <w:jc w:val="center"/>
        </w:trPr>
        <w:tc>
          <w:tcPr>
            <w:tcW w:w="272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400" w:lineRule="exact"/>
              <w:ind w:left="0" w:leftChars="0" w:right="0" w:rightChars="0" w:firstLine="0" w:firstLine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运维年限</w:t>
            </w:r>
          </w:p>
        </w:tc>
        <w:tc>
          <w:tcPr>
            <w:tcW w:w="17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400" w:lineRule="exact"/>
              <w:ind w:left="0" w:leftChars="0"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4"/>
                <w:highlight w:val="none"/>
              </w:rPr>
              <w:t>第1年</w:t>
            </w:r>
          </w:p>
        </w:tc>
        <w:tc>
          <w:tcPr>
            <w:tcW w:w="182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400" w:lineRule="exact"/>
              <w:ind w:left="0" w:leftChars="0" w:right="0" w:rightChars="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Cs w:val="24"/>
                <w:highlight w:val="none"/>
              </w:rPr>
              <w:t>第</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年</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400" w:lineRule="exact"/>
              <w:ind w:left="0" w:leftChars="0" w:right="0" w:rightChars="0" w:firstLine="0" w:firstLineChars="0"/>
              <w:jc w:val="center"/>
              <w:rPr>
                <w:rFonts w:hint="eastAsia" w:ascii="宋体" w:hAnsi="宋体" w:eastAsia="宋体" w:cs="宋体"/>
                <w:color w:val="auto"/>
                <w:kern w:val="0"/>
                <w:szCs w:val="24"/>
                <w:highlight w:val="none"/>
                <w:lang w:val="en-US" w:eastAsia="zh-CN"/>
              </w:rPr>
            </w:pPr>
            <w:r>
              <w:rPr>
                <w:rFonts w:hint="eastAsia" w:ascii="宋体" w:hAnsi="宋体" w:eastAsia="宋体" w:cs="宋体"/>
                <w:color w:val="auto"/>
                <w:kern w:val="0"/>
                <w:szCs w:val="24"/>
                <w:highlight w:val="none"/>
              </w:rPr>
              <w:t>第</w:t>
            </w:r>
            <w:r>
              <w:rPr>
                <w:rFonts w:hint="eastAsia" w:ascii="宋体" w:hAnsi="宋体" w:eastAsia="宋体" w:cs="宋体"/>
                <w:color w:val="auto"/>
                <w:kern w:val="0"/>
                <w:szCs w:val="24"/>
                <w:highlight w:val="none"/>
                <w:lang w:val="en-US" w:eastAsia="zh-CN"/>
              </w:rPr>
              <w:t>3</w:t>
            </w:r>
            <w:r>
              <w:rPr>
                <w:rFonts w:hint="eastAsia" w:ascii="宋体" w:hAnsi="宋体" w:eastAsia="宋体" w:cs="宋体"/>
                <w:color w:val="auto"/>
                <w:kern w:val="0"/>
                <w:szCs w:val="24"/>
                <w:highlight w:val="none"/>
              </w:rPr>
              <w:t>年</w:t>
            </w:r>
            <w:r>
              <w:rPr>
                <w:rFonts w:hint="eastAsia" w:ascii="宋体" w:hAnsi="宋体" w:eastAsia="宋体" w:cs="宋体"/>
                <w:color w:val="auto"/>
                <w:kern w:val="0"/>
                <w:szCs w:val="24"/>
                <w:highlight w:val="none"/>
                <w:lang w:val="en-US" w:eastAsia="zh-CN"/>
              </w:rPr>
              <w:t>及以后</w:t>
            </w:r>
          </w:p>
        </w:tc>
      </w:tr>
      <w:tr>
        <w:tblPrEx>
          <w:tblLayout w:type="fixed"/>
          <w:tblCellMar>
            <w:top w:w="0" w:type="dxa"/>
            <w:left w:w="108" w:type="dxa"/>
            <w:bottom w:w="0" w:type="dxa"/>
            <w:right w:w="108" w:type="dxa"/>
          </w:tblCellMar>
        </w:tblPrEx>
        <w:trPr>
          <w:trHeight w:val="567" w:hRule="atLeast"/>
          <w:jc w:val="center"/>
        </w:trPr>
        <w:tc>
          <w:tcPr>
            <w:tcW w:w="272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全年考核</w:t>
            </w:r>
            <w:r>
              <w:rPr>
                <w:rFonts w:hint="eastAsia" w:ascii="宋体" w:hAnsi="宋体" w:eastAsia="宋体" w:cs="宋体"/>
                <w:b/>
                <w:bCs/>
                <w:color w:val="auto"/>
                <w:kern w:val="0"/>
                <w:sz w:val="21"/>
                <w:szCs w:val="21"/>
                <w:highlight w:val="none"/>
              </w:rPr>
              <w:t>发电</w:t>
            </w:r>
            <w:r>
              <w:rPr>
                <w:rFonts w:hint="eastAsia" w:ascii="宋体" w:hAnsi="宋体" w:eastAsia="宋体" w:cs="宋体"/>
                <w:b/>
                <w:bCs/>
                <w:color w:val="auto"/>
                <w:kern w:val="0"/>
                <w:sz w:val="21"/>
                <w:szCs w:val="21"/>
                <w:highlight w:val="none"/>
                <w:lang w:val="en-US" w:eastAsia="zh-CN"/>
              </w:rPr>
              <w:t>时数</w:t>
            </w:r>
          </w:p>
        </w:tc>
        <w:tc>
          <w:tcPr>
            <w:tcW w:w="17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Cs w:val="24"/>
                <w:highlight w:val="none"/>
                <w:lang w:val="en-US" w:eastAsia="zh-CN"/>
              </w:rPr>
              <w:t>1055</w:t>
            </w:r>
            <w:r>
              <w:rPr>
                <w:rFonts w:hint="eastAsia" w:ascii="宋体" w:hAnsi="宋体" w:eastAsia="宋体" w:cs="宋体"/>
                <w:b w:val="0"/>
                <w:bCs w:val="0"/>
                <w:color w:val="auto"/>
                <w:kern w:val="0"/>
                <w:sz w:val="21"/>
                <w:szCs w:val="21"/>
                <w:highlight w:val="none"/>
                <w:lang w:val="en-US" w:eastAsia="zh-CN"/>
              </w:rPr>
              <w:t>小</w:t>
            </w:r>
            <w:r>
              <w:rPr>
                <w:rFonts w:hint="eastAsia" w:ascii="宋体" w:hAnsi="宋体" w:eastAsia="宋体" w:cs="宋体"/>
                <w:b w:val="0"/>
                <w:bCs w:val="0"/>
                <w:color w:val="auto"/>
                <w:kern w:val="0"/>
                <w:sz w:val="21"/>
                <w:szCs w:val="21"/>
                <w:highlight w:val="none"/>
              </w:rPr>
              <w:t>时</w:t>
            </w:r>
          </w:p>
        </w:tc>
        <w:tc>
          <w:tcPr>
            <w:tcW w:w="182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lang w:val="en-US" w:eastAsia="zh-CN"/>
              </w:rPr>
              <w:t>1029</w:t>
            </w:r>
            <w:r>
              <w:rPr>
                <w:rFonts w:hint="eastAsia" w:ascii="宋体" w:hAnsi="宋体" w:eastAsia="宋体" w:cs="宋体"/>
                <w:b w:val="0"/>
                <w:bCs w:val="0"/>
                <w:color w:val="auto"/>
                <w:kern w:val="0"/>
                <w:sz w:val="21"/>
                <w:szCs w:val="21"/>
                <w:highlight w:val="none"/>
                <w:lang w:val="en-US" w:eastAsia="zh-CN"/>
              </w:rPr>
              <w:t>小</w:t>
            </w:r>
            <w:r>
              <w:rPr>
                <w:rFonts w:hint="eastAsia" w:ascii="宋体" w:hAnsi="宋体" w:eastAsia="宋体" w:cs="宋体"/>
                <w:b w:val="0"/>
                <w:bCs w:val="0"/>
                <w:color w:val="auto"/>
                <w:kern w:val="0"/>
                <w:sz w:val="21"/>
                <w:szCs w:val="21"/>
                <w:highlight w:val="none"/>
              </w:rPr>
              <w:t>时</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Cs w:val="24"/>
                <w:highlight w:val="none"/>
                <w:lang w:val="en-US" w:eastAsia="zh-CN"/>
              </w:rPr>
            </w:pPr>
            <w:r>
              <w:rPr>
                <w:rFonts w:hint="eastAsia" w:ascii="宋体" w:hAnsi="宋体" w:eastAsia="宋体" w:cs="宋体"/>
                <w:color w:val="auto"/>
                <w:kern w:val="0"/>
                <w:szCs w:val="24"/>
                <w:highlight w:val="none"/>
                <w:lang w:val="en-US" w:eastAsia="zh-CN"/>
              </w:rPr>
              <w:t>不考核</w:t>
            </w:r>
          </w:p>
        </w:tc>
      </w:tr>
      <w:bookmarkEnd w:id="10"/>
      <w:bookmarkEnd w:id="11"/>
      <w:bookmarkEnd w:id="12"/>
      <w:bookmarkEnd w:id="13"/>
    </w:tbl>
    <w:p>
      <w:pPr>
        <w:shd w:val="clear"/>
        <w:rPr>
          <w:rFonts w:hint="eastAsia"/>
          <w:color w:val="auto"/>
          <w:sz w:val="28"/>
          <w:szCs w:val="28"/>
          <w:highlight w:val="none"/>
        </w:rPr>
      </w:pPr>
      <w:r>
        <w:rPr>
          <w:rFonts w:hint="eastAsia"/>
          <w:color w:val="auto"/>
          <w:sz w:val="28"/>
          <w:szCs w:val="28"/>
          <w:highlight w:val="none"/>
        </w:rPr>
        <w:br w:type="page"/>
      </w:r>
    </w:p>
    <w:p>
      <w:pPr>
        <w:pStyle w:val="4"/>
        <w:shd w:val="clear"/>
        <w:spacing w:before="0" w:after="0" w:line="240" w:lineRule="auto"/>
        <w:rPr>
          <w:color w:val="auto"/>
          <w:sz w:val="24"/>
          <w:szCs w:val="24"/>
          <w:highlight w:val="none"/>
        </w:rPr>
      </w:pPr>
      <w:bookmarkStart w:id="16" w:name="_Toc19260"/>
      <w:r>
        <w:rPr>
          <w:rFonts w:hint="eastAsia"/>
          <w:color w:val="auto"/>
          <w:sz w:val="28"/>
          <w:szCs w:val="28"/>
          <w:highlight w:val="none"/>
        </w:rPr>
        <w:t>第四部分投标人须知</w:t>
      </w:r>
      <w:bookmarkEnd w:id="16"/>
    </w:p>
    <w:p>
      <w:pPr>
        <w:pStyle w:val="5"/>
        <w:numPr>
          <w:ilvl w:val="0"/>
          <w:numId w:val="1"/>
        </w:numPr>
        <w:shd w:val="clear"/>
        <w:spacing w:before="0" w:after="0" w:line="480" w:lineRule="auto"/>
        <w:jc w:val="center"/>
        <w:rPr>
          <w:rFonts w:ascii="宋体" w:hAnsi="宋体"/>
          <w:color w:val="auto"/>
          <w:highlight w:val="none"/>
        </w:rPr>
      </w:pPr>
      <w:bookmarkStart w:id="17" w:name="_Toc22675"/>
      <w:r>
        <w:rPr>
          <w:rFonts w:hint="eastAsia" w:ascii="宋体" w:hAnsi="宋体"/>
          <w:color w:val="auto"/>
          <w:highlight w:val="none"/>
        </w:rPr>
        <w:t>说明</w:t>
      </w:r>
      <w:bookmarkEnd w:id="17"/>
    </w:p>
    <w:p>
      <w:pPr>
        <w:pStyle w:val="6"/>
        <w:widowControl w:val="0"/>
        <w:numPr>
          <w:ilvl w:val="0"/>
          <w:numId w:val="2"/>
        </w:numPr>
        <w:shd w:val="clear"/>
        <w:overflowPunct w:val="0"/>
        <w:rPr>
          <w:rFonts w:ascii="宋体" w:hAnsi="宋体" w:cs="宋体"/>
          <w:color w:val="auto"/>
          <w:sz w:val="21"/>
          <w:szCs w:val="21"/>
          <w:highlight w:val="none"/>
        </w:rPr>
      </w:pPr>
      <w:bookmarkStart w:id="18" w:name="_Toc10232"/>
      <w:r>
        <w:rPr>
          <w:rFonts w:hint="eastAsia" w:ascii="宋体" w:hAnsi="宋体" w:cs="宋体"/>
          <w:color w:val="auto"/>
          <w:sz w:val="21"/>
          <w:szCs w:val="21"/>
          <w:highlight w:val="none"/>
        </w:rPr>
        <w:t>适用范围</w:t>
      </w:r>
      <w:bookmarkEnd w:id="18"/>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19" w:name="_Toc1530"/>
      <w:bookmarkStart w:id="20" w:name="_Toc382049092"/>
      <w:bookmarkStart w:id="21" w:name="_Toc298847174"/>
      <w:bookmarkStart w:id="22" w:name="_Toc303084246"/>
      <w:bookmarkStart w:id="23" w:name="_Toc14263"/>
      <w:r>
        <w:rPr>
          <w:rFonts w:hint="eastAsia" w:ascii="宋体" w:hAnsi="宋体" w:cs="宋体"/>
          <w:color w:val="auto"/>
          <w:sz w:val="21"/>
          <w:szCs w:val="21"/>
          <w:highlight w:val="none"/>
        </w:rPr>
        <w:t>定义</w:t>
      </w:r>
      <w:bookmarkEnd w:id="19"/>
      <w:bookmarkEnd w:id="20"/>
      <w:bookmarkEnd w:id="21"/>
      <w:bookmarkEnd w:id="22"/>
      <w:bookmarkEnd w:id="23"/>
    </w:p>
    <w:p>
      <w:pPr>
        <w:pStyle w:val="40"/>
        <w:widowControl w:val="0"/>
        <w:shd w:val="clear"/>
        <w:adjustRightInd/>
        <w:snapToGrid/>
        <w:ind w:left="425"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中标人：指经评标委员会评审推荐、采购人确认的获得本项目中标资格的投标人。</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24" w:name="_Toc8736"/>
      <w:r>
        <w:rPr>
          <w:rFonts w:hint="eastAsia" w:ascii="宋体" w:hAnsi="宋体" w:cs="宋体"/>
          <w:color w:val="auto"/>
          <w:sz w:val="21"/>
          <w:szCs w:val="21"/>
          <w:highlight w:val="none"/>
        </w:rPr>
        <w:t>货物和服务</w:t>
      </w:r>
      <w:bookmarkEnd w:id="24"/>
    </w:p>
    <w:p>
      <w:pPr>
        <w:pStyle w:val="40"/>
        <w:widowControl w:val="0"/>
        <w:shd w:val="clear"/>
        <w:adjustRightInd/>
        <w:snapToGrid/>
        <w:ind w:left="425"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25" w:name="_Toc7077"/>
      <w:r>
        <w:rPr>
          <w:rFonts w:hint="eastAsia" w:ascii="宋体" w:hAnsi="宋体" w:cs="宋体"/>
          <w:color w:val="auto"/>
          <w:sz w:val="21"/>
          <w:szCs w:val="21"/>
          <w:highlight w:val="none"/>
        </w:rPr>
        <w:t>投标费用</w:t>
      </w:r>
      <w:bookmarkEnd w:id="25"/>
    </w:p>
    <w:p>
      <w:pPr>
        <w:pStyle w:val="40"/>
        <w:widowControl w:val="0"/>
        <w:shd w:val="clear"/>
        <w:adjustRightInd/>
        <w:snapToGrid/>
        <w:ind w:left="425"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shd w:val="clear"/>
        <w:adjustRightInd/>
        <w:snapToGrid/>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26" w:name="_Toc13258"/>
      <w:r>
        <w:rPr>
          <w:rFonts w:hint="eastAsia" w:ascii="宋体" w:hAnsi="宋体" w:cs="宋体"/>
          <w:color w:val="auto"/>
          <w:sz w:val="21"/>
          <w:szCs w:val="21"/>
          <w:highlight w:val="none"/>
        </w:rPr>
        <w:t>知识产权</w:t>
      </w:r>
      <w:bookmarkEnd w:id="26"/>
    </w:p>
    <w:p>
      <w:pPr>
        <w:pStyle w:val="40"/>
        <w:widowControl w:val="0"/>
        <w:shd w:val="clear"/>
        <w:adjustRightInd/>
        <w:snapToGrid/>
        <w:ind w:left="425"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widowControl w:val="0"/>
        <w:shd w:val="clear"/>
        <w:adjustRightInd/>
        <w:snapToGrid/>
        <w:ind w:left="567"/>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27" w:name="_Toc4209"/>
      <w:r>
        <w:rPr>
          <w:rFonts w:hint="eastAsia" w:ascii="宋体" w:hAnsi="宋体" w:cs="宋体"/>
          <w:color w:val="auto"/>
          <w:sz w:val="21"/>
          <w:szCs w:val="21"/>
          <w:highlight w:val="none"/>
        </w:rPr>
        <w:t>关于联合体投标</w:t>
      </w:r>
      <w:bookmarkEnd w:id="27"/>
    </w:p>
    <w:p>
      <w:pPr>
        <w:pStyle w:val="40"/>
        <w:widowControl w:val="0"/>
        <w:shd w:val="clear"/>
        <w:adjustRightInd/>
        <w:snapToGrid/>
        <w:ind w:left="425"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shd w:val="clear"/>
        <w:adjustRightInd/>
        <w:snapToGrid/>
        <w:ind w:left="567"/>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28" w:name="_Toc12711"/>
      <w:r>
        <w:rPr>
          <w:rFonts w:hint="eastAsia" w:ascii="宋体" w:hAnsi="宋体" w:cs="宋体"/>
          <w:color w:val="auto"/>
          <w:sz w:val="21"/>
          <w:szCs w:val="21"/>
          <w:highlight w:val="none"/>
        </w:rPr>
        <w:t>关于分支机构投标</w:t>
      </w:r>
      <w:bookmarkEnd w:id="28"/>
    </w:p>
    <w:p>
      <w:pPr>
        <w:pStyle w:val="40"/>
        <w:widowControl w:val="0"/>
        <w:shd w:val="clear"/>
        <w:adjustRightInd/>
        <w:snapToGrid/>
        <w:ind w:left="425" w:firstLineChars="0"/>
        <w:jc w:val="both"/>
        <w:rPr>
          <w:rFonts w:ascii="宋体" w:hAnsi="宋体" w:cs="宋体"/>
          <w:vanish/>
          <w:color w:val="auto"/>
          <w:szCs w:val="21"/>
          <w:highlight w:val="none"/>
        </w:rPr>
      </w:pPr>
      <w:bookmarkStart w:id="29" w:name="EB389f116341dd4693875bc7987e7327f3"/>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9"/>
    </w:p>
    <w:p>
      <w:pPr>
        <w:widowControl w:val="0"/>
        <w:shd w:val="clear"/>
        <w:adjustRightInd/>
        <w:snapToGrid/>
        <w:ind w:left="567"/>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30" w:name="_Toc30003"/>
      <w:r>
        <w:rPr>
          <w:rFonts w:hint="eastAsia" w:ascii="宋体" w:hAnsi="宋体" w:cs="宋体"/>
          <w:color w:val="auto"/>
          <w:sz w:val="21"/>
          <w:szCs w:val="21"/>
          <w:highlight w:val="none"/>
        </w:rPr>
        <w:t>踏勘现场</w:t>
      </w:r>
      <w:bookmarkEnd w:id="30"/>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《投标资料表》规定组织踏勘现场的，采购人按《投标资料表》规定的时间、地点组织响应人踏勘项目现场；</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pPr>
        <w:shd w:val="clear"/>
        <w:rPr>
          <w:rFonts w:ascii="宋体" w:hAnsi="宋体" w:cs="宋体"/>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31" w:name="_Toc3831"/>
      <w:r>
        <w:rPr>
          <w:rFonts w:hint="eastAsia" w:ascii="宋体" w:hAnsi="宋体" w:cs="宋体"/>
          <w:color w:val="auto"/>
          <w:highlight w:val="none"/>
        </w:rPr>
        <w:t>采购文件</w:t>
      </w:r>
      <w:bookmarkEnd w:id="31"/>
    </w:p>
    <w:p>
      <w:pPr>
        <w:pStyle w:val="6"/>
        <w:widowControl w:val="0"/>
        <w:numPr>
          <w:ilvl w:val="0"/>
          <w:numId w:val="2"/>
        </w:numPr>
        <w:shd w:val="clear"/>
        <w:overflowPunct w:val="0"/>
        <w:rPr>
          <w:rFonts w:ascii="宋体" w:hAnsi="宋体" w:cs="宋体"/>
          <w:color w:val="auto"/>
          <w:sz w:val="21"/>
          <w:szCs w:val="21"/>
          <w:highlight w:val="none"/>
        </w:rPr>
      </w:pPr>
      <w:bookmarkStart w:id="32" w:name="_Toc18085"/>
      <w:r>
        <w:rPr>
          <w:rFonts w:hint="eastAsia" w:ascii="宋体" w:hAnsi="宋体" w:cs="宋体"/>
          <w:color w:val="auto"/>
          <w:sz w:val="21"/>
          <w:szCs w:val="21"/>
          <w:highlight w:val="none"/>
        </w:rPr>
        <w:t>采购文件的组成</w:t>
      </w:r>
      <w:bookmarkEnd w:id="32"/>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（1）投标邀请书；</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（2）投标资料表；</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（3）用户需求书；</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（4）投标人须知；</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（6）投标文件格式；</w:t>
      </w:r>
    </w:p>
    <w:p>
      <w:pPr>
        <w:widowControl w:val="0"/>
        <w:numPr>
          <w:ilvl w:val="0"/>
          <w:numId w:val="0"/>
        </w:numPr>
        <w:shd w:val="clea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33" w:name="_Toc14872"/>
      <w:r>
        <w:rPr>
          <w:rFonts w:hint="eastAsia" w:ascii="宋体" w:hAnsi="宋体" w:cs="宋体"/>
          <w:color w:val="auto"/>
          <w:sz w:val="21"/>
          <w:szCs w:val="21"/>
          <w:highlight w:val="none"/>
        </w:rPr>
        <w:t>采购文件的澄清或修改</w:t>
      </w:r>
      <w:bookmarkEnd w:id="33"/>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pPr>
        <w:widowControl w:val="0"/>
        <w:numPr>
          <w:ilvl w:val="1"/>
          <w:numId w:val="2"/>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pPr>
        <w:widowControl w:val="0"/>
        <w:shd w:val="clear"/>
        <w:adjustRightInd/>
        <w:snapToGrid/>
        <w:ind w:left="567"/>
        <w:jc w:val="both"/>
        <w:rPr>
          <w:rFonts w:ascii="宋体" w:hAnsi="宋体" w:cs="宋体"/>
          <w:color w:val="auto"/>
          <w:szCs w:val="21"/>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34" w:name="_Toc21497"/>
      <w:r>
        <w:rPr>
          <w:rFonts w:hint="eastAsia" w:ascii="宋体" w:hAnsi="宋体" w:cs="宋体"/>
          <w:color w:val="auto"/>
          <w:highlight w:val="none"/>
        </w:rPr>
        <w:t>投标文件的编制</w:t>
      </w:r>
      <w:bookmarkEnd w:id="34"/>
    </w:p>
    <w:p>
      <w:pPr>
        <w:pStyle w:val="6"/>
        <w:widowControl w:val="0"/>
        <w:numPr>
          <w:ilvl w:val="0"/>
          <w:numId w:val="2"/>
        </w:numPr>
        <w:shd w:val="clear"/>
        <w:overflowPunct w:val="0"/>
        <w:rPr>
          <w:rFonts w:ascii="宋体" w:hAnsi="宋体" w:cs="宋体"/>
          <w:color w:val="auto"/>
          <w:sz w:val="21"/>
          <w:szCs w:val="21"/>
          <w:highlight w:val="none"/>
        </w:rPr>
      </w:pPr>
      <w:bookmarkStart w:id="35" w:name="_Toc7835"/>
      <w:r>
        <w:rPr>
          <w:rFonts w:hint="eastAsia" w:ascii="宋体" w:hAnsi="宋体" w:cs="宋体"/>
          <w:color w:val="auto"/>
          <w:sz w:val="21"/>
          <w:szCs w:val="21"/>
          <w:highlight w:val="none"/>
        </w:rPr>
        <w:t>投标文件的语言及度量衡单位</w:t>
      </w:r>
      <w:bookmarkEnd w:id="35"/>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pPr>
        <w:widowControl w:val="0"/>
        <w:shd w:val="clear"/>
        <w:adjustRightInd/>
        <w:snapToGrid/>
        <w:ind w:left="567"/>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36" w:name="_Toc303084256"/>
      <w:bookmarkStart w:id="37" w:name="_Toc382049103"/>
      <w:bookmarkStart w:id="38" w:name="_Toc28866"/>
      <w:bookmarkStart w:id="39" w:name="_Toc307934854"/>
      <w:bookmarkStart w:id="40" w:name="_Toc22289"/>
      <w:r>
        <w:rPr>
          <w:rFonts w:hint="eastAsia" w:ascii="宋体" w:hAnsi="宋体" w:cs="宋体"/>
          <w:color w:val="auto"/>
          <w:sz w:val="21"/>
          <w:szCs w:val="21"/>
          <w:highlight w:val="none"/>
        </w:rPr>
        <w:t>投标文件的组成</w:t>
      </w:r>
      <w:bookmarkEnd w:id="36"/>
      <w:bookmarkEnd w:id="37"/>
      <w:bookmarkEnd w:id="38"/>
      <w:bookmarkEnd w:id="39"/>
      <w:bookmarkEnd w:id="40"/>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41" w:name="_Toc268"/>
      <w:r>
        <w:rPr>
          <w:rFonts w:hint="eastAsia" w:ascii="宋体" w:hAnsi="宋体" w:cs="宋体"/>
          <w:color w:val="auto"/>
          <w:sz w:val="21"/>
          <w:szCs w:val="21"/>
          <w:highlight w:val="none"/>
        </w:rPr>
        <w:t>投标文件编制</w:t>
      </w:r>
      <w:bookmarkEnd w:id="41"/>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bookmarkStart w:id="42" w:name="_Toc303084258"/>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pPr>
        <w:pStyle w:val="40"/>
        <w:widowControl w:val="0"/>
        <w:numPr>
          <w:ilvl w:val="0"/>
          <w:numId w:val="4"/>
        </w:numPr>
        <w:shd w:val="clea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pPr>
        <w:pStyle w:val="40"/>
        <w:widowControl w:val="0"/>
        <w:numPr>
          <w:ilvl w:val="0"/>
          <w:numId w:val="4"/>
        </w:numPr>
        <w:shd w:val="clea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pPr>
        <w:keepNext w:val="0"/>
        <w:keepLines w:val="0"/>
        <w:pageBreakBefore w:val="0"/>
        <w:widowControl w:val="0"/>
        <w:numPr>
          <w:ilvl w:val="1"/>
          <w:numId w:val="2"/>
        </w:numPr>
        <w:shd w:val="clear"/>
        <w:kinsoku/>
        <w:wordWrap/>
        <w:overflowPunct w:val="0"/>
        <w:topLinePunct w:val="0"/>
        <w:autoSpaceDE/>
        <w:autoSpaceDN/>
        <w:bidi w:val="0"/>
        <w:spacing w:line="264" w:lineRule="auto"/>
        <w:textAlignment w:val="auto"/>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（3）不同投标人的投标文件载明的项目管理成员或者联系人员为同一人；</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pPr>
        <w:keepNext w:val="0"/>
        <w:keepLines w:val="0"/>
        <w:pageBreakBefore w:val="0"/>
        <w:widowControl w:val="0"/>
        <w:shd w:val="clear"/>
        <w:kinsoku/>
        <w:wordWrap/>
        <w:topLinePunct w:val="0"/>
        <w:autoSpaceDE/>
        <w:autoSpaceDN/>
        <w:bidi w:val="0"/>
        <w:adjustRightInd/>
        <w:snapToGrid/>
        <w:spacing w:line="264" w:lineRule="auto"/>
        <w:ind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（6）不同投标人的投标保证金从同一单位或者个人的账户转出。</w:t>
      </w:r>
    </w:p>
    <w:bookmarkEnd w:id="42"/>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43" w:name="_Toc29626"/>
      <w:r>
        <w:rPr>
          <w:rFonts w:hint="eastAsia" w:ascii="宋体" w:hAnsi="宋体" w:cs="宋体"/>
          <w:color w:val="auto"/>
          <w:sz w:val="21"/>
          <w:szCs w:val="21"/>
          <w:highlight w:val="none"/>
        </w:rPr>
        <w:t>投标报价说明</w:t>
      </w:r>
      <w:bookmarkEnd w:id="43"/>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投标报价应包含完成本次采购所有服务内容的费用，包含各种税务费及合同实施过程中的全部费用和售后服务费等。</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44" w:name="_Toc18880"/>
      <w:r>
        <w:rPr>
          <w:rFonts w:hint="eastAsia" w:ascii="宋体" w:hAnsi="宋体" w:cs="宋体"/>
          <w:color w:val="auto"/>
          <w:sz w:val="21"/>
          <w:szCs w:val="21"/>
          <w:highlight w:val="none"/>
        </w:rPr>
        <w:t>投标人所提供的服务或货物的证明文件</w:t>
      </w:r>
      <w:bookmarkEnd w:id="44"/>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bookmarkStart w:id="45" w:name="_Hlt107925668"/>
      <w:bookmarkEnd w:id="45"/>
      <w:bookmarkStart w:id="46" w:name="_Hlt107925638"/>
      <w:bookmarkEnd w:id="46"/>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（1）使用伪造、变造的许可证件；</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（2）提供虚假的财务状况或者业绩；</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（3）提供虚假的项目负责人或者主要技术人员简历、劳动关系证明；</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（4）提供虚假的信用状况；</w:t>
      </w:r>
    </w:p>
    <w:p>
      <w:pPr>
        <w:pStyle w:val="40"/>
        <w:keepNext w:val="0"/>
        <w:keepLines w:val="0"/>
        <w:pageBreakBefore w:val="0"/>
        <w:widowControl w:val="0"/>
        <w:shd w:val="clear"/>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（5）其他弄虚作假的行为。</w:t>
      </w:r>
    </w:p>
    <w:p>
      <w:pPr>
        <w:pStyle w:val="6"/>
        <w:widowControl w:val="0"/>
        <w:numPr>
          <w:ilvl w:val="0"/>
          <w:numId w:val="2"/>
        </w:numPr>
        <w:shd w:val="clear"/>
        <w:overflowPunct w:val="0"/>
        <w:rPr>
          <w:rFonts w:ascii="宋体" w:hAnsi="宋体" w:cs="宋体"/>
          <w:color w:val="auto"/>
          <w:sz w:val="21"/>
          <w:szCs w:val="21"/>
          <w:highlight w:val="none"/>
        </w:rPr>
      </w:pPr>
      <w:bookmarkStart w:id="47" w:name="_Toc32168"/>
      <w:r>
        <w:rPr>
          <w:rFonts w:hint="eastAsia" w:ascii="宋体" w:hAnsi="宋体" w:cs="宋体"/>
          <w:color w:val="auto"/>
          <w:sz w:val="21"/>
          <w:szCs w:val="21"/>
          <w:highlight w:val="none"/>
        </w:rPr>
        <w:t>投标有效期</w:t>
      </w:r>
      <w:bookmarkEnd w:id="47"/>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widowControl w:val="0"/>
        <w:shd w:val="clear"/>
        <w:adjustRightInd/>
        <w:snapToGrid/>
        <w:ind w:left="567"/>
        <w:jc w:val="both"/>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48" w:name="_Toc16244"/>
      <w:r>
        <w:rPr>
          <w:rFonts w:hint="eastAsia" w:ascii="宋体" w:hAnsi="宋体" w:cs="宋体"/>
          <w:color w:val="auto"/>
          <w:sz w:val="21"/>
          <w:szCs w:val="21"/>
          <w:highlight w:val="none"/>
        </w:rPr>
        <w:t>投标保证金</w:t>
      </w:r>
      <w:bookmarkEnd w:id="48"/>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bookmarkStart w:id="49" w:name="_Ref179619405"/>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投标人应在投标文件递交截止前提交相应的投标保证金，并作为其投标的一部分。</w:t>
      </w:r>
      <w:bookmarkEnd w:id="49"/>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pPr>
        <w:widowControl w:val="0"/>
        <w:shd w:val="clear"/>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pPr>
        <w:widowControl w:val="0"/>
        <w:shd w:val="clear"/>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（2）中标人无正当理由不与采购人订立合同，在签订合同时向采购人提出附加条件，或者不按照采购文件要求提交履约保证金的；</w:t>
      </w:r>
    </w:p>
    <w:p>
      <w:pPr>
        <w:widowControl w:val="0"/>
        <w:shd w:val="clear"/>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（3）中标人将本项目转让给他人，或者在投标文件中未说明，且未经采购人同意，将中标项目分包给他人的；</w:t>
      </w:r>
    </w:p>
    <w:p>
      <w:pPr>
        <w:widowControl w:val="0"/>
        <w:shd w:val="clear"/>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pPr>
        <w:shd w:val="clear"/>
        <w:rPr>
          <w:rFonts w:ascii="宋体" w:hAnsi="宋体" w:cs="宋体"/>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50" w:name="_Toc9011"/>
      <w:r>
        <w:rPr>
          <w:rFonts w:hint="eastAsia" w:ascii="宋体" w:hAnsi="宋体" w:cs="宋体"/>
          <w:color w:val="auto"/>
          <w:highlight w:val="none"/>
        </w:rPr>
        <w:t>投标文件的递交</w:t>
      </w:r>
      <w:bookmarkEnd w:id="50"/>
    </w:p>
    <w:p>
      <w:pPr>
        <w:pStyle w:val="6"/>
        <w:widowControl w:val="0"/>
        <w:numPr>
          <w:ilvl w:val="0"/>
          <w:numId w:val="2"/>
        </w:numPr>
        <w:shd w:val="clear"/>
        <w:overflowPunct w:val="0"/>
        <w:rPr>
          <w:rFonts w:ascii="宋体" w:hAnsi="宋体" w:cs="宋体"/>
          <w:color w:val="auto"/>
          <w:sz w:val="21"/>
          <w:szCs w:val="21"/>
          <w:highlight w:val="none"/>
        </w:rPr>
      </w:pPr>
      <w:bookmarkStart w:id="51" w:name="_Toc303084264"/>
      <w:bookmarkStart w:id="52" w:name="_Toc24997"/>
      <w:bookmarkStart w:id="53" w:name="_Toc382049111"/>
      <w:bookmarkStart w:id="54" w:name="_Toc30591"/>
      <w:r>
        <w:rPr>
          <w:rFonts w:hint="eastAsia" w:ascii="宋体" w:hAnsi="宋体" w:cs="宋体"/>
          <w:color w:val="auto"/>
          <w:sz w:val="21"/>
          <w:szCs w:val="21"/>
          <w:highlight w:val="none"/>
        </w:rPr>
        <w:t>投标文件的装订，签署，密封和标记</w:t>
      </w:r>
      <w:bookmarkEnd w:id="51"/>
      <w:bookmarkEnd w:id="52"/>
      <w:bookmarkEnd w:id="53"/>
      <w:bookmarkEnd w:id="54"/>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投标人应将投标文件进行非透明的封装，以防止投标文件内容的泄露。采购代理机构将拒绝接收采用透明包装进行密封的投标文件。</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密封破损导致投标文件内容直接或间接泄露的投标文件，采购代理机构将拒绝接收。</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pPr>
        <w:widowControl w:val="0"/>
        <w:numPr>
          <w:ilvl w:val="1"/>
          <w:numId w:val="2"/>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未单独提交唱标信封的投标人投标文件不进行唱标，投标文件作无效处理。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 xml:space="preserve">收件人： </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投标单位名称：</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项目名称：</w:t>
      </w:r>
    </w:p>
    <w:p>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项目采购项目编号：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55" w:name="_Toc19245"/>
      <w:r>
        <w:rPr>
          <w:rFonts w:hint="eastAsia" w:ascii="宋体" w:hAnsi="宋体" w:cs="宋体"/>
          <w:color w:val="auto"/>
          <w:sz w:val="21"/>
          <w:szCs w:val="21"/>
          <w:highlight w:val="none"/>
        </w:rPr>
        <w:t>迟交的投标文件</w:t>
      </w:r>
      <w:bookmarkEnd w:id="55"/>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56" w:name="_Toc12509"/>
      <w:r>
        <w:rPr>
          <w:rFonts w:hint="eastAsia" w:ascii="宋体" w:hAnsi="宋体" w:cs="宋体"/>
          <w:color w:val="auto"/>
          <w:sz w:val="21"/>
          <w:szCs w:val="21"/>
          <w:highlight w:val="none"/>
        </w:rPr>
        <w:t>投标样品（如需提交）</w:t>
      </w:r>
      <w:bookmarkEnd w:id="56"/>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57" w:name="_Toc382049112"/>
      <w:bookmarkStart w:id="58" w:name="_Toc9807"/>
      <w:bookmarkStart w:id="59" w:name="_Toc303084265"/>
      <w:bookmarkStart w:id="60" w:name="_Toc9777"/>
      <w:r>
        <w:rPr>
          <w:rFonts w:hint="eastAsia" w:ascii="宋体" w:hAnsi="宋体" w:cs="宋体"/>
          <w:color w:val="auto"/>
          <w:sz w:val="21"/>
          <w:szCs w:val="21"/>
          <w:highlight w:val="none"/>
        </w:rPr>
        <w:t>投标截止期</w:t>
      </w:r>
      <w:bookmarkEnd w:id="57"/>
      <w:bookmarkEnd w:id="58"/>
      <w:bookmarkEnd w:id="59"/>
      <w:bookmarkEnd w:id="60"/>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1" w:name="_Toc14440"/>
      <w:r>
        <w:rPr>
          <w:rFonts w:hint="eastAsia" w:ascii="宋体" w:hAnsi="宋体" w:cs="宋体"/>
          <w:color w:val="auto"/>
          <w:sz w:val="21"/>
          <w:szCs w:val="21"/>
          <w:highlight w:val="none"/>
        </w:rPr>
        <w:t>投标文件的补充、修改与撤回</w:t>
      </w:r>
      <w:bookmarkEnd w:id="61"/>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11"/>
        <w:shd w:val="clear"/>
        <w:rPr>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62" w:name="_Toc14593"/>
      <w:r>
        <w:rPr>
          <w:rFonts w:hint="eastAsia" w:ascii="宋体" w:hAnsi="宋体" w:cs="宋体"/>
          <w:color w:val="auto"/>
          <w:highlight w:val="none"/>
        </w:rPr>
        <w:t>开标与评标</w:t>
      </w:r>
      <w:bookmarkEnd w:id="62"/>
    </w:p>
    <w:p>
      <w:pPr>
        <w:pStyle w:val="6"/>
        <w:widowControl w:val="0"/>
        <w:numPr>
          <w:ilvl w:val="0"/>
          <w:numId w:val="2"/>
        </w:numPr>
        <w:shd w:val="clear"/>
        <w:overflowPunct w:val="0"/>
        <w:rPr>
          <w:rFonts w:ascii="宋体" w:hAnsi="宋体" w:cs="宋体"/>
          <w:color w:val="auto"/>
          <w:sz w:val="21"/>
          <w:szCs w:val="21"/>
          <w:highlight w:val="none"/>
        </w:rPr>
      </w:pPr>
      <w:bookmarkStart w:id="63" w:name="_Toc10227"/>
      <w:r>
        <w:rPr>
          <w:rFonts w:hint="eastAsia" w:ascii="宋体" w:hAnsi="宋体" w:cs="宋体"/>
          <w:color w:val="auto"/>
          <w:sz w:val="21"/>
          <w:szCs w:val="21"/>
          <w:highlight w:val="none"/>
        </w:rPr>
        <w:t>开标</w:t>
      </w:r>
      <w:bookmarkEnd w:id="63"/>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pPr>
        <w:widowControl w:val="0"/>
        <w:shd w:val="clear"/>
        <w:adjustRightInd/>
        <w:snapToGrid/>
        <w:ind w:left="567"/>
        <w:jc w:val="both"/>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4" w:name="_Toc2201"/>
      <w:r>
        <w:rPr>
          <w:rFonts w:hint="eastAsia" w:ascii="宋体" w:hAnsi="宋体" w:cs="宋体"/>
          <w:color w:val="auto"/>
          <w:sz w:val="21"/>
          <w:szCs w:val="21"/>
          <w:highlight w:val="none"/>
        </w:rPr>
        <w:t>评标委员会及评标方法</w:t>
      </w:r>
      <w:bookmarkEnd w:id="64"/>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定标原则：在最大限度满足采购文件实质性要求前提下，按照采购文件规定的各项评价因素进行量化打分，以评标总得分最高的投标人作为中标候选人或中标人。</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5" w:name="_Toc7973"/>
      <w:r>
        <w:rPr>
          <w:rFonts w:hint="eastAsia" w:ascii="宋体" w:hAnsi="宋体" w:cs="宋体"/>
          <w:color w:val="auto"/>
          <w:sz w:val="21"/>
          <w:szCs w:val="21"/>
          <w:highlight w:val="none"/>
        </w:rPr>
        <w:t>评审原则及评标过程的保密</w:t>
      </w:r>
      <w:bookmarkEnd w:id="65"/>
    </w:p>
    <w:p>
      <w:pPr>
        <w:pStyle w:val="40"/>
        <w:widowControl w:val="0"/>
        <w:numPr>
          <w:ilvl w:val="0"/>
          <w:numId w:val="3"/>
        </w:numPr>
        <w:shd w:val="clear"/>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6" w:name="_Toc12090"/>
      <w:bookmarkStart w:id="67" w:name="_Toc7361"/>
      <w:r>
        <w:rPr>
          <w:rFonts w:hint="eastAsia" w:ascii="宋体" w:hAnsi="宋体" w:cs="宋体"/>
          <w:color w:val="auto"/>
          <w:sz w:val="21"/>
          <w:szCs w:val="21"/>
          <w:highlight w:val="none"/>
        </w:rPr>
        <w:t>评标程序</w:t>
      </w:r>
      <w:bookmarkEnd w:id="66"/>
    </w:p>
    <w:p>
      <w:pPr>
        <w:widowControl w:val="0"/>
        <w:numPr>
          <w:ilvl w:val="1"/>
          <w:numId w:val="2"/>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pPr>
        <w:widowControl w:val="0"/>
        <w:shd w:val="clea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pPr>
        <w:shd w:val="clea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vAlign w:val="center"/>
          </w:tcPr>
          <w:p>
            <w:pPr>
              <w:numPr>
                <w:ilvl w:val="0"/>
                <w:numId w:val="6"/>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（2）参加采购活动前三年内，在经营活动中没有重大违法记录（须提供书面声明）；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（3）投标人的单位负责人为同一人或者存在直接控股、管理关系的不同投标人，不得参加同一合同项下的采购活动；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）符合投标人资格要求中其他要求（如有）。（提供《附件</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.相关资质证明文件》中对应证明文件。）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6"/>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6"/>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6"/>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rPr>
            </w:pPr>
            <w:r>
              <w:rPr>
                <w:rFonts w:hint="eastAsia" w:ascii="宋体" w:hAnsi="宋体" w:eastAsia="宋体" w:cs="宋体"/>
                <w:color w:val="auto"/>
                <w:szCs w:val="21"/>
                <w:highlight w:val="none"/>
              </w:rPr>
              <w:t>投标</w:t>
            </w:r>
            <w:r>
              <w:rPr>
                <w:rFonts w:hint="eastAsia" w:ascii="宋体" w:hAnsi="宋体" w:eastAsia="宋体" w:cs="宋体"/>
                <w:color w:val="auto"/>
                <w:szCs w:val="21"/>
                <w:highlight w:val="none"/>
                <w:lang w:val="en-US" w:eastAsia="zh-CN"/>
              </w:rPr>
              <w:t>下浮率</w:t>
            </w:r>
            <w:r>
              <w:rPr>
                <w:rFonts w:hint="eastAsia" w:ascii="宋体" w:hAnsi="宋体" w:eastAsia="宋体" w:cs="宋体"/>
                <w:color w:val="auto"/>
                <w:szCs w:val="21"/>
                <w:highlight w:val="none"/>
              </w:rPr>
              <w:t>未超出采购文件中规定的</w:t>
            </w:r>
            <w:r>
              <w:rPr>
                <w:rFonts w:hint="eastAsia" w:ascii="宋体" w:hAnsi="宋体" w:eastAsia="宋体" w:cs="宋体"/>
                <w:color w:val="auto"/>
                <w:szCs w:val="21"/>
                <w:highlight w:val="none"/>
                <w:lang w:val="en-US" w:eastAsia="zh-CN"/>
              </w:rPr>
              <w:t>报价范围</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法律、法规和招标文件规定的其他无效情形。</w:t>
            </w:r>
          </w:p>
        </w:tc>
      </w:tr>
      <w:bookmarkEnd w:id="67"/>
    </w:tbl>
    <w:p>
      <w:pPr>
        <w:widowControl w:val="0"/>
        <w:shd w:val="clear"/>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pPr>
        <w:widowControl w:val="0"/>
        <w:numPr>
          <w:ilvl w:val="1"/>
          <w:numId w:val="2"/>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pPr>
        <w:widowControl w:val="0"/>
        <w:numPr>
          <w:ilvl w:val="0"/>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widowControl w:val="0"/>
        <w:numPr>
          <w:ilvl w:val="0"/>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widowControl w:val="0"/>
        <w:numPr>
          <w:ilvl w:val="0"/>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widowControl w:val="0"/>
        <w:numPr>
          <w:ilvl w:val="0"/>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widowControl w:val="0"/>
        <w:numPr>
          <w:ilvl w:val="0"/>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对于投标文件中不构成实质性偏差的不正规、不一致或不规则，评标委员会可以接受，但这种接受不能损害或影响任何投标人的相对排序。</w:t>
      </w:r>
    </w:p>
    <w:p>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Style w:val="11"/>
        <w:shd w:val="clear"/>
        <w:rPr>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8" w:name="_Toc19524"/>
      <w:r>
        <w:rPr>
          <w:rFonts w:hint="eastAsia" w:ascii="宋体" w:hAnsi="宋体" w:cs="宋体"/>
          <w:color w:val="auto"/>
          <w:sz w:val="21"/>
          <w:szCs w:val="21"/>
          <w:highlight w:val="none"/>
        </w:rPr>
        <w:t>商务、技术、价格评审（具体评审项目详见投标资料表）</w:t>
      </w:r>
      <w:bookmarkEnd w:id="68"/>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pPr>
        <w:widowControl w:val="0"/>
        <w:shd w:val="clear"/>
        <w:tabs>
          <w:tab w:val="left" w:pos="907"/>
        </w:tabs>
        <w:adjustRightInd/>
        <w:snapToGrid/>
        <w:ind w:left="567"/>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69" w:name="_Toc316375620"/>
      <w:bookmarkStart w:id="70" w:name="_Toc29686"/>
      <w:bookmarkStart w:id="71" w:name="_Toc20328"/>
      <w:bookmarkStart w:id="72" w:name="_Toc382049120"/>
      <w:r>
        <w:rPr>
          <w:rFonts w:hint="eastAsia" w:ascii="宋体" w:hAnsi="宋体" w:cs="宋体"/>
          <w:color w:val="auto"/>
          <w:sz w:val="21"/>
          <w:szCs w:val="21"/>
          <w:highlight w:val="none"/>
        </w:rPr>
        <w:t>纪律和保密</w:t>
      </w:r>
      <w:bookmarkEnd w:id="69"/>
      <w:r>
        <w:rPr>
          <w:rFonts w:hint="eastAsia" w:ascii="宋体" w:hAnsi="宋体" w:cs="宋体"/>
          <w:color w:val="auto"/>
          <w:sz w:val="21"/>
          <w:szCs w:val="21"/>
          <w:highlight w:val="none"/>
        </w:rPr>
        <w:t>事项</w:t>
      </w:r>
      <w:bookmarkEnd w:id="70"/>
      <w:bookmarkEnd w:id="71"/>
      <w:bookmarkEnd w:id="72"/>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pPr>
        <w:shd w:val="clear"/>
        <w:rPr>
          <w:rFonts w:ascii="宋体" w:hAnsi="宋体" w:cs="宋体"/>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73" w:name="_Toc3161"/>
      <w:r>
        <w:rPr>
          <w:rFonts w:hint="eastAsia" w:ascii="宋体" w:hAnsi="宋体" w:cs="宋体"/>
          <w:color w:val="auto"/>
          <w:highlight w:val="none"/>
        </w:rPr>
        <w:t>授予合同</w:t>
      </w:r>
      <w:bookmarkEnd w:id="73"/>
    </w:p>
    <w:p>
      <w:pPr>
        <w:pStyle w:val="6"/>
        <w:widowControl w:val="0"/>
        <w:numPr>
          <w:ilvl w:val="0"/>
          <w:numId w:val="2"/>
        </w:numPr>
        <w:shd w:val="clear"/>
        <w:overflowPunct w:val="0"/>
        <w:rPr>
          <w:rFonts w:ascii="宋体" w:hAnsi="宋体" w:cs="宋体"/>
          <w:color w:val="auto"/>
          <w:sz w:val="21"/>
          <w:szCs w:val="21"/>
          <w:highlight w:val="none"/>
        </w:rPr>
      </w:pPr>
      <w:bookmarkStart w:id="74" w:name="_Toc508284011"/>
      <w:bookmarkStart w:id="75" w:name="_Toc12532"/>
      <w:r>
        <w:rPr>
          <w:rFonts w:hint="eastAsia" w:ascii="宋体" w:hAnsi="宋体" w:cs="宋体"/>
          <w:color w:val="auto"/>
          <w:sz w:val="21"/>
          <w:szCs w:val="21"/>
          <w:highlight w:val="none"/>
        </w:rPr>
        <w:t>合同授予标准</w:t>
      </w:r>
      <w:bookmarkEnd w:id="74"/>
      <w:bookmarkEnd w:id="75"/>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根据评标委员会的评审结果，采购人按照评审报告推荐的中标候选人中按顺序依法确定中标人。</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76" w:name="_Toc25927"/>
      <w:bookmarkStart w:id="77" w:name="_Toc508284013"/>
      <w:r>
        <w:rPr>
          <w:rFonts w:hint="eastAsia" w:ascii="宋体" w:hAnsi="宋体" w:cs="宋体"/>
          <w:color w:val="auto"/>
          <w:sz w:val="21"/>
          <w:szCs w:val="21"/>
          <w:highlight w:val="none"/>
        </w:rPr>
        <w:t>发布中标结果</w:t>
      </w:r>
      <w:bookmarkEnd w:id="76"/>
      <w:bookmarkEnd w:id="77"/>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《中标通知书》是合同的一个组成部分，《中标通知书》对采购人和中标人均具有同等法律效力。</w:t>
      </w:r>
    </w:p>
    <w:p>
      <w:pPr>
        <w:widowControl w:val="0"/>
        <w:shd w:val="clear"/>
        <w:tabs>
          <w:tab w:val="left" w:pos="907"/>
        </w:tabs>
        <w:adjustRightInd/>
        <w:snapToGrid/>
        <w:jc w:val="both"/>
        <w:rPr>
          <w:rFonts w:ascii="宋体" w:hAnsi="宋体" w:cs="宋体"/>
          <w:color w:val="auto"/>
          <w:szCs w:val="21"/>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78" w:name="_Toc24468"/>
      <w:r>
        <w:rPr>
          <w:rFonts w:hint="eastAsia" w:ascii="宋体" w:hAnsi="宋体" w:cs="宋体"/>
          <w:color w:val="auto"/>
          <w:sz w:val="21"/>
          <w:szCs w:val="21"/>
          <w:highlight w:val="none"/>
        </w:rPr>
        <w:t>资格后审</w:t>
      </w:r>
      <w:bookmarkEnd w:id="78"/>
    </w:p>
    <w:p>
      <w:pPr>
        <w:pStyle w:val="40"/>
        <w:widowControl w:val="0"/>
        <w:numPr>
          <w:ilvl w:val="0"/>
          <w:numId w:val="3"/>
        </w:numPr>
        <w:shd w:val="clea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采购人将</w:t>
      </w:r>
      <w:r>
        <w:rPr>
          <w:rFonts w:hint="eastAsia" w:ascii="宋体" w:hAnsi="宋体" w:cs="宋体"/>
          <w:b/>
          <w:bCs/>
          <w:color w:val="auto"/>
          <w:szCs w:val="21"/>
          <w:highlight w:val="none"/>
        </w:rPr>
        <w:t>有权</w:t>
      </w:r>
      <w:r>
        <w:rPr>
          <w:rFonts w:hint="eastAsia" w:ascii="宋体" w:hAnsi="宋体" w:cs="宋体"/>
          <w:color w:val="auto"/>
          <w:szCs w:val="21"/>
          <w:highlight w:val="none"/>
        </w:rPr>
        <w:t>根据本文件中的要求，对评委会推荐的中标候选人进行资格后审。</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pPr>
        <w:shd w:val="clear"/>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79" w:name="_Toc29134"/>
      <w:r>
        <w:rPr>
          <w:rFonts w:hint="eastAsia" w:ascii="宋体" w:hAnsi="宋体" w:cs="宋体"/>
          <w:color w:val="auto"/>
          <w:sz w:val="21"/>
          <w:szCs w:val="21"/>
          <w:highlight w:val="none"/>
        </w:rPr>
        <w:t>合同的签订与履行</w:t>
      </w:r>
      <w:bookmarkEnd w:id="79"/>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人应当自采购人发出中标通知书之日起30日内，按照采购文件和中标人投标文件的规定，与采购人签订书面合同，否则采购人有权取消其中标资格。所签订的合同不得对采购文件确定的事项和中标人投标文件作实质性修改。在合同签订时，应注意合同中约定的工期开始时间不得早于合同签订时间。</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采购人与中标人应当根据合同的约定依法履行合同义务。</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pPr>
        <w:widowControl w:val="0"/>
        <w:shd w:val="clear"/>
        <w:tabs>
          <w:tab w:val="left" w:pos="907"/>
        </w:tabs>
        <w:adjustRightInd/>
        <w:snapToGrid/>
        <w:jc w:val="both"/>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80" w:name="_Toc29009"/>
      <w:bookmarkStart w:id="81" w:name="_Toc303084277"/>
      <w:bookmarkStart w:id="82" w:name="_Toc382049124"/>
      <w:bookmarkStart w:id="83" w:name="_Toc8940"/>
      <w:r>
        <w:rPr>
          <w:rFonts w:hint="eastAsia" w:ascii="宋体" w:hAnsi="宋体" w:cs="宋体"/>
          <w:color w:val="auto"/>
          <w:sz w:val="21"/>
          <w:szCs w:val="21"/>
          <w:highlight w:val="none"/>
        </w:rPr>
        <w:t>履约</w:t>
      </w:r>
      <w:bookmarkEnd w:id="80"/>
      <w:bookmarkEnd w:id="81"/>
      <w:bookmarkEnd w:id="82"/>
      <w:r>
        <w:rPr>
          <w:rFonts w:hint="eastAsia" w:ascii="宋体" w:hAnsi="宋体" w:cs="宋体"/>
          <w:color w:val="auto"/>
          <w:sz w:val="21"/>
          <w:szCs w:val="21"/>
          <w:highlight w:val="none"/>
        </w:rPr>
        <w:t>担保</w:t>
      </w:r>
      <w:bookmarkEnd w:id="83"/>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履约担保期限从合同签订之日起至项目服务期结束验收合格并结算完毕后，经双方签字7天内保持有效。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（1）履约保函。如果中标人的履约担保是以银行保函形式提供的，则该银行保函应：</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①保函应由银行支行或以上银行机构开具，非东莞市行政区内的银行开具的保函要由银行所在地公证部门出具的公证书。</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中标价的10%。中标人人必须保证履约保证金以中标人的名称在（合同约定的日期）前提交至采购人指定账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若中标人不能按本采购文件（33.1至33.3）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为取得履约担保所需的费用，由中标人承担；若工期延误，履约担保时间延长，延长费用由中标人承担。</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pPr>
        <w:keepNext w:val="0"/>
        <w:keepLines w:val="0"/>
        <w:pageBreakBefore w:val="0"/>
        <w:widowControl w:val="0"/>
        <w:shd w:val="clear"/>
        <w:tabs>
          <w:tab w:val="left" w:pos="907"/>
        </w:tabs>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（1）中标人将本项目转让给他人，或者在投标文件中未说明，且未经采购人同意，将中标项目分包给他人的；</w:t>
      </w:r>
    </w:p>
    <w:p>
      <w:pPr>
        <w:keepNext w:val="0"/>
        <w:keepLines w:val="0"/>
        <w:pageBreakBefore w:val="0"/>
        <w:widowControl w:val="0"/>
        <w:shd w:val="clear"/>
        <w:tabs>
          <w:tab w:val="left" w:pos="907"/>
        </w:tabs>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（2）中标人在履行采购合同期间，违反有关法律法规的规定及合同约定的条款，损害了采购人的利益。</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在整个项目验收合格后，中标人向采购人提交退回履约担保的申请，采购人办理履约担保退还手续。</w:t>
      </w:r>
    </w:p>
    <w:p>
      <w:pPr>
        <w:widowControl w:val="0"/>
        <w:shd w:val="clear"/>
        <w:tabs>
          <w:tab w:val="left" w:pos="907"/>
        </w:tabs>
        <w:adjustRightInd/>
        <w:snapToGrid/>
        <w:jc w:val="both"/>
        <w:rPr>
          <w:rFonts w:ascii="宋体" w:hAnsi="宋体" w:cs="宋体"/>
          <w:color w:val="auto"/>
          <w:highlight w:val="none"/>
        </w:rPr>
      </w:pPr>
    </w:p>
    <w:p>
      <w:pPr>
        <w:pStyle w:val="6"/>
        <w:widowControl w:val="0"/>
        <w:numPr>
          <w:ilvl w:val="0"/>
          <w:numId w:val="2"/>
        </w:numPr>
        <w:shd w:val="clear"/>
        <w:overflowPunct w:val="0"/>
        <w:rPr>
          <w:rFonts w:ascii="宋体" w:hAnsi="宋体" w:cs="宋体"/>
          <w:color w:val="auto"/>
          <w:sz w:val="21"/>
          <w:szCs w:val="21"/>
          <w:highlight w:val="none"/>
        </w:rPr>
      </w:pPr>
      <w:bookmarkStart w:id="84" w:name="_Toc22173"/>
      <w:r>
        <w:rPr>
          <w:rFonts w:hint="eastAsia" w:ascii="宋体" w:hAnsi="宋体" w:cs="宋体"/>
          <w:color w:val="auto"/>
          <w:sz w:val="21"/>
          <w:szCs w:val="21"/>
          <w:highlight w:val="none"/>
        </w:rPr>
        <w:t>预付款保函（适用于预付款支付）</w:t>
      </w:r>
      <w:bookmarkEnd w:id="84"/>
    </w:p>
    <w:p>
      <w:pPr>
        <w:pStyle w:val="40"/>
        <w:widowControl w:val="0"/>
        <w:numPr>
          <w:ilvl w:val="0"/>
          <w:numId w:val="3"/>
        </w:numPr>
        <w:shd w:val="clea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keepNext w:val="0"/>
        <w:keepLines w:val="0"/>
        <w:pageBreakBefore w:val="0"/>
        <w:widowControl w:val="0"/>
        <w:shd w:val="clear"/>
        <w:tabs>
          <w:tab w:val="left" w:pos="907"/>
        </w:tabs>
        <w:kinsoku/>
        <w:wordWrap/>
        <w:overflowPunct/>
        <w:topLinePunct w:val="0"/>
        <w:autoSpaceDE/>
        <w:autoSpaceDN/>
        <w:bidi w:val="0"/>
        <w:adjustRightInd/>
        <w:snapToGrid/>
        <w:spacing w:line="264"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（1）由东莞市行政区域内的银行支行及以上银行机构开具。非东莞市行政区内的银行开具的保函要由银行所在地公证部门出具的公证书。</w:t>
      </w:r>
    </w:p>
    <w:p>
      <w:pPr>
        <w:keepNext w:val="0"/>
        <w:keepLines w:val="0"/>
        <w:pageBreakBefore w:val="0"/>
        <w:widowControl w:val="0"/>
        <w:shd w:val="clear"/>
        <w:tabs>
          <w:tab w:val="left" w:pos="907"/>
        </w:tabs>
        <w:kinsoku/>
        <w:wordWrap/>
        <w:overflowPunct/>
        <w:topLinePunct w:val="0"/>
        <w:autoSpaceDE/>
        <w:autoSpaceDN/>
        <w:bidi w:val="0"/>
        <w:adjustRightInd/>
        <w:snapToGrid/>
        <w:spacing w:line="264"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（2）必须打印，手写、涂改无效</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若中标人不能按本须知（34.1至34.2）的规定执行，采购人将不予支付预付款。</w:t>
      </w: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pPr>
        <w:shd w:val="clear"/>
        <w:rPr>
          <w:rFonts w:ascii="宋体" w:hAnsi="宋体" w:cs="宋体"/>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85" w:name="_Toc11038"/>
      <w:r>
        <w:rPr>
          <w:rFonts w:hint="eastAsia" w:ascii="宋体" w:hAnsi="宋体" w:cs="宋体"/>
          <w:color w:val="auto"/>
          <w:highlight w:val="none"/>
        </w:rPr>
        <w:t>异议</w:t>
      </w:r>
      <w:bookmarkEnd w:id="85"/>
    </w:p>
    <w:p>
      <w:pPr>
        <w:pStyle w:val="6"/>
        <w:pageBreakBefore w:val="0"/>
        <w:widowControl w:val="0"/>
        <w:numPr>
          <w:ilvl w:val="0"/>
          <w:numId w:val="2"/>
        </w:numPr>
        <w:shd w:val="clear"/>
        <w:kinsoku/>
        <w:wordWrap/>
        <w:overflowPunct w:val="0"/>
        <w:topLinePunct w:val="0"/>
        <w:autoSpaceDE/>
        <w:autoSpaceDN/>
        <w:bidi w:val="0"/>
        <w:textAlignment w:val="auto"/>
        <w:rPr>
          <w:rFonts w:ascii="宋体" w:hAnsi="宋体" w:cs="宋体"/>
          <w:color w:val="auto"/>
          <w:sz w:val="21"/>
          <w:szCs w:val="21"/>
          <w:highlight w:val="none"/>
        </w:rPr>
      </w:pPr>
      <w:bookmarkStart w:id="86" w:name="_Toc20688"/>
      <w:r>
        <w:rPr>
          <w:rFonts w:hint="eastAsia" w:ascii="宋体" w:hAnsi="宋体" w:cs="宋体"/>
          <w:color w:val="auto"/>
          <w:sz w:val="21"/>
          <w:szCs w:val="21"/>
          <w:highlight w:val="none"/>
        </w:rPr>
        <w:t>异议</w:t>
      </w:r>
      <w:bookmarkEnd w:id="86"/>
    </w:p>
    <w:p>
      <w:pPr>
        <w:pStyle w:val="40"/>
        <w:pageBreakBefore w:val="0"/>
        <w:widowControl w:val="0"/>
        <w:numPr>
          <w:ilvl w:val="0"/>
          <w:numId w:val="3"/>
        </w:numPr>
        <w:shd w:val="clear"/>
        <w:tabs>
          <w:tab w:val="left" w:pos="907"/>
        </w:tabs>
        <w:kinsoku/>
        <w:wordWrap/>
        <w:topLinePunct w:val="0"/>
        <w:autoSpaceDE/>
        <w:autoSpaceDN/>
        <w:bidi w:val="0"/>
        <w:adjustRightInd/>
        <w:snapToGrid/>
        <w:ind w:firstLineChars="0"/>
        <w:jc w:val="both"/>
        <w:textAlignment w:val="auto"/>
        <w:rPr>
          <w:rFonts w:ascii="宋体" w:hAnsi="宋体" w:cs="宋体"/>
          <w:vanish/>
          <w:color w:val="auto"/>
          <w:szCs w:val="21"/>
          <w:highlight w:val="none"/>
        </w:rPr>
      </w:pPr>
    </w:p>
    <w:p>
      <w:pPr>
        <w:pageBreakBefore w:val="0"/>
        <w:widowControl w:val="0"/>
        <w:numPr>
          <w:ilvl w:val="1"/>
          <w:numId w:val="2"/>
        </w:numPr>
        <w:shd w:val="clear"/>
        <w:kinsoku/>
        <w:wordWrap/>
        <w:overflowPunct w:val="0"/>
        <w:topLinePunct w:val="0"/>
        <w:autoSpaceDE/>
        <w:autoSpaceDN/>
        <w:bidi w:val="0"/>
        <w:textAlignment w:val="auto"/>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left="420" w:leftChars="200" w:firstLine="0" w:firstLineChars="0"/>
        <w:jc w:val="both"/>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pageBreakBefore w:val="0"/>
        <w:widowControl w:val="0"/>
        <w:numPr>
          <w:ilvl w:val="1"/>
          <w:numId w:val="2"/>
        </w:numPr>
        <w:shd w:val="clear"/>
        <w:kinsoku/>
        <w:wordWrap/>
        <w:overflowPunct w:val="0"/>
        <w:topLinePunct w:val="0"/>
        <w:autoSpaceDE/>
        <w:autoSpaceDN/>
        <w:bidi w:val="0"/>
        <w:textAlignment w:val="auto"/>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left="420" w:leftChars="200" w:firstLine="0" w:firstLineChars="0"/>
        <w:jc w:val="both"/>
        <w:textAlignment w:val="auto"/>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left="420" w:leftChars="200" w:firstLine="0" w:firstLineChars="0"/>
        <w:jc w:val="both"/>
        <w:textAlignment w:val="auto"/>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pPr>
        <w:pageBreakBefore w:val="0"/>
        <w:widowControl w:val="0"/>
        <w:numPr>
          <w:ilvl w:val="1"/>
          <w:numId w:val="2"/>
        </w:numPr>
        <w:shd w:val="clear"/>
        <w:kinsoku/>
        <w:wordWrap/>
        <w:overflowPunct w:val="0"/>
        <w:topLinePunct w:val="0"/>
        <w:autoSpaceDE/>
        <w:autoSpaceDN/>
        <w:bidi w:val="0"/>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pPr>
        <w:shd w:val="clear"/>
        <w:rPr>
          <w:rFonts w:ascii="宋体" w:hAnsi="宋体" w:cs="宋体"/>
          <w:color w:val="auto"/>
          <w:highlight w:val="none"/>
        </w:rPr>
      </w:pPr>
    </w:p>
    <w:p>
      <w:pPr>
        <w:pStyle w:val="5"/>
        <w:numPr>
          <w:ilvl w:val="0"/>
          <w:numId w:val="1"/>
        </w:numPr>
        <w:shd w:val="clear"/>
        <w:spacing w:before="0" w:after="0" w:line="360" w:lineRule="auto"/>
        <w:jc w:val="center"/>
        <w:rPr>
          <w:rFonts w:ascii="宋体" w:hAnsi="宋体" w:cs="宋体"/>
          <w:color w:val="auto"/>
          <w:highlight w:val="none"/>
        </w:rPr>
      </w:pPr>
      <w:bookmarkStart w:id="87" w:name="_Toc24651"/>
      <w:r>
        <w:rPr>
          <w:rFonts w:hint="eastAsia" w:ascii="宋体" w:hAnsi="宋体" w:cs="宋体"/>
          <w:color w:val="auto"/>
          <w:highlight w:val="none"/>
        </w:rPr>
        <w:t>其他</w:t>
      </w:r>
      <w:bookmarkEnd w:id="87"/>
    </w:p>
    <w:p>
      <w:pPr>
        <w:pStyle w:val="6"/>
        <w:widowControl w:val="0"/>
        <w:numPr>
          <w:ilvl w:val="0"/>
          <w:numId w:val="2"/>
        </w:numPr>
        <w:shd w:val="clear"/>
        <w:overflowPunct w:val="0"/>
        <w:rPr>
          <w:rFonts w:ascii="宋体" w:hAnsi="宋体" w:cs="宋体"/>
          <w:color w:val="auto"/>
          <w:sz w:val="21"/>
          <w:szCs w:val="21"/>
          <w:highlight w:val="none"/>
        </w:rPr>
      </w:pPr>
      <w:bookmarkStart w:id="88" w:name="_Toc12694"/>
      <w:r>
        <w:rPr>
          <w:rFonts w:hint="eastAsia" w:ascii="宋体" w:hAnsi="宋体" w:cs="宋体"/>
          <w:color w:val="auto"/>
          <w:sz w:val="21"/>
          <w:szCs w:val="21"/>
          <w:highlight w:val="none"/>
        </w:rPr>
        <w:t>采购文件的解释权</w:t>
      </w:r>
      <w:bookmarkEnd w:id="88"/>
    </w:p>
    <w:p>
      <w:pPr>
        <w:pStyle w:val="40"/>
        <w:widowControl w:val="0"/>
        <w:numPr>
          <w:ilvl w:val="0"/>
          <w:numId w:val="3"/>
        </w:numPr>
        <w:shd w:val="clear"/>
        <w:tabs>
          <w:tab w:val="left" w:pos="907"/>
        </w:tabs>
        <w:adjustRightInd/>
        <w:snapToGrid/>
        <w:ind w:firstLineChars="0"/>
        <w:jc w:val="both"/>
        <w:rPr>
          <w:rFonts w:ascii="宋体" w:hAnsi="宋体" w:cs="宋体"/>
          <w:vanish/>
          <w:color w:val="auto"/>
          <w:szCs w:val="21"/>
          <w:highlight w:val="none"/>
        </w:rPr>
      </w:pPr>
    </w:p>
    <w:p>
      <w:pPr>
        <w:widowControl w:val="0"/>
        <w:numPr>
          <w:ilvl w:val="1"/>
          <w:numId w:val="2"/>
        </w:numPr>
        <w:shd w:val="clea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pPr>
        <w:widowControl w:val="0"/>
        <w:numPr>
          <w:ilvl w:val="1"/>
          <w:numId w:val="3"/>
        </w:numPr>
        <w:shd w:val="clear"/>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br w:type="page"/>
      </w:r>
    </w:p>
    <w:p>
      <w:pPr>
        <w:pStyle w:val="4"/>
        <w:shd w:val="clear"/>
        <w:spacing w:before="0" w:after="0" w:line="240" w:lineRule="auto"/>
        <w:rPr>
          <w:color w:val="auto"/>
          <w:sz w:val="28"/>
          <w:szCs w:val="28"/>
          <w:highlight w:val="none"/>
        </w:rPr>
      </w:pPr>
      <w:bookmarkStart w:id="89" w:name="_Toc31282"/>
      <w:r>
        <w:rPr>
          <w:rFonts w:hint="eastAsia"/>
          <w:color w:val="auto"/>
          <w:sz w:val="28"/>
          <w:szCs w:val="28"/>
          <w:highlight w:val="none"/>
        </w:rPr>
        <w:t>第五部分  合同条款格式</w:t>
      </w:r>
      <w:bookmarkEnd w:id="89"/>
      <w:bookmarkStart w:id="90" w:name="_Toc15636"/>
    </w:p>
    <w:bookmarkEnd w:id="90"/>
    <w:p>
      <w:pPr>
        <w:shd w:val="clear"/>
        <w:rPr>
          <w:color w:val="auto"/>
          <w:highlight w:val="none"/>
          <w:lang w:bidi="zh-CN"/>
        </w:rPr>
      </w:pPr>
      <w:bookmarkStart w:id="91" w:name="_Hlt109815959"/>
      <w:bookmarkEnd w:id="91"/>
    </w:p>
    <w:p>
      <w:pPr>
        <w:spacing w:line="460" w:lineRule="exact"/>
        <w:jc w:val="right"/>
        <w:rPr>
          <w:rFonts w:hint="eastAsia" w:ascii="宋体" w:hAnsi="宋体" w:eastAsia="宋体"/>
          <w:b/>
          <w:color w:val="auto"/>
          <w:sz w:val="24"/>
          <w:highlight w:val="none"/>
          <w:lang w:eastAsia="zh-CN"/>
        </w:rPr>
      </w:pPr>
      <w:bookmarkStart w:id="92" w:name="_Toc18720"/>
      <w:r>
        <w:rPr>
          <w:rFonts w:hint="eastAsia" w:ascii="宋体" w:hAnsi="宋体"/>
          <w:color w:val="auto"/>
          <w:sz w:val="24"/>
          <w:highlight w:val="none"/>
          <w:lang w:val="en-US" w:eastAsia="zh-CN"/>
        </w:rPr>
        <w:t xml:space="preserve">       </w:t>
      </w:r>
      <w:r>
        <w:rPr>
          <w:rFonts w:hint="eastAsia" w:ascii="宋体" w:hAnsi="宋体"/>
          <w:color w:val="auto"/>
          <w:sz w:val="28"/>
          <w:szCs w:val="28"/>
          <w:highlight w:val="none"/>
          <w:lang w:eastAsia="zh-CN"/>
        </w:rPr>
        <w:t>【</w:t>
      </w:r>
      <w:r>
        <w:rPr>
          <w:rFonts w:hint="eastAsia" w:ascii="宋体" w:hAnsi="宋体"/>
          <w:b/>
          <w:color w:val="auto"/>
          <w:sz w:val="28"/>
          <w:szCs w:val="28"/>
          <w:highlight w:val="none"/>
          <w:lang w:eastAsia="zh-CN"/>
        </w:rPr>
        <w:t>合同编号：XFGFSG202</w:t>
      </w:r>
      <w:permStart w:id="0" w:edGrp="everyone"/>
      <w:r>
        <w:rPr>
          <w:rFonts w:hint="eastAsia" w:ascii="宋体" w:hAnsi="宋体"/>
          <w:b/>
          <w:color w:val="auto"/>
          <w:sz w:val="28"/>
          <w:szCs w:val="28"/>
          <w:highlight w:val="none"/>
          <w:lang w:eastAsia="zh-CN"/>
        </w:rPr>
        <w:t>X</w:t>
      </w:r>
      <w:permEnd w:id="0"/>
      <w:r>
        <w:rPr>
          <w:rFonts w:hint="eastAsia" w:ascii="宋体" w:hAnsi="宋体"/>
          <w:b/>
          <w:color w:val="auto"/>
          <w:sz w:val="28"/>
          <w:szCs w:val="28"/>
          <w:highlight w:val="none"/>
          <w:lang w:eastAsia="zh-CN"/>
        </w:rPr>
        <w:t>0</w:t>
      </w:r>
      <w:permStart w:id="1" w:edGrp="everyone"/>
      <w:r>
        <w:rPr>
          <w:rFonts w:hint="eastAsia" w:ascii="宋体" w:hAnsi="宋体"/>
          <w:b/>
          <w:color w:val="auto"/>
          <w:sz w:val="28"/>
          <w:szCs w:val="28"/>
          <w:highlight w:val="none"/>
          <w:lang w:eastAsia="zh-CN"/>
        </w:rPr>
        <w:t>XX</w:t>
      </w:r>
      <w:permEnd w:id="1"/>
      <w:r>
        <w:rPr>
          <w:rFonts w:hint="eastAsia" w:ascii="宋体" w:hAnsi="宋体"/>
          <w:color w:val="auto"/>
          <w:sz w:val="28"/>
          <w:szCs w:val="28"/>
          <w:highlight w:val="none"/>
          <w:lang w:eastAsia="zh-CN"/>
        </w:rPr>
        <w:t>】</w:t>
      </w:r>
    </w:p>
    <w:p>
      <w:pPr>
        <w:ind w:firstLine="1626" w:firstLineChars="540"/>
        <w:rPr>
          <w:rFonts w:hint="default" w:ascii="宋体" w:hAnsi="宋体"/>
          <w:b/>
          <w:color w:val="auto"/>
          <w:sz w:val="30"/>
          <w:highlight w:val="none"/>
        </w:rPr>
      </w:pPr>
    </w:p>
    <w:p>
      <w:pPr>
        <w:ind w:firstLine="1626" w:firstLineChars="540"/>
        <w:rPr>
          <w:rFonts w:hint="default" w:ascii="宋体" w:hAnsi="宋体"/>
          <w:b/>
          <w:color w:val="auto"/>
          <w:sz w:val="30"/>
          <w:highlight w:val="none"/>
        </w:rPr>
      </w:pPr>
    </w:p>
    <w:p>
      <w:pPr>
        <w:ind w:firstLine="1626" w:firstLineChars="540"/>
        <w:rPr>
          <w:rFonts w:hint="default" w:ascii="宋体" w:hAnsi="宋体"/>
          <w:b/>
          <w:color w:val="auto"/>
          <w:sz w:val="30"/>
          <w:highlight w:val="none"/>
        </w:rPr>
      </w:pPr>
    </w:p>
    <w:p>
      <w:pPr>
        <w:keepNext w:val="0"/>
        <w:keepLines w:val="0"/>
        <w:pageBreakBefore w:val="0"/>
        <w:widowControl w:val="0"/>
        <w:kinsoku/>
        <w:wordWrap/>
        <w:overflowPunct/>
        <w:topLinePunct w:val="0"/>
        <w:autoSpaceDE/>
        <w:autoSpaceDN/>
        <w:adjustRightInd/>
        <w:snapToGrid/>
        <w:spacing w:line="240" w:lineRule="auto"/>
        <w:jc w:val="center"/>
        <w:textAlignment w:val="auto"/>
        <w:rPr>
          <w:rFonts w:hint="eastAsia" w:ascii="宋体" w:hAnsi="宋体"/>
          <w:b/>
          <w:color w:val="auto"/>
          <w:sz w:val="52"/>
          <w:szCs w:val="52"/>
          <w:highlight w:val="none"/>
        </w:rPr>
      </w:pPr>
      <w:r>
        <w:rPr>
          <w:rFonts w:hint="eastAsia" w:ascii="宋体" w:hAnsi="宋体"/>
          <w:b/>
          <w:color w:val="auto"/>
          <w:sz w:val="52"/>
          <w:szCs w:val="52"/>
          <w:highlight w:val="none"/>
        </w:rPr>
        <w:t>东莞新锋光伏能源科技有限公司</w:t>
      </w:r>
    </w:p>
    <w:p>
      <w:pPr>
        <w:keepNext w:val="0"/>
        <w:keepLines w:val="0"/>
        <w:pageBreakBefore w:val="0"/>
        <w:widowControl w:val="0"/>
        <w:kinsoku/>
        <w:wordWrap/>
        <w:overflowPunct/>
        <w:topLinePunct w:val="0"/>
        <w:autoSpaceDE/>
        <w:autoSpaceDN/>
        <w:adjustRightInd/>
        <w:snapToGrid/>
        <w:spacing w:line="240" w:lineRule="auto"/>
        <w:jc w:val="center"/>
        <w:textAlignment w:val="auto"/>
        <w:rPr>
          <w:rFonts w:hint="default" w:ascii="宋体" w:hAnsi="宋体" w:eastAsia="宋体"/>
          <w:b/>
          <w:color w:val="auto"/>
          <w:sz w:val="52"/>
          <w:szCs w:val="52"/>
          <w:highlight w:val="none"/>
          <w:lang w:val="en-US" w:eastAsia="zh-CN"/>
        </w:rPr>
      </w:pPr>
      <w:permStart w:id="2" w:edGrp="everyone"/>
      <w:r>
        <w:rPr>
          <w:rFonts w:hint="eastAsia" w:ascii="宋体" w:hAnsi="宋体"/>
          <w:b/>
          <w:color w:val="auto"/>
          <w:sz w:val="52"/>
          <w:szCs w:val="52"/>
          <w:highlight w:val="none"/>
        </w:rPr>
        <w:t>XX</w:t>
      </w:r>
      <w:r>
        <w:rPr>
          <w:rFonts w:hint="eastAsia" w:ascii="宋体" w:hAnsi="宋体"/>
          <w:b/>
          <w:color w:val="auto"/>
          <w:sz w:val="52"/>
          <w:szCs w:val="52"/>
          <w:highlight w:val="none"/>
          <w:lang w:val="en-US" w:eastAsia="zh-CN"/>
        </w:rPr>
        <w:t>厂区</w:t>
      </w:r>
      <w:permEnd w:id="2"/>
      <w:r>
        <w:rPr>
          <w:rFonts w:hint="eastAsia" w:ascii="宋体" w:hAnsi="宋体"/>
          <w:b/>
          <w:color w:val="auto"/>
          <w:sz w:val="52"/>
          <w:szCs w:val="52"/>
          <w:highlight w:val="none"/>
        </w:rPr>
        <w:t>分布式光伏发电项目</w:t>
      </w:r>
    </w:p>
    <w:p>
      <w:pPr>
        <w:keepNext w:val="0"/>
        <w:keepLines w:val="0"/>
        <w:pageBreakBefore w:val="0"/>
        <w:widowControl w:val="0"/>
        <w:kinsoku/>
        <w:wordWrap/>
        <w:overflowPunct/>
        <w:topLinePunct w:val="0"/>
        <w:autoSpaceDE/>
        <w:autoSpaceDN/>
        <w:adjustRightInd/>
        <w:snapToGrid/>
        <w:spacing w:line="240" w:lineRule="auto"/>
        <w:jc w:val="center"/>
        <w:textAlignment w:val="auto"/>
        <w:rPr>
          <w:rFonts w:hint="eastAsia" w:ascii="宋体" w:hAnsi="宋体"/>
          <w:b/>
          <w:color w:val="auto"/>
          <w:sz w:val="52"/>
          <w:szCs w:val="52"/>
          <w:highlight w:val="none"/>
        </w:rPr>
      </w:pPr>
      <w:r>
        <w:rPr>
          <w:rFonts w:hint="eastAsia" w:ascii="宋体" w:hAnsi="宋体"/>
          <w:b/>
          <w:color w:val="auto"/>
          <w:sz w:val="52"/>
          <w:szCs w:val="52"/>
          <w:highlight w:val="none"/>
        </w:rPr>
        <w:t>总承包合同</w:t>
      </w:r>
    </w:p>
    <w:p>
      <w:pPr>
        <w:ind w:firstLine="1626" w:firstLineChars="540"/>
        <w:outlineLvl w:val="9"/>
        <w:rPr>
          <w:rFonts w:hint="default" w:ascii="宋体" w:hAnsi="宋体"/>
          <w:b/>
          <w:color w:val="auto"/>
          <w:sz w:val="30"/>
          <w:highlight w:val="none"/>
        </w:rPr>
      </w:pPr>
    </w:p>
    <w:p>
      <w:pPr>
        <w:ind w:firstLine="1626" w:firstLineChars="540"/>
        <w:outlineLvl w:val="9"/>
        <w:rPr>
          <w:rFonts w:hint="default" w:ascii="宋体" w:hAnsi="宋体"/>
          <w:b/>
          <w:color w:val="auto"/>
          <w:sz w:val="30"/>
          <w:highlight w:val="none"/>
        </w:rPr>
      </w:pPr>
    </w:p>
    <w:p>
      <w:pPr>
        <w:outlineLvl w:val="9"/>
        <w:rPr>
          <w:rFonts w:hint="default" w:ascii="宋体" w:hAnsi="宋体"/>
          <w:b/>
          <w:color w:val="auto"/>
          <w:sz w:val="30"/>
          <w:highlight w:val="none"/>
        </w:rPr>
      </w:pPr>
    </w:p>
    <w:p>
      <w:pPr>
        <w:outlineLvl w:val="9"/>
        <w:rPr>
          <w:rFonts w:hint="default" w:ascii="宋体" w:hAnsi="宋体"/>
          <w:b/>
          <w:color w:val="auto"/>
          <w:sz w:val="30"/>
          <w:highlight w:val="none"/>
        </w:rPr>
      </w:pPr>
    </w:p>
    <w:p>
      <w:pPr>
        <w:pStyle w:val="11"/>
        <w:adjustRightInd w:val="0"/>
        <w:snapToGrid w:val="0"/>
        <w:spacing w:line="288" w:lineRule="auto"/>
        <w:outlineLvl w:val="9"/>
        <w:rPr>
          <w:rFonts w:hint="eastAsia" w:ascii="宋体" w:hAnsi="宋体"/>
          <w:b/>
          <w:color w:val="auto"/>
          <w:sz w:val="32"/>
          <w:szCs w:val="32"/>
          <w:highlight w:val="none"/>
          <w:u w:val="single"/>
          <w:lang w:eastAsia="zh-CN"/>
        </w:rPr>
      </w:pPr>
      <w:r>
        <w:rPr>
          <w:rFonts w:hint="eastAsia" w:ascii="宋体" w:hAnsi="宋体"/>
          <w:b/>
          <w:color w:val="auto"/>
          <w:sz w:val="32"/>
          <w:szCs w:val="32"/>
          <w:highlight w:val="none"/>
        </w:rPr>
        <w:t xml:space="preserve"> 发包</w:t>
      </w:r>
      <w:r>
        <w:rPr>
          <w:rFonts w:hint="eastAsia" w:ascii="宋体" w:hAnsi="宋体"/>
          <w:b/>
          <w:color w:val="auto"/>
          <w:sz w:val="32"/>
          <w:szCs w:val="32"/>
          <w:highlight w:val="none"/>
          <w:lang w:val="en-US" w:eastAsia="zh-CN"/>
        </w:rPr>
        <w:t>人</w:t>
      </w:r>
      <w:r>
        <w:rPr>
          <w:rFonts w:hint="eastAsia" w:ascii="宋体" w:hAnsi="宋体"/>
          <w:b/>
          <w:color w:val="auto"/>
          <w:sz w:val="32"/>
          <w:szCs w:val="32"/>
          <w:highlight w:val="none"/>
        </w:rPr>
        <w:t xml:space="preserve">（甲方）： </w:t>
      </w:r>
      <w:r>
        <w:rPr>
          <w:rFonts w:hint="eastAsia" w:ascii="宋体" w:hAnsi="宋体"/>
          <w:b/>
          <w:color w:val="auto"/>
          <w:sz w:val="32"/>
          <w:szCs w:val="32"/>
          <w:highlight w:val="none"/>
          <w:u w:val="single"/>
          <w:lang w:eastAsia="zh-CN"/>
        </w:rPr>
        <w:t>东莞新锋光伏能源科技有限公司</w:t>
      </w:r>
    </w:p>
    <w:p>
      <w:pPr>
        <w:pStyle w:val="11"/>
        <w:adjustRightInd w:val="0"/>
        <w:snapToGrid w:val="0"/>
        <w:spacing w:line="288" w:lineRule="auto"/>
        <w:ind w:firstLine="900" w:firstLineChars="280"/>
        <w:outlineLvl w:val="9"/>
        <w:rPr>
          <w:rFonts w:hint="eastAsia" w:ascii="宋体" w:hAnsi="宋体"/>
          <w:b/>
          <w:color w:val="auto"/>
          <w:sz w:val="32"/>
          <w:szCs w:val="32"/>
          <w:highlight w:val="none"/>
          <w:u w:val="single"/>
          <w:lang w:eastAsia="zh-CN"/>
        </w:rPr>
      </w:pPr>
    </w:p>
    <w:p>
      <w:pPr>
        <w:pStyle w:val="11"/>
        <w:adjustRightInd w:val="0"/>
        <w:snapToGrid w:val="0"/>
        <w:spacing w:line="288" w:lineRule="auto"/>
        <w:ind w:firstLine="900" w:firstLineChars="280"/>
        <w:outlineLvl w:val="9"/>
        <w:rPr>
          <w:rFonts w:hint="eastAsia" w:ascii="宋体" w:hAnsi="宋体" w:eastAsia="宋体" w:cs="宋体"/>
          <w:b/>
          <w:color w:val="auto"/>
          <w:sz w:val="32"/>
          <w:szCs w:val="32"/>
          <w:highlight w:val="none"/>
          <w:lang w:eastAsia="zh-CN"/>
        </w:rPr>
      </w:pPr>
      <w:r>
        <w:rPr>
          <w:rFonts w:hint="eastAsia" w:ascii="宋体" w:hAnsi="宋体"/>
          <w:b/>
          <w:color w:val="auto"/>
          <w:sz w:val="32"/>
          <w:szCs w:val="32"/>
          <w:highlight w:val="none"/>
        </w:rPr>
        <w:t>承包</w:t>
      </w:r>
      <w:r>
        <w:rPr>
          <w:rFonts w:hint="eastAsia" w:ascii="宋体" w:hAnsi="宋体"/>
          <w:b/>
          <w:color w:val="auto"/>
          <w:sz w:val="32"/>
          <w:szCs w:val="32"/>
          <w:highlight w:val="none"/>
          <w:lang w:val="en-US" w:eastAsia="zh-CN"/>
        </w:rPr>
        <w:t>人</w:t>
      </w:r>
      <w:r>
        <w:rPr>
          <w:rFonts w:hint="eastAsia" w:ascii="宋体" w:hAnsi="宋体"/>
          <w:b/>
          <w:color w:val="auto"/>
          <w:sz w:val="32"/>
          <w:szCs w:val="32"/>
          <w:highlight w:val="none"/>
        </w:rPr>
        <w:t>（乙方）： （</w:t>
      </w:r>
      <w:r>
        <w:rPr>
          <w:rFonts w:hint="eastAsia" w:ascii="宋体" w:hAnsi="宋体" w:eastAsia="宋体" w:cs="宋体"/>
          <w:b/>
          <w:color w:val="auto"/>
          <w:sz w:val="32"/>
          <w:szCs w:val="32"/>
          <w:highlight w:val="none"/>
          <w:u w:val="single"/>
        </w:rPr>
        <w:t>主)</w:t>
      </w:r>
      <w:permStart w:id="3" w:edGrp="everyone"/>
      <w:r>
        <w:rPr>
          <w:rFonts w:hint="eastAsia" w:ascii="宋体" w:hAnsi="宋体" w:eastAsia="宋体" w:cs="宋体"/>
          <w:b/>
          <w:color w:val="auto"/>
          <w:sz w:val="32"/>
          <w:szCs w:val="32"/>
          <w:highlight w:val="none"/>
          <w:u w:val="single"/>
          <w:lang w:eastAsia="zh-CN"/>
        </w:rPr>
        <w:t>（</w:t>
      </w:r>
      <w:r>
        <w:rPr>
          <w:rFonts w:hint="eastAsia" w:ascii="宋体" w:hAnsi="宋体" w:eastAsia="宋体" w:cs="宋体"/>
          <w:b/>
          <w:color w:val="auto"/>
          <w:sz w:val="32"/>
          <w:szCs w:val="32"/>
          <w:highlight w:val="none"/>
          <w:u w:val="single"/>
          <w:lang w:val="en-US" w:eastAsia="zh-CN"/>
        </w:rPr>
        <w:t>盖章</w:t>
      </w:r>
      <w:r>
        <w:rPr>
          <w:rFonts w:hint="eastAsia" w:ascii="宋体" w:hAnsi="宋体" w:eastAsia="宋体" w:cs="宋体"/>
          <w:b/>
          <w:color w:val="auto"/>
          <w:sz w:val="32"/>
          <w:szCs w:val="32"/>
          <w:highlight w:val="none"/>
          <w:u w:val="single"/>
          <w:lang w:eastAsia="zh-CN"/>
        </w:rPr>
        <w:t>）</w:t>
      </w:r>
      <w:r>
        <w:rPr>
          <w:rFonts w:hint="eastAsia" w:ascii="宋体" w:hAnsi="宋体" w:eastAsia="宋体" w:cs="宋体"/>
          <w:b/>
          <w:color w:val="auto"/>
          <w:sz w:val="32"/>
          <w:szCs w:val="32"/>
          <w:highlight w:val="none"/>
          <w:u w:val="single"/>
        </w:rPr>
        <w:fldChar w:fldCharType="begin"/>
      </w:r>
      <w:r>
        <w:rPr>
          <w:rFonts w:hint="eastAsia" w:ascii="宋体" w:hAnsi="宋体" w:eastAsia="宋体" w:cs="宋体"/>
          <w:b/>
          <w:color w:val="auto"/>
          <w:sz w:val="32"/>
          <w:szCs w:val="32"/>
          <w:highlight w:val="none"/>
          <w:u w:val="single"/>
        </w:rPr>
        <w:instrText xml:space="preserve"> REF 乙方（主） \h </w:instrText>
      </w:r>
      <w:r>
        <w:rPr>
          <w:rFonts w:hint="eastAsia" w:ascii="宋体" w:hAnsi="宋体" w:eastAsia="宋体" w:cs="宋体"/>
          <w:b/>
          <w:color w:val="auto"/>
          <w:sz w:val="32"/>
          <w:szCs w:val="32"/>
          <w:highlight w:val="none"/>
          <w:u w:val="single"/>
        </w:rPr>
        <w:fldChar w:fldCharType="separate"/>
      </w:r>
      <w:r>
        <w:rPr>
          <w:rFonts w:hint="eastAsia" w:ascii="宋体" w:hAnsi="宋体" w:eastAsia="宋体" w:cs="宋体"/>
          <w:b/>
          <w:color w:val="auto"/>
          <w:sz w:val="32"/>
          <w:szCs w:val="32"/>
          <w:highlight w:val="none"/>
          <w:u w:val="single"/>
        </w:rPr>
        <w:t>XX有限公司</w:t>
      </w:r>
      <w:r>
        <w:rPr>
          <w:rFonts w:hint="eastAsia" w:ascii="宋体" w:hAnsi="宋体" w:eastAsia="宋体" w:cs="宋体"/>
          <w:b/>
          <w:color w:val="auto"/>
          <w:sz w:val="32"/>
          <w:szCs w:val="32"/>
          <w:highlight w:val="none"/>
          <w:u w:val="single"/>
        </w:rPr>
        <w:fldChar w:fldCharType="end"/>
      </w:r>
      <w:permEnd w:id="3"/>
    </w:p>
    <w:p>
      <w:pPr>
        <w:pStyle w:val="11"/>
        <w:adjustRightInd w:val="0"/>
        <w:snapToGrid w:val="0"/>
        <w:spacing w:line="288" w:lineRule="auto"/>
        <w:ind w:firstLine="900" w:firstLineChars="280"/>
        <w:outlineLvl w:val="9"/>
        <w:rPr>
          <w:rFonts w:hint="eastAsia" w:ascii="宋体" w:hAnsi="宋体"/>
          <w:b/>
          <w:color w:val="auto"/>
          <w:sz w:val="32"/>
          <w:szCs w:val="32"/>
          <w:highlight w:val="none"/>
        </w:rPr>
      </w:pP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u w:val="single"/>
        </w:rPr>
        <w:t>(成)</w:t>
      </w:r>
      <w:permStart w:id="4" w:edGrp="everyone"/>
      <w:r>
        <w:rPr>
          <w:rFonts w:hint="eastAsia" w:ascii="宋体" w:hAnsi="宋体" w:eastAsia="宋体" w:cs="宋体"/>
          <w:b/>
          <w:color w:val="auto"/>
          <w:sz w:val="32"/>
          <w:szCs w:val="32"/>
          <w:highlight w:val="none"/>
          <w:u w:val="single"/>
        </w:rPr>
        <w:t>（盖章）</w:t>
      </w:r>
      <w:r>
        <w:rPr>
          <w:rFonts w:hint="eastAsia" w:ascii="宋体" w:hAnsi="宋体" w:eastAsia="宋体" w:cs="宋体"/>
          <w:b/>
          <w:color w:val="auto"/>
          <w:sz w:val="32"/>
          <w:szCs w:val="32"/>
          <w:highlight w:val="none"/>
          <w:u w:val="single"/>
        </w:rPr>
        <w:fldChar w:fldCharType="begin"/>
      </w:r>
      <w:r>
        <w:rPr>
          <w:rFonts w:hint="eastAsia" w:ascii="宋体" w:hAnsi="宋体" w:eastAsia="宋体" w:cs="宋体"/>
          <w:b/>
          <w:color w:val="auto"/>
          <w:sz w:val="32"/>
          <w:szCs w:val="32"/>
          <w:highlight w:val="none"/>
          <w:u w:val="single"/>
        </w:rPr>
        <w:instrText xml:space="preserve"> REF 乙方（成） \h </w:instrText>
      </w:r>
      <w:r>
        <w:rPr>
          <w:rFonts w:hint="eastAsia" w:ascii="宋体" w:hAnsi="宋体" w:eastAsia="宋体" w:cs="宋体"/>
          <w:b/>
          <w:color w:val="auto"/>
          <w:sz w:val="32"/>
          <w:szCs w:val="32"/>
          <w:highlight w:val="none"/>
          <w:u w:val="single"/>
        </w:rPr>
        <w:fldChar w:fldCharType="separate"/>
      </w:r>
      <w:r>
        <w:rPr>
          <w:rFonts w:hint="eastAsia" w:ascii="宋体" w:hAnsi="宋体" w:eastAsia="宋体" w:cs="宋体"/>
          <w:b/>
          <w:color w:val="auto"/>
          <w:sz w:val="32"/>
          <w:szCs w:val="32"/>
          <w:highlight w:val="none"/>
          <w:u w:val="single"/>
        </w:rPr>
        <w:t>XX有限公司</w:t>
      </w:r>
      <w:r>
        <w:rPr>
          <w:rFonts w:hint="eastAsia" w:ascii="宋体" w:hAnsi="宋体" w:eastAsia="宋体" w:cs="宋体"/>
          <w:b/>
          <w:color w:val="auto"/>
          <w:sz w:val="32"/>
          <w:szCs w:val="32"/>
          <w:highlight w:val="none"/>
          <w:u w:val="single"/>
        </w:rPr>
        <w:fldChar w:fldCharType="end"/>
      </w:r>
      <w:permEnd w:id="4"/>
    </w:p>
    <w:p>
      <w:pPr>
        <w:pStyle w:val="11"/>
        <w:adjustRightInd w:val="0"/>
        <w:snapToGrid w:val="0"/>
        <w:spacing w:line="288" w:lineRule="auto"/>
        <w:ind w:firstLine="900" w:firstLineChars="280"/>
        <w:outlineLvl w:val="9"/>
        <w:rPr>
          <w:rFonts w:hint="default" w:ascii="宋体" w:hAnsi="宋体"/>
          <w:b/>
          <w:color w:val="auto"/>
          <w:sz w:val="32"/>
          <w:szCs w:val="32"/>
          <w:highlight w:val="none"/>
        </w:rPr>
      </w:pPr>
      <w:r>
        <w:rPr>
          <w:rFonts w:hint="eastAsia" w:ascii="宋体" w:hAnsi="宋体"/>
          <w:b/>
          <w:color w:val="auto"/>
          <w:sz w:val="32"/>
          <w:szCs w:val="32"/>
          <w:highlight w:val="none"/>
          <w:u w:val="single"/>
        </w:rPr>
        <w:t xml:space="preserve">                       </w:t>
      </w:r>
    </w:p>
    <w:p>
      <w:pPr>
        <w:pStyle w:val="35"/>
        <w:ind w:left="0" w:leftChars="0" w:firstLine="0" w:firstLineChars="0"/>
        <w:outlineLvl w:val="9"/>
        <w:rPr>
          <w:rFonts w:hint="default"/>
          <w:color w:val="auto"/>
          <w:highlight w:val="none"/>
        </w:rPr>
      </w:pPr>
    </w:p>
    <w:p>
      <w:pPr>
        <w:adjustRightInd w:val="0"/>
        <w:snapToGrid w:val="0"/>
        <w:spacing w:line="288" w:lineRule="auto"/>
        <w:jc w:val="center"/>
        <w:outlineLvl w:val="9"/>
        <w:rPr>
          <w:rFonts w:hint="eastAsia" w:ascii="宋体" w:hAnsi="宋体"/>
          <w:b/>
          <w:color w:val="auto"/>
          <w:sz w:val="32"/>
          <w:szCs w:val="32"/>
          <w:highlight w:val="none"/>
        </w:rPr>
      </w:pPr>
      <w:r>
        <w:rPr>
          <w:rFonts w:hint="eastAsia" w:ascii="宋体" w:hAnsi="宋体"/>
          <w:b/>
          <w:color w:val="auto"/>
          <w:sz w:val="32"/>
          <w:szCs w:val="32"/>
          <w:highlight w:val="none"/>
        </w:rPr>
        <w:t>广东省</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东莞市</w:t>
      </w:r>
    </w:p>
    <w:p>
      <w:pPr>
        <w:adjustRightInd w:val="0"/>
        <w:snapToGrid w:val="0"/>
        <w:spacing w:line="288" w:lineRule="auto"/>
        <w:jc w:val="center"/>
        <w:outlineLvl w:val="9"/>
        <w:rPr>
          <w:rFonts w:hint="eastAsia" w:ascii="宋体" w:hAnsi="宋体"/>
          <w:b/>
          <w:color w:val="auto"/>
          <w:sz w:val="32"/>
          <w:szCs w:val="32"/>
          <w:highlight w:val="none"/>
        </w:rPr>
      </w:pPr>
    </w:p>
    <w:p>
      <w:pPr>
        <w:adjustRightInd w:val="0"/>
        <w:snapToGrid w:val="0"/>
        <w:spacing w:line="288" w:lineRule="auto"/>
        <w:jc w:val="center"/>
        <w:outlineLvl w:val="9"/>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u w:val="single"/>
          <w:lang w:val="en-US" w:eastAsia="zh-CN"/>
        </w:rPr>
        <w:t xml:space="preserve">      </w:t>
      </w:r>
      <w:r>
        <w:rPr>
          <w:rFonts w:hint="eastAsia" w:ascii="宋体" w:hAnsi="宋体"/>
          <w:b/>
          <w:color w:val="auto"/>
          <w:sz w:val="32"/>
          <w:szCs w:val="32"/>
          <w:highlight w:val="none"/>
        </w:rPr>
        <w:t>年</w:t>
      </w:r>
      <w:r>
        <w:rPr>
          <w:rFonts w:hint="eastAsia" w:ascii="宋体" w:hAnsi="宋体"/>
          <w:b/>
          <w:color w:val="auto"/>
          <w:sz w:val="32"/>
          <w:szCs w:val="32"/>
          <w:highlight w:val="none"/>
          <w:u w:val="single"/>
          <w:lang w:val="en-US" w:eastAsia="zh-CN"/>
        </w:rPr>
        <w:t xml:space="preserve">   </w:t>
      </w:r>
      <w:r>
        <w:rPr>
          <w:rFonts w:hint="eastAsia" w:ascii="宋体" w:hAnsi="宋体"/>
          <w:b/>
          <w:color w:val="auto"/>
          <w:sz w:val="32"/>
          <w:szCs w:val="32"/>
          <w:highlight w:val="none"/>
        </w:rPr>
        <w:t>月</w:t>
      </w:r>
      <w:r>
        <w:rPr>
          <w:rFonts w:hint="eastAsia" w:ascii="宋体" w:hAnsi="宋体"/>
          <w:b/>
          <w:color w:val="auto"/>
          <w:sz w:val="32"/>
          <w:szCs w:val="32"/>
          <w:highlight w:val="none"/>
          <w:u w:val="single"/>
          <w:lang w:val="en-US" w:eastAsia="zh-CN"/>
        </w:rPr>
        <w:t xml:space="preserve">   </w:t>
      </w:r>
      <w:r>
        <w:rPr>
          <w:rFonts w:hint="eastAsia" w:ascii="宋体" w:hAnsi="宋体"/>
          <w:b/>
          <w:color w:val="auto"/>
          <w:sz w:val="32"/>
          <w:szCs w:val="32"/>
          <w:highlight w:val="none"/>
          <w:lang w:val="en-US" w:eastAsia="zh-CN"/>
        </w:rPr>
        <w:t>日</w:t>
      </w:r>
    </w:p>
    <w:p>
      <w:pPr>
        <w:outlineLvl w:val="9"/>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92"/>
    <w:p>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东莞新锋光伏能源科技有限公司</w:t>
      </w:r>
    </w:p>
    <w:p>
      <w:pPr>
        <w:spacing w:line="360" w:lineRule="auto"/>
        <w:jc w:val="center"/>
        <w:rPr>
          <w:rFonts w:hint="eastAsia" w:ascii="宋体" w:hAnsi="宋体"/>
          <w:b/>
          <w:color w:val="auto"/>
          <w:sz w:val="32"/>
          <w:szCs w:val="32"/>
          <w:highlight w:val="none"/>
        </w:rPr>
      </w:pPr>
      <w:permStart w:id="5" w:edGrp="everyone"/>
      <w:r>
        <w:rPr>
          <w:rFonts w:hint="eastAsia" w:ascii="宋体" w:hAnsi="宋体"/>
          <w:b/>
          <w:color w:val="auto"/>
          <w:sz w:val="32"/>
          <w:szCs w:val="32"/>
          <w:highlight w:val="none"/>
          <w:lang w:val="en-US" w:eastAsia="zh-CN"/>
        </w:rPr>
        <w:t>XX</w:t>
      </w:r>
      <w:r>
        <w:rPr>
          <w:rFonts w:hint="eastAsia" w:ascii="宋体" w:hAnsi="宋体"/>
          <w:b/>
          <w:color w:val="auto"/>
          <w:sz w:val="32"/>
          <w:szCs w:val="32"/>
          <w:highlight w:val="none"/>
        </w:rPr>
        <w:t>厂区</w:t>
      </w:r>
      <w:permEnd w:id="5"/>
      <w:r>
        <w:rPr>
          <w:rFonts w:hint="eastAsia" w:ascii="宋体" w:hAnsi="宋体"/>
          <w:b/>
          <w:color w:val="auto"/>
          <w:sz w:val="32"/>
          <w:szCs w:val="32"/>
          <w:highlight w:val="none"/>
        </w:rPr>
        <w:t>分布式光伏发电项目总承包合同</w:t>
      </w:r>
    </w:p>
    <w:p>
      <w:pPr>
        <w:spacing w:line="360" w:lineRule="auto"/>
        <w:rPr>
          <w:rFonts w:hint="default" w:ascii="仿宋_GB2312" w:eastAsia="仿宋_GB2312"/>
          <w:color w:val="auto"/>
          <w:sz w:val="24"/>
          <w:highlight w:val="none"/>
        </w:rPr>
      </w:pPr>
    </w:p>
    <w:p>
      <w:pPr>
        <w:spacing w:line="360" w:lineRule="auto"/>
        <w:rPr>
          <w:rFonts w:hint="default" w:ascii="仿宋_GB2312" w:eastAsia="仿宋_GB2312"/>
          <w:color w:val="auto"/>
          <w:sz w:val="24"/>
          <w:highlight w:val="none"/>
          <w:u w:val="none"/>
        </w:rPr>
      </w:pPr>
      <w:r>
        <w:rPr>
          <w:rFonts w:hint="eastAsia" w:ascii="仿宋_GB2312" w:eastAsia="仿宋_GB2312"/>
          <w:b/>
          <w:color w:val="auto"/>
          <w:sz w:val="24"/>
          <w:highlight w:val="none"/>
        </w:rPr>
        <w:t>发包单位</w:t>
      </w:r>
      <w:r>
        <w:rPr>
          <w:rFonts w:hint="eastAsia" w:ascii="仿宋_GB2312" w:eastAsia="仿宋_GB2312"/>
          <w:color w:val="auto"/>
          <w:sz w:val="24"/>
          <w:highlight w:val="none"/>
        </w:rPr>
        <w:t>（以下简称甲方）</w:t>
      </w:r>
      <w:r>
        <w:rPr>
          <w:rFonts w:hint="eastAsia" w:ascii="仿宋_GB2312" w:eastAsia="仿宋_GB2312"/>
          <w:color w:val="auto"/>
          <w:sz w:val="24"/>
          <w:highlight w:val="none"/>
          <w:u w:val="none"/>
        </w:rPr>
        <w:t>：东莞新锋光伏能源科技有限公司</w:t>
      </w:r>
    </w:p>
    <w:p>
      <w:pPr>
        <w:spacing w:line="360" w:lineRule="auto"/>
        <w:rPr>
          <w:rFonts w:hint="default" w:ascii="仿宋_GB2312" w:eastAsia="仿宋_GB2312"/>
          <w:color w:val="auto"/>
          <w:sz w:val="24"/>
          <w:highlight w:val="none"/>
          <w:u w:val="none"/>
        </w:rPr>
      </w:pPr>
      <w:r>
        <w:rPr>
          <w:rFonts w:hint="eastAsia" w:ascii="仿宋_GB2312" w:eastAsia="仿宋_GB2312"/>
          <w:b/>
          <w:color w:val="auto"/>
          <w:sz w:val="24"/>
          <w:highlight w:val="none"/>
          <w:u w:val="none"/>
        </w:rPr>
        <w:t>承包单位</w:t>
      </w:r>
      <w:r>
        <w:rPr>
          <w:rFonts w:hint="eastAsia" w:ascii="仿宋_GB2312" w:eastAsia="仿宋_GB2312"/>
          <w:color w:val="auto"/>
          <w:sz w:val="24"/>
          <w:highlight w:val="none"/>
          <w:u w:val="none"/>
        </w:rPr>
        <w:t>（以下简称乙方）：(主)</w:t>
      </w:r>
      <w:permStart w:id="6" w:edGrp="everyone"/>
      <w:bookmarkStart w:id="93" w:name="乙方（主）"/>
      <w:r>
        <w:rPr>
          <w:rFonts w:hint="eastAsia" w:ascii="仿宋_GB2312" w:eastAsia="仿宋_GB2312"/>
          <w:color w:val="auto"/>
          <w:sz w:val="24"/>
          <w:highlight w:val="none"/>
          <w:u w:val="none"/>
        </w:rPr>
        <w:t>XX</w:t>
      </w:r>
      <w:permEnd w:id="6"/>
      <w:r>
        <w:rPr>
          <w:rFonts w:hint="eastAsia" w:ascii="仿宋_GB2312" w:eastAsia="仿宋_GB2312"/>
          <w:color w:val="auto"/>
          <w:sz w:val="24"/>
          <w:highlight w:val="none"/>
          <w:u w:val="none"/>
        </w:rPr>
        <w:t>有限公司</w:t>
      </w:r>
      <w:bookmarkEnd w:id="93"/>
      <w:r>
        <w:rPr>
          <w:rFonts w:hint="eastAsia" w:ascii="仿宋_GB2312" w:eastAsia="仿宋_GB2312"/>
          <w:color w:val="auto"/>
          <w:sz w:val="24"/>
          <w:highlight w:val="none"/>
          <w:u w:val="none"/>
        </w:rPr>
        <w:t>、(成)</w:t>
      </w:r>
      <w:bookmarkStart w:id="94" w:name="乙方（成）"/>
      <w:permStart w:id="7" w:edGrp="everyone"/>
      <w:r>
        <w:rPr>
          <w:rFonts w:hint="eastAsia" w:ascii="仿宋_GB2312" w:eastAsia="仿宋_GB2312"/>
          <w:color w:val="auto"/>
          <w:sz w:val="24"/>
          <w:highlight w:val="none"/>
          <w:u w:val="none"/>
        </w:rPr>
        <w:t>XX</w:t>
      </w:r>
      <w:permEnd w:id="7"/>
      <w:r>
        <w:rPr>
          <w:rFonts w:hint="eastAsia" w:ascii="仿宋_GB2312" w:eastAsia="仿宋_GB2312"/>
          <w:color w:val="auto"/>
          <w:sz w:val="24"/>
          <w:highlight w:val="none"/>
          <w:u w:val="none"/>
        </w:rPr>
        <w:t>有限公司</w:t>
      </w:r>
      <w:bookmarkEnd w:id="94"/>
    </w:p>
    <w:p>
      <w:pPr>
        <w:spacing w:line="360" w:lineRule="auto"/>
        <w:rPr>
          <w:rFonts w:hint="default" w:ascii="仿宋_GB2312" w:eastAsia="仿宋_GB2312"/>
          <w:color w:val="auto"/>
          <w:sz w:val="24"/>
          <w:highlight w:val="none"/>
        </w:rPr>
      </w:pP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经甲乙双方协商一致，确定由乙方作为</w:t>
      </w:r>
      <w:bookmarkStart w:id="95" w:name="项目名称"/>
      <w:r>
        <w:rPr>
          <w:rFonts w:hint="eastAsia" w:ascii="仿宋_GB2312" w:eastAsia="仿宋_GB2312"/>
          <w:color w:val="auto"/>
          <w:sz w:val="24"/>
          <w:highlight w:val="none"/>
        </w:rPr>
        <w:t>东莞新锋光伏能源科技有限公司</w:t>
      </w:r>
      <w:permStart w:id="8" w:edGrp="everyone"/>
      <w:r>
        <w:rPr>
          <w:rFonts w:hint="eastAsia" w:ascii="仿宋_GB2312" w:eastAsia="仿宋_GB2312"/>
          <w:color w:val="auto"/>
          <w:sz w:val="24"/>
          <w:highlight w:val="none"/>
        </w:rPr>
        <w:t>XX厂区</w:t>
      </w:r>
      <w:permEnd w:id="8"/>
      <w:r>
        <w:rPr>
          <w:rFonts w:hint="eastAsia" w:ascii="仿宋_GB2312" w:eastAsia="仿宋_GB2312"/>
          <w:color w:val="auto"/>
          <w:sz w:val="24"/>
          <w:highlight w:val="none"/>
        </w:rPr>
        <w:t>分布式光伏发电项目</w:t>
      </w:r>
      <w:bookmarkEnd w:id="95"/>
      <w:r>
        <w:rPr>
          <w:rFonts w:hint="eastAsia" w:ascii="仿宋_GB2312" w:eastAsia="仿宋_GB2312"/>
          <w:color w:val="auto"/>
          <w:sz w:val="24"/>
          <w:highlight w:val="none"/>
        </w:rPr>
        <w:t>相关设备及配套设施设计、采购及安装等服务的承包单位,为明确双方的权利、义务，保质、保量、按期完成工程任务，双方根据《中华人民共和国民法典》、《中华人民共和国建筑法》等法律法规，签订本合同，供双方共同遵守执行。</w:t>
      </w:r>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一、工程概况</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1．工程名称：</w:t>
      </w:r>
      <w:permStart w:id="9" w:edGrp="everyone"/>
      <w:r>
        <w:rPr>
          <w:rFonts w:hint="eastAsia" w:ascii="仿宋_GB2312" w:eastAsia="仿宋_GB2312"/>
          <w:color w:val="auto"/>
          <w:sz w:val="24"/>
          <w:highlight w:val="none"/>
          <w:lang w:eastAsia="zh-CN"/>
        </w:rPr>
        <w:fldChar w:fldCharType="begin"/>
      </w:r>
      <w:r>
        <w:rPr>
          <w:rFonts w:hint="eastAsia" w:ascii="仿宋_GB2312" w:eastAsia="仿宋_GB2312"/>
          <w:color w:val="auto"/>
          <w:sz w:val="24"/>
          <w:highlight w:val="none"/>
          <w:lang w:eastAsia="zh-CN"/>
        </w:rPr>
        <w:instrText xml:space="preserve"> REF 项目名称 \h </w:instrText>
      </w:r>
      <w:r>
        <w:rPr>
          <w:rFonts w:hint="eastAsia" w:ascii="仿宋_GB2312" w:eastAsia="仿宋_GB2312"/>
          <w:color w:val="auto"/>
          <w:sz w:val="24"/>
          <w:highlight w:val="none"/>
          <w:lang w:eastAsia="zh-CN"/>
        </w:rPr>
        <w:fldChar w:fldCharType="separate"/>
      </w:r>
      <w:r>
        <w:rPr>
          <w:rFonts w:hint="eastAsia" w:ascii="仿宋_GB2312" w:eastAsia="仿宋_GB2312"/>
          <w:color w:val="auto"/>
          <w:sz w:val="24"/>
          <w:highlight w:val="none"/>
        </w:rPr>
        <w:t>东莞新锋光伏能源科技有限公司XX厂区分布式光伏发电项目</w:t>
      </w:r>
      <w:r>
        <w:rPr>
          <w:rFonts w:hint="eastAsia" w:ascii="仿宋_GB2312" w:eastAsia="仿宋_GB2312"/>
          <w:color w:val="auto"/>
          <w:sz w:val="24"/>
          <w:highlight w:val="none"/>
          <w:lang w:eastAsia="zh-CN"/>
        </w:rPr>
        <w:fldChar w:fldCharType="end"/>
      </w:r>
      <w:permEnd w:id="9"/>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2．工程地点：广东省东莞市</w:t>
      </w:r>
      <w:permStart w:id="10" w:edGrp="everyone"/>
      <w:r>
        <w:rPr>
          <w:rFonts w:hint="eastAsia" w:ascii="仿宋_GB2312" w:eastAsia="仿宋_GB2312"/>
          <w:color w:val="auto"/>
          <w:sz w:val="24"/>
          <w:highlight w:val="none"/>
        </w:rPr>
        <w:t>XX</w:t>
      </w:r>
      <w:permEnd w:id="10"/>
      <w:r>
        <w:rPr>
          <w:rFonts w:hint="eastAsia" w:ascii="仿宋_GB2312" w:eastAsia="仿宋_GB2312"/>
          <w:color w:val="auto"/>
          <w:sz w:val="24"/>
          <w:highlight w:val="none"/>
        </w:rPr>
        <w:t>镇/街道</w:t>
      </w:r>
      <w:permStart w:id="11" w:edGrp="everyone"/>
      <w:r>
        <w:rPr>
          <w:rFonts w:hint="eastAsia" w:ascii="仿宋_GB2312" w:eastAsia="仿宋_GB2312"/>
          <w:color w:val="auto"/>
          <w:sz w:val="24"/>
          <w:highlight w:val="none"/>
        </w:rPr>
        <w:t>XXX</w:t>
      </w:r>
      <w:permEnd w:id="11"/>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3．工程规模：</w:t>
      </w:r>
      <w:permStart w:id="12" w:edGrp="everyone"/>
      <w:r>
        <w:rPr>
          <w:rFonts w:hint="eastAsia" w:ascii="仿宋_GB2312" w:eastAsia="仿宋_GB2312"/>
          <w:color w:val="auto"/>
          <w:sz w:val="24"/>
          <w:highlight w:val="none"/>
        </w:rPr>
        <w:t>XX</w:t>
      </w:r>
      <w:permEnd w:id="12"/>
      <w:r>
        <w:rPr>
          <w:rFonts w:hint="eastAsia" w:ascii="仿宋_GB2312" w:eastAsia="仿宋_GB2312"/>
          <w:color w:val="auto"/>
          <w:sz w:val="24"/>
          <w:highlight w:val="none"/>
        </w:rPr>
        <w:t>kWp（其中平铺式XXXkWp，阵列式XXXkWp，棚架式XXXkWp）</w:t>
      </w:r>
    </w:p>
    <w:p>
      <w:pPr>
        <w:spacing w:line="360" w:lineRule="auto"/>
        <w:ind w:firstLine="480" w:firstLineChars="200"/>
        <w:rPr>
          <w:rFonts w:hint="eastAsia" w:ascii="仿宋_GB2312" w:eastAsia="仿宋_GB2312"/>
          <w:color w:val="auto"/>
          <w:sz w:val="24"/>
          <w:highlight w:val="none"/>
        </w:rPr>
      </w:pPr>
      <w:r>
        <w:rPr>
          <w:rFonts w:hint="eastAsia" w:ascii="仿宋_GB2312" w:eastAsia="仿宋_GB2312"/>
          <w:color w:val="auto"/>
          <w:sz w:val="24"/>
          <w:highlight w:val="none"/>
        </w:rPr>
        <w:t>4. 安装方式：</w:t>
      </w:r>
      <w:permStart w:id="13" w:edGrp="everyone"/>
      <w:r>
        <w:rPr>
          <w:rFonts w:hint="eastAsia" w:ascii="仿宋_GB2312" w:eastAsia="仿宋_GB2312"/>
          <w:color w:val="auto"/>
          <w:sz w:val="24"/>
          <w:highlight w:val="none"/>
        </w:rPr>
        <w:t>平铺式、</w:t>
      </w:r>
      <w:r>
        <w:rPr>
          <w:rFonts w:hint="eastAsia" w:ascii="仿宋_GB2312" w:eastAsia="仿宋_GB2312"/>
          <w:color w:val="auto"/>
          <w:sz w:val="24"/>
          <w:highlight w:val="none"/>
          <w:lang w:val="en-US" w:eastAsia="zh-CN"/>
        </w:rPr>
        <w:t>阵列式、</w:t>
      </w:r>
      <w:r>
        <w:rPr>
          <w:rFonts w:hint="eastAsia" w:ascii="仿宋_GB2312" w:eastAsia="仿宋_GB2312"/>
          <w:color w:val="auto"/>
          <w:sz w:val="24"/>
          <w:highlight w:val="none"/>
        </w:rPr>
        <w:t>棚架式，自发自用，余电上网</w:t>
      </w:r>
    </w:p>
    <w:p>
      <w:pPr>
        <w:spacing w:line="360" w:lineRule="auto"/>
        <w:ind w:firstLine="480" w:firstLineChars="200"/>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kern w:val="2"/>
          <w:sz w:val="24"/>
          <w:szCs w:val="24"/>
          <w:highlight w:val="none"/>
          <w:lang w:val="en-US" w:eastAsia="zh-CN" w:bidi="ar-SA"/>
        </w:rPr>
        <w:t>5. 其他增加项：</w:t>
      </w:r>
      <w:permEnd w:id="13"/>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二、承包范围与承包方式</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1．承包范围：</w:t>
      </w:r>
      <w:permStart w:id="14" w:edGrp="everyone"/>
      <w:r>
        <w:rPr>
          <w:rFonts w:hint="eastAsia" w:ascii="仿宋_GB2312" w:eastAsia="仿宋_GB2312"/>
          <w:color w:val="auto"/>
          <w:sz w:val="24"/>
          <w:highlight w:val="none"/>
          <w:lang w:eastAsia="zh-CN"/>
        </w:rPr>
        <w:fldChar w:fldCharType="begin"/>
      </w:r>
      <w:r>
        <w:rPr>
          <w:rFonts w:hint="eastAsia" w:ascii="仿宋_GB2312" w:eastAsia="仿宋_GB2312"/>
          <w:color w:val="auto"/>
          <w:sz w:val="24"/>
          <w:highlight w:val="none"/>
          <w:lang w:eastAsia="zh-CN"/>
        </w:rPr>
        <w:instrText xml:space="preserve"> REF 项目名称 \h </w:instrText>
      </w:r>
      <w:r>
        <w:rPr>
          <w:rFonts w:hint="eastAsia" w:ascii="仿宋_GB2312" w:eastAsia="仿宋_GB2312"/>
          <w:color w:val="auto"/>
          <w:sz w:val="24"/>
          <w:highlight w:val="none"/>
          <w:lang w:eastAsia="zh-CN"/>
        </w:rPr>
        <w:fldChar w:fldCharType="separate"/>
      </w:r>
      <w:r>
        <w:rPr>
          <w:rFonts w:hint="eastAsia" w:ascii="仿宋_GB2312" w:eastAsia="仿宋_GB2312"/>
          <w:color w:val="auto"/>
          <w:sz w:val="24"/>
          <w:highlight w:val="none"/>
        </w:rPr>
        <w:t>东莞新锋光伏能源科技有限公司XX厂区分布式光伏发电项目</w:t>
      </w:r>
      <w:r>
        <w:rPr>
          <w:rFonts w:hint="eastAsia" w:ascii="仿宋_GB2312" w:eastAsia="仿宋_GB2312"/>
          <w:color w:val="auto"/>
          <w:sz w:val="24"/>
          <w:highlight w:val="none"/>
          <w:lang w:eastAsia="zh-CN"/>
        </w:rPr>
        <w:fldChar w:fldCharType="end"/>
      </w:r>
      <w:permEnd w:id="14"/>
      <w:r>
        <w:rPr>
          <w:rFonts w:hint="eastAsia" w:ascii="仿宋_GB2312" w:eastAsia="仿宋_GB2312"/>
          <w:color w:val="auto"/>
          <w:sz w:val="24"/>
          <w:highlight w:val="none"/>
        </w:rPr>
        <w:t>前期勘察、施工图纸设计、发改备案、两违办报建、供电报装、采购施工、并网投运及相应视频监控系统、水清洗系统、安全设施、运维设施安装及其他为实现合同目的所涉及的承包范围。</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2．具体承包范围包含但不限于如下内容：</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乙方已进行了实地勘察并全面了解本工程施工现场情况，根据招标技术要求及施工现场情况自行负责委托具备相应资质的设计单位进行施工图纸深化设计、供电方案编制并确保通过甲方和当地供电部门审核通过，工程因未通过有关部门的审查或按有关部门提出的审查修改意见进行整改而增加的任何费用均已含在本合同总价内，由乙方自行负责解决；</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本工程分布式光伏发电项目接入南方电网所有报装手续的办理（包括配合发改备案证办理、负责物业办电信用报告或供水供电报装证明办理、房屋安全鉴定与承重报告等）、审图及验收，报装过程中所需其他手续及增加费用已含在本合同总价内，由乙方自行负责解决；</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负责光伏组件（含导流器等）、并网逆变器（含通讯模块等）、并网计量柜（含槽钢基础，按供电公司要求配置）、视频监控（含全年流量等）、直流电缆、交流电缆的采购、安装（敷设）、调试与通电；</w:t>
      </w:r>
    </w:p>
    <w:p>
      <w:pPr>
        <w:numPr>
          <w:ilvl w:val="2"/>
          <w:numId w:val="8"/>
        </w:numPr>
        <w:spacing w:line="360" w:lineRule="auto"/>
        <w:rPr>
          <w:color w:val="auto"/>
          <w:highlight w:val="none"/>
        </w:rPr>
      </w:pPr>
      <w:permStart w:id="15" w:edGrp="everyone"/>
      <w:r>
        <w:rPr>
          <w:rFonts w:hint="eastAsia" w:ascii="仿宋_GB2312" w:eastAsia="仿宋_GB2312"/>
          <w:color w:val="auto"/>
          <w:sz w:val="24"/>
          <w:highlight w:val="none"/>
        </w:rPr>
        <w:t>负责混凝土屋顶光伏阵列式支架（含预制水泥墩基础等）的制作与安装</w:t>
      </w:r>
      <w:r>
        <w:rPr>
          <w:rFonts w:hint="eastAsia" w:ascii="仿宋_GB2312" w:eastAsia="仿宋_GB2312"/>
          <w:color w:val="auto"/>
          <w:sz w:val="24"/>
          <w:highlight w:val="none"/>
          <w:lang w:val="en-US" w:eastAsia="zh-CN"/>
        </w:rPr>
        <w:t>阵列式</w:t>
      </w:r>
      <w:permEnd w:id="15"/>
      <w:r>
        <w:rPr>
          <w:rFonts w:hint="eastAsia" w:ascii="仿宋_GB2312" w:eastAsia="仿宋_GB2312"/>
          <w:color w:val="auto"/>
          <w:sz w:val="24"/>
          <w:highlight w:val="none"/>
        </w:rPr>
        <w:t>；</w:t>
      </w:r>
    </w:p>
    <w:p>
      <w:pPr>
        <w:numPr>
          <w:ilvl w:val="2"/>
          <w:numId w:val="8"/>
        </w:numPr>
        <w:spacing w:line="360" w:lineRule="auto"/>
        <w:rPr>
          <w:rFonts w:hint="default" w:ascii="仿宋_GB2312" w:eastAsia="仿宋_GB2312"/>
          <w:color w:val="auto"/>
          <w:sz w:val="24"/>
          <w:highlight w:val="none"/>
        </w:rPr>
      </w:pPr>
      <w:permStart w:id="16" w:edGrp="everyone"/>
      <w:r>
        <w:rPr>
          <w:rFonts w:hint="eastAsia" w:ascii="仿宋_GB2312" w:eastAsia="仿宋_GB2312"/>
          <w:color w:val="auto"/>
          <w:sz w:val="24"/>
          <w:highlight w:val="none"/>
        </w:rPr>
        <w:t>负责混凝土屋顶光伏防水结构棚架（含基础防水、排水系统、结构防水等）的制作与安装棚架式</w:t>
      </w:r>
      <w:permEnd w:id="16"/>
      <w:r>
        <w:rPr>
          <w:rFonts w:hint="eastAsia" w:ascii="仿宋_GB2312" w:eastAsia="仿宋_GB2312"/>
          <w:color w:val="auto"/>
          <w:sz w:val="24"/>
          <w:highlight w:val="none"/>
        </w:rPr>
        <w:t>；</w:t>
      </w:r>
    </w:p>
    <w:p>
      <w:pPr>
        <w:numPr>
          <w:ilvl w:val="2"/>
          <w:numId w:val="8"/>
        </w:numPr>
        <w:spacing w:line="360" w:lineRule="auto"/>
        <w:rPr>
          <w:rFonts w:hint="default" w:ascii="仿宋_GB2312" w:eastAsia="仿宋_GB2312"/>
          <w:color w:val="auto"/>
          <w:sz w:val="24"/>
          <w:highlight w:val="none"/>
        </w:rPr>
      </w:pPr>
      <w:permStart w:id="17" w:edGrp="everyone"/>
      <w:r>
        <w:rPr>
          <w:rFonts w:hint="eastAsia" w:ascii="仿宋_GB2312" w:eastAsia="仿宋_GB2312"/>
          <w:color w:val="auto"/>
          <w:sz w:val="24"/>
          <w:highlight w:val="none"/>
        </w:rPr>
        <w:t>负责彩钢瓦屋顶光伏导轨支架（含彩钢瓦夹具等）的制作与安装平铺式</w:t>
      </w:r>
      <w:permEnd w:id="17"/>
      <w:r>
        <w:rPr>
          <w:rFonts w:hint="eastAsia" w:ascii="仿宋_GB2312" w:eastAsia="仿宋_GB2312"/>
          <w:color w:val="auto"/>
          <w:sz w:val="24"/>
          <w:highlight w:val="none"/>
        </w:rPr>
        <w:t>；</w:t>
      </w:r>
    </w:p>
    <w:p>
      <w:pPr>
        <w:numPr>
          <w:ilvl w:val="2"/>
          <w:numId w:val="8"/>
        </w:numPr>
        <w:spacing w:line="360" w:lineRule="auto"/>
        <w:rPr>
          <w:rFonts w:hint="default" w:ascii="仿宋_GB2312" w:eastAsia="仿宋_GB2312"/>
          <w:color w:val="auto"/>
          <w:sz w:val="24"/>
          <w:highlight w:val="none"/>
        </w:rPr>
      </w:pPr>
      <w:permStart w:id="18" w:edGrp="everyone"/>
      <w:r>
        <w:rPr>
          <w:rFonts w:hint="eastAsia" w:ascii="仿宋_GB2312" w:eastAsia="仿宋_GB2312"/>
          <w:color w:val="auto"/>
          <w:sz w:val="24"/>
          <w:highlight w:val="none"/>
        </w:rPr>
        <w:t>负责彩钢瓦屋顶光伏防水支架（含排水系统、结构防水等）的制作与安装平铺式</w:t>
      </w:r>
      <w:permEnd w:id="18"/>
      <w:r>
        <w:rPr>
          <w:rFonts w:hint="eastAsia" w:ascii="仿宋_GB2312" w:eastAsia="仿宋_GB2312"/>
          <w:color w:val="auto"/>
          <w:sz w:val="24"/>
          <w:highlight w:val="none"/>
        </w:rPr>
        <w:t>；</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负责屋顶分布式光伏发电项目在内、至配电房并网点的电缆桥架采购及安装、电缆通道（含电缆保护管、电缆井等）施工以及完成与电缆敷设工程相关的封堵、套管、标识工作；</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负责屋顶分布式光伏发电项目接地网、独立接地极安装和接地电阻测试（包括并网柜）；</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负责屋顶分布式光伏发电项目安全设施（含安全护栏、“生命线”、灭火器箱、安全警示牌、逆变器挡雨棚、绝缘垫等）的制作与安装；</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负责屋顶分布式光伏发电项目附属运维设施（含运维通道、运维步梯、水清洗系统、标识牌、接入系统图板等）的制作与安装；</w:t>
      </w:r>
    </w:p>
    <w:p>
      <w:pPr>
        <w:numPr>
          <w:ilvl w:val="2"/>
          <w:numId w:val="8"/>
        </w:num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负责屋顶分布式光伏发电项目其他附属工程，如彩钢瓦屋面换瓦工程、彩钢瓦屋面结构加固工程、屋面防水工程（按《</w:t>
      </w:r>
      <w:r>
        <w:rPr>
          <w:rFonts w:hint="eastAsia" w:ascii="仿宋_GB2312" w:eastAsia="仿宋_GB2312"/>
          <w:color w:val="auto"/>
          <w:sz w:val="24"/>
          <w:highlight w:val="none"/>
          <w:lang w:val="en-US" w:eastAsia="zh-CN"/>
        </w:rPr>
        <w:t>建设</w:t>
      </w:r>
      <w:r>
        <w:rPr>
          <w:rFonts w:hint="eastAsia" w:ascii="仿宋_GB2312" w:eastAsia="仿宋_GB2312"/>
          <w:color w:val="auto"/>
          <w:sz w:val="24"/>
          <w:highlight w:val="none"/>
        </w:rPr>
        <w:t>工程质量管理条例》保修期执行，因乙方施工运维不当导致如漏水、破损等情况均由乙方负责修复）、供配电设备改造工程、箱变安装工程等</w:t>
      </w:r>
    </w:p>
    <w:p>
      <w:pPr>
        <w:numPr>
          <w:ilvl w:val="2"/>
          <w:numId w:val="8"/>
        </w:numPr>
        <w:spacing w:line="360" w:lineRule="auto"/>
        <w:rPr>
          <w:rFonts w:hint="default" w:eastAsia="仿宋_GB2312"/>
          <w:color w:val="auto"/>
          <w:highlight w:val="none"/>
        </w:rPr>
      </w:pPr>
      <w:r>
        <w:rPr>
          <w:rFonts w:hint="eastAsia" w:ascii="仿宋_GB2312" w:eastAsia="仿宋_GB2312"/>
          <w:color w:val="auto"/>
          <w:sz w:val="24"/>
          <w:highlight w:val="none"/>
        </w:rPr>
        <w:t>负责并网前所有设备的委托试验工作，包括验收、并网的所有手续办理、资料提交、人员资质审核、技术培训等工作；</w:t>
      </w:r>
    </w:p>
    <w:p>
      <w:pPr>
        <w:numPr>
          <w:ilvl w:val="2"/>
          <w:numId w:val="8"/>
        </w:numPr>
        <w:spacing w:line="360" w:lineRule="auto"/>
        <w:rPr>
          <w:color w:val="auto"/>
          <w:highlight w:val="none"/>
        </w:rPr>
      </w:pPr>
      <w:r>
        <w:rPr>
          <w:rFonts w:hint="eastAsia" w:ascii="仿宋_GB2312" w:eastAsia="仿宋_GB2312"/>
          <w:color w:val="auto"/>
          <w:sz w:val="24"/>
          <w:highlight w:val="none"/>
        </w:rPr>
        <w:t>负责其他为本工程通过供电局验收所必须施工的项目内容；</w:t>
      </w:r>
    </w:p>
    <w:p>
      <w:pPr>
        <w:numPr>
          <w:ilvl w:val="2"/>
          <w:numId w:val="8"/>
        </w:numPr>
        <w:spacing w:line="360" w:lineRule="auto"/>
        <w:rPr>
          <w:color w:val="auto"/>
          <w:highlight w:val="none"/>
        </w:rPr>
      </w:pPr>
      <w:r>
        <w:rPr>
          <w:rFonts w:hint="eastAsia" w:ascii="仿宋_GB2312" w:eastAsia="仿宋_GB2312"/>
          <w:color w:val="auto"/>
          <w:sz w:val="24"/>
          <w:highlight w:val="none"/>
        </w:rPr>
        <w:t>以上所有工作以及为完成本工程所需向有关部门、单位缴纳的费用均已包含在合同总价内,乙方不得以任何理由、任何形式要求甲方再为此项工程支付任何费用。</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3．承包方式：以暂定总价、以固定每瓦单价总承包的方式承包，最终根据实际安装容量对合同总价作相应调整。在此约定下，乙方包施工图纸设计、包供应设备及其配件、包工包料包</w:t>
      </w:r>
      <w:r>
        <w:rPr>
          <w:rFonts w:hint="default" w:ascii="仿宋_GB2312" w:eastAsia="仿宋_GB2312"/>
          <w:color w:val="auto"/>
          <w:sz w:val="24"/>
          <w:highlight w:val="none"/>
        </w:rPr>
        <w:t>安装、</w:t>
      </w:r>
      <w:r>
        <w:rPr>
          <w:rFonts w:hint="eastAsia" w:ascii="仿宋_GB2312" w:eastAsia="仿宋_GB2312"/>
          <w:color w:val="auto"/>
          <w:sz w:val="24"/>
          <w:highlight w:val="none"/>
        </w:rPr>
        <w:t>包调试及检测、包质量、包工期、包施工图纸通过甲方和供电部门审定、包供电部门的验收合格并网、包资料、包安全、包</w:t>
      </w:r>
      <w:r>
        <w:rPr>
          <w:rFonts w:hint="default" w:ascii="仿宋_GB2312" w:eastAsia="仿宋_GB2312"/>
          <w:color w:val="auto"/>
          <w:sz w:val="24"/>
          <w:highlight w:val="none"/>
        </w:rPr>
        <w:t>管理、</w:t>
      </w:r>
      <w:r>
        <w:rPr>
          <w:rFonts w:hint="eastAsia" w:ascii="仿宋_GB2312" w:eastAsia="仿宋_GB2312"/>
          <w:color w:val="auto"/>
          <w:sz w:val="24"/>
          <w:highlight w:val="none"/>
        </w:rPr>
        <w:t>包</w:t>
      </w:r>
      <w:r>
        <w:rPr>
          <w:rFonts w:hint="default" w:ascii="仿宋_GB2312" w:eastAsia="仿宋_GB2312"/>
          <w:color w:val="auto"/>
          <w:sz w:val="24"/>
          <w:highlight w:val="none"/>
        </w:rPr>
        <w:t>利润</w:t>
      </w:r>
      <w:r>
        <w:rPr>
          <w:rFonts w:hint="eastAsia" w:ascii="仿宋_GB2312" w:eastAsia="仿宋_GB2312"/>
          <w:color w:val="auto"/>
          <w:sz w:val="24"/>
          <w:highlight w:val="none"/>
        </w:rPr>
        <w:t>、包税金、包安全文明施工、包材料及成品保管、包保险、包保修等。</w:t>
      </w:r>
    </w:p>
    <w:p>
      <w:pPr>
        <w:spacing w:line="360" w:lineRule="auto"/>
        <w:rPr>
          <w:rFonts w:hint="default" w:ascii="仿宋_GB2312" w:eastAsia="仿宋_GB2312"/>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三、合同工期</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1．合同总工期数为</w:t>
      </w:r>
      <w:permStart w:id="19" w:edGrp="everyone"/>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permEnd w:id="19"/>
      <w:r>
        <w:rPr>
          <w:rFonts w:hint="eastAsia" w:ascii="仿宋_GB2312" w:eastAsia="仿宋_GB2312"/>
          <w:color w:val="auto"/>
          <w:sz w:val="24"/>
          <w:highlight w:val="none"/>
        </w:rPr>
        <w:t>个日历天。</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（1）计划开工日期为：</w:t>
      </w:r>
      <w:permStart w:id="20" w:edGrp="everyone"/>
      <w:r>
        <w:rPr>
          <w:rFonts w:hint="eastAsia" w:ascii="仿宋_GB2312" w:eastAsia="仿宋_GB2312"/>
          <w:color w:val="auto"/>
          <w:sz w:val="24"/>
          <w:highlight w:val="none"/>
          <w:u w:val="single"/>
        </w:rPr>
        <w:t xml:space="preserve">      </w:t>
      </w:r>
      <w:permEnd w:id="20"/>
      <w:r>
        <w:rPr>
          <w:rFonts w:hint="eastAsia" w:ascii="仿宋_GB2312" w:eastAsia="仿宋_GB2312"/>
          <w:color w:val="auto"/>
          <w:sz w:val="24"/>
          <w:highlight w:val="none"/>
        </w:rPr>
        <w:t>年</w:t>
      </w:r>
      <w:permStart w:id="21" w:edGrp="everyone"/>
      <w:r>
        <w:rPr>
          <w:rFonts w:hint="eastAsia" w:ascii="仿宋_GB2312" w:eastAsia="仿宋_GB2312"/>
          <w:color w:val="auto"/>
          <w:sz w:val="24"/>
          <w:highlight w:val="none"/>
          <w:u w:val="single"/>
        </w:rPr>
        <w:t xml:space="preserve">    </w:t>
      </w:r>
      <w:permEnd w:id="21"/>
      <w:r>
        <w:rPr>
          <w:rFonts w:hint="eastAsia" w:ascii="仿宋_GB2312" w:eastAsia="仿宋_GB2312"/>
          <w:color w:val="auto"/>
          <w:sz w:val="24"/>
          <w:highlight w:val="none"/>
        </w:rPr>
        <w:t>月</w:t>
      </w:r>
      <w:permStart w:id="22" w:edGrp="everyone"/>
      <w:r>
        <w:rPr>
          <w:rFonts w:hint="eastAsia" w:ascii="仿宋_GB2312" w:eastAsia="仿宋_GB2312"/>
          <w:color w:val="auto"/>
          <w:sz w:val="24"/>
          <w:highlight w:val="none"/>
          <w:u w:val="single"/>
        </w:rPr>
        <w:t xml:space="preserve">    </w:t>
      </w:r>
      <w:permEnd w:id="22"/>
      <w:r>
        <w:rPr>
          <w:rFonts w:hint="eastAsia" w:ascii="仿宋_GB2312" w:eastAsia="仿宋_GB2312"/>
          <w:color w:val="auto"/>
          <w:sz w:val="24"/>
          <w:highlight w:val="none"/>
        </w:rPr>
        <w:t>日，具体以甲方签发的中标通知书确定的中标日期为准；若甲方无另行通知的，乙方应按照前述约定日期开工。</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（2）计划竣工日期为：</w:t>
      </w:r>
      <w:permStart w:id="23" w:edGrp="everyone"/>
      <w:r>
        <w:rPr>
          <w:rFonts w:hint="eastAsia" w:ascii="仿宋_GB2312" w:eastAsia="仿宋_GB2312"/>
          <w:color w:val="auto"/>
          <w:sz w:val="24"/>
          <w:highlight w:val="none"/>
          <w:u w:val="single"/>
        </w:rPr>
        <w:t xml:space="preserve">      </w:t>
      </w:r>
      <w:permEnd w:id="23"/>
      <w:r>
        <w:rPr>
          <w:rFonts w:hint="eastAsia" w:ascii="仿宋_GB2312" w:eastAsia="仿宋_GB2312"/>
          <w:color w:val="auto"/>
          <w:sz w:val="24"/>
          <w:highlight w:val="none"/>
        </w:rPr>
        <w:t>年</w:t>
      </w:r>
      <w:permStart w:id="24" w:edGrp="everyone"/>
      <w:r>
        <w:rPr>
          <w:rFonts w:hint="eastAsia" w:ascii="仿宋_GB2312" w:eastAsia="仿宋_GB2312"/>
          <w:color w:val="auto"/>
          <w:sz w:val="24"/>
          <w:highlight w:val="none"/>
          <w:u w:val="single"/>
        </w:rPr>
        <w:t xml:space="preserve">    </w:t>
      </w:r>
      <w:permEnd w:id="24"/>
      <w:r>
        <w:rPr>
          <w:rFonts w:hint="eastAsia" w:ascii="仿宋_GB2312" w:eastAsia="仿宋_GB2312"/>
          <w:color w:val="auto"/>
          <w:sz w:val="24"/>
          <w:highlight w:val="none"/>
        </w:rPr>
        <w:t>月</w:t>
      </w:r>
      <w:permStart w:id="25" w:edGrp="everyone"/>
      <w:r>
        <w:rPr>
          <w:rFonts w:hint="eastAsia" w:ascii="仿宋_GB2312" w:eastAsia="仿宋_GB2312"/>
          <w:color w:val="auto"/>
          <w:sz w:val="24"/>
          <w:highlight w:val="none"/>
          <w:u w:val="single"/>
        </w:rPr>
        <w:t xml:space="preserve">    </w:t>
      </w:r>
      <w:permEnd w:id="25"/>
      <w:r>
        <w:rPr>
          <w:rFonts w:hint="eastAsia" w:ascii="仿宋_GB2312" w:eastAsia="仿宋_GB2312"/>
          <w:color w:val="auto"/>
          <w:sz w:val="24"/>
          <w:highlight w:val="none"/>
        </w:rPr>
        <w:t>日，乙方须保证于此日期前通过当地供电局验收合格并完成并网投运。</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如乙方预计施工进度将滞后于合同约定的竣工日期，不论工期的延误是何种原因造成，乙方均应在完工前向甲方提出书面申请报告，详细解释工期延误发生的原因提供相关证明资料。虽然甲方根据乙方提供的书面申请报告重新调整竣工日期，但不视为甲方免除乙方工期延误的相关责任，甲方仍有权根据本合同条款内容要求乙方承担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3．本工程工期已充分考虑各种因素的影响，除按照本条第4款约定经甲方签证后相应顺延工期外，工期不因其他任何因素而顺延，具体包括但不限于：</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（1）下雨、大风、高低温天气等气候干扰等；</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（2）施工中可能遇到的设备材料不能按时备货、交叉作业、现场配合、停水、停电、扰民、有关部门人员及权限变动、政策调整、市场价格变动等因素引起工期延误。</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4．因下列原因且经甲方签证确认，乙方工期可相应顺延：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（1）甲方未能履行本合同规定之责任；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（2）屋顶业主、当地有关部门对设计方案、施工图纸进行变更或工作配合导致施工无法正常进行而影响进度；</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（3）人力不可抗拒的自然灾害（如特大暴雨、台风等）。</w:t>
      </w:r>
    </w:p>
    <w:p>
      <w:pPr>
        <w:spacing w:line="360" w:lineRule="auto"/>
        <w:ind w:firstLine="480" w:firstLineChars="200"/>
        <w:rPr>
          <w:rFonts w:hint="eastAsia" w:ascii="仿宋_GB2312" w:eastAsia="仿宋_GB2312"/>
          <w:color w:val="auto"/>
          <w:sz w:val="24"/>
          <w:highlight w:val="none"/>
        </w:rPr>
      </w:pPr>
      <w:r>
        <w:rPr>
          <w:rFonts w:hint="eastAsia" w:ascii="仿宋_GB2312" w:eastAsia="仿宋_GB2312"/>
          <w:color w:val="auto"/>
          <w:sz w:val="24"/>
          <w:highlight w:val="none"/>
        </w:rPr>
        <w:t>若发生上述原因，未经甲方签证确认，乙方工期不顺延。非乙方原因造成的停工或工期延误，该拖延后果确属不可避免，且有充分证据证明该事件的停工或工期延误对工期造成影响，经甲方确认，工期可相应顺延，甲方不承担乙方因停工或工期延误造成如窝工、停工、误工、机械停滞、机械进出场等增加的费用与其它款项。</w:t>
      </w:r>
    </w:p>
    <w:p>
      <w:pPr>
        <w:pStyle w:val="2"/>
        <w:rPr>
          <w:rFonts w:hint="default"/>
          <w:color w:val="auto"/>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四、合同价款</w:t>
      </w:r>
    </w:p>
    <w:p>
      <w:pPr>
        <w:keepNext w:val="0"/>
        <w:keepLines w:val="0"/>
        <w:pageBreakBefore w:val="0"/>
        <w:widowControl w:val="0"/>
        <w:kinsoku/>
        <w:wordWrap/>
        <w:overflowPunct/>
        <w:topLinePunct w:val="0"/>
        <w:autoSpaceDE/>
        <w:autoSpaceDN/>
        <w:adjustRightInd w:val="0"/>
        <w:snapToGrid/>
        <w:spacing w:line="360" w:lineRule="auto"/>
        <w:ind w:firstLine="480" w:firstLineChars="200"/>
        <w:textAlignment w:val="auto"/>
        <w:rPr>
          <w:rFonts w:hint="eastAsia" w:ascii="仿宋_GB2312" w:eastAsia="仿宋_GB2312"/>
          <w:color w:val="auto"/>
          <w:sz w:val="24"/>
          <w:highlight w:val="none"/>
        </w:rPr>
      </w:pPr>
      <w:r>
        <w:rPr>
          <w:rFonts w:hint="eastAsia" w:ascii="仿宋_GB2312" w:eastAsia="仿宋_GB2312"/>
          <w:color w:val="auto"/>
          <w:sz w:val="24"/>
          <w:highlight w:val="none"/>
        </w:rPr>
        <w:t>1．签约合同价（含税）为：</w:t>
      </w:r>
      <w:r>
        <w:rPr>
          <w:rFonts w:hint="eastAsia" w:ascii="仿宋_GB2312" w:hAnsi="仿宋_GB2312" w:eastAsia="仿宋_GB2312" w:cs="仿宋_GB2312"/>
          <w:color w:val="auto"/>
          <w:sz w:val="24"/>
          <w:highlight w:val="none"/>
        </w:rPr>
        <w:t>¥</w:t>
      </w:r>
      <w:permStart w:id="26" w:edGrp="everyone"/>
      <w:r>
        <w:rPr>
          <w:rFonts w:hint="eastAsia" w:ascii="仿宋_GB2312" w:eastAsia="仿宋_GB2312"/>
          <w:color w:val="auto"/>
          <w:sz w:val="24"/>
          <w:highlight w:val="none"/>
          <w:u w:val="single"/>
        </w:rPr>
        <w:t xml:space="preserve"> XX,XXX,XXX.XX</w:t>
      </w:r>
      <w:permEnd w:id="26"/>
      <w:r>
        <w:rPr>
          <w:rFonts w:hint="eastAsia" w:ascii="仿宋_GB2312" w:eastAsia="仿宋_GB2312"/>
          <w:color w:val="auto"/>
          <w:sz w:val="24"/>
          <w:highlight w:val="none"/>
        </w:rPr>
        <w:t>元（大写：</w:t>
      </w:r>
      <w:permStart w:id="27" w:edGrp="everyone"/>
      <w:r>
        <w:rPr>
          <w:rFonts w:hint="eastAsia" w:ascii="仿宋_GB2312" w:eastAsia="仿宋_GB2312"/>
          <w:color w:val="auto"/>
          <w:sz w:val="24"/>
          <w:highlight w:val="none"/>
          <w:u w:val="single"/>
        </w:rPr>
        <w:t xml:space="preserve"> X仟X佰X拾X万X仟X佰X拾X元X角X分</w:t>
      </w:r>
      <w:permEnd w:id="27"/>
      <w:r>
        <w:rPr>
          <w:rFonts w:hint="eastAsia" w:ascii="仿宋_GB2312" w:eastAsia="仿宋_GB2312"/>
          <w:color w:val="auto"/>
          <w:sz w:val="24"/>
          <w:highlight w:val="none"/>
          <w:u w:val="single"/>
        </w:rPr>
        <w:t>整</w:t>
      </w:r>
      <w:r>
        <w:rPr>
          <w:rFonts w:hint="eastAsia" w:ascii="仿宋_GB2312" w:eastAsia="仿宋_GB2312"/>
          <w:color w:val="auto"/>
          <w:sz w:val="24"/>
          <w:highlight w:val="none"/>
        </w:rPr>
        <w:t>），每瓦单价为¥</w:t>
      </w:r>
      <w:r>
        <w:rPr>
          <w:rFonts w:hint="eastAsia" w:ascii="仿宋_GB2312" w:eastAsia="仿宋_GB2312"/>
          <w:color w:val="auto"/>
          <w:sz w:val="24"/>
          <w:highlight w:val="none"/>
          <w:u w:val="single"/>
        </w:rPr>
        <w:t xml:space="preserve"> XX,XXX,XXX.XX</w:t>
      </w:r>
      <w:r>
        <w:rPr>
          <w:rFonts w:hint="eastAsia" w:ascii="仿宋_GB2312" w:eastAsia="仿宋_GB2312"/>
          <w:color w:val="auto"/>
          <w:sz w:val="24"/>
          <w:highlight w:val="none"/>
        </w:rPr>
        <w:t>元。其中设计费（含税）为：</w:t>
      </w:r>
      <w:r>
        <w:rPr>
          <w:rFonts w:hint="eastAsia" w:ascii="仿宋_GB2312" w:hAnsi="仿宋_GB2312" w:eastAsia="仿宋_GB2312" w:cs="仿宋_GB2312"/>
          <w:color w:val="auto"/>
          <w:sz w:val="24"/>
          <w:highlight w:val="none"/>
        </w:rPr>
        <w:t>¥</w:t>
      </w:r>
      <w:permStart w:id="28" w:edGrp="everyone"/>
      <w:r>
        <w:rPr>
          <w:rFonts w:hint="eastAsia" w:ascii="仿宋_GB2312" w:eastAsia="仿宋_GB2312"/>
          <w:color w:val="auto"/>
          <w:sz w:val="24"/>
          <w:highlight w:val="none"/>
          <w:u w:val="single"/>
        </w:rPr>
        <w:t xml:space="preserve"> XX,XXX,XXX.XX</w:t>
      </w:r>
      <w:permEnd w:id="28"/>
      <w:r>
        <w:rPr>
          <w:rFonts w:hint="eastAsia" w:ascii="仿宋_GB2312" w:eastAsia="仿宋_GB2312"/>
          <w:color w:val="auto"/>
          <w:sz w:val="24"/>
          <w:highlight w:val="none"/>
        </w:rPr>
        <w:t>元（大写：</w:t>
      </w:r>
      <w:permStart w:id="29" w:edGrp="everyone"/>
      <w:r>
        <w:rPr>
          <w:rFonts w:hint="eastAsia" w:ascii="仿宋_GB2312" w:eastAsia="仿宋_GB2312"/>
          <w:color w:val="auto"/>
          <w:sz w:val="24"/>
          <w:highlight w:val="none"/>
          <w:u w:val="single"/>
        </w:rPr>
        <w:t xml:space="preserve"> X仟X佰X拾X万X仟X佰X拾X元X角X分</w:t>
      </w:r>
      <w:permEnd w:id="29"/>
      <w:r>
        <w:rPr>
          <w:rFonts w:hint="eastAsia" w:ascii="仿宋_GB2312" w:eastAsia="仿宋_GB2312"/>
          <w:color w:val="auto"/>
          <w:sz w:val="24"/>
          <w:highlight w:val="none"/>
          <w:u w:val="single"/>
        </w:rPr>
        <w:t>整</w:t>
      </w:r>
      <w:r>
        <w:rPr>
          <w:rFonts w:hint="eastAsia" w:ascii="仿宋_GB2312" w:eastAsia="仿宋_GB2312"/>
          <w:color w:val="auto"/>
          <w:sz w:val="24"/>
          <w:highlight w:val="none"/>
        </w:rPr>
        <w:t>），施工费（含税）为：</w:t>
      </w:r>
      <w:r>
        <w:rPr>
          <w:rFonts w:hint="eastAsia" w:ascii="仿宋_GB2312" w:hAnsi="仿宋_GB2312" w:eastAsia="仿宋_GB2312" w:cs="仿宋_GB2312"/>
          <w:color w:val="auto"/>
          <w:sz w:val="24"/>
          <w:highlight w:val="none"/>
        </w:rPr>
        <w:t>¥</w:t>
      </w:r>
      <w:permStart w:id="30" w:edGrp="everyone"/>
      <w:r>
        <w:rPr>
          <w:rFonts w:hint="eastAsia" w:ascii="仿宋_GB2312" w:eastAsia="仿宋_GB2312"/>
          <w:color w:val="auto"/>
          <w:sz w:val="24"/>
          <w:highlight w:val="none"/>
          <w:u w:val="single"/>
        </w:rPr>
        <w:t xml:space="preserve"> XX,XXX,XXX.XX</w:t>
      </w:r>
      <w:permEnd w:id="30"/>
      <w:r>
        <w:rPr>
          <w:rFonts w:hint="eastAsia" w:ascii="仿宋_GB2312" w:eastAsia="仿宋_GB2312"/>
          <w:color w:val="auto"/>
          <w:sz w:val="24"/>
          <w:highlight w:val="none"/>
        </w:rPr>
        <w:t>元（大写：</w:t>
      </w:r>
      <w:permStart w:id="31" w:edGrp="everyone"/>
      <w:r>
        <w:rPr>
          <w:rFonts w:hint="eastAsia" w:ascii="仿宋_GB2312" w:eastAsia="仿宋_GB2312"/>
          <w:color w:val="auto"/>
          <w:sz w:val="24"/>
          <w:highlight w:val="none"/>
          <w:u w:val="single"/>
        </w:rPr>
        <w:t xml:space="preserve"> X仟X佰X拾X万X仟X佰X拾X元X角X分</w:t>
      </w:r>
      <w:permEnd w:id="31"/>
      <w:r>
        <w:rPr>
          <w:rFonts w:hint="eastAsia" w:ascii="仿宋_GB2312" w:eastAsia="仿宋_GB2312"/>
          <w:color w:val="auto"/>
          <w:sz w:val="24"/>
          <w:highlight w:val="none"/>
          <w:u w:val="single"/>
        </w:rPr>
        <w:t>整</w:t>
      </w:r>
      <w:r>
        <w:rPr>
          <w:rFonts w:hint="eastAsia" w:ascii="仿宋_GB2312" w:eastAsia="仿宋_GB2312"/>
          <w:color w:val="auto"/>
          <w:sz w:val="24"/>
          <w:highlight w:val="none"/>
        </w:rPr>
        <w:t>）。税率9%（增值税额按业务发生时国家政策规定增值税率计算），分项价格如下表所示：</w:t>
      </w: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1"/>
        <w:gridCol w:w="1063"/>
        <w:gridCol w:w="1705"/>
        <w:gridCol w:w="1704"/>
        <w:gridCol w:w="1573"/>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17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安装方式</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装机容量（kWp）</w:t>
            </w: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含税综合单价（元/Wp）保留三位小数</w:t>
            </w: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含税合价（元）</w:t>
            </w: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eastAsia="仿宋_GB2312" w:cs="仿宋_GB2312"/>
                <w:color w:val="auto"/>
                <w:kern w:val="2"/>
                <w:sz w:val="21"/>
                <w:szCs w:val="21"/>
                <w:lang w:val="en-US" w:eastAsia="zh-CN" w:bidi="ar-SA"/>
              </w:rPr>
              <w:t>平铺式</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eastAsia="仿宋_GB2312" w:cs="仿宋_GB2312"/>
                <w:color w:val="auto"/>
                <w:kern w:val="2"/>
                <w:sz w:val="21"/>
                <w:szCs w:val="21"/>
                <w:lang w:val="en-US" w:eastAsia="zh-CN" w:bidi="ar-SA"/>
              </w:rPr>
              <w:t xml:space="preserve"> </w:t>
            </w: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17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default" w:ascii="仿宋_GB2312" w:hAnsi="Times New Roman" w:eastAsia="仿宋_GB2312" w:cs="仿宋_GB2312"/>
                <w:color w:val="auto"/>
                <w:kern w:val="2"/>
                <w:sz w:val="21"/>
                <w:szCs w:val="21"/>
                <w:lang w:val="en-US" w:eastAsia="zh-CN" w:bidi="ar-SA"/>
              </w:rPr>
            </w:pPr>
            <w:r>
              <w:rPr>
                <w:rFonts w:hint="eastAsia" w:ascii="仿宋_GB2312" w:eastAsia="仿宋_GB2312" w:cs="仿宋_GB2312"/>
                <w:color w:val="auto"/>
                <w:kern w:val="2"/>
                <w:sz w:val="21"/>
                <w:szCs w:val="21"/>
                <w:lang w:val="en-US" w:eastAsia="zh-CN" w:bidi="ar-SA"/>
              </w:rPr>
              <w:t>阵列式</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eastAsia="仿宋_GB2312" w:cs="仿宋_GB2312"/>
                <w:color w:val="auto"/>
                <w:kern w:val="2"/>
                <w:sz w:val="21"/>
                <w:szCs w:val="21"/>
                <w:lang w:val="en-US" w:eastAsia="zh-CN" w:bidi="ar-SA"/>
              </w:rPr>
            </w:pP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棚架式</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eastAsia="仿宋_GB2312" w:cs="仿宋_GB2312"/>
                <w:color w:val="auto"/>
                <w:kern w:val="2"/>
                <w:sz w:val="21"/>
                <w:szCs w:val="21"/>
                <w:lang w:val="en-US" w:eastAsia="zh-CN" w:bidi="ar-SA"/>
              </w:rPr>
              <w:t xml:space="preserve"> </w:t>
            </w: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41" w:type="dxa"/>
            <w:vMerge w:val="restart"/>
            <w:tcBorders>
              <w:top w:val="nil"/>
              <w:left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其他</w:t>
            </w:r>
          </w:p>
        </w:tc>
        <w:tc>
          <w:tcPr>
            <w:tcW w:w="10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结构鉴定</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eastAsia="仿宋_GB2312" w:cs="仿宋_GB2312"/>
                <w:color w:val="auto"/>
                <w:kern w:val="2"/>
                <w:sz w:val="21"/>
                <w:szCs w:val="21"/>
                <w:lang w:val="en-US" w:eastAsia="zh-CN" w:bidi="ar-SA"/>
              </w:rPr>
              <w:t xml:space="preserve"> </w:t>
            </w: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4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2"/>
                <w:sz w:val="20"/>
                <w:szCs w:val="20"/>
                <w:lang w:val="en-US" w:eastAsia="zh-CN"/>
              </w:rPr>
            </w:pPr>
          </w:p>
        </w:tc>
        <w:tc>
          <w:tcPr>
            <w:tcW w:w="10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结构加固</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4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2"/>
                <w:sz w:val="20"/>
                <w:szCs w:val="20"/>
                <w:lang w:val="en-US" w:eastAsia="zh-CN"/>
              </w:rPr>
            </w:pPr>
          </w:p>
        </w:tc>
        <w:tc>
          <w:tcPr>
            <w:tcW w:w="10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换瓦</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2"/>
                <w:sz w:val="20"/>
                <w:szCs w:val="20"/>
                <w:lang w:val="en-US" w:eastAsia="zh-CN"/>
              </w:rPr>
            </w:pPr>
          </w:p>
        </w:tc>
        <w:tc>
          <w:tcPr>
            <w:tcW w:w="10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配电设备改造</w:t>
            </w:r>
          </w:p>
        </w:tc>
        <w:tc>
          <w:tcPr>
            <w:tcW w:w="17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7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1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Times New Roman"/>
                <w:color w:val="auto"/>
                <w:kern w:val="2"/>
                <w:sz w:val="21"/>
                <w:szCs w:val="21"/>
                <w:lang w:val="en-US" w:eastAsia="zh-CN"/>
              </w:rPr>
            </w:pPr>
            <w:r>
              <w:rPr>
                <w:rFonts w:hint="eastAsia" w:ascii="仿宋_GB2312" w:hAnsi="Times New Roman" w:eastAsia="仿宋_GB2312" w:cs="仿宋_GB2312"/>
                <w:color w:val="auto"/>
                <w:kern w:val="2"/>
                <w:sz w:val="21"/>
                <w:szCs w:val="21"/>
                <w:lang w:val="en-US" w:eastAsia="zh-CN" w:bidi="ar-SA"/>
              </w:rPr>
              <w:t>合计（含税）</w:t>
            </w:r>
          </w:p>
        </w:tc>
        <w:tc>
          <w:tcPr>
            <w:tcW w:w="15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c>
          <w:tcPr>
            <w:tcW w:w="183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pacing w:before="0" w:beforeAutospacing="0" w:after="0" w:afterAutospacing="0"/>
              <w:ind w:left="0" w:right="0" w:firstLine="0" w:firstLineChars="0"/>
              <w:jc w:val="center"/>
              <w:rPr>
                <w:rFonts w:hint="eastAsia" w:ascii="仿宋_GB2312" w:hAnsi="Times New Roman" w:eastAsia="仿宋_GB2312" w:cs="仿宋_GB2312"/>
                <w:color w:val="auto"/>
                <w:kern w:val="2"/>
                <w:sz w:val="21"/>
                <w:szCs w:val="21"/>
                <w:lang w:val="en-US" w:eastAsia="zh-CN"/>
              </w:rPr>
            </w:pPr>
          </w:p>
        </w:tc>
      </w:tr>
    </w:tbl>
    <w:p>
      <w:pPr>
        <w:keepNext w:val="0"/>
        <w:keepLines w:val="0"/>
        <w:pageBreakBefore w:val="0"/>
        <w:widowControl w:val="0"/>
        <w:kinsoku/>
        <w:wordWrap/>
        <w:overflowPunct/>
        <w:topLinePunct w:val="0"/>
        <w:autoSpaceDE/>
        <w:autoSpaceDN/>
        <w:adjustRightInd w:val="0"/>
        <w:snapToGrid/>
        <w:spacing w:line="360" w:lineRule="auto"/>
        <w:ind w:firstLine="480" w:firstLineChars="200"/>
        <w:textAlignment w:val="auto"/>
        <w:rPr>
          <w:rFonts w:hint="default" w:ascii="仿宋_GB2312" w:eastAsia="仿宋_GB2312"/>
          <w:color w:val="auto"/>
          <w:sz w:val="24"/>
          <w:highlight w:val="none"/>
        </w:rPr>
      </w:pPr>
      <w:r>
        <w:rPr>
          <w:rFonts w:hint="eastAsia" w:ascii="仿宋_GB2312" w:eastAsia="仿宋_GB2312"/>
          <w:color w:val="auto"/>
          <w:sz w:val="24"/>
          <w:highlight w:val="none"/>
        </w:rPr>
        <w:t>该签约合同价包含但不限于：</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（1）前期勘察费、设计费、鉴定费、资料费、结构加固费、报建费、报装费等费用；</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场地清理费、材料费、辅材费、人工费、设备及配件费、施工机具费、包装运输费、吊装费、安装费、保险费、保修费、测试及检测费、采保费、施工管理费、临水临电费、赶工费、安全防护措施费、文明施工措施费、其他一切项目措施费、规费、人员培训教育、售后技术服务等费用、管理</w:t>
      </w:r>
      <w:r>
        <w:rPr>
          <w:rFonts w:hint="default" w:ascii="仿宋_GB2312" w:eastAsia="仿宋_GB2312"/>
          <w:color w:val="auto"/>
          <w:sz w:val="24"/>
          <w:highlight w:val="none"/>
        </w:rPr>
        <w:t>费、</w:t>
      </w:r>
      <w:r>
        <w:rPr>
          <w:rFonts w:hint="eastAsia" w:ascii="仿宋_GB2312" w:eastAsia="仿宋_GB2312"/>
          <w:color w:val="auto"/>
          <w:sz w:val="24"/>
          <w:highlight w:val="none"/>
        </w:rPr>
        <w:t>利润</w:t>
      </w:r>
      <w:r>
        <w:rPr>
          <w:rFonts w:hint="default" w:ascii="仿宋_GB2312" w:eastAsia="仿宋_GB2312"/>
          <w:color w:val="auto"/>
          <w:sz w:val="24"/>
          <w:highlight w:val="none"/>
        </w:rPr>
        <w:t>、</w:t>
      </w:r>
      <w:r>
        <w:rPr>
          <w:rFonts w:hint="eastAsia" w:ascii="仿宋_GB2312" w:eastAsia="仿宋_GB2312"/>
          <w:color w:val="auto"/>
          <w:sz w:val="24"/>
          <w:highlight w:val="none"/>
        </w:rPr>
        <w:t>税金等所有费用。</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（3）本工程产生的建筑垃圾、生活垃圾、临建搭拆及施工所需的设备、线材、辅材、人工等费用和乙方为履行本合同项下的义务而应承担的一切可预见或不可预见的费用。</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2．除本工程价款外，甲方为实现本合同项下权益，无需再向乙方或任何第三方支付其他任何费用或款项。</w:t>
      </w:r>
    </w:p>
    <w:p>
      <w:pPr>
        <w:spacing w:line="360" w:lineRule="auto"/>
        <w:ind w:firstLine="480" w:firstLineChars="200"/>
        <w:rPr>
          <w:rFonts w:hint="default" w:ascii="仿宋_GB2312" w:eastAsia="仿宋_GB2312"/>
          <w:dstrike/>
          <w:color w:val="auto"/>
          <w:sz w:val="24"/>
          <w:highlight w:val="none"/>
        </w:rPr>
      </w:pPr>
      <w:r>
        <w:rPr>
          <w:rFonts w:hint="eastAsia" w:ascii="仿宋_GB2312" w:eastAsia="仿宋_GB2312"/>
          <w:color w:val="auto"/>
          <w:sz w:val="24"/>
          <w:highlight w:val="none"/>
        </w:rPr>
        <w:t>3．本合同在承包范围内总价包干，除容量变动外不予调整，增值税按业务发生时国家增值税率计算。</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4．经甲方确认后的施工图纸不得进行变更。</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乙方在本合同签订前已到工地现场踏勘，已充分了解工地位置、场地情况、道路情况、安装空间、装卸限制及任何其他足以影响承包总价的情况，任何因忽视或误解工地情况导致的索赔（增补）或工期延长申请将不被批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乙方应具备相应的专业资格及丰富施工经验，在本合同签订前已综合考虑行业规范、政府要求、施工图纸、资料说明或专业交叉施工将要发生质量缺陷、验收风险等，任何因素导致的索赔（增补）或工期延长申请将不被批准。</w:t>
      </w:r>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五、工程质量技术要求</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1．本工程必须达到现行国家、本市规定的质量合格标准；且本工程必须通过本市供电部门验收合格，保证按时并网投运。</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在本工程开工前，乙方应向甲方报送材料、设备清单，并须经甲方审核同意，乙方须按经甲方审核同意的材料、设备品牌、规格清单中的要求执行。乙方采购的材料、设备的品牌、型号、规格、质量标准等应与甲方招标技术要求及本合同约定的一致。设备的技术参数应与施工图纸和当地供电部门审查意见书一致。若乙方在本工程现场使用的材料、设备与本合同约定的不一致，甲方有权要求乙方在2小时内把不符约定的材料、设备清运出施工现场，已经使用的，必须拆换或者拆除重新返工，由此发生的费用和损失全部由乙方承担，且工期不予顺延；同时乙方应按本合同第十二条第7款的约定承担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．光伏组件品牌选用</w:t>
      </w:r>
      <w:permStart w:id="32" w:edGrp="everyone"/>
      <w:r>
        <w:rPr>
          <w:rFonts w:hint="eastAsia" w:ascii="仿宋_GB2312" w:eastAsia="仿宋_GB2312"/>
          <w:color w:val="auto"/>
          <w:sz w:val="24"/>
          <w:highlight w:val="none"/>
        </w:rPr>
        <w:t>隆基绿能、晶科能源、晶澳科技、天合光能、南玻太阳能</w:t>
      </w:r>
      <w:r>
        <w:rPr>
          <w:rFonts w:hint="eastAsia" w:ascii="仿宋_GB2312" w:eastAsia="仿宋_GB2312"/>
          <w:color w:val="auto"/>
          <w:sz w:val="24"/>
          <w:highlight w:val="none"/>
          <w:lang w:val="en-US" w:eastAsia="zh-CN"/>
        </w:rPr>
        <w:t>或具备同等质量的品牌</w:t>
      </w:r>
      <w:permEnd w:id="32"/>
      <w:r>
        <w:rPr>
          <w:rFonts w:hint="eastAsia" w:ascii="仿宋_GB2312" w:eastAsia="仿宋_GB2312"/>
          <w:color w:val="auto"/>
          <w:sz w:val="24"/>
          <w:highlight w:val="none"/>
        </w:rPr>
        <w:t>；并网逆变器品牌选用</w:t>
      </w:r>
      <w:permStart w:id="33" w:edGrp="everyone"/>
      <w:r>
        <w:rPr>
          <w:rFonts w:hint="eastAsia" w:ascii="仿宋_GB2312" w:eastAsia="仿宋_GB2312"/>
          <w:color w:val="auto"/>
          <w:sz w:val="24"/>
          <w:highlight w:val="none"/>
        </w:rPr>
        <w:t>华为、阳光电源</w:t>
      </w:r>
      <w:r>
        <w:rPr>
          <w:rFonts w:hint="eastAsia" w:ascii="仿宋_GB2312" w:eastAsia="仿宋_GB2312"/>
          <w:color w:val="auto"/>
          <w:sz w:val="24"/>
          <w:highlight w:val="none"/>
          <w:lang w:val="en-US" w:eastAsia="zh-CN"/>
        </w:rPr>
        <w:t>与</w:t>
      </w:r>
      <w:r>
        <w:rPr>
          <w:rFonts w:hint="eastAsia" w:ascii="仿宋_GB2312" w:eastAsia="仿宋_GB2312"/>
          <w:color w:val="auto"/>
          <w:sz w:val="24"/>
          <w:highlight w:val="none"/>
        </w:rPr>
        <w:t>古瑞瓦特或具备</w:t>
      </w:r>
      <w:r>
        <w:rPr>
          <w:rFonts w:hint="eastAsia" w:ascii="仿宋_GB2312" w:eastAsia="仿宋_GB2312"/>
          <w:color w:val="auto"/>
          <w:sz w:val="24"/>
          <w:highlight w:val="none"/>
          <w:lang w:val="en-US" w:eastAsia="zh-CN"/>
        </w:rPr>
        <w:t>同</w:t>
      </w:r>
      <w:r>
        <w:rPr>
          <w:rFonts w:hint="eastAsia" w:ascii="仿宋_GB2312" w:eastAsia="仿宋_GB2312"/>
          <w:color w:val="auto"/>
          <w:sz w:val="24"/>
          <w:highlight w:val="none"/>
        </w:rPr>
        <w:t>等质量的品牌</w:t>
      </w:r>
      <w:permEnd w:id="33"/>
      <w:r>
        <w:rPr>
          <w:rFonts w:hint="eastAsia" w:ascii="仿宋_GB2312" w:eastAsia="仿宋_GB2312"/>
          <w:color w:val="auto"/>
          <w:sz w:val="24"/>
          <w:highlight w:val="none"/>
        </w:rPr>
        <w:t>；光伏并网柜断路器品牌选用</w:t>
      </w:r>
      <w:permStart w:id="34" w:edGrp="everyone"/>
      <w:r>
        <w:rPr>
          <w:rFonts w:hint="eastAsia" w:ascii="仿宋_GB2312" w:eastAsia="仿宋_GB2312"/>
          <w:color w:val="auto"/>
          <w:sz w:val="24"/>
          <w:highlight w:val="none"/>
        </w:rPr>
        <w:t>常熟、良信、上海人民或具备</w:t>
      </w:r>
      <w:r>
        <w:rPr>
          <w:rFonts w:hint="eastAsia" w:ascii="仿宋_GB2312" w:eastAsia="仿宋_GB2312"/>
          <w:color w:val="auto"/>
          <w:sz w:val="24"/>
          <w:highlight w:val="none"/>
          <w:lang w:val="en-US" w:eastAsia="zh-CN"/>
        </w:rPr>
        <w:t>同</w:t>
      </w:r>
      <w:r>
        <w:rPr>
          <w:rFonts w:hint="eastAsia" w:ascii="仿宋_GB2312" w:eastAsia="仿宋_GB2312"/>
          <w:color w:val="auto"/>
          <w:sz w:val="24"/>
          <w:highlight w:val="none"/>
        </w:rPr>
        <w:t>等质量的品牌</w:t>
      </w:r>
      <w:permEnd w:id="34"/>
      <w:r>
        <w:rPr>
          <w:rFonts w:hint="eastAsia" w:ascii="仿宋_GB2312" w:eastAsia="仿宋_GB2312"/>
          <w:color w:val="auto"/>
          <w:sz w:val="24"/>
          <w:highlight w:val="none"/>
        </w:rPr>
        <w:t>；交、直流电缆品牌选用</w:t>
      </w:r>
      <w:permStart w:id="35" w:edGrp="everyone"/>
      <w:r>
        <w:rPr>
          <w:rFonts w:hint="eastAsia" w:ascii="仿宋_GB2312" w:eastAsia="仿宋_GB2312"/>
          <w:color w:val="auto"/>
          <w:sz w:val="24"/>
          <w:highlight w:val="none"/>
          <w:lang w:val="en-US" w:eastAsia="zh-CN"/>
        </w:rPr>
        <w:t>东佳信、</w:t>
      </w:r>
      <w:r>
        <w:rPr>
          <w:rFonts w:hint="eastAsia" w:ascii="仿宋_GB2312" w:eastAsia="仿宋_GB2312"/>
          <w:color w:val="auto"/>
          <w:sz w:val="24"/>
          <w:highlight w:val="none"/>
        </w:rPr>
        <w:t>成天泰、南洋、新亚、金牌</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民兴</w:t>
      </w:r>
      <w:r>
        <w:rPr>
          <w:rFonts w:hint="eastAsia" w:ascii="仿宋_GB2312" w:eastAsia="仿宋_GB2312"/>
          <w:color w:val="auto"/>
          <w:sz w:val="24"/>
          <w:highlight w:val="none"/>
          <w:lang w:val="en-US" w:eastAsia="zh-CN"/>
        </w:rPr>
        <w:t>或具备同等质量的品牌</w:t>
      </w:r>
      <w:permEnd w:id="35"/>
      <w:r>
        <w:rPr>
          <w:rFonts w:hint="eastAsia" w:ascii="仿宋_GB2312" w:eastAsia="仿宋_GB2312"/>
          <w:color w:val="auto"/>
          <w:sz w:val="24"/>
          <w:highlight w:val="none"/>
        </w:rPr>
        <w:t>；视频监控品牌选用</w:t>
      </w:r>
      <w:permStart w:id="36" w:edGrp="everyone"/>
      <w:r>
        <w:rPr>
          <w:rFonts w:hint="eastAsia" w:ascii="仿宋_GB2312" w:eastAsia="仿宋_GB2312"/>
          <w:color w:val="auto"/>
          <w:sz w:val="24"/>
          <w:highlight w:val="none"/>
        </w:rPr>
        <w:t>海康威视、大华科技</w:t>
      </w:r>
      <w:r>
        <w:rPr>
          <w:rFonts w:hint="eastAsia" w:ascii="仿宋_GB2312" w:eastAsia="仿宋_GB2312"/>
          <w:color w:val="auto"/>
          <w:sz w:val="24"/>
          <w:highlight w:val="none"/>
          <w:lang w:val="en-US" w:eastAsia="zh-CN"/>
        </w:rPr>
        <w:t>或具备同等质量的品牌</w:t>
      </w:r>
      <w:permEnd w:id="36"/>
      <w:r>
        <w:rPr>
          <w:rFonts w:hint="eastAsia" w:ascii="仿宋_GB2312" w:eastAsia="仿宋_GB2312"/>
          <w:color w:val="auto"/>
          <w:sz w:val="24"/>
          <w:highlight w:val="none"/>
        </w:rPr>
        <w:t>，防水棚架整体高度不得高于2.8m，因本工程实际需要乙方需更换设备品牌的，必须征得甲方书面同意后才能更换。</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4</w:t>
      </w:r>
      <w:r>
        <w:rPr>
          <w:rFonts w:hint="eastAsia" w:ascii="仿宋_GB2312" w:eastAsia="仿宋_GB2312"/>
          <w:color w:val="auto"/>
          <w:sz w:val="24"/>
          <w:highlight w:val="none"/>
        </w:rPr>
        <w:t>．乙方所供应的所有设备、材料须为国标产品，应符合国家或行业规定的合格质量标准，品牌、型号规格等必须符合本工程招标文件技术要求约定，应具备本市供电局入网许可要求。</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乙方须保证其所供应的所有设备、材料有合法来源且甲方有权在屋顶合法使用。任何涉及本合同设备或工程的非法使用、包括但不限于知识产权侵权或任何第三方针对甲方的索赔或控诉，应由乙方出面代表甲方处理此类索赔或控诉并承担一切法律责任和因此给甲方造成的任何损失及费用。</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六、履约担保</w:t>
      </w:r>
    </w:p>
    <w:p>
      <w:pPr>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乙方应自本合同签订之日起7天内，按合同总价的</w:t>
      </w:r>
      <w:permStart w:id="37" w:edGrp="everyone"/>
      <w:r>
        <w:rPr>
          <w:rFonts w:hint="eastAsia" w:ascii="仿宋_GB2312" w:eastAsia="仿宋_GB2312"/>
          <w:color w:val="auto"/>
          <w:sz w:val="24"/>
          <w:highlight w:val="none"/>
        </w:rPr>
        <w:t>10</w:t>
      </w:r>
      <w:permEnd w:id="37"/>
      <w:r>
        <w:rPr>
          <w:rFonts w:hint="default" w:ascii="仿宋_GB2312" w:eastAsia="仿宋_GB2312"/>
          <w:color w:val="auto"/>
          <w:sz w:val="24"/>
          <w:highlight w:val="none"/>
        </w:rPr>
        <w:t>%向甲方缴纳履约保证金（以电汇、银行转账的方式提交至甲方指定账户）或提交履约保函（应由银行机构开具，不接受担保公司出具的保函）；工程全部竣工验收合格且乙方无违约行为情况，甲方在全部工程竣工结算后无息退回乙方。</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七、付款方式与工程结算</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（一）付款方式：</w:t>
      </w:r>
    </w:p>
    <w:p>
      <w:pPr>
        <w:spacing w:line="360" w:lineRule="auto"/>
        <w:ind w:firstLine="480" w:firstLineChars="200"/>
        <w:rPr>
          <w:color w:val="auto"/>
          <w:highlight w:val="none"/>
        </w:rPr>
      </w:pPr>
      <w:r>
        <w:rPr>
          <w:rFonts w:hint="default" w:ascii="仿宋_GB2312" w:eastAsia="仿宋_GB2312"/>
          <w:color w:val="auto"/>
          <w:sz w:val="24"/>
          <w:highlight w:val="none"/>
        </w:rPr>
        <w:t>1、</w:t>
      </w:r>
      <w:r>
        <w:rPr>
          <w:rFonts w:hint="eastAsia" w:ascii="仿宋_GB2312" w:eastAsia="仿宋_GB2312"/>
          <w:color w:val="auto"/>
          <w:sz w:val="24"/>
          <w:highlight w:val="none"/>
        </w:rPr>
        <w:t>预付</w:t>
      </w:r>
      <w:r>
        <w:rPr>
          <w:rFonts w:hint="default" w:ascii="仿宋_GB2312" w:eastAsia="仿宋_GB2312"/>
          <w:color w:val="auto"/>
          <w:sz w:val="24"/>
          <w:highlight w:val="none"/>
        </w:rPr>
        <w:t>款支付：本项目无预付款。</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w:t>
      </w:r>
      <w:r>
        <w:rPr>
          <w:rFonts w:hint="default" w:ascii="仿宋_GB2312" w:eastAsia="仿宋_GB2312"/>
          <w:color w:val="auto"/>
          <w:sz w:val="24"/>
          <w:highlight w:val="none"/>
        </w:rPr>
        <w:t>、进度款支付：</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（1）在规定期限内提供相关资料并配合协助发包人取得备案许可证，办理完成各种与本工程相关的报建、报装手续及施工所需</w:t>
      </w:r>
      <w:r>
        <w:rPr>
          <w:rFonts w:hint="eastAsia" w:ascii="仿宋_GB2312" w:eastAsia="仿宋_GB2312"/>
          <w:color w:val="auto"/>
          <w:sz w:val="24"/>
          <w:highlight w:val="none"/>
          <w:lang w:val="en-US" w:eastAsia="zh-CN"/>
        </w:rPr>
        <w:t>开工报审、</w:t>
      </w:r>
      <w:r>
        <w:rPr>
          <w:rFonts w:hint="eastAsia" w:ascii="仿宋_GB2312" w:eastAsia="仿宋_GB2312"/>
          <w:color w:val="auto"/>
          <w:sz w:val="24"/>
          <w:highlight w:val="none"/>
        </w:rPr>
        <w:t>许可、证件</w:t>
      </w:r>
      <w:r>
        <w:rPr>
          <w:rFonts w:hint="eastAsia" w:ascii="仿宋_GB2312" w:eastAsia="仿宋_GB2312"/>
          <w:color w:val="auto"/>
          <w:sz w:val="24"/>
          <w:highlight w:val="none"/>
          <w:lang w:val="en-US" w:eastAsia="zh-CN"/>
        </w:rPr>
        <w:t>等文件</w:t>
      </w:r>
      <w:r>
        <w:rPr>
          <w:rFonts w:hint="eastAsia" w:ascii="仿宋_GB2312" w:eastAsia="仿宋_GB2312"/>
          <w:color w:val="auto"/>
          <w:sz w:val="24"/>
          <w:highlight w:val="none"/>
        </w:rPr>
        <w:t>，包括但不限于办理施工许可证、报建手续、物业办电信用报告或供水供电报装证明、项目并网申请已受理</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开工令</w:t>
      </w:r>
      <w:r>
        <w:rPr>
          <w:rFonts w:hint="eastAsia" w:ascii="仿宋_GB2312" w:eastAsia="仿宋_GB2312"/>
          <w:color w:val="auto"/>
          <w:sz w:val="24"/>
          <w:highlight w:val="none"/>
        </w:rPr>
        <w:t>相关文件等工作，同时完成视频监控系统（甲方负责人指定位置）安装投运并移交安全管理部（并网后再移交运营部），乙方可向甲方申请支付合同总金额的30%。</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（2）完成施工图纸设计并盖章，同时</w:t>
      </w:r>
      <w:r>
        <w:rPr>
          <w:rFonts w:hint="default" w:ascii="仿宋_GB2312" w:eastAsia="仿宋_GB2312"/>
          <w:color w:val="auto"/>
          <w:sz w:val="24"/>
          <w:highlight w:val="none"/>
        </w:rPr>
        <w:t>主</w:t>
      </w:r>
      <w:r>
        <w:rPr>
          <w:rFonts w:hint="eastAsia" w:ascii="仿宋_GB2312" w:eastAsia="仿宋_GB2312"/>
          <w:color w:val="auto"/>
          <w:sz w:val="24"/>
          <w:highlight w:val="none"/>
        </w:rPr>
        <w:t>设备（</w:t>
      </w:r>
      <w:permStart w:id="38" w:edGrp="everyone"/>
      <w:r>
        <w:rPr>
          <w:rFonts w:hint="eastAsia" w:ascii="仿宋_GB2312" w:eastAsia="仿宋_GB2312"/>
          <w:color w:val="auto"/>
          <w:sz w:val="24"/>
          <w:highlight w:val="none"/>
        </w:rPr>
        <w:t>光伏组件、并网逆变器、光伏并网柜、交流电缆、独立接地极</w:t>
      </w:r>
      <w:permEnd w:id="38"/>
      <w:r>
        <w:rPr>
          <w:rFonts w:hint="eastAsia" w:ascii="仿宋_GB2312" w:eastAsia="仿宋_GB2312"/>
          <w:color w:val="auto"/>
          <w:sz w:val="24"/>
          <w:highlight w:val="none"/>
        </w:rPr>
        <w:t>）到进场工地并经甲方验收合格后，乙方可向甲方申请支付合同总金额的</w:t>
      </w:r>
      <w:permStart w:id="39" w:edGrp="everyone"/>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0</w:t>
      </w:r>
      <w:permEnd w:id="39"/>
      <w:r>
        <w:rPr>
          <w:rFonts w:hint="eastAsia" w:ascii="仿宋_GB2312" w:eastAsia="仿宋_GB2312"/>
          <w:color w:val="auto"/>
          <w:sz w:val="24"/>
          <w:highlight w:val="none"/>
        </w:rPr>
        <w:t>%。</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（3）工程现场安装调试完毕并经相关部门验收合格，同时完成并网投运后,乙方可向甲方申请支付合同总金额的</w:t>
      </w:r>
      <w:permStart w:id="40" w:edGrp="everyone"/>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rPr>
        <w:t>0</w:t>
      </w:r>
      <w:permEnd w:id="40"/>
      <w:r>
        <w:rPr>
          <w:rFonts w:hint="eastAsia" w:ascii="仿宋_GB2312" w:eastAsia="仿宋_GB2312"/>
          <w:color w:val="auto"/>
          <w:sz w:val="24"/>
          <w:highlight w:val="none"/>
        </w:rPr>
        <w:t>%。</w:t>
      </w:r>
    </w:p>
    <w:p>
      <w:pPr>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2</w:t>
      </w:r>
      <w:r>
        <w:rPr>
          <w:rFonts w:hint="eastAsia" w:ascii="仿宋_GB2312" w:eastAsia="仿宋_GB2312"/>
          <w:color w:val="auto"/>
          <w:sz w:val="24"/>
          <w:highlight w:val="none"/>
        </w:rPr>
        <w:t>.工程通过甲方竣工验收并移交甲方竣工资料，同时办理完成结算后，乙方可向甲方申请支付至合同总结算金额的97%，留</w:t>
      </w:r>
      <w:r>
        <w:rPr>
          <w:rFonts w:hint="default" w:ascii="仿宋_GB2312" w:eastAsia="仿宋_GB2312"/>
          <w:color w:val="auto"/>
          <w:sz w:val="24"/>
          <w:highlight w:val="none"/>
        </w:rPr>
        <w:t>本工程</w:t>
      </w:r>
      <w:r>
        <w:rPr>
          <w:rFonts w:hint="eastAsia" w:ascii="仿宋_GB2312" w:eastAsia="仿宋_GB2312"/>
          <w:color w:val="auto"/>
          <w:sz w:val="24"/>
          <w:highlight w:val="none"/>
        </w:rPr>
        <w:t>合同总结算金额</w:t>
      </w:r>
      <w:r>
        <w:rPr>
          <w:rFonts w:hint="default" w:ascii="仿宋_GB2312" w:eastAsia="仿宋_GB2312"/>
          <w:color w:val="auto"/>
          <w:sz w:val="24"/>
          <w:highlight w:val="none"/>
        </w:rPr>
        <w:t>的3%作为质量保修金留置在甲方处。自本工程</w:t>
      </w:r>
      <w:r>
        <w:rPr>
          <w:rFonts w:hint="eastAsia" w:ascii="仿宋_GB2312" w:eastAsia="仿宋_GB2312"/>
          <w:color w:val="auto"/>
          <w:sz w:val="24"/>
          <w:highlight w:val="none"/>
        </w:rPr>
        <w:t>保修期届满</w:t>
      </w:r>
      <w:r>
        <w:rPr>
          <w:rFonts w:hint="default" w:ascii="仿宋_GB2312" w:eastAsia="仿宋_GB2312"/>
          <w:color w:val="auto"/>
          <w:sz w:val="24"/>
          <w:highlight w:val="none"/>
        </w:rPr>
        <w:t>后，甲方扣除乙方应付的维修、维护及质量损失赔偿金等</w:t>
      </w:r>
      <w:r>
        <w:rPr>
          <w:rFonts w:hint="eastAsia" w:ascii="仿宋_GB2312" w:eastAsia="仿宋_GB2312"/>
          <w:color w:val="auto"/>
          <w:sz w:val="24"/>
          <w:highlight w:val="none"/>
        </w:rPr>
        <w:t>金额</w:t>
      </w:r>
      <w:r>
        <w:rPr>
          <w:rFonts w:hint="default" w:ascii="仿宋_GB2312" w:eastAsia="仿宋_GB2312"/>
          <w:color w:val="auto"/>
          <w:sz w:val="24"/>
          <w:highlight w:val="none"/>
        </w:rPr>
        <w:t>后</w:t>
      </w:r>
      <w:r>
        <w:rPr>
          <w:rFonts w:hint="eastAsia" w:ascii="仿宋_GB2312" w:eastAsia="仿宋_GB2312"/>
          <w:color w:val="auto"/>
          <w:sz w:val="24"/>
          <w:highlight w:val="none"/>
        </w:rPr>
        <w:t>乙方可向甲方申请无息退还</w:t>
      </w:r>
      <w:r>
        <w:rPr>
          <w:rFonts w:hint="default" w:ascii="仿宋_GB2312" w:eastAsia="仿宋_GB2312"/>
          <w:color w:val="auto"/>
          <w:sz w:val="24"/>
          <w:highlight w:val="none"/>
        </w:rPr>
        <w:t>。</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3.乙方每次申请付款前，应向甲方提供与工程产值等额且含税9%的增值税专用发票（增值税按业务发生时国家增值税率计算），并报送相应款项的形象进度完成情况的照片和资料。</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4.甲方有权根据实际并网容量及项目整改情况决定各项进度款支付比例。</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在出现特殊情况时（如甲方总经理、主管领导、财务负责人等相关审批人员出差等情况），乙方承诺给与甲方14个日历天的付款延长期，在此时间以内，甲方无须承担任何违约责任也不支付利息，乙方不得以款项未支付为由停止供货或消极怠工。</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（二）工程结算：</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1．原则要求</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w:t>
      </w:r>
      <w:permStart w:id="41" w:edGrp="everyone"/>
      <w:r>
        <w:rPr>
          <w:rFonts w:hint="eastAsia" w:ascii="仿宋_GB2312" w:eastAsia="仿宋_GB2312"/>
          <w:color w:val="auto"/>
          <w:sz w:val="24"/>
          <w:highlight w:val="none"/>
        </w:rPr>
        <w:t xml:space="preserve"> 本项目拟安装XX块XXWp N型单晶硅高效组件，共安装容量XXkWp</w:t>
      </w:r>
      <w:permEnd w:id="41"/>
      <w:r>
        <w:rPr>
          <w:rFonts w:hint="eastAsia" w:ascii="仿宋_GB2312" w:eastAsia="仿宋_GB2312"/>
          <w:color w:val="auto"/>
          <w:sz w:val="24"/>
          <w:highlight w:val="none"/>
        </w:rPr>
        <w:t>。本合同承包范围内的内容总价包干，除容量变动外双方不得以任何理由调整总价。</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（2）中标固定每瓦单价=中标报价总价÷装机容量（</w:t>
      </w:r>
      <w:permStart w:id="42" w:edGrp="everyone"/>
      <w:r>
        <w:rPr>
          <w:rFonts w:hint="eastAsia" w:ascii="仿宋_GB2312" w:eastAsia="仿宋_GB2312"/>
          <w:color w:val="auto"/>
          <w:sz w:val="24"/>
          <w:highlight w:val="none"/>
        </w:rPr>
        <w:t>XX</w:t>
      </w:r>
      <w:permEnd w:id="42"/>
      <w:r>
        <w:rPr>
          <w:rFonts w:hint="eastAsia" w:ascii="仿宋_GB2312" w:eastAsia="仿宋_GB2312"/>
          <w:color w:val="auto"/>
          <w:sz w:val="24"/>
          <w:highlight w:val="none"/>
        </w:rPr>
        <w:t>kWp）（四舍五入保留小数点后3位小数），按以上公式计算的中标固定每瓦单价在本合同实施过程中不作调整，中标人按中标固定每瓦单价×最终报装容量进行结算；在组件及支架安装数量不变的情况下，如果因单块组件容量增大导致实际装机容量增大，如580Wp改为585Wp，仍按单块组件580Wp计算总装机容量来结算总价，如组件单块容量不变，安装组件数量增多，可按照实际装机容量结算。</w:t>
      </w:r>
    </w:p>
    <w:p>
      <w:pPr>
        <w:adjustRightInd w:val="0"/>
        <w:snapToGrid w:val="0"/>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 竣工结算</w:t>
      </w:r>
    </w:p>
    <w:p>
      <w:pPr>
        <w:adjustRightInd w:val="0"/>
        <w:snapToGrid w:val="0"/>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（1）工程全部验收合格，乙方应在</w:t>
      </w:r>
      <w:r>
        <w:rPr>
          <w:rFonts w:hint="default" w:ascii="仿宋_GB2312" w:eastAsia="仿宋_GB2312"/>
          <w:color w:val="auto"/>
          <w:sz w:val="24"/>
          <w:highlight w:val="none"/>
        </w:rPr>
        <w:t>3</w:t>
      </w:r>
      <w:r>
        <w:rPr>
          <w:rFonts w:hint="eastAsia" w:ascii="仿宋_GB2312" w:eastAsia="仿宋_GB2312"/>
          <w:color w:val="auto"/>
          <w:sz w:val="24"/>
          <w:highlight w:val="none"/>
        </w:rPr>
        <w:t>0日内向甲方申报完整的结算资料（含组件、逆变器、并网柜、电缆等主要设备的合格证及使用说明书）。甲方在收到乙方完整的结算资料后，无特殊情况，甲乙双方在60日内完成竣工结算的核实工作。因乙方原因影响结算款的支付由乙方负责。</w:t>
      </w:r>
    </w:p>
    <w:p>
      <w:pPr>
        <w:tabs>
          <w:tab w:val="left" w:pos="900"/>
        </w:tabs>
        <w:adjustRightInd w:val="0"/>
        <w:snapToGrid w:val="0"/>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（2）甲方结算资料接收人为甲方代表。乙方需按以下要求报送完整结算资料，结算资料包括但不限于下列内容：</w:t>
      </w:r>
    </w:p>
    <w:p>
      <w:pPr>
        <w:adjustRightInd w:val="0"/>
        <w:snapToGrid w:val="0"/>
        <w:spacing w:line="360" w:lineRule="auto"/>
        <w:ind w:left="479" w:leftChars="228"/>
        <w:rPr>
          <w:rFonts w:hint="default" w:ascii="仿宋_GB2312" w:eastAsia="仿宋_GB2312"/>
          <w:color w:val="auto"/>
          <w:sz w:val="24"/>
          <w:highlight w:val="none"/>
        </w:rPr>
      </w:pPr>
      <w:r>
        <w:rPr>
          <w:rFonts w:hint="eastAsia" w:ascii="仿宋_GB2312" w:eastAsia="仿宋_GB2312"/>
          <w:color w:val="auto"/>
          <w:sz w:val="24"/>
          <w:highlight w:val="none"/>
        </w:rPr>
        <w:t>①</w:t>
      </w:r>
      <w:r>
        <w:rPr>
          <w:rFonts w:hint="default" w:ascii="仿宋_GB2312" w:eastAsia="仿宋_GB2312"/>
          <w:color w:val="auto"/>
          <w:sz w:val="24"/>
          <w:highlight w:val="none"/>
        </w:rPr>
        <w:t>工程结算书（编制说明、造价汇总表等）</w:t>
      </w:r>
      <w:r>
        <w:rPr>
          <w:rFonts w:hint="eastAsia" w:ascii="仿宋_GB2312" w:eastAsia="仿宋_GB2312"/>
          <w:color w:val="auto"/>
          <w:sz w:val="24"/>
          <w:highlight w:val="none"/>
        </w:rPr>
        <w:t>；</w:t>
      </w:r>
      <w:r>
        <w:rPr>
          <w:rFonts w:hint="default" w:ascii="仿宋_GB2312" w:eastAsia="仿宋_GB2312"/>
          <w:color w:val="auto"/>
          <w:sz w:val="24"/>
          <w:highlight w:val="none"/>
        </w:rPr>
        <w:br w:type="textWrapping"/>
      </w:r>
      <w:r>
        <w:rPr>
          <w:rFonts w:hint="eastAsia" w:ascii="仿宋_GB2312" w:eastAsia="仿宋_GB2312"/>
          <w:color w:val="auto"/>
          <w:sz w:val="24"/>
          <w:highlight w:val="none"/>
        </w:rPr>
        <w:t>②</w:t>
      </w:r>
      <w:r>
        <w:rPr>
          <w:rFonts w:hint="default" w:ascii="仿宋_GB2312" w:eastAsia="仿宋_GB2312"/>
          <w:color w:val="auto"/>
          <w:sz w:val="24"/>
          <w:highlight w:val="none"/>
        </w:rPr>
        <w:t>竣工图、施工图（经建设方确认的图纸）</w:t>
      </w:r>
      <w:r>
        <w:rPr>
          <w:rFonts w:hint="eastAsia" w:ascii="仿宋_GB2312" w:eastAsia="仿宋_GB2312"/>
          <w:color w:val="auto"/>
          <w:sz w:val="24"/>
          <w:highlight w:val="none"/>
        </w:rPr>
        <w:t>；</w:t>
      </w:r>
      <w:r>
        <w:rPr>
          <w:rFonts w:hint="default" w:ascii="仿宋_GB2312" w:eastAsia="仿宋_GB2312"/>
          <w:color w:val="auto"/>
          <w:sz w:val="24"/>
          <w:highlight w:val="none"/>
        </w:rPr>
        <w:br w:type="textWrapping"/>
      </w:r>
      <w:r>
        <w:rPr>
          <w:rFonts w:hint="eastAsia" w:ascii="仿宋_GB2312" w:eastAsia="仿宋_GB2312"/>
          <w:color w:val="auto"/>
          <w:sz w:val="24"/>
          <w:highlight w:val="none"/>
        </w:rPr>
        <w:t>③</w:t>
      </w:r>
      <w:r>
        <w:rPr>
          <w:rFonts w:hint="default" w:ascii="仿宋_GB2312" w:eastAsia="仿宋_GB2312"/>
          <w:color w:val="auto"/>
          <w:sz w:val="24"/>
          <w:highlight w:val="none"/>
        </w:rPr>
        <w:t>工程</w:t>
      </w:r>
      <w:r>
        <w:rPr>
          <w:rFonts w:hint="eastAsia" w:ascii="仿宋_GB2312" w:eastAsia="仿宋_GB2312"/>
          <w:color w:val="auto"/>
          <w:sz w:val="24"/>
          <w:highlight w:val="none"/>
        </w:rPr>
        <w:t>总</w:t>
      </w:r>
      <w:r>
        <w:rPr>
          <w:rFonts w:hint="default" w:ascii="仿宋_GB2312" w:eastAsia="仿宋_GB2312"/>
          <w:color w:val="auto"/>
          <w:sz w:val="24"/>
          <w:highlight w:val="none"/>
        </w:rPr>
        <w:t>承包合同及补充协议</w:t>
      </w:r>
      <w:r>
        <w:rPr>
          <w:rFonts w:hint="eastAsia" w:ascii="仿宋_GB2312" w:eastAsia="仿宋_GB2312"/>
          <w:color w:val="auto"/>
          <w:sz w:val="24"/>
          <w:highlight w:val="none"/>
        </w:rPr>
        <w:t>；</w:t>
      </w:r>
      <w:r>
        <w:rPr>
          <w:rFonts w:hint="default" w:ascii="仿宋_GB2312" w:eastAsia="仿宋_GB2312"/>
          <w:color w:val="auto"/>
          <w:sz w:val="24"/>
          <w:highlight w:val="none"/>
        </w:rPr>
        <w:br w:type="textWrapping"/>
      </w:r>
      <w:r>
        <w:rPr>
          <w:rFonts w:hint="default" w:ascii="仿宋_GB2312" w:eastAsia="仿宋_GB2312"/>
          <w:color w:val="auto"/>
          <w:sz w:val="24"/>
          <w:highlight w:val="none"/>
        </w:rPr>
        <w:fldChar w:fldCharType="begin"/>
      </w:r>
      <w:r>
        <w:rPr>
          <w:rFonts w:hint="default" w:ascii="仿宋_GB2312" w:eastAsia="仿宋_GB2312"/>
          <w:color w:val="auto"/>
          <w:sz w:val="24"/>
          <w:highlight w:val="none"/>
        </w:rPr>
        <w:instrText xml:space="preserve"> </w:instrText>
      </w:r>
      <w:r>
        <w:rPr>
          <w:rFonts w:hint="eastAsia" w:ascii="仿宋_GB2312" w:eastAsia="仿宋_GB2312"/>
          <w:color w:val="auto"/>
          <w:sz w:val="24"/>
          <w:highlight w:val="none"/>
        </w:rPr>
        <w:instrText xml:space="preserve">= 4 \* GB3</w:instrText>
      </w:r>
      <w:r>
        <w:rPr>
          <w:rFonts w:hint="default" w:ascii="仿宋_GB2312" w:eastAsia="仿宋_GB2312"/>
          <w:color w:val="auto"/>
          <w:sz w:val="24"/>
          <w:highlight w:val="none"/>
        </w:rPr>
        <w:instrText xml:space="preserve"> </w:instrText>
      </w:r>
      <w:r>
        <w:rPr>
          <w:rFonts w:hint="default" w:ascii="仿宋_GB2312" w:eastAsia="仿宋_GB2312"/>
          <w:color w:val="auto"/>
          <w:sz w:val="24"/>
          <w:highlight w:val="none"/>
        </w:rPr>
        <w:fldChar w:fldCharType="separate"/>
      </w:r>
      <w:r>
        <w:rPr>
          <w:rFonts w:hint="eastAsia" w:ascii="仿宋_GB2312" w:eastAsia="仿宋_GB2312"/>
          <w:color w:val="auto"/>
          <w:sz w:val="24"/>
          <w:highlight w:val="none"/>
        </w:rPr>
        <w:t>④</w:t>
      </w:r>
      <w:r>
        <w:rPr>
          <w:rFonts w:hint="default" w:ascii="仿宋_GB2312" w:eastAsia="仿宋_GB2312"/>
          <w:color w:val="auto"/>
          <w:sz w:val="24"/>
          <w:highlight w:val="none"/>
        </w:rPr>
        <w:fldChar w:fldCharType="end"/>
      </w:r>
      <w:r>
        <w:rPr>
          <w:rFonts w:hint="default" w:ascii="仿宋_GB2312" w:eastAsia="仿宋_GB2312"/>
          <w:color w:val="auto"/>
          <w:sz w:val="24"/>
          <w:highlight w:val="none"/>
        </w:rPr>
        <w:t>开工</w:t>
      </w:r>
      <w:r>
        <w:rPr>
          <w:rFonts w:hint="eastAsia" w:ascii="仿宋_GB2312" w:eastAsia="仿宋_GB2312"/>
          <w:color w:val="auto"/>
          <w:sz w:val="24"/>
          <w:highlight w:val="none"/>
        </w:rPr>
        <w:t>资料</w:t>
      </w:r>
      <w:r>
        <w:rPr>
          <w:rFonts w:hint="default" w:ascii="仿宋_GB2312" w:eastAsia="仿宋_GB2312"/>
          <w:color w:val="auto"/>
          <w:sz w:val="24"/>
          <w:highlight w:val="none"/>
        </w:rPr>
        <w:t>、工程验收证明、工期延期证明</w:t>
      </w:r>
      <w:r>
        <w:rPr>
          <w:rFonts w:hint="eastAsia" w:ascii="仿宋_GB2312" w:eastAsia="仿宋_GB2312"/>
          <w:color w:val="auto"/>
          <w:sz w:val="24"/>
          <w:highlight w:val="none"/>
        </w:rPr>
        <w:t>、甲方</w:t>
      </w:r>
      <w:r>
        <w:rPr>
          <w:rFonts w:hint="default" w:ascii="仿宋_GB2312" w:eastAsia="仿宋_GB2312"/>
          <w:color w:val="auto"/>
          <w:sz w:val="24"/>
          <w:highlight w:val="none"/>
        </w:rPr>
        <w:t>《</w:t>
      </w:r>
      <w:r>
        <w:rPr>
          <w:rFonts w:hint="eastAsia" w:ascii="仿宋_GB2312" w:eastAsia="仿宋_GB2312"/>
          <w:color w:val="auto"/>
          <w:sz w:val="24"/>
          <w:highlight w:val="none"/>
        </w:rPr>
        <w:t>工程竣工验收申请表》</w:t>
      </w:r>
      <w:r>
        <w:rPr>
          <w:rFonts w:hint="default" w:ascii="仿宋_GB2312" w:eastAsia="仿宋_GB2312"/>
          <w:color w:val="auto"/>
          <w:sz w:val="24"/>
          <w:highlight w:val="none"/>
        </w:rPr>
        <w:t>；</w:t>
      </w:r>
      <w:r>
        <w:rPr>
          <w:rFonts w:hint="default" w:ascii="仿宋_GB2312" w:eastAsia="仿宋_GB2312"/>
          <w:color w:val="auto"/>
          <w:sz w:val="24"/>
          <w:highlight w:val="none"/>
        </w:rPr>
        <w:br w:type="textWrapping"/>
      </w:r>
      <w:r>
        <w:rPr>
          <w:rFonts w:hint="eastAsia" w:ascii="仿宋_GB2312" w:eastAsia="仿宋_GB2312"/>
          <w:color w:val="auto"/>
          <w:sz w:val="24"/>
          <w:highlight w:val="none"/>
        </w:rPr>
        <w:t>⑤</w:t>
      </w:r>
      <w:r>
        <w:rPr>
          <w:rFonts w:hint="default" w:ascii="仿宋_GB2312" w:eastAsia="仿宋_GB2312"/>
          <w:color w:val="auto"/>
          <w:sz w:val="24"/>
          <w:highlight w:val="none"/>
        </w:rPr>
        <w:t>扣款罚款单（如有）</w:t>
      </w:r>
      <w:r>
        <w:rPr>
          <w:rFonts w:hint="eastAsia" w:ascii="仿宋_GB2312" w:eastAsia="仿宋_GB2312"/>
          <w:color w:val="auto"/>
          <w:sz w:val="24"/>
          <w:highlight w:val="none"/>
        </w:rPr>
        <w:t>；</w:t>
      </w:r>
      <w:r>
        <w:rPr>
          <w:rFonts w:hint="default" w:ascii="仿宋_GB2312" w:eastAsia="仿宋_GB2312"/>
          <w:color w:val="auto"/>
          <w:sz w:val="24"/>
          <w:highlight w:val="none"/>
        </w:rPr>
        <w:br w:type="textWrapping"/>
      </w:r>
      <w:r>
        <w:rPr>
          <w:rFonts w:hint="eastAsia" w:ascii="仿宋_GB2312" w:eastAsia="仿宋_GB2312"/>
          <w:color w:val="auto"/>
          <w:sz w:val="24"/>
          <w:highlight w:val="none"/>
        </w:rPr>
        <w:t>⑥甲方结算清单规定的</w:t>
      </w:r>
      <w:r>
        <w:rPr>
          <w:rFonts w:hint="default" w:ascii="仿宋_GB2312" w:eastAsia="仿宋_GB2312"/>
          <w:color w:val="auto"/>
          <w:sz w:val="24"/>
          <w:highlight w:val="none"/>
        </w:rPr>
        <w:t>其他</w:t>
      </w:r>
      <w:r>
        <w:rPr>
          <w:rFonts w:hint="eastAsia" w:ascii="仿宋_GB2312" w:eastAsia="仿宋_GB2312"/>
          <w:color w:val="auto"/>
          <w:sz w:val="24"/>
          <w:highlight w:val="none"/>
        </w:rPr>
        <w:t>工程资料、</w:t>
      </w:r>
      <w:r>
        <w:rPr>
          <w:rFonts w:hint="default" w:ascii="仿宋_GB2312" w:eastAsia="仿宋_GB2312"/>
          <w:color w:val="auto"/>
          <w:sz w:val="24"/>
          <w:highlight w:val="none"/>
        </w:rPr>
        <w:t>结算资料及</w:t>
      </w:r>
      <w:r>
        <w:rPr>
          <w:rFonts w:hint="eastAsia" w:ascii="仿宋_GB2312" w:eastAsia="仿宋_GB2312"/>
          <w:color w:val="auto"/>
          <w:sz w:val="24"/>
          <w:highlight w:val="none"/>
        </w:rPr>
        <w:t>依据。</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（3）结算资料报送甲方后，原则上不再调整，但经甲方确认不属实需更改的除外。乙方由于自身原因申请调增结算价款的，甲方有权要求乙方按照审核同意调增金额的</w:t>
      </w:r>
      <w:r>
        <w:rPr>
          <w:rFonts w:hint="default" w:ascii="仿宋_GB2312" w:eastAsia="仿宋_GB2312"/>
          <w:color w:val="auto"/>
          <w:sz w:val="24"/>
          <w:highlight w:val="none"/>
        </w:rPr>
        <w:t>10%</w:t>
      </w:r>
      <w:r>
        <w:rPr>
          <w:rFonts w:hint="eastAsia" w:ascii="仿宋_GB2312" w:eastAsia="仿宋_GB2312"/>
          <w:color w:val="auto"/>
          <w:sz w:val="24"/>
          <w:highlight w:val="none"/>
        </w:rPr>
        <w:t>支付违约金，且甲方结算审核时间相应顺延。</w:t>
      </w:r>
    </w:p>
    <w:p>
      <w:pPr>
        <w:adjustRightInd w:val="0"/>
        <w:snapToGrid w:val="0"/>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（4）如出现以下情况，经甲方催办，乙方必须在10天内予以整改或答复。同一问题催办三次乙方仍未按时予以整改或答复的，每逾期一天，甲方有权予以处罚人民币</w:t>
      </w:r>
      <w:permStart w:id="43" w:edGrp="everyone"/>
      <w:r>
        <w:rPr>
          <w:rFonts w:hint="eastAsia" w:ascii="仿宋_GB2312" w:eastAsia="仿宋_GB2312"/>
          <w:color w:val="auto"/>
          <w:sz w:val="24"/>
          <w:highlight w:val="none"/>
        </w:rPr>
        <w:t>1000</w:t>
      </w:r>
      <w:permEnd w:id="43"/>
      <w:r>
        <w:rPr>
          <w:rFonts w:hint="eastAsia" w:ascii="仿宋_GB2312" w:eastAsia="仿宋_GB2312"/>
          <w:color w:val="auto"/>
          <w:sz w:val="24"/>
          <w:highlight w:val="none"/>
        </w:rPr>
        <w:t>元，处罚金额累计不超过合同总价</w:t>
      </w:r>
      <w:permStart w:id="44" w:edGrp="everyone"/>
      <w:r>
        <w:rPr>
          <w:rFonts w:hint="eastAsia" w:ascii="仿宋_GB2312" w:eastAsia="仿宋_GB2312"/>
          <w:color w:val="auto"/>
          <w:sz w:val="24"/>
          <w:highlight w:val="none"/>
        </w:rPr>
        <w:t>1</w:t>
      </w:r>
      <w:permEnd w:id="44"/>
      <w:r>
        <w:rPr>
          <w:rFonts w:hint="eastAsia" w:ascii="仿宋_GB2312" w:eastAsia="仿宋_GB2312"/>
          <w:color w:val="auto"/>
          <w:sz w:val="24"/>
          <w:highlight w:val="none"/>
        </w:rPr>
        <w:t>%：</w:t>
      </w:r>
    </w:p>
    <w:p>
      <w:pPr>
        <w:adjustRightInd w:val="0"/>
        <w:snapToGrid w:val="0"/>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fldChar w:fldCharType="begin"/>
      </w:r>
      <w:r>
        <w:rPr>
          <w:rFonts w:hint="default" w:ascii="仿宋_GB2312" w:eastAsia="仿宋_GB2312"/>
          <w:color w:val="auto"/>
          <w:sz w:val="24"/>
          <w:highlight w:val="none"/>
        </w:rPr>
        <w:instrText xml:space="preserve"> </w:instrText>
      </w:r>
      <w:r>
        <w:rPr>
          <w:rFonts w:hint="eastAsia" w:ascii="仿宋_GB2312" w:eastAsia="仿宋_GB2312"/>
          <w:color w:val="auto"/>
          <w:sz w:val="24"/>
          <w:highlight w:val="none"/>
        </w:rPr>
        <w:instrText xml:space="preserve">= 1 \* GB3</w:instrText>
      </w:r>
      <w:r>
        <w:rPr>
          <w:rFonts w:hint="default" w:ascii="仿宋_GB2312" w:eastAsia="仿宋_GB2312"/>
          <w:color w:val="auto"/>
          <w:sz w:val="24"/>
          <w:highlight w:val="none"/>
        </w:rPr>
        <w:instrText xml:space="preserve"> </w:instrText>
      </w:r>
      <w:r>
        <w:rPr>
          <w:rFonts w:hint="default" w:ascii="仿宋_GB2312" w:eastAsia="仿宋_GB2312"/>
          <w:color w:val="auto"/>
          <w:sz w:val="24"/>
          <w:highlight w:val="none"/>
        </w:rPr>
        <w:fldChar w:fldCharType="separate"/>
      </w:r>
      <w:r>
        <w:rPr>
          <w:rFonts w:hint="eastAsia" w:ascii="仿宋_GB2312" w:eastAsia="仿宋_GB2312"/>
          <w:color w:val="auto"/>
          <w:sz w:val="24"/>
          <w:highlight w:val="none"/>
        </w:rPr>
        <w:t>①</w:t>
      </w:r>
      <w:r>
        <w:rPr>
          <w:rFonts w:hint="default" w:ascii="仿宋_GB2312" w:eastAsia="仿宋_GB2312"/>
          <w:color w:val="auto"/>
          <w:sz w:val="24"/>
          <w:highlight w:val="none"/>
        </w:rPr>
        <w:fldChar w:fldCharType="end"/>
      </w:r>
      <w:r>
        <w:rPr>
          <w:rFonts w:hint="eastAsia" w:ascii="仿宋_GB2312" w:eastAsia="仿宋_GB2312"/>
          <w:color w:val="auto"/>
          <w:sz w:val="24"/>
          <w:highlight w:val="none"/>
        </w:rPr>
        <w:t>工程已竣工验收，乙方未按时提交竣工资料、结算资料；</w:t>
      </w:r>
    </w:p>
    <w:p>
      <w:pPr>
        <w:adjustRightInd w:val="0"/>
        <w:snapToGrid w:val="0"/>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fldChar w:fldCharType="begin"/>
      </w:r>
      <w:r>
        <w:rPr>
          <w:rFonts w:hint="default" w:ascii="仿宋_GB2312" w:eastAsia="仿宋_GB2312"/>
          <w:color w:val="auto"/>
          <w:sz w:val="24"/>
          <w:highlight w:val="none"/>
        </w:rPr>
        <w:instrText xml:space="preserve"> </w:instrText>
      </w:r>
      <w:r>
        <w:rPr>
          <w:rFonts w:hint="eastAsia" w:ascii="仿宋_GB2312" w:eastAsia="仿宋_GB2312"/>
          <w:color w:val="auto"/>
          <w:sz w:val="24"/>
          <w:highlight w:val="none"/>
        </w:rPr>
        <w:instrText xml:space="preserve">= 2 \* GB3</w:instrText>
      </w:r>
      <w:r>
        <w:rPr>
          <w:rFonts w:hint="default" w:ascii="仿宋_GB2312" w:eastAsia="仿宋_GB2312"/>
          <w:color w:val="auto"/>
          <w:sz w:val="24"/>
          <w:highlight w:val="none"/>
        </w:rPr>
        <w:instrText xml:space="preserve"> </w:instrText>
      </w:r>
      <w:r>
        <w:rPr>
          <w:rFonts w:hint="default" w:ascii="仿宋_GB2312" w:eastAsia="仿宋_GB2312"/>
          <w:color w:val="auto"/>
          <w:sz w:val="24"/>
          <w:highlight w:val="none"/>
        </w:rPr>
        <w:fldChar w:fldCharType="separate"/>
      </w:r>
      <w:r>
        <w:rPr>
          <w:rFonts w:hint="eastAsia" w:ascii="仿宋_GB2312" w:eastAsia="仿宋_GB2312"/>
          <w:color w:val="auto"/>
          <w:sz w:val="24"/>
          <w:highlight w:val="none"/>
        </w:rPr>
        <w:t>②</w:t>
      </w:r>
      <w:r>
        <w:rPr>
          <w:rFonts w:hint="default" w:ascii="仿宋_GB2312" w:eastAsia="仿宋_GB2312"/>
          <w:color w:val="auto"/>
          <w:sz w:val="24"/>
          <w:highlight w:val="none"/>
        </w:rPr>
        <w:fldChar w:fldCharType="end"/>
      </w:r>
      <w:r>
        <w:rPr>
          <w:rFonts w:hint="eastAsia" w:ascii="仿宋_GB2312" w:eastAsia="仿宋_GB2312"/>
          <w:color w:val="auto"/>
          <w:sz w:val="24"/>
          <w:highlight w:val="none"/>
        </w:rPr>
        <w:t>结算资料需补充完善；</w:t>
      </w:r>
    </w:p>
    <w:p>
      <w:pPr>
        <w:adjustRightInd w:val="0"/>
        <w:snapToGrid w:val="0"/>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fldChar w:fldCharType="begin"/>
      </w:r>
      <w:r>
        <w:rPr>
          <w:rFonts w:hint="default" w:ascii="仿宋_GB2312" w:eastAsia="仿宋_GB2312"/>
          <w:color w:val="auto"/>
          <w:sz w:val="24"/>
          <w:highlight w:val="none"/>
        </w:rPr>
        <w:instrText xml:space="preserve"> </w:instrText>
      </w:r>
      <w:r>
        <w:rPr>
          <w:rFonts w:hint="eastAsia" w:ascii="仿宋_GB2312" w:eastAsia="仿宋_GB2312"/>
          <w:color w:val="auto"/>
          <w:sz w:val="24"/>
          <w:highlight w:val="none"/>
        </w:rPr>
        <w:instrText xml:space="preserve">= 3 \* GB3</w:instrText>
      </w:r>
      <w:r>
        <w:rPr>
          <w:rFonts w:hint="default" w:ascii="仿宋_GB2312" w:eastAsia="仿宋_GB2312"/>
          <w:color w:val="auto"/>
          <w:sz w:val="24"/>
          <w:highlight w:val="none"/>
        </w:rPr>
        <w:instrText xml:space="preserve"> </w:instrText>
      </w:r>
      <w:r>
        <w:rPr>
          <w:rFonts w:hint="default" w:ascii="仿宋_GB2312" w:eastAsia="仿宋_GB2312"/>
          <w:color w:val="auto"/>
          <w:sz w:val="24"/>
          <w:highlight w:val="none"/>
        </w:rPr>
        <w:fldChar w:fldCharType="separate"/>
      </w:r>
      <w:r>
        <w:rPr>
          <w:rFonts w:hint="eastAsia" w:ascii="仿宋_GB2312" w:eastAsia="仿宋_GB2312"/>
          <w:color w:val="auto"/>
          <w:sz w:val="24"/>
          <w:highlight w:val="none"/>
        </w:rPr>
        <w:t>③</w:t>
      </w:r>
      <w:r>
        <w:rPr>
          <w:rFonts w:hint="default" w:ascii="仿宋_GB2312" w:eastAsia="仿宋_GB2312"/>
          <w:color w:val="auto"/>
          <w:sz w:val="24"/>
          <w:highlight w:val="none"/>
        </w:rPr>
        <w:fldChar w:fldCharType="end"/>
      </w:r>
      <w:r>
        <w:rPr>
          <w:rFonts w:hint="eastAsia" w:ascii="仿宋_GB2312" w:eastAsia="仿宋_GB2312"/>
          <w:color w:val="auto"/>
          <w:sz w:val="24"/>
          <w:highlight w:val="none"/>
        </w:rPr>
        <w:t>乙方不配合甲方进行商务沟通。</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八、双方的权利和义务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1．甲方权利与义务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（1）指派</w:t>
      </w:r>
      <w:permStart w:id="45" w:edGrp="everyone"/>
      <w:r>
        <w:rPr>
          <w:rFonts w:hint="eastAsia" w:ascii="仿宋_GB2312" w:eastAsia="仿宋_GB2312"/>
          <w:color w:val="auto"/>
          <w:sz w:val="24"/>
          <w:highlight w:val="none"/>
        </w:rPr>
        <w:t>XXX</w:t>
      </w:r>
      <w:permEnd w:id="45"/>
      <w:r>
        <w:rPr>
          <w:rFonts w:hint="eastAsia" w:ascii="仿宋_GB2312" w:eastAsia="仿宋_GB2312"/>
          <w:color w:val="auto"/>
          <w:sz w:val="24"/>
          <w:highlight w:val="none"/>
        </w:rPr>
        <w:t>为现场代表，联系方式</w:t>
      </w:r>
      <w:permStart w:id="46" w:edGrp="everyone"/>
      <w:r>
        <w:rPr>
          <w:rFonts w:hint="eastAsia" w:ascii="仿宋_GB2312" w:eastAsia="仿宋_GB2312"/>
          <w:color w:val="auto"/>
          <w:sz w:val="24"/>
          <w:highlight w:val="none"/>
        </w:rPr>
        <w:t>XXXXXXXXXXX</w:t>
      </w:r>
      <w:permEnd w:id="46"/>
      <w:r>
        <w:rPr>
          <w:rFonts w:hint="eastAsia" w:ascii="仿宋_GB2312" w:eastAsia="仿宋_GB2312"/>
          <w:color w:val="auto"/>
          <w:sz w:val="24"/>
          <w:highlight w:val="none"/>
        </w:rPr>
        <w:t>,参与对工程质量、进度及安全的监督检查。甲方中途更换现场代表，应在更换之日起3日内通知乙方。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（2）有权对乙方设计提供的施工图纸进行审核并提出修改意见。</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（3）有权对乙方工程建设中提供的设备、材料及隐蔽工程进行检验和验收。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（4）有权对乙方不规范的施工行为和设备、材料质量、施工进度等提出质疑和处理意见。</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（5）组织监理单位、乙方进行工程技术交底、施工图纸会审、施工安全交底。</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（6）组织工程竣工验收，负责施工图纸的处理，设计变更、技术核定及现场签证的签署及审批。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（7）配合乙方完成东莞市供电局完成购售电合同等并网资料的盖章、签署。</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（8）配合乙方有关工程进度及工程结算的签认工作，乙方递交请款、竣工结算资料后，甲方应按时办理完工程进度款和竣工结算的审核，按时向乙方支付工程进度款。</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9）如乙方不按合同要求进行施工，甲方有权通知乙方暂停施工，待整改完毕后报甲方验收并同意后方可复工，由此造成的损失由乙方负责，工期不予顺延；若乙方拒绝整改或在甲方规定的时间内未整改完毕又没有向甲方说明理由的，甲方有权单方解除合同，未支付的工程费不予支付，乙方还应赔偿甲方因此遭受的所有损失。</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（10）有权监控乙方内部的工资发放情况，对出现的劳资纠纷甲方有权出面进行处理，并有权在支付工程进度款时直接扣留相应的工资优先发放给被拖欠工资的人员，同时乙方应按本合同约定承担违约责任。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2．乙方权利与义务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（1）指派</w:t>
      </w:r>
      <w:permStart w:id="47" w:edGrp="everyone"/>
      <w:r>
        <w:rPr>
          <w:rFonts w:hint="eastAsia" w:ascii="仿宋_GB2312" w:eastAsia="仿宋_GB2312"/>
          <w:color w:val="auto"/>
          <w:sz w:val="24"/>
          <w:highlight w:val="none"/>
        </w:rPr>
        <w:t xml:space="preserve"> XXX </w:t>
      </w:r>
      <w:permEnd w:id="47"/>
      <w:r>
        <w:rPr>
          <w:rFonts w:hint="eastAsia" w:ascii="仿宋_GB2312" w:eastAsia="仿宋_GB2312"/>
          <w:color w:val="auto"/>
          <w:sz w:val="24"/>
          <w:highlight w:val="none"/>
        </w:rPr>
        <w:t>为工程总承包项目经理，联系方式</w:t>
      </w:r>
      <w:permStart w:id="48" w:edGrp="everyone"/>
      <w:r>
        <w:rPr>
          <w:rFonts w:hint="eastAsia" w:ascii="仿宋_GB2312" w:eastAsia="仿宋_GB2312"/>
          <w:color w:val="auto"/>
          <w:sz w:val="24"/>
          <w:highlight w:val="none"/>
        </w:rPr>
        <w:t xml:space="preserve"> XXXXXXXXXXX </w:t>
      </w:r>
      <w:permEnd w:id="48"/>
      <w:r>
        <w:rPr>
          <w:rFonts w:hint="eastAsia" w:ascii="仿宋_GB2312" w:eastAsia="仿宋_GB2312"/>
          <w:color w:val="auto"/>
          <w:sz w:val="24"/>
          <w:highlight w:val="none"/>
        </w:rPr>
        <w:t>,负责合同履行，按要求组织施工，解决由乙方负责的各项事宜，同时与屋顶业主对接好施工场地规划、施工时间安排、施工人员进出、施工用水用电等相关事宜。乙方中途更换现场代表，应提出书面申请征得甲方和监理单位同意后方可换人，否则乙方应按本合同约定承担违约金。</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（2）严格按施工图纸、招标技术要求、设计变更及国家、本市的现行施工验收规范的要求负责本工程的施工，保证本工程质量达到本合同约定的标准，并通过当地供电局的验收。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实地勘察并全面了解本工程现场情况，根据招标技术要求及现场情况自行负责委托具备相应资质的设计单位进行施工图纸深化设计、供电方案编制并确保通过甲方、当地供电部门审核通过，按甲方或当地供电部门提出的审查修改意见进行整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自本工程开工前，乙方应向甲方报送施工组织设计、安全专项方案、施工资质、设计资质、相关管理人员资质、特种作业人员资质、工程一切保险（含第三者）、人员团体意外险，施工总进度计划等开工报审资料，经甲方、监理单位审核同意后，乙方须严格按开工报审资料要求执行。</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项目开工后，工地实行施工日志制度，乙方每天向甲方提供施工日志直至项目并网投运，同时主材、设备进场前乙方需向甲方进行报审并提供产品合格证、产品质量检验报告及现场检查记录表等资料，由甲方技术人员、监理人员检查合格并确认后方可进场使用。</w:t>
      </w:r>
    </w:p>
    <w:p>
      <w:pPr>
        <w:spacing w:line="360" w:lineRule="auto"/>
        <w:ind w:firstLine="480" w:firstLineChars="200"/>
        <w:rPr>
          <w:color w:val="auto"/>
          <w:highlight w:val="none"/>
        </w:rPr>
      </w:pPr>
      <w:r>
        <w:rPr>
          <w:rFonts w:hint="eastAsia" w:ascii="仿宋_GB2312" w:eastAsia="仿宋_GB2312"/>
          <w:color w:val="auto"/>
          <w:sz w:val="24"/>
          <w:highlight w:val="none"/>
        </w:rPr>
        <w:t>（6）施工过程中，隐蔽工程完成前乙方需向甲方申请报验并提供现场施工记录表等资料，经甲方专业技术人员、监理人员检验合格并经现场确认后方可进行下一步工序施工。</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服从甲方对工程进度监督，并严格遵守甲方各项管理规定；服从甲方及监理单位质量检查，对不满足质量要求的必须立即整改，按期完成施工任务；服从甲方现场施工管理与协调，处理、协调好与屋顶业主、当地两违办、经发局、供电部门关系，积极配合其工作，保证项目按工期并网投运。</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（8）在全部工程验收合格移交甲方之前,对承包范围内已完</w:t>
      </w:r>
      <w:r>
        <w:rPr>
          <w:rFonts w:hint="eastAsia" w:ascii="仿宋_GB2312" w:eastAsia="仿宋_GB2312"/>
          <w:color w:val="auto"/>
          <w:sz w:val="24"/>
          <w:highlight w:val="none"/>
          <w:lang w:val="en-US" w:eastAsia="zh-CN"/>
        </w:rPr>
        <w:t>成</w:t>
      </w:r>
      <w:r>
        <w:rPr>
          <w:rFonts w:hint="eastAsia" w:ascii="仿宋_GB2312" w:eastAsia="仿宋_GB2312"/>
          <w:color w:val="auto"/>
          <w:sz w:val="24"/>
          <w:highlight w:val="none"/>
        </w:rPr>
        <w:t>工程成品、半成品进行保管、保护，保护期间发生的损坏，乙方自费予以修复。</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（9）施工期间，妥善保护好施工现场周围建筑物、设备管线与其他相关专业的施工成品、半成品，做到人走场清；若有损坏，乙方须无条件修复。</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（10）按甲方相关部门的规定作好施工文件报审记录，汇集资料作为竣工资料移交甲方。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（11）健全质量、安全检查制度，在现场设专职质量、安全检查员，做好自检纪录。</w:t>
      </w:r>
      <w:r>
        <w:rPr>
          <w:rFonts w:hint="eastAsia" w:ascii="仿宋_GB2312" w:hAnsi="宋体" w:eastAsia="仿宋_GB2312"/>
          <w:color w:val="auto"/>
          <w:sz w:val="24"/>
          <w:highlight w:val="none"/>
        </w:rPr>
        <w:t>必须时时做好施工人员的安全教育，</w:t>
      </w:r>
      <w:r>
        <w:rPr>
          <w:rFonts w:hint="eastAsia" w:ascii="仿宋_GB2312" w:eastAsia="仿宋_GB2312"/>
          <w:color w:val="auto"/>
          <w:sz w:val="24"/>
          <w:highlight w:val="none"/>
        </w:rPr>
        <w:t>为施工现场人员办理人身意外伤害保险、工伤保险和第三者责任险，</w:t>
      </w:r>
      <w:r>
        <w:rPr>
          <w:rFonts w:hint="eastAsia" w:ascii="仿宋_GB2312" w:hAnsi="宋体" w:eastAsia="仿宋_GB2312"/>
          <w:color w:val="auto"/>
          <w:sz w:val="24"/>
          <w:highlight w:val="none"/>
        </w:rPr>
        <w:t>杜绝安全事故的发生</w:t>
      </w:r>
      <w:r>
        <w:rPr>
          <w:rFonts w:hint="eastAsia" w:ascii="仿宋_GB2312" w:eastAsia="仿宋_GB2312"/>
          <w:color w:val="auto"/>
          <w:sz w:val="24"/>
          <w:highlight w:val="none"/>
        </w:rPr>
        <w:t>。因</w:t>
      </w:r>
      <w:r>
        <w:rPr>
          <w:rFonts w:hint="eastAsia" w:ascii="仿宋_GB2312" w:hAnsi="宋体" w:eastAsia="仿宋_GB2312"/>
          <w:color w:val="auto"/>
          <w:sz w:val="24"/>
          <w:highlight w:val="none"/>
        </w:rPr>
        <w:t>安全施工措施不力等</w:t>
      </w:r>
      <w:r>
        <w:rPr>
          <w:rFonts w:hint="eastAsia" w:ascii="仿宋_GB2312" w:eastAsia="仿宋_GB2312"/>
          <w:color w:val="auto"/>
          <w:sz w:val="24"/>
          <w:highlight w:val="none"/>
        </w:rPr>
        <w:t>乙方原因造成任何人员伤亡（包括第三方人员伤亡在内），一切责任均由乙方负责。给甲方造成的损失的（包括但不限于声誉及经济损失），乙方还应进行赔偿。</w:t>
      </w:r>
    </w:p>
    <w:p>
      <w:pPr>
        <w:spacing w:line="360" w:lineRule="auto"/>
        <w:ind w:firstLine="480" w:firstLineChars="200"/>
        <w:rPr>
          <w:rFonts w:hint="eastAsia" w:ascii="仿宋_GB2312" w:hAnsi="宋体" w:eastAsia="仿宋_GB2312"/>
          <w:color w:val="auto"/>
          <w:sz w:val="24"/>
          <w:highlight w:val="none"/>
        </w:rPr>
      </w:pPr>
      <w:r>
        <w:rPr>
          <w:rFonts w:hint="eastAsia" w:ascii="仿宋_GB2312" w:eastAsia="仿宋_GB2312"/>
          <w:color w:val="auto"/>
          <w:sz w:val="24"/>
          <w:highlight w:val="none"/>
        </w:rPr>
        <w:t>（12）</w:t>
      </w:r>
      <w:r>
        <w:rPr>
          <w:rFonts w:hint="eastAsia" w:ascii="仿宋_GB2312" w:hAnsi="宋体" w:eastAsia="仿宋_GB2312"/>
          <w:color w:val="auto"/>
          <w:sz w:val="24"/>
          <w:highlight w:val="none"/>
        </w:rPr>
        <w:t>乙方应服从甲方管理，并与甲方签订“安全协议”。</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九、现场施工管理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1．材料、设备管理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（1）乙方应严格按会审好的施工图纸要求选择材料、设备与施工工艺，按图施工。</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（2）乙方进场材料、设备应报甲方、监理单位验收确认，材料、设备经甲方、监理单位确认同意后方可进行施工，否则，甲方有权要求乙方返工，不合格的材料、设备退场，且施工工期不得顺延。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2．现场施工管理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无论任何一方提出设计变更（如：改变设备、材料、规格、型号、产地、功能等；或需要更改施工路线，设备安装位置，改变系统功能等），均需先由提出设计变更要求的一方提出变更方案，交监理单位审核后报甲方及相关部门审批确认后方可实施。设计变更一律使用书面通知形式，任何口头通知都属无效。</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乙方在进场施工前应编制书面进场报告给甲方，进场报告中应包括：施工组织设计、施工安全专项方案、施工资质、设计资质、相关管理人员资质、特种作业人员资质、工程一切保险（含第三者）、人员团体意外险、详细的工程进度计划及相关的联络、投诉电话等。</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（3）乙方必须服从甲方现场工程师（监理）的监督、管理，接受合理的、先进的施工方法建议。</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（4）乙方在实施施工图纸时，发现问题要及时向甲方及监理单位汇报与沟通，确实需要更改原工程施工图纸的，应书面报经监理单位确认并经甲方及相关部门审批后方可实施，不得擅作修改。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成品保护措施：彩钢瓦屋面或脆弱屋面在实施前应采集承载数据，符合承载要求才可进行安装；应采取避免集中受力的保证措施，如架设轻质木板或其他增大受力面积的保证措施，同时必须优先安装运维通道，避免彩钢瓦因集中受力变形破裂受损。如因保护措施不足，使原有彩钢瓦受损，承包单位应承担维修责任及费用，情况严重的，我司有权要求更换全部彩钢瓦屋面。</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（6）乙方在施工中要严格按照国家标准规范或专业的技术规范施工，并最终通过相关部门验收合格。</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（7）乙方在施工过程中，应做好各种工程施工记录，填写各种工程验收所必须的工程资料。</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（8）乙方施工过程中，应遵守甲方、监理单位制定的《工程管理制度》，乙方违反现场施工管理制度的，应接受相关单位的罚款等处罚。</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9）乙方应在项目现场设立安全警示牌。危险区域必须悬挂“临边区域，当心坠落”、“高空作业，当心坠落”、“小心踏空，以防坠落”、“以防坠落，请勿攀爬”、“吊装作业，请勿靠近”、“高压有电，请勿靠近”、“当心触电”、“注意安全 ”、“严禁烟火”、“禁止通行”或“高空作业，系好安全带”、“必须系安全带”、“必须戴安全帽”等安全警示标志。</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（10）</w:t>
      </w:r>
      <w:r>
        <w:rPr>
          <w:rFonts w:hint="default" w:ascii="仿宋_GB2312" w:eastAsia="仿宋_GB2312"/>
          <w:color w:val="auto"/>
          <w:sz w:val="24"/>
          <w:highlight w:val="none"/>
        </w:rPr>
        <w:t>乙方</w:t>
      </w:r>
      <w:r>
        <w:rPr>
          <w:rFonts w:hint="eastAsia" w:ascii="仿宋_GB2312" w:eastAsia="仿宋_GB2312"/>
          <w:color w:val="auto"/>
          <w:sz w:val="24"/>
          <w:highlight w:val="none"/>
        </w:rPr>
        <w:t>在</w:t>
      </w:r>
      <w:r>
        <w:rPr>
          <w:rFonts w:hint="default" w:ascii="仿宋_GB2312" w:eastAsia="仿宋_GB2312"/>
          <w:color w:val="auto"/>
          <w:sz w:val="24"/>
          <w:highlight w:val="none"/>
        </w:rPr>
        <w:t>施工过程有义务</w:t>
      </w:r>
      <w:r>
        <w:rPr>
          <w:rFonts w:hint="eastAsia" w:ascii="仿宋_GB2312" w:eastAsia="仿宋_GB2312"/>
          <w:color w:val="auto"/>
          <w:sz w:val="24"/>
          <w:highlight w:val="none"/>
        </w:rPr>
        <w:t>完成</w:t>
      </w:r>
      <w:r>
        <w:rPr>
          <w:rFonts w:hint="default" w:ascii="仿宋_GB2312" w:eastAsia="仿宋_GB2312"/>
          <w:color w:val="auto"/>
          <w:sz w:val="24"/>
          <w:highlight w:val="none"/>
        </w:rPr>
        <w:t>施工图纸深化</w:t>
      </w:r>
      <w:r>
        <w:rPr>
          <w:rFonts w:hint="eastAsia" w:ascii="仿宋_GB2312" w:eastAsia="仿宋_GB2312"/>
          <w:color w:val="auto"/>
          <w:sz w:val="24"/>
          <w:highlight w:val="none"/>
        </w:rPr>
        <w:t>设计</w:t>
      </w:r>
      <w:r>
        <w:rPr>
          <w:rFonts w:hint="default" w:ascii="仿宋_GB2312" w:eastAsia="仿宋_GB2312"/>
          <w:color w:val="auto"/>
          <w:sz w:val="24"/>
          <w:highlight w:val="none"/>
        </w:rPr>
        <w:t>，如果在施工过程中因为图纸设计不合理或不应发生的损失由乙方承担，工期不顺延，如乙方提出合理化建议后，由于甲方</w:t>
      </w:r>
      <w:r>
        <w:rPr>
          <w:rFonts w:hint="eastAsia" w:ascii="仿宋_GB2312" w:eastAsia="仿宋_GB2312"/>
          <w:color w:val="auto"/>
          <w:sz w:val="24"/>
          <w:highlight w:val="none"/>
        </w:rPr>
        <w:t>以及</w:t>
      </w:r>
      <w:r>
        <w:rPr>
          <w:rFonts w:hint="default" w:ascii="仿宋_GB2312" w:eastAsia="仿宋_GB2312"/>
          <w:color w:val="auto"/>
          <w:sz w:val="24"/>
          <w:highlight w:val="none"/>
        </w:rPr>
        <w:t>监理</w:t>
      </w:r>
      <w:r>
        <w:rPr>
          <w:rFonts w:hint="eastAsia" w:ascii="仿宋_GB2312" w:eastAsia="仿宋_GB2312"/>
          <w:color w:val="auto"/>
          <w:sz w:val="24"/>
          <w:highlight w:val="none"/>
        </w:rPr>
        <w:t>单位</w:t>
      </w:r>
      <w:r>
        <w:rPr>
          <w:rFonts w:hint="default" w:ascii="仿宋_GB2312" w:eastAsia="仿宋_GB2312"/>
          <w:color w:val="auto"/>
          <w:sz w:val="24"/>
          <w:highlight w:val="none"/>
        </w:rPr>
        <w:t>没有及时处理造成的损失</w:t>
      </w:r>
      <w:r>
        <w:rPr>
          <w:rFonts w:hint="eastAsia" w:ascii="仿宋_GB2312" w:eastAsia="仿宋_GB2312"/>
          <w:color w:val="auto"/>
          <w:sz w:val="24"/>
          <w:highlight w:val="none"/>
        </w:rPr>
        <w:t>由</w:t>
      </w:r>
      <w:r>
        <w:rPr>
          <w:rFonts w:hint="default" w:ascii="仿宋_GB2312" w:eastAsia="仿宋_GB2312"/>
          <w:color w:val="auto"/>
          <w:sz w:val="24"/>
          <w:highlight w:val="none"/>
        </w:rPr>
        <w:t>责任方承担。</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11）乙方应无条件执行甲方、监理公司的工程指令，按照施工图纸、图纸会审纪要、施工及验收规范进行施工，按合同约定按时保质地完成全部承建内容。合同约定由乙方完成的施工内容和配合工作（包括合同约定、会议纪要、设计变更工程指令、安全文明施工、成品保护等），乙方应全面完成，若由于乙方原因未能按质按期完成或乙方明确表示不予完成的，甲方有权另行委托第三方完成，由此所发生的一切费用由乙方承担，乙方还应向甲方另行支付前述费用</w:t>
      </w:r>
      <w:r>
        <w:rPr>
          <w:rFonts w:hint="eastAsia" w:ascii="仿宋_GB2312" w:eastAsia="仿宋_GB2312"/>
          <w:b/>
          <w:color w:val="auto"/>
          <w:sz w:val="24"/>
          <w:highlight w:val="none"/>
        </w:rPr>
        <w:t>20%</w:t>
      </w:r>
      <w:r>
        <w:rPr>
          <w:rFonts w:hint="eastAsia" w:ascii="仿宋_GB2312" w:eastAsia="仿宋_GB2312"/>
          <w:color w:val="auto"/>
          <w:sz w:val="24"/>
          <w:highlight w:val="none"/>
        </w:rPr>
        <w:t>的管理费，且乙方的工期不予延长。</w:t>
      </w:r>
    </w:p>
    <w:p>
      <w:pPr>
        <w:spacing w:line="360" w:lineRule="auto"/>
        <w:rPr>
          <w:rFonts w:hint="eastAsia"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十、工程验收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1．材料设备检查、验收及交货</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（1）乙供材料设备进场前应向甲方进行品牌、型号规格、</w:t>
      </w:r>
      <w:r>
        <w:rPr>
          <w:rFonts w:hint="default" w:ascii="仿宋_GB2312" w:eastAsia="仿宋_GB2312"/>
          <w:color w:val="auto"/>
          <w:sz w:val="24"/>
          <w:highlight w:val="none"/>
        </w:rPr>
        <w:t>技术参数</w:t>
      </w:r>
      <w:r>
        <w:rPr>
          <w:rFonts w:hint="eastAsia" w:ascii="仿宋_GB2312" w:eastAsia="仿宋_GB2312"/>
          <w:color w:val="auto"/>
          <w:sz w:val="24"/>
          <w:highlight w:val="none"/>
        </w:rPr>
        <w:t>等报审，经甲方确认后方可采购。材料设备运抵工地后乙方应通知甲方及监理工程师，共同开箱验收，经进场验收合格并填写设备材料现场检查记录表后方可施工。未经验收擅自使用的材料设备，甲方有权对该部分工程量不予确认，并要求乙方按要求重新购买材料设备。</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（2）进场验收合格并不免除任何乙方对材料设备存在质量、设计、性能方面的缺陷和不合格的责任，</w:t>
      </w:r>
      <w:r>
        <w:rPr>
          <w:rFonts w:hint="default" w:ascii="仿宋_GB2312" w:eastAsia="仿宋_GB2312"/>
          <w:color w:val="auto"/>
          <w:sz w:val="24"/>
          <w:highlight w:val="none"/>
        </w:rPr>
        <w:t>以及材料设备品牌、规格型号、技术参数等不符合合同约定的责任</w:t>
      </w:r>
      <w:r>
        <w:rPr>
          <w:rFonts w:hint="eastAsia" w:ascii="仿宋_GB2312" w:eastAsia="仿宋_GB2312"/>
          <w:color w:val="auto"/>
          <w:sz w:val="24"/>
          <w:highlight w:val="none"/>
        </w:rPr>
        <w:t>。</w:t>
      </w:r>
      <w:r>
        <w:rPr>
          <w:rFonts w:hint="eastAsia" w:ascii="仿宋_GB2312" w:hAnsi="宋体" w:eastAsia="仿宋_GB2312"/>
          <w:color w:val="auto"/>
          <w:sz w:val="24"/>
          <w:highlight w:val="none"/>
        </w:rPr>
        <w:t>甲方有权</w:t>
      </w:r>
      <w:r>
        <w:rPr>
          <w:rFonts w:hint="default" w:ascii="仿宋_GB2312" w:hAnsi="宋体" w:eastAsia="仿宋_GB2312"/>
          <w:color w:val="auto"/>
          <w:sz w:val="24"/>
          <w:highlight w:val="none"/>
        </w:rPr>
        <w:t>对</w:t>
      </w:r>
      <w:r>
        <w:rPr>
          <w:rFonts w:hint="eastAsia" w:ascii="仿宋_GB2312" w:hAnsi="宋体" w:eastAsia="仿宋_GB2312"/>
          <w:color w:val="auto"/>
          <w:sz w:val="24"/>
          <w:highlight w:val="none"/>
        </w:rPr>
        <w:t>材料设备</w:t>
      </w:r>
      <w:r>
        <w:rPr>
          <w:rFonts w:hint="default" w:ascii="仿宋_GB2312" w:hAnsi="宋体" w:eastAsia="仿宋_GB2312"/>
          <w:color w:val="auto"/>
          <w:sz w:val="24"/>
          <w:highlight w:val="none"/>
        </w:rPr>
        <w:t>进行破坏性检验，</w:t>
      </w:r>
      <w:r>
        <w:rPr>
          <w:rFonts w:hint="eastAsia" w:ascii="仿宋_GB2312" w:hAnsi="宋体" w:eastAsia="仿宋_GB2312"/>
          <w:color w:val="auto"/>
          <w:sz w:val="24"/>
          <w:highlight w:val="none"/>
        </w:rPr>
        <w:t>如</w:t>
      </w:r>
      <w:r>
        <w:rPr>
          <w:rFonts w:hint="default" w:ascii="仿宋_GB2312" w:hAnsi="宋体" w:eastAsia="仿宋_GB2312"/>
          <w:color w:val="auto"/>
          <w:sz w:val="24"/>
          <w:highlight w:val="none"/>
        </w:rPr>
        <w:t>检验结论证明</w:t>
      </w:r>
      <w:r>
        <w:rPr>
          <w:rFonts w:hint="eastAsia" w:ascii="仿宋_GB2312" w:hAnsi="宋体" w:eastAsia="仿宋_GB2312"/>
          <w:color w:val="auto"/>
          <w:sz w:val="24"/>
          <w:highlight w:val="none"/>
        </w:rPr>
        <w:t>材料设备</w:t>
      </w:r>
      <w:r>
        <w:rPr>
          <w:rFonts w:hint="default" w:ascii="仿宋_GB2312" w:hAnsi="宋体" w:eastAsia="仿宋_GB2312"/>
          <w:color w:val="auto"/>
          <w:sz w:val="24"/>
          <w:highlight w:val="none"/>
        </w:rPr>
        <w:t>不符合合同约定的要求，检验费用</w:t>
      </w:r>
      <w:r>
        <w:rPr>
          <w:rFonts w:hint="eastAsia" w:ascii="仿宋_GB2312" w:hAnsi="宋体" w:eastAsia="仿宋_GB2312"/>
          <w:color w:val="auto"/>
          <w:sz w:val="24"/>
          <w:highlight w:val="none"/>
        </w:rPr>
        <w:t>由</w:t>
      </w:r>
      <w:r>
        <w:rPr>
          <w:rFonts w:hint="default" w:ascii="仿宋_GB2312" w:hAnsi="宋体" w:eastAsia="仿宋_GB2312"/>
          <w:color w:val="auto"/>
          <w:sz w:val="24"/>
          <w:highlight w:val="none"/>
        </w:rPr>
        <w:t>乙方承担</w:t>
      </w:r>
      <w:r>
        <w:rPr>
          <w:rFonts w:hint="eastAsia" w:ascii="仿宋_GB2312" w:hAnsi="宋体" w:eastAsia="仿宋_GB2312"/>
          <w:color w:val="auto"/>
          <w:sz w:val="24"/>
          <w:highlight w:val="none"/>
        </w:rPr>
        <w:t>，并无条件对不符合合同约定要求的材料设备进行更换。</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（3）进场验收合格后的材料不能及时使用的，应由乙方自行负责保管，并承担保管风险。</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2．工程竣工验收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乙方安装完毕，在自检合格的基础上，负责组织调试检查，调试自检合格后书面通知甲方、监理方，协同甲方及监理作预验收检查，各方应及时参加验收；预验收检查合格后3天内乙方应负责向供电部门办理并网手续。</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（2）乙方应按甲方合理要求及时组织验收整改。本工程通过当地供电局验收合格并送电并网后15天内，乙方应及时完成竣工验收整改后向甲方移交，双方办理工程移交。</w:t>
      </w:r>
    </w:p>
    <w:p>
      <w:pPr>
        <w:spacing w:line="360" w:lineRule="auto"/>
        <w:ind w:firstLine="480" w:firstLineChars="200"/>
        <w:rPr>
          <w:color w:val="auto"/>
          <w:highlight w:val="none"/>
        </w:rPr>
      </w:pPr>
      <w:r>
        <w:rPr>
          <w:rFonts w:hint="eastAsia" w:ascii="仿宋_GB2312" w:eastAsia="仿宋_GB2312"/>
          <w:color w:val="auto"/>
          <w:sz w:val="24"/>
          <w:highlight w:val="none"/>
        </w:rPr>
        <w:t>（3）工程竣工时，乙方负责收集、整理本工程承包范围内的全部资料，在甲方规定的时间内向甲方提交全部施工资料，同时资料应满足甲方归档要求。</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（4）自本工程并网投运后3天内，乙方人员应从施工现场撤离并清理运出乙方剩余材料、设备、垃圾和各种临时设施，保持整个现场清洁、美观，达到竣工使用状态。</w:t>
      </w:r>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十一、工程保修</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1．本工程保修期限为</w:t>
      </w:r>
      <w:permStart w:id="49" w:edGrp="everyone"/>
      <w:r>
        <w:rPr>
          <w:rFonts w:hint="default" w:ascii="仿宋_GB2312" w:eastAsia="仿宋_GB2312"/>
          <w:color w:val="auto"/>
          <w:sz w:val="24"/>
          <w:highlight w:val="none"/>
        </w:rPr>
        <w:t>2</w:t>
      </w:r>
      <w:permEnd w:id="49"/>
      <w:r>
        <w:rPr>
          <w:rFonts w:hint="eastAsia" w:ascii="仿宋_GB2312" w:eastAsia="仿宋_GB2312"/>
          <w:color w:val="auto"/>
          <w:sz w:val="24"/>
          <w:highlight w:val="none"/>
        </w:rPr>
        <w:t>年，自本工程验收合格，并网投运并交付给甲方之日起计。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2．保修范围：本工程的保修内容包括本合同约定承包范围内的所有工程项目、设计变更或文字约定、双方或多方会议纪要约定的全部内容。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保修责任：在本工程保修期内，乙方负责对不能正常使用的设备进行维修或更换。若设备出现故障，乙方应在接到甲方通知后2小时内回复，4小时之内派员到达现场进行维修处理；如现场不能处理，乙方应及时更换新的设备或配件，以保证设备的正常发电。如乙方不能、不愿或未按时到达本工程现场排除故障，甲方有权委托第三方进行维修，费用由乙方负责，同时乙方按维修费用的20%向甲方支付违约金，维修费和违约金自质量保修金中直接扣除。</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保修期限届满后，在设备发生故障时，甲方不能自行排除时，通知乙方，乙方应在接到通知后3小时之内派员到达现场进行维修，协助排除故障，超过保修期更换零配件的，乙方应按出厂价收取，人工费按市场标准收取。</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5．工程在交付使用前，乙方应对甲方或业主单位的人员进行技术指导培训，保证甲方或业主单位的人员掌握光伏系统具体情况及设备的操作使用方法、注意事项。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6．乙方应以书面形式提供保修服务队伍有效的名称、资质、人员配备、联系地址、电话等详细资料（若乙方提供的保修服务队伍的地址、电话等变更应及时以书面通知甲方）。</w:t>
      </w:r>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十二、违约责任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1．本工程严禁转包或违法分包，若乙方擅自违法分包、转包或中途退场的，甲方有权单方解除本合同，合同解除后，乙方应无条件退还甲方已付工程款，同时应向甲方支付合同总价</w:t>
      </w:r>
      <w:r>
        <w:rPr>
          <w:rFonts w:hint="eastAsia" w:ascii="仿宋_GB2312" w:eastAsia="仿宋_GB2312"/>
          <w:b/>
          <w:color w:val="auto"/>
          <w:sz w:val="24"/>
          <w:highlight w:val="none"/>
        </w:rPr>
        <w:t>10%</w:t>
      </w:r>
      <w:r>
        <w:rPr>
          <w:rFonts w:hint="eastAsia" w:ascii="仿宋_GB2312" w:eastAsia="仿宋_GB2312"/>
          <w:color w:val="auto"/>
          <w:sz w:val="24"/>
          <w:highlight w:val="none"/>
        </w:rPr>
        <w:t>的违约金，且乙方无权要求甲方退回履约保证金。</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2．乙方逾期并网的，需按每逾期一天向甲方支付合同总价</w:t>
      </w:r>
      <w:r>
        <w:rPr>
          <w:rFonts w:hint="eastAsia" w:ascii="仿宋_GB2312" w:eastAsia="仿宋_GB2312"/>
          <w:b/>
          <w:color w:val="auto"/>
          <w:sz w:val="24"/>
          <w:highlight w:val="none"/>
        </w:rPr>
        <w:t>1‰</w:t>
      </w:r>
      <w:r>
        <w:rPr>
          <w:rFonts w:hint="eastAsia" w:ascii="仿宋_GB2312" w:eastAsia="仿宋_GB2312"/>
          <w:color w:val="auto"/>
          <w:sz w:val="24"/>
          <w:highlight w:val="none"/>
        </w:rPr>
        <w:t>的违约金，累计至合同总价的</w:t>
      </w:r>
      <w:permStart w:id="50" w:edGrp="everyone"/>
      <w:r>
        <w:rPr>
          <w:rFonts w:hint="eastAsia" w:ascii="仿宋_GB2312" w:eastAsia="仿宋_GB2312"/>
          <w:color w:val="auto"/>
          <w:sz w:val="24"/>
          <w:highlight w:val="none"/>
        </w:rPr>
        <w:t>30%</w:t>
      </w:r>
      <w:permEnd w:id="50"/>
      <w:r>
        <w:rPr>
          <w:rFonts w:hint="eastAsia" w:ascii="仿宋_GB2312" w:eastAsia="仿宋_GB2312"/>
          <w:color w:val="auto"/>
          <w:sz w:val="24"/>
          <w:highlight w:val="none"/>
        </w:rPr>
        <w:t>为止。逾期超过60天，甲方有权单方解除本合同，所造成的损失全部由乙方承担且乙方无权要求甲方退回履约保证金。</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3．工程施工过程中出现工程质量问题的，甲方有权要求乙方进行整改，整改费用全部由乙方承担，工期不予顺延。</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4．乙方违章施工或施工质量不符合规范要求而造成工程的质量事故，乙方须按甲方要求进行整改，整改费用全部由乙方承担，工期不予顺延，同时乙方应按相应责任赔偿损失。</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工程全部完工，经甲方验收工程质量未能达到本合同约定标准和国家相关标准的，乙方须按甲方要求无条件整改至合格，费用全部由乙方承担，工期不予顺延，造成工期延误的，乙方还应按本条第2款逾期完工的约定承担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乙方未按本合同约定的施工图纸施工的，甲方有权要求乙方整改至符合图纸内容要求，整改费用由乙方承担；乙方未按图纸施工部分造价达到工程总造价20%的，甲方有权单方解除本合同，乙方已完成且验收合格的工程量按</w:t>
      </w:r>
      <w:r>
        <w:rPr>
          <w:rFonts w:hint="eastAsia" w:ascii="仿宋_GB2312" w:eastAsia="仿宋_GB2312"/>
          <w:b/>
          <w:color w:val="auto"/>
          <w:sz w:val="24"/>
          <w:highlight w:val="none"/>
        </w:rPr>
        <w:t>80%</w:t>
      </w:r>
      <w:r>
        <w:rPr>
          <w:rFonts w:hint="eastAsia" w:ascii="仿宋_GB2312" w:eastAsia="仿宋_GB2312"/>
          <w:color w:val="auto"/>
          <w:sz w:val="24"/>
          <w:highlight w:val="none"/>
        </w:rPr>
        <w:t>结算，同时甲方有权要求乙方支付合同总价</w:t>
      </w:r>
      <w:r>
        <w:rPr>
          <w:rFonts w:hint="eastAsia" w:ascii="仿宋_GB2312" w:eastAsia="仿宋_GB2312"/>
          <w:b/>
          <w:color w:val="auto"/>
          <w:sz w:val="24"/>
          <w:highlight w:val="none"/>
        </w:rPr>
        <w:t>10%</w:t>
      </w:r>
      <w:r>
        <w:rPr>
          <w:rFonts w:hint="eastAsia" w:ascii="仿宋_GB2312" w:eastAsia="仿宋_GB2312"/>
          <w:color w:val="auto"/>
          <w:sz w:val="24"/>
          <w:highlight w:val="none"/>
        </w:rPr>
        <w:t>的违约金，且乙方无权要求甲方返还履约保证金。</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7.如</w:t>
      </w:r>
      <w:r>
        <w:rPr>
          <w:rFonts w:hint="default" w:ascii="仿宋_GB2312" w:eastAsia="仿宋_GB2312"/>
          <w:color w:val="auto"/>
          <w:sz w:val="24"/>
          <w:highlight w:val="none"/>
        </w:rPr>
        <w:t>乙方施工完毕经甲方验收合格后，甲方在</w:t>
      </w:r>
      <w:r>
        <w:rPr>
          <w:rFonts w:hint="eastAsia" w:ascii="仿宋_GB2312" w:eastAsia="仿宋_GB2312"/>
          <w:color w:val="auto"/>
          <w:sz w:val="24"/>
          <w:highlight w:val="none"/>
        </w:rPr>
        <w:t>质保期</w:t>
      </w:r>
      <w:r>
        <w:rPr>
          <w:rFonts w:hint="default" w:ascii="仿宋_GB2312" w:eastAsia="仿宋_GB2312"/>
          <w:color w:val="auto"/>
          <w:sz w:val="24"/>
          <w:highlight w:val="none"/>
        </w:rPr>
        <w:t>内发现乙方</w:t>
      </w:r>
      <w:r>
        <w:rPr>
          <w:rFonts w:hint="eastAsia" w:ascii="仿宋_GB2312" w:eastAsia="仿宋_GB2312"/>
          <w:color w:val="auto"/>
          <w:sz w:val="24"/>
          <w:highlight w:val="none"/>
        </w:rPr>
        <w:t>已完</w:t>
      </w:r>
      <w:r>
        <w:rPr>
          <w:rFonts w:hint="default" w:ascii="仿宋_GB2312" w:eastAsia="仿宋_GB2312"/>
          <w:color w:val="auto"/>
          <w:sz w:val="24"/>
          <w:highlight w:val="none"/>
        </w:rPr>
        <w:t>工程存在质量问题，</w:t>
      </w:r>
      <w:r>
        <w:rPr>
          <w:rFonts w:hint="eastAsia" w:ascii="仿宋_GB2312" w:eastAsia="仿宋_GB2312"/>
          <w:color w:val="auto"/>
          <w:sz w:val="24"/>
          <w:highlight w:val="none"/>
        </w:rPr>
        <w:t>并</w:t>
      </w:r>
      <w:r>
        <w:rPr>
          <w:rFonts w:hint="default" w:ascii="仿宋_GB2312" w:eastAsia="仿宋_GB2312"/>
          <w:color w:val="auto"/>
          <w:sz w:val="24"/>
          <w:highlight w:val="none"/>
        </w:rPr>
        <w:t>经</w:t>
      </w:r>
      <w:r>
        <w:rPr>
          <w:rFonts w:hint="eastAsia" w:ascii="仿宋_GB2312" w:eastAsia="仿宋_GB2312"/>
          <w:color w:val="auto"/>
          <w:sz w:val="24"/>
          <w:highlight w:val="none"/>
        </w:rPr>
        <w:t>具有</w:t>
      </w:r>
      <w:r>
        <w:rPr>
          <w:rFonts w:hint="default" w:ascii="仿宋_GB2312" w:eastAsia="仿宋_GB2312"/>
          <w:color w:val="auto"/>
          <w:sz w:val="24"/>
          <w:highlight w:val="none"/>
        </w:rPr>
        <w:t>法定鉴定资质的鉴定机构鉴定为不合格的，</w:t>
      </w:r>
      <w:r>
        <w:rPr>
          <w:rFonts w:hint="eastAsia" w:ascii="仿宋_GB2312" w:eastAsia="仿宋_GB2312"/>
          <w:color w:val="auto"/>
          <w:sz w:val="24"/>
          <w:highlight w:val="none"/>
        </w:rPr>
        <w:t>乙方</w:t>
      </w:r>
      <w:r>
        <w:rPr>
          <w:rFonts w:hint="default" w:ascii="仿宋_GB2312" w:eastAsia="仿宋_GB2312"/>
          <w:color w:val="auto"/>
          <w:sz w:val="24"/>
          <w:highlight w:val="none"/>
        </w:rPr>
        <w:t>应无条件进行整改，</w:t>
      </w:r>
      <w:r>
        <w:rPr>
          <w:rFonts w:hint="eastAsia" w:ascii="仿宋_GB2312" w:eastAsia="仿宋_GB2312"/>
          <w:color w:val="auto"/>
          <w:sz w:val="24"/>
          <w:highlight w:val="none"/>
        </w:rPr>
        <w:t>否则</w:t>
      </w:r>
      <w:r>
        <w:rPr>
          <w:rFonts w:hint="default" w:ascii="仿宋_GB2312" w:eastAsia="仿宋_GB2312"/>
          <w:color w:val="auto"/>
          <w:sz w:val="24"/>
          <w:highlight w:val="none"/>
        </w:rPr>
        <w:t>甲方有权向乙方追索整改费</w:t>
      </w:r>
      <w:r>
        <w:rPr>
          <w:rFonts w:hint="eastAsia" w:ascii="仿宋_GB2312" w:eastAsia="仿宋_GB2312"/>
          <w:color w:val="auto"/>
          <w:sz w:val="24"/>
          <w:highlight w:val="none"/>
        </w:rPr>
        <w:t>并在</w:t>
      </w:r>
      <w:r>
        <w:rPr>
          <w:rFonts w:hint="default" w:ascii="仿宋_GB2312" w:eastAsia="仿宋_GB2312"/>
          <w:color w:val="auto"/>
          <w:sz w:val="24"/>
          <w:highlight w:val="none"/>
        </w:rPr>
        <w:t>质量保修金</w:t>
      </w:r>
      <w:r>
        <w:rPr>
          <w:rFonts w:hint="eastAsia" w:ascii="仿宋_GB2312" w:eastAsia="仿宋_GB2312"/>
          <w:color w:val="auto"/>
          <w:sz w:val="24"/>
          <w:highlight w:val="none"/>
        </w:rPr>
        <w:t>进行</w:t>
      </w:r>
      <w:r>
        <w:rPr>
          <w:rFonts w:hint="default" w:ascii="仿宋_GB2312" w:eastAsia="仿宋_GB2312"/>
          <w:color w:val="auto"/>
          <w:sz w:val="24"/>
          <w:highlight w:val="none"/>
        </w:rPr>
        <w:t>扣除。</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8.若乙方提供</w:t>
      </w:r>
      <w:r>
        <w:rPr>
          <w:rFonts w:hint="default" w:ascii="仿宋_GB2312" w:eastAsia="仿宋_GB2312"/>
          <w:color w:val="auto"/>
          <w:sz w:val="24"/>
          <w:highlight w:val="none"/>
        </w:rPr>
        <w:t>的材料设备存在</w:t>
      </w:r>
      <w:r>
        <w:rPr>
          <w:rFonts w:hint="eastAsia" w:ascii="仿宋_GB2312" w:eastAsia="仿宋_GB2312"/>
          <w:color w:val="auto"/>
          <w:sz w:val="24"/>
          <w:highlight w:val="none"/>
        </w:rPr>
        <w:t>掺</w:t>
      </w:r>
      <w:r>
        <w:rPr>
          <w:rFonts w:hint="default" w:ascii="仿宋_GB2312" w:eastAsia="仿宋_GB2312"/>
          <w:color w:val="auto"/>
          <w:sz w:val="24"/>
          <w:highlight w:val="none"/>
        </w:rPr>
        <w:t>杂、掺假，</w:t>
      </w:r>
      <w:r>
        <w:rPr>
          <w:rFonts w:hint="eastAsia" w:ascii="仿宋_GB2312" w:eastAsia="仿宋_GB2312"/>
          <w:color w:val="auto"/>
          <w:sz w:val="24"/>
          <w:highlight w:val="none"/>
        </w:rPr>
        <w:t>以</w:t>
      </w:r>
      <w:r>
        <w:rPr>
          <w:rFonts w:hint="default" w:ascii="仿宋_GB2312" w:eastAsia="仿宋_GB2312"/>
          <w:color w:val="auto"/>
          <w:sz w:val="24"/>
          <w:highlight w:val="none"/>
        </w:rPr>
        <w:t>假</w:t>
      </w:r>
      <w:r>
        <w:rPr>
          <w:rFonts w:hint="eastAsia" w:ascii="仿宋_GB2312" w:eastAsia="仿宋_GB2312"/>
          <w:color w:val="auto"/>
          <w:sz w:val="24"/>
          <w:highlight w:val="none"/>
        </w:rPr>
        <w:t>充</w:t>
      </w:r>
      <w:r>
        <w:rPr>
          <w:rFonts w:hint="default" w:ascii="仿宋_GB2312" w:eastAsia="仿宋_GB2312"/>
          <w:color w:val="auto"/>
          <w:sz w:val="24"/>
          <w:highlight w:val="none"/>
        </w:rPr>
        <w:t>真，</w:t>
      </w:r>
      <w:r>
        <w:rPr>
          <w:rFonts w:hint="eastAsia" w:ascii="仿宋_GB2312" w:eastAsia="仿宋_GB2312"/>
          <w:color w:val="auto"/>
          <w:sz w:val="24"/>
          <w:highlight w:val="none"/>
        </w:rPr>
        <w:t>以</w:t>
      </w:r>
      <w:r>
        <w:rPr>
          <w:rFonts w:hint="default" w:ascii="仿宋_GB2312" w:eastAsia="仿宋_GB2312"/>
          <w:color w:val="auto"/>
          <w:sz w:val="24"/>
          <w:highlight w:val="none"/>
        </w:rPr>
        <w:t>次充好，以不合格产品冒充合格产品、以旧货冒充新货</w:t>
      </w:r>
      <w:r>
        <w:rPr>
          <w:rFonts w:hint="eastAsia" w:ascii="仿宋_GB2312" w:eastAsia="仿宋_GB2312"/>
          <w:color w:val="auto"/>
          <w:sz w:val="24"/>
          <w:highlight w:val="none"/>
        </w:rPr>
        <w:t>或擅自更换合同约定材料设备品牌的，甲方有权要求乙方整改至符合合同约定要求，整改费用由乙方承担</w:t>
      </w:r>
      <w:r>
        <w:rPr>
          <w:rFonts w:hint="default" w:ascii="仿宋_GB2312" w:eastAsia="仿宋_GB2312"/>
          <w:color w:val="auto"/>
          <w:sz w:val="24"/>
          <w:highlight w:val="none"/>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eastAsia="仿宋_GB2312"/>
          <w:color w:val="auto"/>
          <w:sz w:val="24"/>
          <w:highlight w:val="none"/>
        </w:rPr>
        <w:t>9．乙方损坏施工现场周围建筑物、设备管线及其他相关专业的施工成品、半成品的，乙方须无条件修复，修复费用由乙方承担，工期不予顺延。</w:t>
      </w:r>
    </w:p>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十三、不可抗力</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在本合同期限内，任何一方因不可抗力情形的发生（如战争、地震等），导致不能全部或部分履行本合同约定的义务时，双方均应积极采取补救措施以减少损失，需免责方须立即用电话或传真通知对方，并在十天内以书面方式将不可抗力情形详细情况及有关证明文件提供给对方，在其证明得到证实后，可部分或全部免除其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2．一方迟延履行后发生不可抗力的，不得免除或减轻其应承担的违约责任。</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十四、争议解决方式</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在本合同的履行过程中，双方如发生争议的，由双方协商解决；协商不成的，双方均可向工程所在地人民法院起诉。</w:t>
      </w:r>
    </w:p>
    <w:p>
      <w:pPr>
        <w:rPr>
          <w:color w:val="auto"/>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十五、其他</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长期合作约定：乙方如严格履行合同，诚实信用，配合情况良好并为甲方提供了高质量、高效率的工作成果，甲方将与其长期合作；若乙方违反合同约定要求及不诚信的，甲方将不再与乙方合作，并追究乙方的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2．双方应保证地址、联系方式、企业法定代表人等工商登记情况及代理人等有关资料和证件真实有效，如有变更，须提前7天书面通知对方。</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3．与本合同有关的通知、文件等均须采用书面形式发出。</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4．本合同</w:t>
      </w:r>
      <w:bookmarkStart w:id="96" w:name="合同总数"/>
      <w:r>
        <w:rPr>
          <w:rFonts w:hint="eastAsia" w:ascii="仿宋_GB2312" w:eastAsia="仿宋_GB2312"/>
          <w:color w:val="auto"/>
          <w:sz w:val="24"/>
          <w:highlight w:val="none"/>
        </w:rPr>
        <w:t>一式</w:t>
      </w:r>
      <w:permStart w:id="51" w:edGrp="everyone"/>
      <w:r>
        <w:rPr>
          <w:rFonts w:hint="eastAsia" w:ascii="仿宋_GB2312" w:eastAsia="仿宋_GB2312"/>
          <w:color w:val="auto"/>
          <w:sz w:val="24"/>
          <w:highlight w:val="none"/>
        </w:rPr>
        <w:t>陆</w:t>
      </w:r>
      <w:permEnd w:id="51"/>
      <w:r>
        <w:rPr>
          <w:rFonts w:hint="eastAsia" w:ascii="仿宋_GB2312" w:eastAsia="仿宋_GB2312"/>
          <w:color w:val="auto"/>
          <w:sz w:val="24"/>
          <w:highlight w:val="none"/>
        </w:rPr>
        <w:t>份</w:t>
      </w:r>
      <w:bookmarkEnd w:id="96"/>
      <w:r>
        <w:rPr>
          <w:rFonts w:hint="eastAsia" w:ascii="仿宋_GB2312" w:eastAsia="仿宋_GB2312"/>
          <w:color w:val="auto"/>
          <w:sz w:val="24"/>
          <w:highlight w:val="none"/>
        </w:rPr>
        <w:t>，甲方执</w:t>
      </w:r>
      <w:permStart w:id="52" w:edGrp="everyone"/>
      <w:r>
        <w:rPr>
          <w:rFonts w:hint="eastAsia" w:ascii="仿宋_GB2312" w:eastAsia="仿宋_GB2312"/>
          <w:color w:val="auto"/>
          <w:sz w:val="24"/>
          <w:highlight w:val="none"/>
        </w:rPr>
        <w:t>贰</w:t>
      </w:r>
      <w:permEnd w:id="52"/>
      <w:r>
        <w:rPr>
          <w:rFonts w:hint="eastAsia" w:ascii="仿宋_GB2312" w:eastAsia="仿宋_GB2312"/>
          <w:color w:val="auto"/>
          <w:sz w:val="24"/>
          <w:highlight w:val="none"/>
        </w:rPr>
        <w:t>份，乙方</w:t>
      </w:r>
      <w:bookmarkStart w:id="97" w:name="乙方份数"/>
      <w:r>
        <w:rPr>
          <w:rFonts w:hint="eastAsia" w:ascii="仿宋_GB2312" w:eastAsia="仿宋_GB2312"/>
          <w:color w:val="auto"/>
          <w:sz w:val="24"/>
          <w:highlight w:val="none"/>
        </w:rPr>
        <w:t>各执</w:t>
      </w:r>
      <w:permStart w:id="53" w:edGrp="everyone"/>
      <w:r>
        <w:rPr>
          <w:rFonts w:hint="eastAsia" w:ascii="仿宋_GB2312" w:eastAsia="仿宋_GB2312"/>
          <w:color w:val="auto"/>
          <w:sz w:val="24"/>
          <w:highlight w:val="none"/>
        </w:rPr>
        <w:t>贰</w:t>
      </w:r>
      <w:permEnd w:id="53"/>
      <w:r>
        <w:rPr>
          <w:rFonts w:hint="eastAsia" w:ascii="仿宋_GB2312" w:eastAsia="仿宋_GB2312"/>
          <w:color w:val="auto"/>
          <w:sz w:val="24"/>
          <w:highlight w:val="none"/>
        </w:rPr>
        <w:t>份</w:t>
      </w:r>
      <w:bookmarkEnd w:id="97"/>
      <w:r>
        <w:rPr>
          <w:rFonts w:hint="eastAsia" w:ascii="仿宋_GB2312" w:eastAsia="仿宋_GB2312"/>
          <w:color w:val="auto"/>
          <w:sz w:val="24"/>
          <w:highlight w:val="none"/>
        </w:rPr>
        <w:t>，均具同等法律效力。本合同自双方签字盖章之日起发生法律效力，双方履行完合同全部义务后自行失效。</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5．本合同未尽事宜，双方另行协商签订补充协议，补充协议与本合同具有同等法律效力。</w:t>
      </w:r>
    </w:p>
    <w:p>
      <w:pPr>
        <w:rPr>
          <w:color w:val="auto"/>
          <w:highlight w:val="none"/>
        </w:rPr>
      </w:pPr>
    </w:p>
    <w:p>
      <w:pPr>
        <w:spacing w:line="360" w:lineRule="auto"/>
        <w:rPr>
          <w:rFonts w:hint="default" w:ascii="仿宋_GB2312" w:eastAsia="仿宋_GB2312"/>
          <w:b/>
          <w:color w:val="auto"/>
          <w:sz w:val="24"/>
          <w:highlight w:val="none"/>
        </w:rPr>
      </w:pPr>
      <w:permStart w:id="54" w:edGrp="everyone"/>
      <w:r>
        <w:rPr>
          <w:rFonts w:hint="eastAsia" w:ascii="仿宋_GB2312" w:eastAsia="仿宋_GB2312"/>
          <w:b/>
          <w:color w:val="auto"/>
          <w:sz w:val="24"/>
          <w:highlight w:val="none"/>
        </w:rPr>
        <w:t>十六、专用补充约定 （若本条约定内容与以上条款内容相冲突的，以本条约定内容为准）</w:t>
      </w:r>
    </w:p>
    <w:p>
      <w:pPr>
        <w:spacing w:line="360" w:lineRule="auto"/>
        <w:ind w:firstLine="480" w:firstLineChars="200"/>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1、乙方保证自中标公示完毕之日起15天内提交完整开工资料，在收到甲方通知后2日内进场施工，否则甲方有权按本合同第十二条第2款逾期并网的约定承担违约责任。</w:t>
      </w:r>
    </w:p>
    <w:p>
      <w:pPr>
        <w:spacing w:line="360" w:lineRule="auto"/>
        <w:ind w:firstLine="480" w:firstLineChars="200"/>
        <w:rPr>
          <w:rFonts w:hint="eastAsia" w:ascii="仿宋_GB2312" w:hAnsi="仿宋_GB2312" w:eastAsia="仿宋_GB2312" w:cs="仿宋_GB2312"/>
          <w:color w:val="auto"/>
          <w:sz w:val="24"/>
          <w:highlight w:val="none"/>
          <w:u w:val="none"/>
          <w:lang w:val="en-US" w:eastAsia="zh-CN"/>
        </w:rPr>
      </w:pPr>
      <w:r>
        <w:rPr>
          <w:rFonts w:hint="eastAsia" w:ascii="仿宋_GB2312" w:hAnsi="仿宋_GB2312" w:eastAsia="仿宋_GB2312" w:cs="仿宋_GB2312"/>
          <w:color w:val="auto"/>
          <w:sz w:val="24"/>
          <w:highlight w:val="none"/>
          <w:u w:val="none"/>
          <w:lang w:val="en-US" w:eastAsia="zh-CN"/>
        </w:rPr>
        <w:t>2、发包方如遇到以下情况可解除本合同:</w:t>
      </w:r>
    </w:p>
    <w:p>
      <w:pPr>
        <w:spacing w:line="360" w:lineRule="auto"/>
        <w:ind w:firstLine="480" w:firstLineChars="200"/>
        <w:rPr>
          <w:rFonts w:hint="eastAsia" w:ascii="仿宋_GB2312" w:hAnsi="仿宋_GB2312" w:eastAsia="仿宋_GB2312" w:cs="仿宋_GB2312"/>
          <w:color w:val="auto"/>
          <w:sz w:val="24"/>
          <w:highlight w:val="none"/>
          <w:u w:val="none"/>
          <w:lang w:val="en-US" w:eastAsia="zh-CN"/>
        </w:rPr>
      </w:pPr>
      <w:r>
        <w:rPr>
          <w:rFonts w:hint="eastAsia" w:ascii="仿宋_GB2312" w:hAnsi="仿宋_GB2312" w:eastAsia="仿宋_GB2312" w:cs="仿宋_GB2312"/>
          <w:color w:val="auto"/>
          <w:sz w:val="24"/>
          <w:highlight w:val="none"/>
          <w:u w:val="none"/>
          <w:lang w:val="en-US" w:eastAsia="zh-CN"/>
        </w:rPr>
        <w:t>2.1、若本光伏项目用能方与我司解除《合同能源管理合同》，进而导致我司无法继续实施投资建设光伏项目，则本《光伏项目总承包合同》同步解除。在此情况下，承包方为参与该项目招采活动而产生的所有费用（包括但不限于交通费、咨询费、标书制作费、打印费、招标代理服务费等）需自行承担，且承包方应在接到解除合同通知后的7个工作日内完成人员及设备的撤离工作，并妥善处理好现场的清理与交接事宜，确保不对发包方造成任何额外的负担和损失。</w:t>
      </w:r>
    </w:p>
    <w:p>
      <w:pPr>
        <w:spacing w:line="360" w:lineRule="auto"/>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highlight w:val="none"/>
          <w:u w:val="none"/>
          <w:lang w:val="en-US" w:eastAsia="zh-CN"/>
        </w:rPr>
        <w:t>2.2、承包人需在中标公示完毕后90天内提交完整开工资料并进场。若因承包人自身原因（如拖延办理必要手续、施工组织不力等）导致项目进度滞后，且滞后时间超过7个工作日内，已经对发包人的整体规划产生了实质性影响（例如导致发包方错过最佳并网时机、影响后续项目衔接等），发包人有权解除《光伏项目总承包合同》。承包人需自行承担相关损失，包括但不限于已投入的成本、因滞后产生的额外费用以及对发包方整体规划造成影响的赔偿责任等。同时，承包人应在接到解除合同通知后的7个工作日内无条件撤场，并做好已完工程的保护工作，确保现场安全和环境整洁。</w:t>
      </w:r>
      <w:permEnd w:id="54"/>
    </w:p>
    <w:p>
      <w:pPr>
        <w:spacing w:beforeLines="0" w:afterLines="0" w:line="360" w:lineRule="auto"/>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本项目实行发电量考核制：承包单位应确保该项目发电量数据（即年发电保底电量发电时数，详见下表）按月统计、确认，以1年为周期考核，考核期限为光伏发电项目并网投运后连续2年运营期。因业主单位或供电部门计划停电或检修产生的电量损失、双方认定的不可抗力影响的发电量损失等不在考核范围内，属于免考核发电量。当光伏电站由于承包单位在安装时自身原因未达到相应年限考核发电量时，承包单位向发包单位补足本应发电量的差额部分（差额部分=全年考核发电时数差额×实际装机容量×本项目应收电价），差额部分从工程款质量保修金中扣除。</w:t>
      </w:r>
    </w:p>
    <w:p>
      <w:pPr>
        <w:spacing w:beforeLines="0" w:afterLines="0" w:line="400" w:lineRule="exact"/>
        <w:ind w:firstLine="480" w:firstLineChars="200"/>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项目运营期考核发电量数据表</w:t>
      </w:r>
    </w:p>
    <w:tbl>
      <w:tblPr>
        <w:tblStyle w:val="33"/>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4"/>
        <w:gridCol w:w="1737"/>
        <w:gridCol w:w="1824"/>
        <w:gridCol w:w="2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jc w:val="center"/>
        </w:trPr>
        <w:tc>
          <w:tcPr>
            <w:tcW w:w="27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line="400" w:lineRule="exact"/>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运维年限</w:t>
            </w:r>
          </w:p>
        </w:tc>
        <w:tc>
          <w:tcPr>
            <w:tcW w:w="17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line="400" w:lineRule="exact"/>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第1年</w:t>
            </w:r>
          </w:p>
        </w:tc>
        <w:tc>
          <w:tcPr>
            <w:tcW w:w="18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line="400" w:lineRule="exact"/>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第2年</w:t>
            </w:r>
          </w:p>
        </w:tc>
        <w:tc>
          <w:tcPr>
            <w:tcW w:w="22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line="400" w:lineRule="exact"/>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第3年及之后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jc w:val="center"/>
        </w:trPr>
        <w:tc>
          <w:tcPr>
            <w:tcW w:w="27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全年考核发电时数</w:t>
            </w:r>
          </w:p>
        </w:tc>
        <w:tc>
          <w:tcPr>
            <w:tcW w:w="17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1055小时</w:t>
            </w:r>
          </w:p>
        </w:tc>
        <w:tc>
          <w:tcPr>
            <w:tcW w:w="18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1029小时</w:t>
            </w:r>
          </w:p>
        </w:tc>
        <w:tc>
          <w:tcPr>
            <w:tcW w:w="22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widowControl/>
              <w:spacing w:beforeLines="0" w:afterLines="0"/>
              <w:jc w:val="center"/>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不考核</w:t>
            </w:r>
          </w:p>
        </w:tc>
      </w:tr>
    </w:tbl>
    <w:p>
      <w:pPr>
        <w:spacing w:line="360" w:lineRule="auto"/>
        <w:rPr>
          <w:rFonts w:hint="default" w:ascii="仿宋_GB2312" w:eastAsia="仿宋_GB2312"/>
          <w:b/>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十七、合同附件</w:t>
      </w:r>
    </w:p>
    <w:p>
      <w:pPr>
        <w:keepNext w:val="0"/>
        <w:keepLines w:val="0"/>
        <w:pageBreakBefore w:val="0"/>
        <w:widowControl w:val="0"/>
        <w:kinsoku/>
        <w:wordWrap/>
        <w:overflowPunct/>
        <w:topLinePunct w:val="0"/>
        <w:autoSpaceDE/>
        <w:autoSpaceDN/>
        <w:adjustRightInd/>
        <w:snapToGrid/>
        <w:spacing w:line="360" w:lineRule="auto"/>
        <w:ind w:firstLine="480" w:firstLineChars="200"/>
        <w:textAlignment w:val="auto"/>
        <w:rPr>
          <w:rFonts w:hint="default" w:eastAsia="仿宋_GB2312"/>
          <w:color w:val="auto"/>
          <w:highlight w:val="none"/>
        </w:rPr>
      </w:pPr>
      <w:r>
        <w:rPr>
          <w:rFonts w:hint="eastAsia" w:ascii="仿宋_GB2312" w:eastAsia="仿宋_GB2312"/>
          <w:color w:val="auto"/>
          <w:sz w:val="24"/>
          <w:highlight w:val="none"/>
        </w:rPr>
        <w:t>1．联合体共同投标协议；</w:t>
      </w:r>
    </w:p>
    <w:p>
      <w:pPr>
        <w:keepNext w:val="0"/>
        <w:keepLines w:val="0"/>
        <w:pageBreakBefore w:val="0"/>
        <w:widowControl w:val="0"/>
        <w:kinsoku/>
        <w:wordWrap/>
        <w:overflowPunct/>
        <w:topLinePunct w:val="0"/>
        <w:autoSpaceDE/>
        <w:autoSpaceDN/>
        <w:adjustRightInd/>
        <w:snapToGrid/>
        <w:spacing w:line="360" w:lineRule="auto"/>
        <w:ind w:firstLine="480" w:firstLineChars="200"/>
        <w:textAlignment w:val="auto"/>
        <w:rPr>
          <w:rFonts w:hint="default" w:eastAsia="仿宋_GB2312"/>
          <w:color w:val="auto"/>
          <w:highlight w:val="none"/>
        </w:rPr>
      </w:pPr>
      <w:r>
        <w:rPr>
          <w:rFonts w:hint="eastAsia" w:ascii="仿宋_GB2312" w:eastAsia="仿宋_GB2312"/>
          <w:color w:val="auto"/>
          <w:sz w:val="24"/>
          <w:highlight w:val="none"/>
        </w:rPr>
        <w:t>2．安全协议书；</w:t>
      </w:r>
    </w:p>
    <w:p>
      <w:pPr>
        <w:keepNext w:val="0"/>
        <w:keepLines w:val="0"/>
        <w:pageBreakBefore w:val="0"/>
        <w:widowControl w:val="0"/>
        <w:kinsoku/>
        <w:wordWrap/>
        <w:overflowPunct/>
        <w:topLinePunct w:val="0"/>
        <w:autoSpaceDE/>
        <w:autoSpaceDN/>
        <w:adjustRightInd/>
        <w:snapToGrid/>
        <w:spacing w:line="360" w:lineRule="auto"/>
        <w:ind w:firstLine="480" w:firstLineChars="200"/>
        <w:textAlignment w:val="auto"/>
        <w:rPr>
          <w:rFonts w:hint="eastAsia" w:ascii="仿宋_GB2312" w:eastAsia="仿宋_GB2312"/>
          <w:color w:val="auto"/>
          <w:sz w:val="24"/>
          <w:highlight w:val="none"/>
          <w:lang w:eastAsia="zh-CN"/>
        </w:rPr>
      </w:pPr>
      <w:r>
        <w:rPr>
          <w:rFonts w:hint="eastAsia" w:ascii="仿宋_GB2312" w:eastAsia="仿宋_GB2312"/>
          <w:color w:val="auto"/>
          <w:sz w:val="24"/>
          <w:highlight w:val="none"/>
        </w:rPr>
        <w:t>3．廉洁协议</w:t>
      </w:r>
      <w:r>
        <w:rPr>
          <w:rFonts w:hint="eastAsia" w:ascii="仿宋_GB2312" w:eastAsia="仿宋_GB2312"/>
          <w:color w:val="auto"/>
          <w:sz w:val="24"/>
          <w:highlight w:val="none"/>
          <w:lang w:eastAsia="zh-CN"/>
        </w:rPr>
        <w:t>；</w:t>
      </w:r>
    </w:p>
    <w:p>
      <w:pPr>
        <w:pStyle w:val="37"/>
        <w:rPr>
          <w:rFonts w:hint="default"/>
          <w:color w:val="auto"/>
          <w:highlight w:val="none"/>
          <w:lang w:val="en-US" w:eastAsia="zh-CN"/>
        </w:rPr>
      </w:pPr>
      <w:r>
        <w:rPr>
          <w:rFonts w:hint="eastAsia" w:ascii="仿宋_GB2312" w:eastAsia="仿宋_GB2312"/>
          <w:color w:val="auto"/>
          <w:sz w:val="24"/>
          <w:highlight w:val="none"/>
          <w:lang w:val="en-US" w:eastAsia="zh-CN"/>
        </w:rPr>
        <w:t>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阳光合作协议；</w:t>
      </w:r>
    </w:p>
    <w:p>
      <w:pPr>
        <w:pStyle w:val="2"/>
        <w:keepNext w:val="0"/>
        <w:keepLines w:val="0"/>
        <w:pageBreakBefore w:val="0"/>
        <w:widowControl w:val="0"/>
        <w:kinsoku/>
        <w:wordWrap/>
        <w:overflowPunct/>
        <w:topLinePunct w:val="0"/>
        <w:autoSpaceDE/>
        <w:autoSpaceDN/>
        <w:adjustRightInd/>
        <w:snapToGrid/>
        <w:spacing w:beforeLines="0"/>
        <w:textAlignment w:val="auto"/>
        <w:rPr>
          <w:rFonts w:hint="default"/>
          <w:color w:val="auto"/>
          <w:highlight w:val="none"/>
          <w:lang w:val="en-US" w:eastAsia="zh-CN"/>
        </w:rPr>
      </w:pP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中标（成交）通知书</w:t>
      </w:r>
    </w:p>
    <w:p>
      <w:pPr>
        <w:keepNext w:val="0"/>
        <w:keepLines w:val="0"/>
        <w:pageBreakBefore w:val="0"/>
        <w:widowControl w:val="0"/>
        <w:kinsoku/>
        <w:wordWrap/>
        <w:overflowPunct/>
        <w:topLinePunct w:val="0"/>
        <w:autoSpaceDE/>
        <w:autoSpaceDN/>
        <w:adjustRightInd/>
        <w:snapToGrid/>
        <w:spacing w:line="360" w:lineRule="auto"/>
        <w:ind w:firstLine="480" w:firstLineChars="200"/>
        <w:textAlignment w:val="auto"/>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6</w:t>
      </w:r>
      <w:r>
        <w:rPr>
          <w:rFonts w:hint="eastAsia" w:ascii="仿宋_GB2312" w:eastAsia="仿宋_GB2312"/>
          <w:color w:val="auto"/>
          <w:sz w:val="24"/>
          <w:highlight w:val="none"/>
        </w:rPr>
        <w:t>．承包商违规行为处罚条例；</w:t>
      </w:r>
    </w:p>
    <w:p>
      <w:pPr>
        <w:keepNext w:val="0"/>
        <w:keepLines w:val="0"/>
        <w:pageBreakBefore w:val="0"/>
        <w:widowControl w:val="0"/>
        <w:kinsoku/>
        <w:wordWrap/>
        <w:overflowPunct/>
        <w:topLinePunct w:val="0"/>
        <w:autoSpaceDE/>
        <w:autoSpaceDN/>
        <w:adjustRightInd/>
        <w:snapToGrid/>
        <w:spacing w:line="360" w:lineRule="auto"/>
        <w:ind w:firstLine="480" w:firstLineChars="200"/>
        <w:textAlignment w:val="auto"/>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7</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光伏电站发电量保证书；</w:t>
      </w:r>
    </w:p>
    <w:p>
      <w:pPr>
        <w:keepNext w:val="0"/>
        <w:keepLines w:val="0"/>
        <w:pageBreakBefore w:val="0"/>
        <w:widowControl w:val="0"/>
        <w:numPr>
          <w:ilvl w:val="0"/>
          <w:numId w:val="9"/>
        </w:numPr>
        <w:kinsoku/>
        <w:wordWrap/>
        <w:overflowPunct/>
        <w:topLinePunct w:val="0"/>
        <w:autoSpaceDE/>
        <w:autoSpaceDN/>
        <w:adjustRightInd/>
        <w:snapToGrid/>
        <w:spacing w:line="360" w:lineRule="auto"/>
        <w:ind w:firstLine="480" w:firstLineChars="200"/>
        <w:textAlignment w:val="auto"/>
        <w:rPr>
          <w:rFonts w:hint="default" w:eastAsia="仿宋_GB2312"/>
          <w:color w:val="auto"/>
          <w:highlight w:val="none"/>
        </w:rPr>
      </w:pP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其他。</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该等附件是本合同不可分割的组成部分，与本合同具有同等法律效力。若附件内容与本合同内容不一致的，以本合同内容为准。</w:t>
      </w:r>
    </w:p>
    <w:p>
      <w:pPr>
        <w:spacing w:line="360" w:lineRule="auto"/>
        <w:ind w:firstLine="480" w:firstLineChars="200"/>
        <w:rPr>
          <w:rFonts w:hint="eastAsia" w:ascii="宋体" w:hAnsi="宋体" w:eastAsia="宋体" w:cs="宋体"/>
          <w:color w:val="auto"/>
          <w:sz w:val="21"/>
          <w:szCs w:val="21"/>
          <w:highlight w:val="none"/>
        </w:rPr>
      </w:pPr>
      <w:r>
        <w:rPr>
          <w:rFonts w:hint="eastAsia" w:ascii="仿宋_GB2312" w:eastAsia="仿宋_GB2312"/>
          <w:color w:val="auto"/>
          <w:sz w:val="24"/>
          <w:highlight w:val="none"/>
        </w:rPr>
        <w:t>（以下无正文）</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2"/>
        <w:spacing w:before="156"/>
        <w:ind w:firstLine="480"/>
        <w:rPr>
          <w:rFonts w:hint="default" w:ascii="仿宋_GB2312" w:eastAsia="仿宋_GB2312"/>
          <w:color w:val="auto"/>
          <w:highlight w:val="none"/>
        </w:rPr>
      </w:pPr>
      <w:r>
        <w:rPr>
          <w:rFonts w:hint="eastAsia" w:ascii="仿宋_GB2312" w:eastAsia="仿宋_GB2312"/>
          <w:color w:val="auto"/>
          <w:highlight w:val="none"/>
        </w:rPr>
        <w:t>（签署页）</w:t>
      </w:r>
    </w:p>
    <w:p>
      <w:pPr>
        <w:rPr>
          <w:color w:val="auto"/>
          <w:highlight w:val="none"/>
        </w:rPr>
      </w:pPr>
    </w:p>
    <w:tbl>
      <w:tblPr>
        <w:tblStyle w:val="33"/>
        <w:tblpPr w:leftFromText="180" w:rightFromText="180" w:vertAnchor="text" w:horzAnchor="page" w:tblpX="1740" w:tblpY="119"/>
        <w:tblW w:w="9145" w:type="dxa"/>
        <w:tblInd w:w="0" w:type="dxa"/>
        <w:tblLayout w:type="fixed"/>
        <w:tblCellMar>
          <w:top w:w="0" w:type="dxa"/>
          <w:left w:w="108" w:type="dxa"/>
          <w:bottom w:w="0" w:type="dxa"/>
          <w:right w:w="108" w:type="dxa"/>
        </w:tblCellMar>
      </w:tblPr>
      <w:tblGrid>
        <w:gridCol w:w="3054"/>
        <w:gridCol w:w="3025"/>
        <w:gridCol w:w="3066"/>
      </w:tblGrid>
      <w:tr>
        <w:tblPrEx>
          <w:tblLayout w:type="fixed"/>
          <w:tblCellMar>
            <w:top w:w="0" w:type="dxa"/>
            <w:left w:w="108" w:type="dxa"/>
            <w:bottom w:w="0" w:type="dxa"/>
            <w:right w:w="108" w:type="dxa"/>
          </w:tblCellMar>
        </w:tblPrEx>
        <w:trPr>
          <w:trHeight w:val="2208" w:hRule="atLeast"/>
        </w:trPr>
        <w:tc>
          <w:tcPr>
            <w:tcW w:w="3054" w:type="dxa"/>
            <w:shd w:val="clear" w:color="auto" w:fill="auto"/>
          </w:tcPr>
          <w:p>
            <w:pPr>
              <w:pStyle w:val="86"/>
              <w:spacing w:after="50" w:line="360" w:lineRule="auto"/>
              <w:rPr>
                <w:rFonts w:hint="eastAsia" w:ascii="仿宋_GB2312" w:hAnsi="宋体" w:eastAsia="仿宋_GB2312"/>
                <w:color w:val="auto"/>
                <w:szCs w:val="24"/>
                <w:highlight w:val="none"/>
                <w:u w:val="none"/>
              </w:rPr>
            </w:pPr>
            <w:r>
              <w:rPr>
                <w:rFonts w:hint="eastAsia" w:ascii="仿宋_GB2312" w:eastAsia="仿宋_GB2312"/>
                <w:color w:val="auto"/>
                <w:highlight w:val="none"/>
                <w:u w:val="none"/>
              </w:rPr>
              <w:t>甲方</w:t>
            </w:r>
            <w:r>
              <w:rPr>
                <w:rFonts w:hint="eastAsia" w:ascii="仿宋_GB2312" w:hAnsi="宋体" w:eastAsia="仿宋_GB2312"/>
                <w:color w:val="auto"/>
                <w:szCs w:val="24"/>
                <w:highlight w:val="none"/>
                <w:u w:val="none"/>
              </w:rPr>
              <w:t>：（公章）</w:t>
            </w:r>
          </w:p>
          <w:p>
            <w:pPr>
              <w:pStyle w:val="86"/>
              <w:spacing w:after="50" w:line="360" w:lineRule="auto"/>
              <w:rPr>
                <w:rFonts w:hint="eastAsia" w:ascii="仿宋_GB2312" w:hAnsi="宋体" w:eastAsia="仿宋_GB2312"/>
                <w:color w:val="auto"/>
                <w:szCs w:val="24"/>
                <w:highlight w:val="none"/>
                <w:u w:val="none"/>
              </w:rPr>
            </w:pPr>
            <w:r>
              <w:rPr>
                <w:rFonts w:hint="eastAsia" w:ascii="仿宋_GB2312" w:hAnsi="宋体" w:eastAsia="仿宋_GB2312"/>
                <w:color w:val="auto"/>
                <w:szCs w:val="24"/>
                <w:highlight w:val="none"/>
                <w:u w:val="none"/>
              </w:rPr>
              <w:t>东莞新锋光伏能源科技有限公司</w:t>
            </w:r>
          </w:p>
        </w:tc>
        <w:tc>
          <w:tcPr>
            <w:tcW w:w="3025" w:type="dxa"/>
            <w:shd w:val="clear" w:color="auto" w:fill="auto"/>
          </w:tcPr>
          <w:p>
            <w:pPr>
              <w:pStyle w:val="86"/>
              <w:spacing w:after="50" w:line="360" w:lineRule="auto"/>
              <w:rPr>
                <w:rFonts w:hint="eastAsia" w:ascii="仿宋_GB2312" w:hAnsi="宋体" w:eastAsia="仿宋_GB2312"/>
                <w:color w:val="auto"/>
                <w:szCs w:val="24"/>
                <w:highlight w:val="none"/>
                <w:u w:val="none"/>
              </w:rPr>
            </w:pPr>
            <w:r>
              <w:rPr>
                <w:rFonts w:hint="eastAsia" w:ascii="仿宋_GB2312" w:eastAsia="仿宋_GB2312"/>
                <w:color w:val="auto"/>
                <w:highlight w:val="none"/>
                <w:u w:val="none"/>
              </w:rPr>
              <w:t>乙方</w:t>
            </w:r>
            <w:r>
              <w:rPr>
                <w:rFonts w:hint="eastAsia" w:ascii="仿宋_GB2312" w:hAnsi="宋体" w:eastAsia="仿宋_GB2312"/>
                <w:color w:val="auto"/>
                <w:szCs w:val="24"/>
                <w:highlight w:val="none"/>
                <w:u w:val="none"/>
              </w:rPr>
              <w:t>（主）：（公章）</w:t>
            </w:r>
          </w:p>
          <w:p>
            <w:pPr>
              <w:pStyle w:val="86"/>
              <w:spacing w:after="50" w:line="360" w:lineRule="auto"/>
              <w:rPr>
                <w:rFonts w:hint="eastAsia" w:ascii="仿宋_GB2312" w:hAnsi="宋体" w:eastAsia="仿宋_GB2312"/>
                <w:color w:val="auto"/>
                <w:szCs w:val="24"/>
                <w:highlight w:val="none"/>
                <w:u w:val="none"/>
              </w:rPr>
            </w:pPr>
            <w:permStart w:id="55" w:edGrp="everyone"/>
            <w:r>
              <w:rPr>
                <w:rFonts w:hint="eastAsia" w:ascii="仿宋_GB2312" w:hAnsi="宋体" w:eastAsia="仿宋_GB2312"/>
                <w:color w:val="auto"/>
                <w:szCs w:val="24"/>
                <w:highlight w:val="none"/>
                <w:u w:val="none"/>
                <w:lang w:eastAsia="zh-CN"/>
              </w:rPr>
              <w:fldChar w:fldCharType="begin"/>
            </w:r>
            <w:r>
              <w:rPr>
                <w:rFonts w:hint="eastAsia" w:ascii="仿宋_GB2312" w:hAnsi="宋体" w:eastAsia="仿宋_GB2312"/>
                <w:color w:val="auto"/>
                <w:szCs w:val="24"/>
                <w:highlight w:val="none"/>
                <w:u w:val="none"/>
                <w:lang w:eastAsia="zh-CN"/>
              </w:rPr>
              <w:instrText xml:space="preserve"> REF 乙方（主） \h </w:instrText>
            </w:r>
            <w:r>
              <w:rPr>
                <w:rFonts w:hint="eastAsia" w:ascii="仿宋_GB2312" w:hAnsi="宋体" w:eastAsia="仿宋_GB2312"/>
                <w:color w:val="auto"/>
                <w:szCs w:val="24"/>
                <w:highlight w:val="none"/>
                <w:u w:val="none"/>
                <w:lang w:eastAsia="zh-CN"/>
              </w:rPr>
              <w:fldChar w:fldCharType="separate"/>
            </w:r>
            <w:r>
              <w:rPr>
                <w:rFonts w:hint="eastAsia" w:ascii="仿宋_GB2312" w:eastAsia="仿宋_GB2312"/>
                <w:color w:val="auto"/>
                <w:sz w:val="24"/>
                <w:highlight w:val="none"/>
                <w:u w:val="none"/>
              </w:rPr>
              <w:t>XX有限公司</w:t>
            </w:r>
            <w:r>
              <w:rPr>
                <w:rFonts w:hint="eastAsia" w:ascii="仿宋_GB2312" w:hAnsi="宋体" w:eastAsia="仿宋_GB2312"/>
                <w:color w:val="auto"/>
                <w:szCs w:val="24"/>
                <w:highlight w:val="none"/>
                <w:u w:val="none"/>
                <w:lang w:eastAsia="zh-CN"/>
              </w:rPr>
              <w:fldChar w:fldCharType="end"/>
            </w:r>
            <w:permEnd w:id="55"/>
          </w:p>
          <w:p>
            <w:pPr>
              <w:pStyle w:val="86"/>
              <w:spacing w:after="50" w:line="360" w:lineRule="auto"/>
              <w:rPr>
                <w:rFonts w:hint="eastAsia" w:ascii="仿宋_GB2312" w:hAnsi="宋体" w:eastAsia="仿宋_GB2312"/>
                <w:color w:val="auto"/>
                <w:szCs w:val="24"/>
                <w:highlight w:val="none"/>
                <w:u w:val="none"/>
              </w:rPr>
            </w:pPr>
          </w:p>
        </w:tc>
        <w:tc>
          <w:tcPr>
            <w:tcW w:w="3066" w:type="dxa"/>
            <w:shd w:val="clear" w:color="auto" w:fill="auto"/>
          </w:tcPr>
          <w:p>
            <w:pPr>
              <w:pStyle w:val="86"/>
              <w:spacing w:after="50" w:line="360" w:lineRule="auto"/>
              <w:rPr>
                <w:rFonts w:hint="eastAsia" w:ascii="仿宋_GB2312" w:hAnsi="宋体" w:eastAsia="仿宋_GB2312"/>
                <w:color w:val="auto"/>
                <w:szCs w:val="24"/>
                <w:highlight w:val="none"/>
                <w:u w:val="none"/>
              </w:rPr>
            </w:pPr>
            <w:r>
              <w:rPr>
                <w:rFonts w:hint="eastAsia" w:ascii="仿宋_GB2312" w:eastAsia="仿宋_GB2312"/>
                <w:color w:val="auto"/>
                <w:highlight w:val="none"/>
                <w:u w:val="none"/>
              </w:rPr>
              <w:t>乙方</w:t>
            </w:r>
            <w:r>
              <w:rPr>
                <w:rFonts w:hint="eastAsia" w:ascii="仿宋_GB2312" w:hAnsi="宋体" w:eastAsia="仿宋_GB2312"/>
                <w:color w:val="auto"/>
                <w:szCs w:val="24"/>
                <w:highlight w:val="none"/>
                <w:u w:val="none"/>
              </w:rPr>
              <w:t>（成）：（公章）</w:t>
            </w:r>
          </w:p>
          <w:p>
            <w:pPr>
              <w:pStyle w:val="86"/>
              <w:spacing w:after="50" w:line="360" w:lineRule="auto"/>
              <w:rPr>
                <w:rFonts w:hint="eastAsia" w:ascii="仿宋_GB2312" w:hAnsi="宋体" w:eastAsia="仿宋_GB2312"/>
                <w:color w:val="auto"/>
                <w:szCs w:val="24"/>
                <w:highlight w:val="none"/>
                <w:u w:val="none"/>
              </w:rPr>
            </w:pPr>
            <w:permStart w:id="56" w:edGrp="everyone"/>
            <w:r>
              <w:rPr>
                <w:rFonts w:hint="eastAsia" w:ascii="仿宋_GB2312" w:hAnsi="宋体" w:eastAsia="仿宋_GB2312"/>
                <w:color w:val="auto"/>
                <w:szCs w:val="24"/>
                <w:highlight w:val="none"/>
                <w:u w:val="none"/>
                <w:lang w:eastAsia="zh-CN"/>
              </w:rPr>
              <w:fldChar w:fldCharType="begin"/>
            </w:r>
            <w:r>
              <w:rPr>
                <w:rFonts w:hint="eastAsia" w:ascii="仿宋_GB2312" w:hAnsi="宋体" w:eastAsia="仿宋_GB2312"/>
                <w:color w:val="auto"/>
                <w:szCs w:val="24"/>
                <w:highlight w:val="none"/>
                <w:u w:val="none"/>
                <w:lang w:eastAsia="zh-CN"/>
              </w:rPr>
              <w:instrText xml:space="preserve"> REF 乙方（成） \h </w:instrText>
            </w:r>
            <w:r>
              <w:rPr>
                <w:rFonts w:hint="eastAsia" w:ascii="仿宋_GB2312" w:hAnsi="宋体" w:eastAsia="仿宋_GB2312"/>
                <w:color w:val="auto"/>
                <w:szCs w:val="24"/>
                <w:highlight w:val="none"/>
                <w:u w:val="none"/>
                <w:lang w:eastAsia="zh-CN"/>
              </w:rPr>
              <w:fldChar w:fldCharType="separate"/>
            </w:r>
            <w:r>
              <w:rPr>
                <w:rFonts w:hint="eastAsia" w:ascii="仿宋_GB2312" w:eastAsia="仿宋_GB2312"/>
                <w:color w:val="auto"/>
                <w:sz w:val="24"/>
                <w:highlight w:val="none"/>
                <w:u w:val="none"/>
              </w:rPr>
              <w:t>XX有限公司</w:t>
            </w:r>
            <w:r>
              <w:rPr>
                <w:rFonts w:hint="eastAsia" w:ascii="仿宋_GB2312" w:hAnsi="宋体" w:eastAsia="仿宋_GB2312"/>
                <w:color w:val="auto"/>
                <w:szCs w:val="24"/>
                <w:highlight w:val="none"/>
                <w:u w:val="none"/>
                <w:lang w:eastAsia="zh-CN"/>
              </w:rPr>
              <w:fldChar w:fldCharType="end"/>
            </w:r>
            <w:permEnd w:id="56"/>
          </w:p>
        </w:tc>
      </w:tr>
      <w:tr>
        <w:tblPrEx>
          <w:tblLayout w:type="fixed"/>
          <w:tblCellMar>
            <w:top w:w="0" w:type="dxa"/>
            <w:left w:w="108" w:type="dxa"/>
            <w:bottom w:w="0" w:type="dxa"/>
            <w:right w:w="108" w:type="dxa"/>
          </w:tblCellMar>
        </w:tblPrEx>
        <w:trPr>
          <w:trHeight w:val="1580" w:hRule="atLeast"/>
        </w:trPr>
        <w:tc>
          <w:tcPr>
            <w:tcW w:w="3054"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法定代表人（或授权代表）：（签字）</w:t>
            </w:r>
          </w:p>
          <w:p>
            <w:pPr>
              <w:pStyle w:val="86"/>
              <w:spacing w:after="50" w:line="360" w:lineRule="auto"/>
              <w:rPr>
                <w:rFonts w:hint="eastAsia" w:ascii="仿宋_GB2312" w:hAnsi="宋体" w:eastAsia="仿宋_GB2312"/>
                <w:color w:val="auto"/>
                <w:szCs w:val="24"/>
                <w:highlight w:val="none"/>
              </w:rPr>
            </w:pPr>
          </w:p>
        </w:tc>
        <w:tc>
          <w:tcPr>
            <w:tcW w:w="3025"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法定代表人（或授权代表）：（签字）</w:t>
            </w:r>
          </w:p>
          <w:p>
            <w:pPr>
              <w:pStyle w:val="86"/>
              <w:spacing w:after="50" w:line="360" w:lineRule="auto"/>
              <w:rPr>
                <w:rFonts w:hint="eastAsia" w:ascii="仿宋_GB2312" w:hAnsi="宋体" w:eastAsia="仿宋_GB2312"/>
                <w:color w:val="auto"/>
                <w:szCs w:val="24"/>
                <w:highlight w:val="none"/>
              </w:rPr>
            </w:pPr>
          </w:p>
          <w:p>
            <w:pPr>
              <w:pStyle w:val="86"/>
              <w:spacing w:after="50" w:line="360" w:lineRule="auto"/>
              <w:rPr>
                <w:rFonts w:hint="eastAsia" w:ascii="仿宋_GB2312" w:hAnsi="宋体" w:eastAsia="仿宋_GB2312"/>
                <w:color w:val="auto"/>
                <w:szCs w:val="24"/>
                <w:highlight w:val="none"/>
              </w:rPr>
            </w:pPr>
          </w:p>
        </w:tc>
        <w:tc>
          <w:tcPr>
            <w:tcW w:w="3066"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法定代表人（或授权代表）：（签字）</w:t>
            </w:r>
          </w:p>
          <w:p>
            <w:pPr>
              <w:pStyle w:val="86"/>
              <w:spacing w:after="50" w:line="360" w:lineRule="auto"/>
              <w:rPr>
                <w:rFonts w:hint="eastAsia" w:ascii="仿宋_GB2312" w:hAnsi="宋体" w:eastAsia="仿宋_GB2312"/>
                <w:color w:val="auto"/>
                <w:szCs w:val="24"/>
                <w:highlight w:val="none"/>
              </w:rPr>
            </w:pPr>
          </w:p>
          <w:p>
            <w:pPr>
              <w:pStyle w:val="86"/>
              <w:spacing w:after="50" w:line="360" w:lineRule="auto"/>
              <w:rPr>
                <w:rFonts w:hint="eastAsia" w:ascii="仿宋_GB2312" w:hAnsi="宋体" w:eastAsia="仿宋_GB2312"/>
                <w:color w:val="auto"/>
                <w:szCs w:val="24"/>
                <w:highlight w:val="none"/>
              </w:rPr>
            </w:pPr>
          </w:p>
        </w:tc>
      </w:tr>
      <w:tr>
        <w:tblPrEx>
          <w:tblLayout w:type="fixed"/>
          <w:tblCellMar>
            <w:top w:w="0" w:type="dxa"/>
            <w:left w:w="108" w:type="dxa"/>
            <w:bottom w:w="0" w:type="dxa"/>
            <w:right w:w="108" w:type="dxa"/>
          </w:tblCellMar>
        </w:tblPrEx>
        <w:tc>
          <w:tcPr>
            <w:tcW w:w="3054"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统一社会信用代码：</w:t>
            </w:r>
          </w:p>
          <w:p>
            <w:pPr>
              <w:pStyle w:val="86"/>
              <w:spacing w:after="50" w:line="360" w:lineRule="auto"/>
              <w:rPr>
                <w:rFonts w:hint="eastAsia" w:ascii="仿宋_GB2312" w:hAnsi="宋体" w:eastAsia="仿宋_GB2312"/>
                <w:color w:val="auto"/>
                <w:kern w:val="0"/>
                <w:szCs w:val="24"/>
                <w:highlight w:val="none"/>
                <w:u w:val="single"/>
              </w:rPr>
            </w:pPr>
            <w:r>
              <w:rPr>
                <w:rFonts w:hint="eastAsia" w:ascii="仿宋_GB2312" w:hAnsi="宋体" w:eastAsia="仿宋_GB2312"/>
                <w:color w:val="auto"/>
                <w:kern w:val="0"/>
                <w:szCs w:val="24"/>
                <w:highlight w:val="none"/>
                <w:u w:val="single"/>
              </w:rPr>
              <w:t>91441900MAA4GDFY5J</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地址：</w:t>
            </w:r>
            <w:r>
              <w:rPr>
                <w:rFonts w:hint="eastAsia" w:ascii="仿宋_GB2312" w:hAnsi="宋体" w:eastAsia="仿宋_GB2312"/>
                <w:color w:val="auto"/>
                <w:kern w:val="0"/>
                <w:szCs w:val="24"/>
                <w:highlight w:val="none"/>
                <w:u w:val="single"/>
              </w:rPr>
              <w:t>广东省东莞市松山湖园区新城路5号1栋601室</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邮政编码：</w:t>
            </w:r>
            <w:r>
              <w:rPr>
                <w:rFonts w:hint="eastAsia" w:ascii="仿宋_GB2312" w:hAnsi="宋体" w:eastAsia="仿宋_GB2312"/>
                <w:color w:val="auto"/>
                <w:kern w:val="0"/>
                <w:szCs w:val="24"/>
                <w:highlight w:val="none"/>
                <w:u w:val="single"/>
              </w:rPr>
              <w:t>523808</w:t>
            </w:r>
          </w:p>
          <w:p>
            <w:pPr>
              <w:pStyle w:val="86"/>
              <w:spacing w:after="50" w:line="360" w:lineRule="auto"/>
              <w:rPr>
                <w:rFonts w:hint="default" w:ascii="仿宋_GB2312" w:eastAsia="仿宋_GB2312"/>
                <w:color w:val="auto"/>
                <w:kern w:val="0"/>
                <w:szCs w:val="24"/>
                <w:highlight w:val="none"/>
                <w:u w:val="single"/>
              </w:rPr>
            </w:pPr>
            <w:r>
              <w:rPr>
                <w:rFonts w:hint="eastAsia" w:ascii="仿宋_GB2312" w:hAnsi="宋体" w:eastAsia="仿宋_GB2312"/>
                <w:color w:val="auto"/>
                <w:szCs w:val="24"/>
                <w:highlight w:val="none"/>
              </w:rPr>
              <w:t>法定代表人：</w:t>
            </w:r>
            <w:r>
              <w:rPr>
                <w:rFonts w:hint="eastAsia" w:ascii="仿宋_GB2312" w:eastAsia="仿宋_GB2312"/>
                <w:color w:val="auto"/>
                <w:kern w:val="0"/>
                <w:szCs w:val="24"/>
                <w:highlight w:val="none"/>
                <w:u w:val="single"/>
              </w:rPr>
              <w:t>梁志均</w:t>
            </w:r>
          </w:p>
          <w:p>
            <w:pPr>
              <w:pStyle w:val="86"/>
              <w:spacing w:after="50" w:line="360" w:lineRule="auto"/>
              <w:rPr>
                <w:rFonts w:hint="default" w:ascii="仿宋_GB2312" w:eastAsia="仿宋_GB2312"/>
                <w:color w:val="auto"/>
                <w:kern w:val="0"/>
                <w:szCs w:val="24"/>
                <w:highlight w:val="none"/>
                <w:u w:val="single"/>
              </w:rPr>
            </w:pPr>
            <w:r>
              <w:rPr>
                <w:rFonts w:hint="default" w:ascii="仿宋_GB2312" w:eastAsia="仿宋_GB2312"/>
                <w:color w:val="auto"/>
                <w:kern w:val="0"/>
                <w:szCs w:val="24"/>
                <w:highlight w:val="none"/>
              </w:rPr>
              <w:t>委托代理人：</w:t>
            </w:r>
            <w:r>
              <w:rPr>
                <w:rFonts w:hint="eastAsia" w:ascii="仿宋_GB2312" w:eastAsia="仿宋_GB2312"/>
                <w:color w:val="auto"/>
                <w:kern w:val="0"/>
                <w:szCs w:val="24"/>
                <w:highlight w:val="none"/>
                <w:u w:val="single"/>
              </w:rPr>
              <w:t>李三军</w:t>
            </w:r>
          </w:p>
          <w:p>
            <w:pPr>
              <w:pStyle w:val="86"/>
              <w:spacing w:after="50" w:line="360" w:lineRule="auto"/>
              <w:rPr>
                <w:rFonts w:hint="default" w:ascii="仿宋_GB2312" w:eastAsia="仿宋_GB2312"/>
                <w:color w:val="auto"/>
                <w:kern w:val="0"/>
                <w:szCs w:val="24"/>
                <w:highlight w:val="none"/>
                <w:u w:val="single"/>
              </w:rPr>
            </w:pPr>
            <w:r>
              <w:rPr>
                <w:rFonts w:hint="eastAsia" w:ascii="仿宋_GB2312" w:hAnsi="宋体" w:eastAsia="仿宋_GB2312"/>
                <w:color w:val="auto"/>
                <w:szCs w:val="24"/>
                <w:highlight w:val="none"/>
              </w:rPr>
              <w:t>电话：</w:t>
            </w:r>
            <w:r>
              <w:rPr>
                <w:rFonts w:hint="eastAsia" w:ascii="仿宋_GB2312" w:eastAsia="仿宋_GB2312"/>
                <w:color w:val="auto"/>
                <w:kern w:val="0"/>
                <w:szCs w:val="24"/>
                <w:highlight w:val="none"/>
                <w:u w:val="single"/>
              </w:rPr>
              <w:t>0769-22899838</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开户银行：</w:t>
            </w:r>
            <w:r>
              <w:rPr>
                <w:rFonts w:hint="eastAsia" w:ascii="仿宋_GB2312" w:eastAsia="仿宋_GB2312"/>
                <w:color w:val="auto"/>
                <w:kern w:val="0"/>
                <w:szCs w:val="24"/>
                <w:highlight w:val="none"/>
                <w:u w:val="single"/>
              </w:rPr>
              <w:t>中信银行东莞大朗支行</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账号：</w:t>
            </w:r>
            <w:r>
              <w:rPr>
                <w:rFonts w:hint="eastAsia" w:ascii="仿宋_GB2312" w:eastAsia="仿宋_GB2312"/>
                <w:color w:val="auto"/>
                <w:kern w:val="0"/>
                <w:szCs w:val="24"/>
                <w:highlight w:val="none"/>
                <w:u w:val="single"/>
              </w:rPr>
              <w:t>8110901012501383079</w:t>
            </w:r>
          </w:p>
        </w:tc>
        <w:tc>
          <w:tcPr>
            <w:tcW w:w="3025"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统一社会信用代码：</w:t>
            </w:r>
          </w:p>
          <w:p>
            <w:pPr>
              <w:pStyle w:val="86"/>
              <w:spacing w:after="50" w:line="360" w:lineRule="auto"/>
              <w:rPr>
                <w:rFonts w:hint="eastAsia" w:ascii="仿宋_GB2312" w:hAnsi="宋体" w:eastAsia="仿宋_GB2312"/>
                <w:color w:val="auto"/>
                <w:kern w:val="0"/>
                <w:szCs w:val="24"/>
                <w:highlight w:val="none"/>
                <w:u w:val="single"/>
              </w:rPr>
            </w:pPr>
            <w:r>
              <w:rPr>
                <w:rFonts w:hint="eastAsia" w:ascii="仿宋_GB2312" w:hAnsi="宋体" w:eastAsia="仿宋_GB2312"/>
                <w:color w:val="auto"/>
                <w:kern w:val="0"/>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地址：</w:t>
            </w:r>
            <w:r>
              <w:rPr>
                <w:rFonts w:hint="eastAsia" w:ascii="仿宋_GB2312" w:hAnsi="宋体" w:eastAsia="仿宋_GB2312"/>
                <w:color w:val="auto"/>
                <w:kern w:val="0"/>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邮政编码：</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u w:val="single"/>
              </w:rPr>
            </w:pPr>
            <w:r>
              <w:rPr>
                <w:rFonts w:hint="eastAsia" w:ascii="仿宋_GB2312" w:hAnsi="宋体" w:eastAsia="仿宋_GB2312"/>
                <w:color w:val="auto"/>
                <w:szCs w:val="24"/>
                <w:highlight w:val="none"/>
              </w:rPr>
              <w:t>法定代表人：</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default" w:ascii="仿宋_GB2312" w:eastAsia="仿宋_GB2312"/>
                <w:color w:val="auto"/>
                <w:kern w:val="0"/>
                <w:szCs w:val="24"/>
                <w:highlight w:val="none"/>
              </w:rPr>
              <w:t>委托代理人：</w:t>
            </w:r>
            <w:r>
              <w:rPr>
                <w:rFonts w:hint="eastAsia" w:ascii="仿宋_GB2312" w:eastAsia="仿宋_GB2312"/>
                <w:color w:val="auto"/>
                <w:kern w:val="0"/>
                <w:szCs w:val="24"/>
                <w:highlight w:val="none"/>
                <w:u w:val="single"/>
              </w:rPr>
              <w:t>/</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电话：</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开户银行：</w:t>
            </w:r>
            <w:r>
              <w:rPr>
                <w:rFonts w:hint="eastAsia" w:ascii="仿宋_GB2312" w:hAnsi="宋体" w:eastAsia="仿宋_GB2312"/>
                <w:color w:val="auto"/>
                <w:szCs w:val="24"/>
                <w:highlight w:val="none"/>
                <w:u w:val="single"/>
              </w:rPr>
              <w:t xml:space="preserve"> </w:t>
            </w:r>
            <w:r>
              <w:rPr>
                <w:rFonts w:hint="eastAsia" w:ascii="仿宋_GB2312" w:eastAsia="仿宋_GB2312"/>
                <w:color w:val="auto"/>
                <w:kern w:val="0"/>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账号：</w:t>
            </w:r>
            <w:r>
              <w:rPr>
                <w:rFonts w:hint="eastAsia" w:ascii="仿宋_GB2312" w:hAnsi="宋体" w:eastAsia="仿宋_GB2312"/>
                <w:color w:val="auto"/>
                <w:kern w:val="0"/>
                <w:szCs w:val="24"/>
                <w:highlight w:val="none"/>
                <w:u w:val="single"/>
              </w:rPr>
              <w:t xml:space="preserve">            </w:t>
            </w:r>
          </w:p>
        </w:tc>
        <w:tc>
          <w:tcPr>
            <w:tcW w:w="3066" w:type="dxa"/>
            <w:shd w:val="clear" w:color="auto" w:fill="auto"/>
          </w:tcPr>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统一社会信用代码：</w:t>
            </w:r>
          </w:p>
          <w:p>
            <w:pPr>
              <w:pStyle w:val="86"/>
              <w:spacing w:after="50" w:line="360" w:lineRule="auto"/>
              <w:rPr>
                <w:rFonts w:hint="eastAsia" w:ascii="仿宋_GB2312" w:hAnsi="宋体" w:eastAsia="仿宋_GB2312"/>
                <w:color w:val="auto"/>
                <w:kern w:val="0"/>
                <w:szCs w:val="24"/>
                <w:highlight w:val="none"/>
                <w:u w:val="single"/>
              </w:rPr>
            </w:pPr>
            <w:r>
              <w:rPr>
                <w:rFonts w:hint="eastAsia" w:ascii="仿宋_GB2312" w:hAnsi="宋体" w:eastAsia="仿宋_GB2312"/>
                <w:color w:val="auto"/>
                <w:kern w:val="0"/>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地址：</w:t>
            </w:r>
            <w:r>
              <w:rPr>
                <w:rFonts w:hint="eastAsia" w:ascii="仿宋_GB2312" w:hAnsi="宋体" w:eastAsia="仿宋_GB2312"/>
                <w:color w:val="auto"/>
                <w:kern w:val="0"/>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邮政编码：</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u w:val="single"/>
              </w:rPr>
            </w:pPr>
            <w:r>
              <w:rPr>
                <w:rFonts w:hint="eastAsia" w:ascii="仿宋_GB2312" w:hAnsi="宋体" w:eastAsia="仿宋_GB2312"/>
                <w:color w:val="auto"/>
                <w:szCs w:val="24"/>
                <w:highlight w:val="none"/>
              </w:rPr>
              <w:t>法定代表人：</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u w:val="single"/>
              </w:rPr>
            </w:pPr>
            <w:r>
              <w:rPr>
                <w:rFonts w:hint="default" w:ascii="仿宋_GB2312" w:eastAsia="仿宋_GB2312"/>
                <w:color w:val="auto"/>
                <w:kern w:val="0"/>
                <w:szCs w:val="24"/>
                <w:highlight w:val="none"/>
              </w:rPr>
              <w:t>委托代理人：</w:t>
            </w:r>
            <w:r>
              <w:rPr>
                <w:rFonts w:hint="eastAsia" w:ascii="仿宋_GB2312" w:eastAsia="仿宋_GB2312"/>
                <w:color w:val="auto"/>
                <w:kern w:val="0"/>
                <w:szCs w:val="24"/>
                <w:highlight w:val="none"/>
                <w:u w:val="single"/>
              </w:rPr>
              <w:t>/</w:t>
            </w:r>
          </w:p>
          <w:p>
            <w:pPr>
              <w:pStyle w:val="86"/>
              <w:spacing w:after="50" w:line="360" w:lineRule="auto"/>
              <w:rPr>
                <w:rFonts w:hint="default" w:eastAsia="仿宋_GB2312"/>
                <w:color w:val="auto"/>
                <w:szCs w:val="24"/>
                <w:highlight w:val="none"/>
              </w:rPr>
            </w:pPr>
            <w:r>
              <w:rPr>
                <w:rFonts w:hint="eastAsia" w:ascii="仿宋_GB2312" w:hAnsi="宋体" w:eastAsia="仿宋_GB2312"/>
                <w:color w:val="auto"/>
                <w:szCs w:val="24"/>
                <w:highlight w:val="none"/>
              </w:rPr>
              <w:t>电话：</w:t>
            </w:r>
            <w:r>
              <w:rPr>
                <w:rFonts w:hint="eastAsia" w:ascii="仿宋_GB2312" w:hAnsi="宋体" w:eastAsia="仿宋_GB2312"/>
                <w:color w:val="auto"/>
                <w:szCs w:val="24"/>
                <w:highlight w:val="none"/>
                <w:u w:val="single"/>
              </w:rPr>
              <w:t xml:space="preserve">            </w:t>
            </w:r>
          </w:p>
          <w:p>
            <w:pPr>
              <w:pStyle w:val="86"/>
              <w:spacing w:after="50" w:line="360" w:lineRule="auto"/>
              <w:rPr>
                <w:rFonts w:hint="default" w:eastAsia="仿宋_GB2312"/>
                <w:color w:val="auto"/>
                <w:szCs w:val="24"/>
                <w:highlight w:val="none"/>
              </w:rPr>
            </w:pPr>
            <w:r>
              <w:rPr>
                <w:rFonts w:hint="eastAsia" w:ascii="仿宋_GB2312" w:hAnsi="宋体" w:eastAsia="仿宋_GB2312"/>
                <w:color w:val="auto"/>
                <w:szCs w:val="24"/>
                <w:highlight w:val="none"/>
              </w:rPr>
              <w:t>开户银行：</w:t>
            </w:r>
            <w:r>
              <w:rPr>
                <w:rFonts w:hint="eastAsia" w:ascii="仿宋_GB2312" w:hAnsi="宋体" w:eastAsia="仿宋_GB2312"/>
                <w:color w:val="auto"/>
                <w:szCs w:val="24"/>
                <w:highlight w:val="none"/>
                <w:u w:val="single"/>
              </w:rPr>
              <w:t xml:space="preserve">       </w:t>
            </w:r>
          </w:p>
          <w:p>
            <w:pPr>
              <w:pStyle w:val="86"/>
              <w:spacing w:after="50" w:line="360" w:lineRule="auto"/>
              <w:rPr>
                <w:rFonts w:hint="eastAsia" w:ascii="仿宋_GB2312" w:hAnsi="宋体" w:eastAsia="仿宋_GB2312"/>
                <w:color w:val="auto"/>
                <w:szCs w:val="24"/>
                <w:highlight w:val="none"/>
              </w:rPr>
            </w:pPr>
            <w:r>
              <w:rPr>
                <w:rFonts w:hint="eastAsia" w:ascii="仿宋_GB2312" w:hAnsi="宋体" w:eastAsia="仿宋_GB2312"/>
                <w:color w:val="auto"/>
                <w:szCs w:val="24"/>
                <w:highlight w:val="none"/>
              </w:rPr>
              <w:t>账号：</w:t>
            </w:r>
            <w:r>
              <w:rPr>
                <w:rFonts w:hint="eastAsia" w:ascii="仿宋_GB2312" w:hAnsi="宋体" w:eastAsia="仿宋_GB2312"/>
                <w:color w:val="auto"/>
                <w:szCs w:val="24"/>
                <w:highlight w:val="none"/>
                <w:u w:val="single"/>
              </w:rPr>
              <w:t xml:space="preserve">            </w:t>
            </w:r>
          </w:p>
        </w:tc>
      </w:tr>
    </w:tbl>
    <w:p>
      <w:pPr>
        <w:spacing w:line="360" w:lineRule="auto"/>
        <w:ind w:firstLine="420" w:firstLineChars="200"/>
        <w:rPr>
          <w:rFonts w:hint="eastAsia" w:ascii="宋体" w:hAnsi="宋体" w:eastAsia="宋体" w:cs="宋体"/>
          <w:color w:val="auto"/>
          <w:sz w:val="21"/>
          <w:szCs w:val="21"/>
          <w:highlight w:val="none"/>
        </w:rPr>
      </w:pPr>
    </w:p>
    <w:p>
      <w:p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合同签订时间：</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年</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月</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w:t>
      </w:r>
    </w:p>
    <w:p>
      <w:p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合同签订地点：广东省东莞市</w:t>
      </w:r>
    </w:p>
    <w:p>
      <w:pPr>
        <w:spacing w:line="360" w:lineRule="auto"/>
        <w:jc w:val="left"/>
        <w:rPr>
          <w:rFonts w:hint="eastAsia" w:ascii="宋体" w:hAnsi="宋体" w:eastAsia="宋体" w:cs="宋体"/>
          <w:b/>
          <w:color w:val="auto"/>
          <w:sz w:val="21"/>
          <w:szCs w:val="21"/>
          <w:highlight w:val="none"/>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720" w:num="1"/>
          <w:docGrid w:type="lines" w:linePitch="312" w:charSpace="0"/>
        </w:sectPr>
      </w:pPr>
    </w:p>
    <w:p>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附件1</w:t>
      </w:r>
    </w:p>
    <w:p>
      <w:pPr>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联合体共同投标协议</w:t>
      </w:r>
    </w:p>
    <w:p>
      <w:pPr>
        <w:spacing w:line="360" w:lineRule="auto"/>
        <w:rPr>
          <w:rFonts w:hint="default" w:ascii="仿宋_GB2312" w:eastAsia="仿宋_GB2312"/>
          <w:color w:val="auto"/>
          <w:sz w:val="24"/>
          <w:highlight w:val="none"/>
        </w:rPr>
      </w:pPr>
    </w:p>
    <w:p>
      <w:pPr>
        <w:spacing w:line="360" w:lineRule="auto"/>
        <w:rPr>
          <w:rFonts w:hint="default" w:ascii="仿宋_GB2312" w:eastAsia="仿宋_GB2312"/>
          <w:color w:val="auto"/>
          <w:sz w:val="24"/>
          <w:highlight w:val="none"/>
        </w:rPr>
      </w:pPr>
      <w:r>
        <w:rPr>
          <w:rFonts w:hint="eastAsia" w:ascii="仿宋_GB2312" w:eastAsia="仿宋_GB2312"/>
          <w:color w:val="auto"/>
          <w:sz w:val="24"/>
          <w:highlight w:val="none"/>
        </w:rPr>
        <w:t xml:space="preserve">     </w:t>
      </w:r>
      <w:permStart w:id="57" w:edGrp="everyone"/>
      <w:r>
        <w:rPr>
          <w:rFonts w:hint="eastAsia" w:ascii="仿宋_GB2312" w:eastAsia="仿宋_GB2312"/>
          <w:color w:val="auto"/>
          <w:sz w:val="24"/>
          <w:highlight w:val="none"/>
          <w:lang w:eastAsia="zh-CN"/>
        </w:rPr>
        <w:fldChar w:fldCharType="begin"/>
      </w:r>
      <w:r>
        <w:rPr>
          <w:rFonts w:hint="eastAsia" w:ascii="仿宋_GB2312" w:eastAsia="仿宋_GB2312"/>
          <w:color w:val="auto"/>
          <w:sz w:val="24"/>
          <w:highlight w:val="none"/>
          <w:lang w:eastAsia="zh-CN"/>
        </w:rPr>
        <w:instrText xml:space="preserve"> REF 乙方（主） \h </w:instrText>
      </w:r>
      <w:r>
        <w:rPr>
          <w:rFonts w:hint="eastAsia" w:ascii="仿宋_GB2312" w:eastAsia="仿宋_GB2312"/>
          <w:color w:val="auto"/>
          <w:sz w:val="24"/>
          <w:highlight w:val="none"/>
          <w:lang w:eastAsia="zh-CN"/>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lang w:eastAsia="zh-CN"/>
        </w:rPr>
        <w:fldChar w:fldCharType="end"/>
      </w:r>
      <w:permEnd w:id="57"/>
      <w:r>
        <w:rPr>
          <w:rFonts w:hint="eastAsia" w:ascii="仿宋_GB2312" w:eastAsia="仿宋_GB2312"/>
          <w:color w:val="auto"/>
          <w:sz w:val="24"/>
          <w:highlight w:val="none"/>
          <w:u w:val="single"/>
        </w:rPr>
        <w:t>、</w:t>
      </w:r>
      <w:permStart w:id="58"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乙方（成）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58"/>
      <w:r>
        <w:rPr>
          <w:rFonts w:hint="eastAsia" w:ascii="仿宋_GB2312" w:eastAsia="仿宋_GB2312"/>
          <w:color w:val="auto"/>
          <w:sz w:val="24"/>
          <w:highlight w:val="none"/>
        </w:rPr>
        <w:t>（联合体名称）联合体,共同参加</w:t>
      </w:r>
      <w:permStart w:id="59" w:edGrp="everyone"/>
      <w:r>
        <w:rPr>
          <w:rFonts w:hint="eastAsia" w:ascii="仿宋_GB2312" w:eastAsia="仿宋_GB2312"/>
          <w:color w:val="auto"/>
          <w:sz w:val="24"/>
          <w:highlight w:val="none"/>
        </w:rPr>
        <w:fldChar w:fldCharType="begin"/>
      </w:r>
      <w:r>
        <w:rPr>
          <w:rFonts w:hint="eastAsia" w:ascii="仿宋_GB2312" w:eastAsia="仿宋_GB2312"/>
          <w:color w:val="auto"/>
          <w:sz w:val="24"/>
          <w:highlight w:val="none"/>
        </w:rPr>
        <w:instrText xml:space="preserve"> REF 项目名称 \h </w:instrText>
      </w:r>
      <w:r>
        <w:rPr>
          <w:rFonts w:hint="eastAsia" w:ascii="仿宋_GB2312" w:eastAsia="仿宋_GB2312"/>
          <w:color w:val="auto"/>
          <w:sz w:val="24"/>
          <w:highlight w:val="none"/>
        </w:rPr>
        <w:fldChar w:fldCharType="separate"/>
      </w:r>
      <w:r>
        <w:rPr>
          <w:rFonts w:hint="eastAsia" w:ascii="仿宋_GB2312" w:eastAsia="仿宋_GB2312"/>
          <w:color w:val="auto"/>
          <w:sz w:val="24"/>
          <w:highlight w:val="none"/>
        </w:rPr>
        <w:t>东莞新锋光伏能源科技有限公司XX厂区分布式光伏发电项目</w:t>
      </w:r>
      <w:r>
        <w:rPr>
          <w:rFonts w:hint="eastAsia" w:ascii="仿宋_GB2312" w:eastAsia="仿宋_GB2312"/>
          <w:color w:val="auto"/>
          <w:sz w:val="24"/>
          <w:highlight w:val="none"/>
        </w:rPr>
        <w:fldChar w:fldCharType="end"/>
      </w:r>
      <w:permEnd w:id="59"/>
      <w:r>
        <w:rPr>
          <w:rFonts w:hint="eastAsia" w:ascii="仿宋_GB2312" w:eastAsia="仿宋_GB2312"/>
          <w:color w:val="auto"/>
          <w:sz w:val="24"/>
          <w:highlight w:val="none"/>
        </w:rPr>
        <w:t>设计施工总承包投标。我方授权委托本协议牵头人代表联合体各成员参加投标、签署投标资料、提交投标文件。现就联合体投标事宜订立如下协议。</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w:t>
      </w:r>
      <w:permStart w:id="60"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乙方（主）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0"/>
      <w:r>
        <w:rPr>
          <w:rFonts w:hint="eastAsia" w:ascii="仿宋_GB2312" w:eastAsia="仿宋_GB2312"/>
          <w:color w:val="auto"/>
          <w:sz w:val="24"/>
          <w:highlight w:val="none"/>
        </w:rPr>
        <w:t>（施工方单位名称）为</w:t>
      </w:r>
      <w:permStart w:id="61"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乙方（主）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1"/>
      <w:r>
        <w:rPr>
          <w:rFonts w:hint="eastAsia" w:ascii="仿宋_GB2312" w:eastAsia="仿宋_GB2312"/>
          <w:color w:val="auto"/>
          <w:sz w:val="24"/>
          <w:highlight w:val="none"/>
          <w:u w:val="single"/>
        </w:rPr>
        <w:t>、</w:t>
      </w:r>
      <w:permStart w:id="62"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乙方（成）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2"/>
      <w:r>
        <w:rPr>
          <w:rFonts w:hint="eastAsia" w:ascii="仿宋_GB2312" w:eastAsia="仿宋_GB2312"/>
          <w:b/>
          <w:color w:val="auto"/>
          <w:sz w:val="24"/>
          <w:highlight w:val="none"/>
        </w:rPr>
        <w:t>联合体主办方</w:t>
      </w:r>
      <w:r>
        <w:rPr>
          <w:rFonts w:hint="eastAsia" w:ascii="仿宋_GB2312" w:eastAsia="仿宋_GB2312"/>
          <w:color w:val="auto"/>
          <w:sz w:val="24"/>
          <w:highlight w:val="none"/>
        </w:rPr>
        <w:t>。</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w:t>
      </w:r>
      <w:r>
        <w:rPr>
          <w:rFonts w:hint="eastAsia" w:ascii="仿宋_GB2312" w:eastAsia="仿宋_GB2312"/>
          <w:b/>
          <w:color w:val="auto"/>
          <w:sz w:val="24"/>
          <w:highlight w:val="none"/>
        </w:rPr>
        <w:t>联合体主办方</w:t>
      </w:r>
      <w:r>
        <w:rPr>
          <w:rFonts w:hint="eastAsia" w:ascii="仿宋_GB2312" w:eastAsia="仿宋_GB2312"/>
          <w:color w:val="auto"/>
          <w:sz w:val="24"/>
          <w:highlight w:val="none"/>
        </w:rPr>
        <w:t>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3、联合体将严格按照招标文件各项要求，递交投标文件，履行合同，并对外承担相应责任。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4、联合体各成员单位内部的职责分工如下：</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①</w:t>
      </w:r>
      <w:permStart w:id="63"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乙方（主）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3"/>
      <w:r>
        <w:rPr>
          <w:rFonts w:hint="eastAsia" w:ascii="仿宋_GB2312" w:eastAsia="仿宋_GB2312"/>
          <w:color w:val="auto"/>
          <w:sz w:val="24"/>
          <w:highlight w:val="none"/>
        </w:rPr>
        <w:t>（施工方单位名称）：作为联合体的主办方除负责本工程的施工外，还应负责设计施工总承包管理的职责。联合体其他相关方违约时，主办方应承担连带责任，具体按合同要求。</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②</w:t>
      </w:r>
      <w:permStart w:id="64"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乙方（成）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4"/>
      <w:r>
        <w:rPr>
          <w:rFonts w:hint="eastAsia" w:ascii="仿宋_GB2312" w:eastAsia="仿宋_GB2312"/>
          <w:color w:val="auto"/>
          <w:sz w:val="24"/>
          <w:highlight w:val="none"/>
        </w:rPr>
        <w:t>（设计方单位名称）：主要负责本工程的初步设计、可行性研究报告、系统接入设计、施工图设计、竣工图设计、设计优化等工作，具体按合同要求。</w:t>
      </w:r>
    </w:p>
    <w:p>
      <w:pPr>
        <w:numPr>
          <w:ilvl w:val="0"/>
          <w:numId w:val="10"/>
        </w:num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本协议书自签署之日起生效，合同履行完毕后自动失效。</w:t>
      </w:r>
    </w:p>
    <w:p>
      <w:pPr>
        <w:pStyle w:val="2"/>
        <w:spacing w:before="156"/>
        <w:ind w:firstLine="480"/>
        <w:rPr>
          <w:rFonts w:hint="default" w:ascii="仿宋_GB2312" w:eastAsia="仿宋_GB2312"/>
          <w:color w:val="auto"/>
          <w:highlight w:val="none"/>
        </w:rPr>
      </w:pPr>
      <w:r>
        <w:rPr>
          <w:rFonts w:hint="eastAsia" w:ascii="仿宋_GB2312" w:eastAsia="仿宋_GB2312"/>
          <w:color w:val="auto"/>
          <w:highlight w:val="none"/>
        </w:rPr>
        <w:t>（以下无正文）</w:t>
      </w:r>
    </w:p>
    <w:p>
      <w:pPr>
        <w:pStyle w:val="35"/>
        <w:spacing w:before="156"/>
        <w:ind w:firstLine="48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2"/>
        <w:spacing w:before="156"/>
        <w:ind w:firstLine="480"/>
        <w:rPr>
          <w:rFonts w:hint="default" w:ascii="仿宋_GB2312" w:eastAsia="仿宋_GB2312"/>
          <w:color w:val="auto"/>
          <w:highlight w:val="none"/>
        </w:rPr>
      </w:pPr>
      <w:r>
        <w:rPr>
          <w:rFonts w:hint="eastAsia" w:ascii="仿宋_GB2312" w:eastAsia="仿宋_GB2312"/>
          <w:color w:val="auto"/>
          <w:highlight w:val="none"/>
        </w:rPr>
        <w:t>（签署页）</w:t>
      </w:r>
    </w:p>
    <w:p>
      <w:pPr>
        <w:rPr>
          <w:color w:val="auto"/>
          <w:highlight w:val="none"/>
        </w:rPr>
      </w:pPr>
    </w:p>
    <w:p>
      <w:pPr>
        <w:spacing w:line="360" w:lineRule="auto"/>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承包人（主）：（盖章）</w:t>
      </w:r>
      <w:permStart w:id="65"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乙方（主）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5"/>
      <w:r>
        <w:rPr>
          <w:rFonts w:hint="eastAsia" w:ascii="仿宋_GB2312" w:eastAsia="仿宋_GB2312"/>
          <w:color w:val="auto"/>
          <w:sz w:val="24"/>
          <w:highlight w:val="none"/>
        </w:rPr>
        <w:t xml:space="preserve">        </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 xml:space="preserve">法定代表人（或授权代表）签字：              </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日    期：    年   月   日</w:t>
      </w:r>
    </w:p>
    <w:p>
      <w:pPr>
        <w:spacing w:line="480" w:lineRule="auto"/>
        <w:ind w:firstLine="480" w:firstLineChars="200"/>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承包人（成）：（盖章）</w:t>
      </w:r>
      <w:permStart w:id="66" w:edGrp="everyone"/>
      <w:r>
        <w:rPr>
          <w:rFonts w:hint="eastAsia" w:ascii="仿宋_GB2312" w:eastAsia="仿宋_GB2312"/>
          <w:color w:val="auto"/>
          <w:sz w:val="24"/>
          <w:highlight w:val="none"/>
          <w:u w:val="single"/>
        </w:rPr>
        <w:fldChar w:fldCharType="begin"/>
      </w:r>
      <w:r>
        <w:rPr>
          <w:rFonts w:hint="eastAsia" w:ascii="仿宋_GB2312" w:eastAsia="仿宋_GB2312"/>
          <w:color w:val="auto"/>
          <w:sz w:val="24"/>
          <w:highlight w:val="none"/>
          <w:u w:val="single"/>
        </w:rPr>
        <w:instrText xml:space="preserve"> REF 乙方（成） \h </w:instrText>
      </w:r>
      <w:r>
        <w:rPr>
          <w:rFonts w:hint="eastAsia" w:ascii="仿宋_GB2312" w:eastAsia="仿宋_GB2312"/>
          <w:color w:val="auto"/>
          <w:sz w:val="24"/>
          <w:highlight w:val="none"/>
          <w:u w:val="single"/>
        </w:rPr>
        <w:fldChar w:fldCharType="separate"/>
      </w:r>
      <w:r>
        <w:rPr>
          <w:rFonts w:hint="eastAsia" w:ascii="仿宋_GB2312" w:eastAsia="仿宋_GB2312"/>
          <w:color w:val="auto"/>
          <w:sz w:val="24"/>
          <w:highlight w:val="none"/>
          <w:u w:val="single"/>
        </w:rPr>
        <w:t>XX有限公司</w:t>
      </w:r>
      <w:r>
        <w:rPr>
          <w:rFonts w:hint="eastAsia" w:ascii="仿宋_GB2312" w:eastAsia="仿宋_GB2312"/>
          <w:color w:val="auto"/>
          <w:sz w:val="24"/>
          <w:highlight w:val="none"/>
          <w:u w:val="single"/>
        </w:rPr>
        <w:fldChar w:fldCharType="end"/>
      </w:r>
      <w:permEnd w:id="66"/>
      <w:r>
        <w:rPr>
          <w:rFonts w:hint="eastAsia" w:ascii="仿宋_GB2312" w:eastAsia="仿宋_GB2312"/>
          <w:color w:val="auto"/>
          <w:sz w:val="24"/>
          <w:highlight w:val="none"/>
        </w:rPr>
        <w:t xml:space="preserve">        </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 xml:space="preserve">法定代表人（或授权代表）签字：              </w:t>
      </w:r>
    </w:p>
    <w:p>
      <w:pPr>
        <w:spacing w:line="480"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eastAsia="仿宋_GB2312"/>
          <w:color w:val="auto"/>
          <w:sz w:val="24"/>
          <w:highlight w:val="none"/>
        </w:rPr>
        <w:t>日    期：    年   月   日</w:t>
      </w:r>
    </w:p>
    <w:p>
      <w:pPr>
        <w:spacing w:line="360" w:lineRule="auto"/>
        <w:jc w:val="left"/>
        <w:rPr>
          <w:rFonts w:hint="eastAsia" w:ascii="宋体" w:hAnsi="宋体" w:eastAsia="宋体" w:cs="宋体"/>
          <w:b/>
          <w:color w:val="auto"/>
          <w:sz w:val="21"/>
          <w:szCs w:val="21"/>
          <w:highlight w:val="none"/>
        </w:rPr>
      </w:pPr>
    </w:p>
    <w:p>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b/>
          <w:color w:val="auto"/>
          <w:sz w:val="21"/>
          <w:szCs w:val="21"/>
          <w:highlight w:val="none"/>
        </w:rPr>
        <w:t>附件2</w:t>
      </w:r>
    </w:p>
    <w:p>
      <w:pPr>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安全协议书</w:t>
      </w:r>
    </w:p>
    <w:p>
      <w:pPr>
        <w:spacing w:line="360" w:lineRule="auto"/>
        <w:rPr>
          <w:rFonts w:hint="default" w:ascii="仿宋_GB2312" w:eastAsia="仿宋_GB2312"/>
          <w:color w:val="auto"/>
          <w:sz w:val="24"/>
          <w:highlight w:val="none"/>
        </w:rPr>
      </w:pPr>
    </w:p>
    <w:p>
      <w:pPr>
        <w:spacing w:line="360" w:lineRule="auto"/>
        <w:rPr>
          <w:rFonts w:hint="default" w:ascii="仿宋_GB2312" w:eastAsia="仿宋_GB2312"/>
          <w:color w:val="auto"/>
          <w:sz w:val="24"/>
          <w:highlight w:val="none"/>
        </w:rPr>
      </w:pPr>
      <w:r>
        <w:rPr>
          <w:rFonts w:hint="eastAsia" w:ascii="仿宋_GB2312" w:eastAsia="仿宋_GB2312"/>
          <w:b/>
          <w:color w:val="auto"/>
          <w:sz w:val="24"/>
          <w:highlight w:val="none"/>
        </w:rPr>
        <w:t>项目名称：</w:t>
      </w:r>
      <w:permStart w:id="67" w:edGrp="everyone"/>
      <w:r>
        <w:rPr>
          <w:rFonts w:hint="eastAsia" w:ascii="仿宋_GB2312" w:eastAsia="仿宋_GB2312"/>
          <w:color w:val="auto"/>
          <w:sz w:val="24"/>
          <w:highlight w:val="none"/>
        </w:rPr>
        <w:fldChar w:fldCharType="begin"/>
      </w:r>
      <w:r>
        <w:rPr>
          <w:rFonts w:hint="eastAsia" w:ascii="仿宋_GB2312" w:eastAsia="仿宋_GB2312"/>
          <w:color w:val="auto"/>
          <w:sz w:val="24"/>
          <w:highlight w:val="none"/>
        </w:rPr>
        <w:instrText xml:space="preserve"> REF 项目名称 \h </w:instrText>
      </w:r>
      <w:r>
        <w:rPr>
          <w:rFonts w:hint="eastAsia" w:ascii="仿宋_GB2312" w:eastAsia="仿宋_GB2312"/>
          <w:color w:val="auto"/>
          <w:sz w:val="24"/>
          <w:highlight w:val="none"/>
        </w:rPr>
        <w:fldChar w:fldCharType="separate"/>
      </w:r>
      <w:r>
        <w:rPr>
          <w:rFonts w:hint="eastAsia" w:ascii="仿宋_GB2312" w:eastAsia="仿宋_GB2312"/>
          <w:color w:val="auto"/>
          <w:sz w:val="24"/>
          <w:highlight w:val="none"/>
        </w:rPr>
        <w:t>东莞新锋光伏能源科技有限公司XX厂区分布式光伏发电项目</w:t>
      </w:r>
      <w:r>
        <w:rPr>
          <w:rFonts w:hint="eastAsia" w:ascii="仿宋_GB2312" w:eastAsia="仿宋_GB2312"/>
          <w:color w:val="auto"/>
          <w:sz w:val="24"/>
          <w:highlight w:val="none"/>
        </w:rPr>
        <w:fldChar w:fldCharType="end"/>
      </w:r>
      <w:permEnd w:id="67"/>
    </w:p>
    <w:p>
      <w:pPr>
        <w:spacing w:line="360" w:lineRule="auto"/>
        <w:rPr>
          <w:rFonts w:hint="default" w:ascii="仿宋_GB2312" w:hAnsi="Times New Roman" w:eastAsia="仿宋_GB2312" w:cs="Times New Roman"/>
          <w:color w:val="auto"/>
          <w:sz w:val="24"/>
        </w:rPr>
      </w:pPr>
      <w:r>
        <w:rPr>
          <w:rFonts w:hint="eastAsia" w:ascii="仿宋_GB2312" w:eastAsia="仿宋_GB2312"/>
          <w:b/>
          <w:color w:val="auto"/>
          <w:sz w:val="24"/>
          <w:highlight w:val="none"/>
        </w:rPr>
        <w:t>合同编号：</w:t>
      </w:r>
      <w:permStart w:id="68" w:edGrp="everyone"/>
      <w:r>
        <w:rPr>
          <w:rFonts w:hint="eastAsia" w:ascii="仿宋_GB2312" w:hAnsi="Times New Roman" w:eastAsia="仿宋_GB2312" w:cs="Times New Roman"/>
          <w:color w:val="auto"/>
          <w:sz w:val="24"/>
        </w:rPr>
        <w:fldChar w:fldCharType="begin"/>
      </w:r>
      <w:r>
        <w:rPr>
          <w:rFonts w:hint="eastAsia" w:ascii="仿宋_GB2312" w:hAnsi="Times New Roman" w:eastAsia="仿宋_GB2312" w:cs="Times New Roman"/>
          <w:color w:val="auto"/>
          <w:sz w:val="24"/>
        </w:rPr>
        <w:instrText xml:space="preserve"> REF 合同编号 \h </w:instrText>
      </w:r>
      <w:r>
        <w:rPr>
          <w:rFonts w:hint="eastAsia" w:ascii="仿宋_GB2312" w:hAnsi="Times New Roman" w:eastAsia="仿宋_GB2312" w:cs="Times New Roman"/>
          <w:color w:val="auto"/>
          <w:sz w:val="24"/>
        </w:rPr>
        <w:fldChar w:fldCharType="separate"/>
      </w:r>
      <w:r>
        <w:rPr>
          <w:rFonts w:hint="eastAsia" w:ascii="仿宋_GB2312" w:hAnsi="Times New Roman" w:eastAsia="仿宋_GB2312" w:cs="Times New Roman"/>
          <w:color w:val="auto"/>
          <w:sz w:val="24"/>
        </w:rPr>
        <w:t>XFGFSG202X0XX</w:t>
      </w:r>
      <w:r>
        <w:rPr>
          <w:rFonts w:hint="eastAsia" w:ascii="仿宋_GB2312" w:hAnsi="Times New Roman" w:eastAsia="仿宋_GB2312" w:cs="Times New Roman"/>
          <w:color w:val="auto"/>
          <w:sz w:val="24"/>
        </w:rPr>
        <w:fldChar w:fldCharType="end"/>
      </w:r>
      <w:permEnd w:id="68"/>
    </w:p>
    <w:p>
      <w:pPr>
        <w:spacing w:line="360" w:lineRule="auto"/>
        <w:rPr>
          <w:rFonts w:hint="default" w:ascii="仿宋_GB2312" w:eastAsia="仿宋_GB2312"/>
          <w:color w:val="auto"/>
          <w:sz w:val="24"/>
          <w:highlight w:val="none"/>
        </w:rPr>
      </w:pPr>
      <w:r>
        <w:rPr>
          <w:rFonts w:hint="eastAsia" w:ascii="仿宋_GB2312" w:eastAsia="仿宋_GB2312"/>
          <w:b/>
          <w:color w:val="auto"/>
          <w:sz w:val="24"/>
          <w:highlight w:val="none"/>
        </w:rPr>
        <w:t>发包人：</w:t>
      </w:r>
      <w:r>
        <w:rPr>
          <w:rFonts w:hint="eastAsia" w:ascii="仿宋_GB2312" w:eastAsia="仿宋_GB2312"/>
          <w:color w:val="auto"/>
          <w:sz w:val="24"/>
          <w:highlight w:val="none"/>
        </w:rPr>
        <w:t>东莞新锋光伏能源科技有限公司</w:t>
      </w:r>
    </w:p>
    <w:p>
      <w:pPr>
        <w:spacing w:line="360" w:lineRule="auto"/>
        <w:rPr>
          <w:rFonts w:hint="default" w:ascii="仿宋_GB2312" w:eastAsia="仿宋_GB2312"/>
          <w:color w:val="auto"/>
          <w:sz w:val="24"/>
          <w:highlight w:val="none"/>
          <w:u w:val="none"/>
        </w:rPr>
      </w:pPr>
      <w:r>
        <w:rPr>
          <w:rFonts w:hint="eastAsia" w:ascii="仿宋_GB2312" w:eastAsia="仿宋_GB2312"/>
          <w:b/>
          <w:color w:val="auto"/>
          <w:sz w:val="24"/>
          <w:highlight w:val="none"/>
        </w:rPr>
        <w:t>承包人</w:t>
      </w:r>
      <w:r>
        <w:rPr>
          <w:rFonts w:hint="eastAsia" w:ascii="仿宋_GB2312" w:eastAsia="仿宋_GB2312"/>
          <w:b/>
          <w:color w:val="auto"/>
          <w:sz w:val="24"/>
          <w:highlight w:val="none"/>
          <w:lang w:eastAsia="zh-CN"/>
        </w:rPr>
        <w:t>：</w:t>
      </w:r>
      <w:r>
        <w:rPr>
          <w:rFonts w:hint="eastAsia" w:ascii="仿宋_GB2312" w:eastAsia="仿宋_GB2312"/>
          <w:color w:val="auto"/>
          <w:sz w:val="24"/>
          <w:highlight w:val="none"/>
        </w:rPr>
        <w:t>(主</w:t>
      </w:r>
      <w:r>
        <w:rPr>
          <w:rFonts w:hint="eastAsia" w:ascii="仿宋_GB2312" w:eastAsia="仿宋_GB2312"/>
          <w:color w:val="auto"/>
          <w:sz w:val="24"/>
          <w:highlight w:val="none"/>
          <w:u w:val="none"/>
        </w:rPr>
        <w:t>)</w:t>
      </w:r>
      <w:permStart w:id="69"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乙方（主）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69"/>
      <w:r>
        <w:rPr>
          <w:rFonts w:hint="eastAsia" w:ascii="仿宋_GB2312" w:eastAsia="仿宋_GB2312"/>
          <w:color w:val="auto"/>
          <w:sz w:val="24"/>
          <w:highlight w:val="none"/>
          <w:u w:val="none"/>
          <w:lang w:eastAsia="zh-CN"/>
        </w:rPr>
        <w:t>、</w:t>
      </w:r>
      <w:r>
        <w:rPr>
          <w:rFonts w:hint="eastAsia" w:ascii="仿宋_GB2312" w:eastAsia="仿宋_GB2312"/>
          <w:color w:val="auto"/>
          <w:sz w:val="24"/>
          <w:highlight w:val="none"/>
          <w:u w:val="none"/>
        </w:rPr>
        <w:t>(成)</w:t>
      </w:r>
      <w:permStart w:id="70"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乙方（成）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0"/>
    </w:p>
    <w:p>
      <w:pPr>
        <w:spacing w:line="360" w:lineRule="auto"/>
        <w:rPr>
          <w:rFonts w:hint="default" w:ascii="仿宋_GB2312" w:eastAsia="仿宋_GB2312"/>
          <w:color w:val="auto"/>
          <w:sz w:val="24"/>
          <w:highlight w:val="none"/>
        </w:rPr>
      </w:pP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一、安全施工考核</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按照施工总承包合同的“安全施工”、“安全事故与检查”的有关内容执行。</w:t>
      </w: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二、发包人安全责任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1.对承包人单位进行安全资质审查。</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2.核实承包人进入施工场地的人员经过安全培训教育，具备安全上岗资格。施工场地属配电房、办公楼等治安消防管理重点部位的，配合承包人向建设单位申办出入登记。</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3.监督承包人编制、报批施工方案（含安全组织措施、技术措施）。</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4.向承包人派出安全管理人员并按规定进行安全技术交底。</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5.按规定协助承包人办理工作票签发、许可手续，布置安全措施。</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6.按照国家《安全生产法》规定，督促在同一区域长时间交叉作业的多个承包商开工前协商签订安全协议。</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7.向承包人传达有关安全施工、治安、消防工作管理制度、专项活动部署与事故通报等重要信息。</w:t>
      </w: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三、承包人安全责任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1.依法建立健全施工安全管理制度，严格执行南方电网公司《电网建设安全健康与环境管理办法实施细则》。</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2.对所派出的施工人员持证上岗和上岗前安全教育全面负责。</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3.开工前负责配合对施工人员进行安全技术交底,人</w:t>
      </w:r>
      <w:r>
        <w:rPr>
          <w:rFonts w:hint="eastAsia" w:ascii="仿宋_GB2312" w:eastAsia="仿宋_GB2312"/>
          <w:color w:val="auto"/>
          <w:sz w:val="24"/>
          <w:highlight w:val="none"/>
          <w:lang w:val="en-US" w:eastAsia="zh-CN"/>
        </w:rPr>
        <w:t>员</w:t>
      </w:r>
      <w:r>
        <w:rPr>
          <w:rFonts w:hint="eastAsia" w:ascii="仿宋_GB2312" w:eastAsia="仿宋_GB2312"/>
          <w:color w:val="auto"/>
          <w:sz w:val="24"/>
          <w:highlight w:val="none"/>
        </w:rPr>
        <w:t>签名记录。</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4.严格按照安全规程、制度要求组织实施现场施工作业，办理各类电气、动火工作票，并负责全面执行各项安全措施。</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5.制订治安、消防工作管理措施并全面落实执行。</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6.工地、工棚、临时宿舍等应按规定敷设、使用施工电源，配备足够的消防器材，必要时办理消防报审手续。</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7.易燃易爆物品应按规定在室内分类妥善保管，设置明显防火标志。</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8.负责施工范围内电力设施防盗工作，夜班值守人员要保证3人以上，并按规定做好废旧线材回收工作。</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9.完全接受发包人或监理公司的安全管理和事故、违章处罚。</w:t>
      </w: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四、违约责任及处罚</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按照总承包合同的“双方的权利和义务”、“违约责任”的有关内容执行。</w:t>
      </w:r>
    </w:p>
    <w:p>
      <w:pPr>
        <w:spacing w:line="360" w:lineRule="auto"/>
        <w:rPr>
          <w:rFonts w:hint="default" w:ascii="仿宋_GB2312" w:eastAsia="仿宋_GB2312"/>
          <w:b/>
          <w:color w:val="auto"/>
          <w:sz w:val="24"/>
          <w:highlight w:val="none"/>
        </w:rPr>
      </w:pPr>
      <w:r>
        <w:rPr>
          <w:rFonts w:hint="eastAsia" w:ascii="仿宋_GB2312" w:eastAsia="仿宋_GB2312"/>
          <w:b/>
          <w:color w:val="auto"/>
          <w:sz w:val="24"/>
          <w:highlight w:val="none"/>
        </w:rPr>
        <w:t>五、附则</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1.本合同未尽事宜，按国家有关法律法规执行。</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2.本协议书与工程总承包合同为一整体合同文件。</w:t>
      </w:r>
    </w:p>
    <w:p>
      <w:pPr>
        <w:spacing w:line="360" w:lineRule="auto"/>
        <w:ind w:firstLine="480" w:firstLineChars="200"/>
        <w:rPr>
          <w:rFonts w:hint="default" w:ascii="仿宋_GB2312" w:eastAsia="仿宋_GB2312"/>
          <w:color w:val="auto"/>
          <w:sz w:val="24"/>
          <w:highlight w:val="none"/>
        </w:rPr>
      </w:pPr>
    </w:p>
    <w:p>
      <w:pPr>
        <w:spacing w:line="360" w:lineRule="auto"/>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u w:val="none"/>
        </w:rPr>
      </w:pPr>
      <w:r>
        <w:rPr>
          <w:rFonts w:hint="eastAsia" w:ascii="仿宋_GB2312" w:eastAsia="仿宋_GB2312"/>
          <w:color w:val="auto"/>
          <w:sz w:val="24"/>
          <w:highlight w:val="none"/>
        </w:rPr>
        <w:t>发包人：（盖章）</w:t>
      </w:r>
      <w:r>
        <w:rPr>
          <w:rFonts w:hint="eastAsia" w:ascii="仿宋_GB2312" w:eastAsia="仿宋_GB2312"/>
          <w:color w:val="auto"/>
          <w:sz w:val="24"/>
          <w:highlight w:val="none"/>
          <w:u w:val="none"/>
        </w:rPr>
        <w:t>东莞新锋光伏能源科技有限公司</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 xml:space="preserve">法定代表人（或授权代表）签字：             </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日   期：    年   月   日</w:t>
      </w:r>
    </w:p>
    <w:p>
      <w:pPr>
        <w:spacing w:line="480" w:lineRule="auto"/>
        <w:ind w:firstLine="480" w:firstLineChars="200"/>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u w:val="none"/>
        </w:rPr>
      </w:pPr>
      <w:r>
        <w:rPr>
          <w:rFonts w:hint="eastAsia" w:ascii="仿宋_GB2312" w:eastAsia="仿宋_GB2312"/>
          <w:color w:val="auto"/>
          <w:sz w:val="24"/>
          <w:highlight w:val="none"/>
        </w:rPr>
        <w:t>承包人（主）：（盖章）</w:t>
      </w:r>
      <w:permStart w:id="71"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乙方（主）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1"/>
      <w:r>
        <w:rPr>
          <w:rFonts w:hint="eastAsia" w:ascii="仿宋_GB2312" w:eastAsia="仿宋_GB2312"/>
          <w:color w:val="auto"/>
          <w:sz w:val="24"/>
          <w:highlight w:val="none"/>
          <w:u w:val="none"/>
        </w:rPr>
        <w:t xml:space="preserve">        </w:t>
      </w:r>
    </w:p>
    <w:p>
      <w:pPr>
        <w:spacing w:line="480" w:lineRule="auto"/>
        <w:ind w:firstLine="480" w:firstLineChars="200"/>
        <w:rPr>
          <w:rFonts w:hint="default" w:ascii="仿宋_GB2312" w:eastAsia="仿宋_GB2312"/>
          <w:color w:val="auto"/>
          <w:sz w:val="24"/>
          <w:highlight w:val="none"/>
          <w:u w:val="none"/>
        </w:rPr>
      </w:pPr>
      <w:r>
        <w:rPr>
          <w:rFonts w:hint="eastAsia" w:ascii="仿宋_GB2312" w:eastAsia="仿宋_GB2312"/>
          <w:color w:val="auto"/>
          <w:sz w:val="24"/>
          <w:highlight w:val="none"/>
          <w:u w:val="none"/>
        </w:rPr>
        <w:t xml:space="preserve">法定代表人（或授权代表）签字：              </w:t>
      </w:r>
    </w:p>
    <w:p>
      <w:pPr>
        <w:spacing w:line="480" w:lineRule="auto"/>
        <w:ind w:firstLine="480" w:firstLineChars="200"/>
        <w:rPr>
          <w:rFonts w:hint="default" w:ascii="仿宋_GB2312" w:eastAsia="仿宋_GB2312"/>
          <w:color w:val="auto"/>
          <w:sz w:val="24"/>
          <w:highlight w:val="none"/>
          <w:u w:val="none"/>
        </w:rPr>
      </w:pPr>
      <w:r>
        <w:rPr>
          <w:rFonts w:hint="eastAsia" w:ascii="仿宋_GB2312" w:eastAsia="仿宋_GB2312"/>
          <w:color w:val="auto"/>
          <w:sz w:val="24"/>
          <w:highlight w:val="none"/>
          <w:u w:val="none"/>
        </w:rPr>
        <w:t>日    期：    年   月   日</w:t>
      </w:r>
    </w:p>
    <w:p>
      <w:pPr>
        <w:spacing w:line="480" w:lineRule="auto"/>
        <w:ind w:firstLine="480" w:firstLineChars="200"/>
        <w:rPr>
          <w:rFonts w:hint="default" w:ascii="仿宋_GB2312" w:eastAsia="仿宋_GB2312"/>
          <w:color w:val="auto"/>
          <w:sz w:val="24"/>
          <w:highlight w:val="none"/>
          <w:u w:val="none"/>
        </w:rPr>
      </w:pPr>
    </w:p>
    <w:p>
      <w:pPr>
        <w:spacing w:line="480" w:lineRule="auto"/>
        <w:ind w:firstLine="480" w:firstLineChars="200"/>
        <w:rPr>
          <w:rFonts w:hint="default" w:ascii="仿宋_GB2312" w:eastAsia="仿宋_GB2312"/>
          <w:color w:val="auto"/>
          <w:sz w:val="24"/>
          <w:highlight w:val="none"/>
          <w:u w:val="none"/>
        </w:rPr>
      </w:pP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u w:val="none"/>
        </w:rPr>
        <w:t>承包人（成）：（盖章）</w:t>
      </w:r>
      <w:permStart w:id="72"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乙方（成）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2"/>
      <w:r>
        <w:rPr>
          <w:rFonts w:hint="eastAsia" w:ascii="仿宋_GB2312" w:eastAsia="仿宋_GB2312"/>
          <w:color w:val="auto"/>
          <w:sz w:val="24"/>
          <w:highlight w:val="none"/>
        </w:rPr>
        <w:t xml:space="preserve">        </w:t>
      </w:r>
    </w:p>
    <w:p>
      <w:pPr>
        <w:spacing w:line="48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rPr>
        <w:t xml:space="preserve">法定代表人（或授权代表）签字：              </w:t>
      </w:r>
    </w:p>
    <w:p>
      <w:pPr>
        <w:spacing w:line="480" w:lineRule="auto"/>
        <w:ind w:firstLine="480" w:firstLineChars="200"/>
        <w:rPr>
          <w:rFonts w:hint="eastAsia" w:ascii="宋体" w:hAnsi="宋体" w:eastAsia="宋体" w:cs="宋体"/>
          <w:b/>
          <w:color w:val="auto"/>
          <w:sz w:val="21"/>
          <w:szCs w:val="21"/>
          <w:highlight w:val="none"/>
        </w:rPr>
      </w:pPr>
      <w:r>
        <w:rPr>
          <w:rFonts w:hint="eastAsia" w:ascii="仿宋_GB2312" w:eastAsia="仿宋_GB2312"/>
          <w:color w:val="auto"/>
          <w:sz w:val="24"/>
          <w:highlight w:val="none"/>
        </w:rPr>
        <w:t>日    期：    年   月   日</w:t>
      </w:r>
    </w:p>
    <w:p>
      <w:pPr>
        <w:spacing w:line="360" w:lineRule="auto"/>
        <w:jc w:val="left"/>
        <w:rPr>
          <w:rFonts w:hint="eastAsia" w:ascii="宋体" w:hAnsi="宋体" w:eastAsia="宋体" w:cs="宋体"/>
          <w:b/>
          <w:color w:val="auto"/>
          <w:sz w:val="21"/>
          <w:szCs w:val="21"/>
          <w:highlight w:val="none"/>
        </w:rPr>
        <w:sectPr>
          <w:headerReference r:id="rId9" w:type="first"/>
          <w:footerReference r:id="rId11" w:type="first"/>
          <w:headerReference r:id="rId8" w:type="default"/>
          <w:footerReference r:id="rId10" w:type="default"/>
          <w:pgSz w:w="11906" w:h="16838"/>
          <w:pgMar w:top="1361" w:right="1134" w:bottom="1361" w:left="1134"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35"/>
        <w:spacing w:before="156"/>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附件3 </w:t>
      </w:r>
    </w:p>
    <w:p>
      <w:pPr>
        <w:pStyle w:val="2"/>
        <w:spacing w:before="156"/>
        <w:ind w:firstLine="0" w:firstLineChars="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廉洁协议</w:t>
      </w:r>
    </w:p>
    <w:p>
      <w:pPr>
        <w:spacing w:line="360" w:lineRule="auto"/>
        <w:rPr>
          <w:rFonts w:hint="default" w:ascii="仿宋_GB2312" w:eastAsia="仿宋_GB2312"/>
          <w:color w:val="auto"/>
          <w:sz w:val="24"/>
          <w:highlight w:val="none"/>
        </w:rPr>
      </w:pPr>
      <w:r>
        <w:rPr>
          <w:rFonts w:hint="default" w:ascii="仿宋_GB2312" w:eastAsia="仿宋_GB2312"/>
          <w:b/>
          <w:color w:val="auto"/>
          <w:sz w:val="24"/>
          <w:highlight w:val="none"/>
        </w:rPr>
        <w:t>项目名称：</w:t>
      </w:r>
      <w:permStart w:id="73" w:edGrp="everyone"/>
      <w:r>
        <w:rPr>
          <w:rFonts w:hint="default" w:ascii="仿宋_GB2312" w:eastAsia="仿宋_GB2312"/>
          <w:color w:val="auto"/>
          <w:sz w:val="24"/>
          <w:highlight w:val="none"/>
        </w:rPr>
        <w:fldChar w:fldCharType="begin"/>
      </w:r>
      <w:r>
        <w:rPr>
          <w:rFonts w:hint="default" w:ascii="仿宋_GB2312" w:eastAsia="仿宋_GB2312"/>
          <w:color w:val="auto"/>
          <w:sz w:val="24"/>
          <w:highlight w:val="none"/>
        </w:rPr>
        <w:instrText xml:space="preserve"> REF 项目名称 \h </w:instrText>
      </w:r>
      <w:r>
        <w:rPr>
          <w:rFonts w:hint="default" w:ascii="仿宋_GB2312" w:eastAsia="仿宋_GB2312"/>
          <w:color w:val="auto"/>
          <w:sz w:val="24"/>
          <w:highlight w:val="none"/>
        </w:rPr>
        <w:fldChar w:fldCharType="separate"/>
      </w:r>
      <w:r>
        <w:rPr>
          <w:rFonts w:hint="eastAsia" w:ascii="仿宋_GB2312" w:eastAsia="仿宋_GB2312"/>
          <w:color w:val="auto"/>
          <w:sz w:val="24"/>
          <w:highlight w:val="none"/>
        </w:rPr>
        <w:t>东莞新锋光伏能源科技有限公司XX厂区分布式光伏发电项目</w:t>
      </w:r>
      <w:r>
        <w:rPr>
          <w:rFonts w:hint="default" w:ascii="仿宋_GB2312" w:eastAsia="仿宋_GB2312"/>
          <w:color w:val="auto"/>
          <w:sz w:val="24"/>
          <w:highlight w:val="none"/>
        </w:rPr>
        <w:fldChar w:fldCharType="end"/>
      </w:r>
      <w:permEnd w:id="73"/>
    </w:p>
    <w:p>
      <w:pPr>
        <w:spacing w:line="360" w:lineRule="auto"/>
        <w:rPr>
          <w:rFonts w:hint="default" w:ascii="仿宋_GB2312" w:hAnsi="Times New Roman" w:eastAsia="仿宋_GB2312" w:cs="Times New Roman"/>
          <w:color w:val="auto"/>
          <w:sz w:val="24"/>
        </w:rPr>
      </w:pPr>
      <w:r>
        <w:rPr>
          <w:rFonts w:hint="default" w:ascii="仿宋_GB2312" w:eastAsia="仿宋_GB2312"/>
          <w:b/>
          <w:color w:val="auto"/>
          <w:sz w:val="24"/>
          <w:highlight w:val="none"/>
        </w:rPr>
        <w:t>合同编号：</w:t>
      </w:r>
      <w:permStart w:id="74" w:edGrp="everyone"/>
      <w:r>
        <w:rPr>
          <w:rFonts w:hint="eastAsia" w:ascii="仿宋_GB2312" w:hAnsi="Times New Roman" w:eastAsia="仿宋_GB2312" w:cs="Times New Roman"/>
          <w:color w:val="auto"/>
          <w:sz w:val="24"/>
        </w:rPr>
        <w:fldChar w:fldCharType="begin"/>
      </w:r>
      <w:r>
        <w:rPr>
          <w:rFonts w:hint="eastAsia" w:ascii="仿宋_GB2312" w:hAnsi="Times New Roman" w:eastAsia="仿宋_GB2312" w:cs="Times New Roman"/>
          <w:color w:val="auto"/>
          <w:sz w:val="24"/>
        </w:rPr>
        <w:instrText xml:space="preserve"> REF 合同编号 \h </w:instrText>
      </w:r>
      <w:r>
        <w:rPr>
          <w:rFonts w:hint="eastAsia" w:ascii="仿宋_GB2312" w:hAnsi="Times New Roman" w:eastAsia="仿宋_GB2312" w:cs="Times New Roman"/>
          <w:color w:val="auto"/>
          <w:sz w:val="24"/>
        </w:rPr>
        <w:fldChar w:fldCharType="separate"/>
      </w:r>
      <w:r>
        <w:rPr>
          <w:rFonts w:hint="eastAsia" w:ascii="仿宋_GB2312" w:hAnsi="Times New Roman" w:eastAsia="仿宋_GB2312" w:cs="Times New Roman"/>
          <w:color w:val="auto"/>
          <w:sz w:val="24"/>
        </w:rPr>
        <w:t>XFGFSG202X0XX</w:t>
      </w:r>
      <w:r>
        <w:rPr>
          <w:rFonts w:hint="eastAsia" w:ascii="仿宋_GB2312" w:hAnsi="Times New Roman" w:eastAsia="仿宋_GB2312" w:cs="Times New Roman"/>
          <w:color w:val="auto"/>
          <w:sz w:val="24"/>
        </w:rPr>
        <w:fldChar w:fldCharType="end"/>
      </w:r>
      <w:permEnd w:id="74"/>
    </w:p>
    <w:p>
      <w:pPr>
        <w:spacing w:line="360" w:lineRule="auto"/>
        <w:rPr>
          <w:rFonts w:hint="default" w:ascii="仿宋_GB2312" w:eastAsia="仿宋_GB2312"/>
          <w:color w:val="auto"/>
          <w:sz w:val="24"/>
          <w:highlight w:val="none"/>
        </w:rPr>
      </w:pPr>
      <w:r>
        <w:rPr>
          <w:rFonts w:hint="default" w:ascii="仿宋_GB2312" w:eastAsia="仿宋_GB2312"/>
          <w:b/>
          <w:color w:val="auto"/>
          <w:sz w:val="24"/>
          <w:highlight w:val="none"/>
        </w:rPr>
        <w:t>发包人：</w:t>
      </w:r>
      <w:r>
        <w:rPr>
          <w:rFonts w:hint="default" w:ascii="仿宋_GB2312" w:eastAsia="仿宋_GB2312"/>
          <w:color w:val="auto"/>
          <w:sz w:val="24"/>
          <w:highlight w:val="none"/>
        </w:rPr>
        <w:t xml:space="preserve"> </w:t>
      </w:r>
      <w:r>
        <w:rPr>
          <w:rFonts w:hint="eastAsia" w:ascii="仿宋_GB2312" w:eastAsia="仿宋_GB2312"/>
          <w:color w:val="auto"/>
          <w:sz w:val="24"/>
          <w:highlight w:val="none"/>
        </w:rPr>
        <w:t>东莞新锋光伏能源科技有限公司</w:t>
      </w:r>
    </w:p>
    <w:p>
      <w:pPr>
        <w:spacing w:line="360" w:lineRule="auto"/>
        <w:rPr>
          <w:rFonts w:hint="default" w:ascii="仿宋_GB2312" w:eastAsia="仿宋_GB2312"/>
          <w:color w:val="auto"/>
          <w:sz w:val="24"/>
          <w:highlight w:val="none"/>
          <w:u w:val="none"/>
        </w:rPr>
      </w:pPr>
      <w:r>
        <w:rPr>
          <w:rFonts w:hint="eastAsia" w:ascii="仿宋_GB2312" w:eastAsia="仿宋_GB2312"/>
          <w:b/>
          <w:color w:val="auto"/>
          <w:sz w:val="24"/>
          <w:highlight w:val="none"/>
        </w:rPr>
        <w:t>承包人</w:t>
      </w:r>
      <w:r>
        <w:rPr>
          <w:rFonts w:hint="eastAsia" w:ascii="仿宋_GB2312" w:eastAsia="仿宋_GB2312"/>
          <w:b/>
          <w:color w:val="auto"/>
          <w:sz w:val="24"/>
          <w:highlight w:val="none"/>
          <w:lang w:eastAsia="zh-CN"/>
        </w:rPr>
        <w:t>：</w:t>
      </w:r>
      <w:r>
        <w:rPr>
          <w:rFonts w:hint="eastAsia" w:ascii="仿宋_GB2312" w:eastAsia="仿宋_GB2312"/>
          <w:color w:val="auto"/>
          <w:sz w:val="24"/>
          <w:highlight w:val="none"/>
        </w:rPr>
        <w:t>(主</w:t>
      </w:r>
      <w:r>
        <w:rPr>
          <w:rFonts w:hint="eastAsia" w:ascii="仿宋_GB2312" w:eastAsia="仿宋_GB2312"/>
          <w:color w:val="auto"/>
          <w:sz w:val="24"/>
          <w:highlight w:val="none"/>
          <w:u w:val="none"/>
        </w:rPr>
        <w:t>)</w:t>
      </w:r>
      <w:permStart w:id="75"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乙方（主）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5"/>
      <w:r>
        <w:rPr>
          <w:rFonts w:hint="eastAsia" w:ascii="仿宋_GB2312" w:eastAsia="仿宋_GB2312"/>
          <w:color w:val="auto"/>
          <w:sz w:val="24"/>
          <w:highlight w:val="none"/>
          <w:u w:val="none"/>
          <w:lang w:eastAsia="zh-CN"/>
        </w:rPr>
        <w:t>、</w:t>
      </w:r>
      <w:r>
        <w:rPr>
          <w:rFonts w:hint="eastAsia" w:ascii="仿宋_GB2312" w:eastAsia="仿宋_GB2312"/>
          <w:color w:val="auto"/>
          <w:sz w:val="24"/>
          <w:highlight w:val="none"/>
          <w:u w:val="none"/>
        </w:rPr>
        <w:t>(成)</w:t>
      </w:r>
      <w:permStart w:id="76"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乙方（成）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6"/>
    </w:p>
    <w:p>
      <w:pPr>
        <w:spacing w:line="360" w:lineRule="auto"/>
        <w:ind w:firstLine="480" w:firstLineChars="200"/>
        <w:rPr>
          <w:rFonts w:hint="default" w:ascii="仿宋_GB2312" w:eastAsia="仿宋_GB2312"/>
          <w:color w:val="auto"/>
          <w:sz w:val="24"/>
          <w:highlight w:val="none"/>
        </w:rPr>
      </w:pPr>
    </w:p>
    <w:p>
      <w:pPr>
        <w:spacing w:line="36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为规范</w:t>
      </w:r>
      <w:r>
        <w:rPr>
          <w:rFonts w:hint="eastAsia" w:ascii="仿宋_GB2312" w:hAnsi="Times New Roman" w:eastAsia="仿宋_GB2312" w:cs="Times New Roman"/>
          <w:color w:val="auto"/>
          <w:sz w:val="24"/>
          <w:highlight w:val="none"/>
          <w:lang w:val="en-US" w:eastAsia="zh-CN"/>
        </w:rPr>
        <w:t>发、承包人</w:t>
      </w:r>
      <w:r>
        <w:rPr>
          <w:rFonts w:hint="default" w:ascii="仿宋_GB2312" w:eastAsia="仿宋_GB2312"/>
          <w:color w:val="auto"/>
          <w:sz w:val="24"/>
          <w:highlight w:val="none"/>
        </w:rPr>
        <w:t>双方的行为，防止违法违纪事件的发生，经双方协商同意，签订廉洁协议，供双方恪守，具体条款如下：</w:t>
      </w:r>
    </w:p>
    <w:p>
      <w:pPr>
        <w:spacing w:line="360" w:lineRule="auto"/>
        <w:rPr>
          <w:rFonts w:hint="default" w:ascii="仿宋_GB2312" w:eastAsia="仿宋_GB2312"/>
          <w:b/>
          <w:color w:val="auto"/>
          <w:sz w:val="24"/>
          <w:highlight w:val="none"/>
        </w:rPr>
      </w:pPr>
      <w:r>
        <w:rPr>
          <w:rFonts w:hint="default" w:ascii="仿宋_GB2312" w:eastAsia="仿宋_GB2312"/>
          <w:b/>
          <w:color w:val="auto"/>
          <w:sz w:val="24"/>
          <w:highlight w:val="none"/>
        </w:rPr>
        <w:t>一、发包人的权利和义务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1.</w:t>
      </w:r>
      <w:r>
        <w:rPr>
          <w:rFonts w:hint="default" w:ascii="仿宋_GB2312" w:eastAsia="仿宋_GB2312"/>
          <w:color w:val="auto"/>
          <w:sz w:val="24"/>
          <w:highlight w:val="none"/>
        </w:rPr>
        <w:t>发包人的工作人员有责任向承包人介绍本单位有关廉洁从业的制度、规定。发包人的纪检监察人员有权对双方在合同执行过程中的廉洁情况进行监督。</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2.</w:t>
      </w:r>
      <w:r>
        <w:rPr>
          <w:rFonts w:hint="default" w:ascii="仿宋_GB2312" w:eastAsia="仿宋_GB2312"/>
          <w:color w:val="auto"/>
          <w:sz w:val="24"/>
          <w:highlight w:val="none"/>
        </w:rPr>
        <w:t>发包人的工作人员不得向承包人泄露经济活动中的商业秘密。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3.</w:t>
      </w:r>
      <w:r>
        <w:rPr>
          <w:rFonts w:hint="default" w:ascii="仿宋_GB2312" w:eastAsia="仿宋_GB2312"/>
          <w:color w:val="auto"/>
          <w:sz w:val="24"/>
          <w:highlight w:val="none"/>
        </w:rPr>
        <w:t>发包人的工作人员在业务往来过程以及合同执行过程中，不得以任何形式向承包人索取贿赂、收受回扣及好处费等；不得接受承包人馈赠的有价证券和贵重物品；不得让承包人报销任何费用；不得参加对执行公务有影响的娱乐活动和宴请；不得向承包人介绍家属或亲友从事与该项目有关的材料、设备供应和该项目分包等经济活动；不得要求承包人为其装修房子；不得要求承包人为亲属安排出境和国内旅游等；不得借婚丧嫁娶之机收受承包人的钱（含有价证券）、物。</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4.</w:t>
      </w:r>
      <w:r>
        <w:rPr>
          <w:rFonts w:hint="default" w:ascii="仿宋_GB2312" w:eastAsia="仿宋_GB2312"/>
          <w:color w:val="auto"/>
          <w:sz w:val="24"/>
          <w:highlight w:val="none"/>
        </w:rPr>
        <w:t>对承包人主动给予的钱（含有价证券）、物，发包人的工作人员要坚决谢绝，无法拒绝的要在两周内上交发包人的纪检监察部门或上级纪检监察部门。</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5.</w:t>
      </w:r>
      <w:r>
        <w:rPr>
          <w:rFonts w:hint="default" w:ascii="仿宋_GB2312" w:eastAsia="仿宋_GB2312"/>
          <w:color w:val="auto"/>
          <w:sz w:val="24"/>
          <w:highlight w:val="none"/>
        </w:rPr>
        <w:t>发包人的工作人员必须遵守廉洁自律的其他有关规定。</w:t>
      </w:r>
    </w:p>
    <w:p>
      <w:pPr>
        <w:spacing w:line="360" w:lineRule="auto"/>
        <w:rPr>
          <w:rFonts w:hint="default" w:ascii="仿宋_GB2312" w:eastAsia="仿宋_GB2312"/>
          <w:b/>
          <w:color w:val="auto"/>
          <w:sz w:val="24"/>
          <w:highlight w:val="none"/>
        </w:rPr>
      </w:pPr>
      <w:r>
        <w:rPr>
          <w:rFonts w:hint="default" w:ascii="仿宋_GB2312" w:eastAsia="仿宋_GB2312"/>
          <w:b/>
          <w:color w:val="auto"/>
          <w:sz w:val="24"/>
          <w:highlight w:val="none"/>
        </w:rPr>
        <w:t>二、承包人的权利和义务</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1.</w:t>
      </w:r>
      <w:r>
        <w:rPr>
          <w:rFonts w:hint="default" w:ascii="仿宋_GB2312" w:eastAsia="仿宋_GB2312"/>
          <w:color w:val="auto"/>
          <w:sz w:val="24"/>
          <w:highlight w:val="none"/>
        </w:rPr>
        <w:t>承包人的纪检监察人员有权对双方在业务往来及合同执行过程中的廉洁从业情况进行监督，并积极配合发包人纪检监察工作人员就有关违纪问题进行调查取证。</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2.</w:t>
      </w:r>
      <w:r>
        <w:rPr>
          <w:rFonts w:hint="default" w:ascii="仿宋_GB2312" w:eastAsia="仿宋_GB2312"/>
          <w:color w:val="auto"/>
          <w:sz w:val="24"/>
          <w:highlight w:val="none"/>
        </w:rPr>
        <w:t>承包人有权了解发包人在廉洁从业方面的各项制度和规定，并主动配合发包人遵守执行。</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3.</w:t>
      </w:r>
      <w:r>
        <w:rPr>
          <w:rFonts w:hint="default" w:ascii="仿宋_GB2312" w:eastAsia="仿宋_GB2312"/>
          <w:color w:val="auto"/>
          <w:sz w:val="24"/>
          <w:highlight w:val="none"/>
        </w:rPr>
        <w:t>承包人的工作人员不得以任何方式向发包人的工作人员了解业务往来中的商业秘密。</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4.</w:t>
      </w:r>
      <w:r>
        <w:rPr>
          <w:rFonts w:hint="default" w:ascii="仿宋_GB2312" w:eastAsia="仿宋_GB2312"/>
          <w:color w:val="auto"/>
          <w:sz w:val="24"/>
          <w:highlight w:val="none"/>
        </w:rPr>
        <w:t>承包人的工作人员在业务往来过程及合同执行过程中，不得向发包人的工作人员行贿、提供回扣或其他好处费等；不得向发包人的工作人员馈赠有价证券和贵重物品；不得给发包人的工作人员报销任何费用；不得为发包人的工作人员购置或长期无偿提供交通工具、通讯工具、家电、办公用品等；不得邀请发包人的工作人员参加对执行公务有影响的娱乐活动和宴请；不得接受发包人的工作人员介绍的家属或亲友从事与该项目有关的材料、设备供应或该项目分包等经济活动；不得为发包人的工作人员装修房子；不得为发包人的工作人员的亲属安排出境和国内旅游等；不得借婚丧嫁娶之机向发包人的工作人员赠送钱（含有价证券）、物。</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5.</w:t>
      </w:r>
      <w:r>
        <w:rPr>
          <w:rFonts w:hint="default" w:ascii="仿宋_GB2312" w:eastAsia="仿宋_GB2312"/>
          <w:color w:val="auto"/>
          <w:sz w:val="24"/>
          <w:highlight w:val="none"/>
        </w:rPr>
        <w:t>承包人发现发包人的工作人员有不廉洁的行为，必须在48小时内署名报告发包人的纪检监察人员或有关领导。</w:t>
      </w:r>
    </w:p>
    <w:p>
      <w:pPr>
        <w:spacing w:line="360" w:lineRule="auto"/>
        <w:rPr>
          <w:rFonts w:hint="default" w:ascii="仿宋_GB2312" w:eastAsia="仿宋_GB2312"/>
          <w:b/>
          <w:color w:val="auto"/>
          <w:sz w:val="24"/>
          <w:highlight w:val="none"/>
        </w:rPr>
      </w:pPr>
      <w:r>
        <w:rPr>
          <w:rFonts w:hint="default" w:ascii="仿宋_GB2312" w:eastAsia="仿宋_GB2312"/>
          <w:b/>
          <w:color w:val="auto"/>
          <w:sz w:val="24"/>
          <w:highlight w:val="none"/>
        </w:rPr>
        <w:t>三、违约责任</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1.</w:t>
      </w:r>
      <w:r>
        <w:rPr>
          <w:rFonts w:hint="default" w:ascii="仿宋_GB2312" w:eastAsia="仿宋_GB2312"/>
          <w:color w:val="auto"/>
          <w:sz w:val="24"/>
          <w:highlight w:val="none"/>
        </w:rPr>
        <w:t>发包人的工作人员违反廉洁责任，经调查属实的，发包人将依据党、政纪对当事人进行严肃处理，对涉嫌犯罪人员移送司法机关。</w:t>
      </w:r>
    </w:p>
    <w:p>
      <w:pPr>
        <w:spacing w:line="360" w:lineRule="auto"/>
        <w:ind w:firstLine="480" w:firstLineChars="200"/>
        <w:rPr>
          <w:rFonts w:hint="default" w:ascii="仿宋_GB2312" w:eastAsia="仿宋_GB2312"/>
          <w:color w:val="auto"/>
          <w:sz w:val="24"/>
          <w:highlight w:val="none"/>
        </w:rPr>
      </w:pPr>
      <w:r>
        <w:rPr>
          <w:rFonts w:hint="eastAsia" w:ascii="仿宋_GB2312" w:eastAsia="仿宋_GB2312"/>
          <w:color w:val="auto"/>
          <w:sz w:val="24"/>
          <w:highlight w:val="none"/>
          <w:lang w:val="en-US" w:eastAsia="zh-CN"/>
        </w:rPr>
        <w:t>2.</w:t>
      </w:r>
      <w:r>
        <w:rPr>
          <w:rFonts w:hint="default" w:ascii="仿宋_GB2312" w:eastAsia="仿宋_GB2312"/>
          <w:color w:val="auto"/>
          <w:sz w:val="24"/>
          <w:highlight w:val="none"/>
        </w:rPr>
        <w:t>承包人工作人员违反廉洁责任，经调查属实，发包人有权对承包人进行一次性扣罚与其签订合同总价款的0.5—10%直至终止合同执行，由此造成的经济损失由承包人承担。在今后项目中，发包人公司系统各企业不再考虑与承包人的合作。</w:t>
      </w:r>
    </w:p>
    <w:p>
      <w:pPr>
        <w:spacing w:line="360" w:lineRule="auto"/>
        <w:rPr>
          <w:rFonts w:hint="default" w:ascii="仿宋_GB2312" w:eastAsia="仿宋_GB2312"/>
          <w:b/>
          <w:color w:val="auto"/>
          <w:sz w:val="24"/>
          <w:highlight w:val="none"/>
        </w:rPr>
      </w:pPr>
      <w:r>
        <w:rPr>
          <w:rFonts w:hint="default" w:ascii="仿宋_GB2312" w:eastAsia="仿宋_GB2312"/>
          <w:b/>
          <w:color w:val="auto"/>
          <w:sz w:val="24"/>
          <w:highlight w:val="none"/>
        </w:rPr>
        <w:t>四、协议的生效</w:t>
      </w:r>
    </w:p>
    <w:p>
      <w:pPr>
        <w:spacing w:line="360" w:lineRule="auto"/>
        <w:ind w:firstLine="480" w:firstLineChars="200"/>
        <w:jc w:val="both"/>
        <w:rPr>
          <w:rFonts w:hint="default"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lang w:val="en-US" w:eastAsia="zh-CN"/>
        </w:rPr>
        <w:t>1</w:t>
      </w:r>
      <w:r>
        <w:rPr>
          <w:rFonts w:hint="eastAsia" w:ascii="仿宋_GB2312" w:hAnsi="Times New Roman" w:eastAsia="仿宋_GB2312" w:cs="Times New Roman"/>
          <w:color w:val="auto"/>
          <w:sz w:val="24"/>
          <w:highlight w:val="none"/>
        </w:rPr>
        <w:t>.</w:t>
      </w:r>
      <w:r>
        <w:rPr>
          <w:rFonts w:hint="default" w:ascii="仿宋_GB2312" w:hAnsi="Times New Roman" w:eastAsia="仿宋_GB2312" w:cs="Times New Roman"/>
          <w:color w:val="auto"/>
          <w:sz w:val="24"/>
          <w:highlight w:val="none"/>
        </w:rPr>
        <w:t>本</w:t>
      </w:r>
      <w:r>
        <w:rPr>
          <w:rFonts w:hint="eastAsia" w:ascii="仿宋_GB2312" w:hAnsi="Times New Roman" w:eastAsia="仿宋_GB2312" w:cs="Times New Roman"/>
          <w:color w:val="auto"/>
          <w:sz w:val="24"/>
          <w:highlight w:val="none"/>
        </w:rPr>
        <w:t>协议</w:t>
      </w:r>
      <w:permStart w:id="77" w:edGrp="everyone"/>
      <w:r>
        <w:rPr>
          <w:rFonts w:hint="default" w:ascii="仿宋_GB2312" w:hAnsi="Times New Roman" w:eastAsia="仿宋_GB2312" w:cs="Times New Roman"/>
          <w:color w:val="auto"/>
          <w:sz w:val="24"/>
          <w:highlight w:val="none"/>
        </w:rPr>
        <w:fldChar w:fldCharType="begin"/>
      </w:r>
      <w:r>
        <w:rPr>
          <w:rFonts w:hint="default" w:ascii="仿宋_GB2312" w:hAnsi="Times New Roman" w:eastAsia="仿宋_GB2312" w:cs="Times New Roman"/>
          <w:color w:val="auto"/>
          <w:sz w:val="24"/>
          <w:highlight w:val="none"/>
        </w:rPr>
        <w:instrText xml:space="preserve"> REF 合同总数 \h </w:instrText>
      </w:r>
      <w:r>
        <w:rPr>
          <w:rFonts w:hint="default" w:ascii="仿宋_GB2312" w:hAnsi="Times New Roman" w:eastAsia="仿宋_GB2312" w:cs="Times New Roman"/>
          <w:color w:val="auto"/>
          <w:sz w:val="24"/>
          <w:highlight w:val="none"/>
        </w:rPr>
        <w:fldChar w:fldCharType="separate"/>
      </w:r>
      <w:r>
        <w:rPr>
          <w:rFonts w:hint="eastAsia" w:ascii="仿宋_GB2312" w:eastAsia="仿宋_GB2312"/>
          <w:color w:val="auto"/>
          <w:sz w:val="24"/>
          <w:highlight w:val="none"/>
        </w:rPr>
        <w:t>一式陆份</w:t>
      </w:r>
      <w:r>
        <w:rPr>
          <w:rFonts w:hint="default" w:ascii="仿宋_GB2312" w:hAnsi="Times New Roman" w:eastAsia="仿宋_GB2312" w:cs="Times New Roman"/>
          <w:color w:val="auto"/>
          <w:sz w:val="24"/>
          <w:highlight w:val="none"/>
        </w:rPr>
        <w:fldChar w:fldCharType="end"/>
      </w:r>
      <w:permEnd w:id="77"/>
      <w:r>
        <w:rPr>
          <w:rFonts w:hint="default" w:ascii="仿宋_GB2312" w:hAnsi="Times New Roman" w:eastAsia="仿宋_GB2312" w:cs="Times New Roman"/>
          <w:color w:val="auto"/>
          <w:sz w:val="24"/>
          <w:highlight w:val="none"/>
        </w:rPr>
        <w:t>，</w:t>
      </w:r>
      <w:r>
        <w:rPr>
          <w:rFonts w:hint="eastAsia" w:ascii="仿宋_GB2312" w:hAnsi="Times New Roman" w:eastAsia="仿宋_GB2312" w:cs="Times New Roman"/>
          <w:color w:val="auto"/>
          <w:sz w:val="24"/>
          <w:highlight w:val="none"/>
          <w:lang w:eastAsia="zh-CN"/>
        </w:rPr>
        <w:t>发包人</w:t>
      </w:r>
      <w:r>
        <w:rPr>
          <w:rFonts w:hint="default" w:ascii="仿宋_GB2312" w:hAnsi="Times New Roman" w:eastAsia="仿宋_GB2312" w:cs="Times New Roman"/>
          <w:color w:val="auto"/>
          <w:sz w:val="24"/>
          <w:highlight w:val="none"/>
        </w:rPr>
        <w:t>执</w:t>
      </w:r>
      <w:r>
        <w:rPr>
          <w:rFonts w:hint="eastAsia" w:ascii="仿宋_GB2312" w:hAnsi="Times New Roman" w:eastAsia="仿宋_GB2312" w:cs="Times New Roman"/>
          <w:color w:val="auto"/>
          <w:sz w:val="24"/>
          <w:highlight w:val="none"/>
        </w:rPr>
        <w:t>贰</w:t>
      </w:r>
      <w:r>
        <w:rPr>
          <w:rFonts w:hint="default" w:ascii="仿宋_GB2312" w:hAnsi="Times New Roman" w:eastAsia="仿宋_GB2312" w:cs="Times New Roman"/>
          <w:color w:val="auto"/>
          <w:sz w:val="24"/>
          <w:highlight w:val="none"/>
        </w:rPr>
        <w:t>份，</w:t>
      </w:r>
      <w:r>
        <w:rPr>
          <w:rFonts w:hint="eastAsia" w:ascii="仿宋_GB2312" w:hAnsi="Times New Roman" w:eastAsia="仿宋_GB2312" w:cs="Times New Roman"/>
          <w:color w:val="auto"/>
          <w:sz w:val="24"/>
          <w:highlight w:val="none"/>
          <w:lang w:eastAsia="zh-CN"/>
        </w:rPr>
        <w:t>承包人</w:t>
      </w:r>
      <w:permStart w:id="78" w:edGrp="everyone"/>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REF 乙方份数 \h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eastAsia="仿宋_GB2312"/>
          <w:color w:val="auto"/>
          <w:sz w:val="24"/>
          <w:highlight w:val="none"/>
        </w:rPr>
        <w:t>各执贰份</w:t>
      </w:r>
      <w:r>
        <w:rPr>
          <w:rFonts w:hint="eastAsia" w:ascii="仿宋_GB2312" w:hAnsi="Times New Roman" w:eastAsia="仿宋_GB2312" w:cs="Times New Roman"/>
          <w:color w:val="auto"/>
          <w:sz w:val="24"/>
          <w:highlight w:val="none"/>
          <w:lang w:val="en-US" w:eastAsia="zh-CN"/>
        </w:rPr>
        <w:fldChar w:fldCharType="end"/>
      </w:r>
      <w:permEnd w:id="78"/>
      <w:r>
        <w:rPr>
          <w:rFonts w:hint="eastAsia" w:ascii="仿宋_GB2312" w:hAnsi="Times New Roman" w:eastAsia="仿宋_GB2312" w:cs="Times New Roman"/>
          <w:color w:val="auto"/>
          <w:sz w:val="24"/>
          <w:highlight w:val="none"/>
        </w:rPr>
        <w:t>,具有同等法律效力。</w:t>
      </w:r>
    </w:p>
    <w:p>
      <w:pPr>
        <w:spacing w:line="360" w:lineRule="auto"/>
        <w:ind w:firstLine="480" w:firstLineChars="200"/>
        <w:jc w:val="both"/>
        <w:rPr>
          <w:rFonts w:hint="eastAsia" w:ascii="宋体" w:hAnsi="宋体" w:eastAsia="宋体" w:cs="宋体"/>
          <w:color w:val="auto"/>
          <w:sz w:val="21"/>
          <w:szCs w:val="21"/>
          <w:highlight w:val="none"/>
        </w:rPr>
      </w:pPr>
      <w:r>
        <w:rPr>
          <w:rFonts w:hint="eastAsia" w:ascii="仿宋_GB2312" w:hAnsi="Times New Roman"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rPr>
        <w:t>.本协议经双方签署后生效</w:t>
      </w:r>
      <w:r>
        <w:rPr>
          <w:rFonts w:hint="eastAsia" w:ascii="宋体" w:hAnsi="宋体" w:eastAsia="宋体" w:cs="宋体"/>
          <w:color w:val="auto"/>
          <w:sz w:val="21"/>
          <w:szCs w:val="21"/>
          <w:highlight w:val="none"/>
        </w:rPr>
        <w:t>。</w:t>
      </w:r>
    </w:p>
    <w:p>
      <w:pPr>
        <w:spacing w:line="360" w:lineRule="auto"/>
        <w:ind w:firstLine="420" w:firstLineChars="200"/>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pPr>
    </w:p>
    <w:p>
      <w:pPr>
        <w:ind w:firstLine="420" w:firstLineChars="200"/>
        <w:rPr>
          <w:rFonts w:hint="eastAsia" w:ascii="宋体" w:hAnsi="宋体" w:eastAsia="宋体" w:cs="宋体"/>
          <w:color w:val="auto"/>
          <w:sz w:val="21"/>
          <w:szCs w:val="21"/>
          <w:highlight w:val="none"/>
        </w:rPr>
        <w:sectPr>
          <w:pgSz w:w="11906" w:h="16838"/>
          <w:pgMar w:top="1361" w:right="1134" w:bottom="1361" w:left="1134" w:header="851" w:footer="992" w:gutter="0"/>
          <w:pgBorders>
            <w:top w:val="none" w:sz="0" w:space="0"/>
            <w:left w:val="none" w:sz="0" w:space="0"/>
            <w:bottom w:val="none" w:sz="0" w:space="0"/>
            <w:right w:val="none" w:sz="0" w:space="0"/>
          </w:pgBorders>
          <w:cols w:space="720" w:num="1"/>
          <w:titlePg/>
          <w:docGrid w:type="lines" w:linePitch="312" w:charSpace="0"/>
        </w:sectPr>
      </w:pPr>
    </w:p>
    <w:p>
      <w:pPr>
        <w:spacing w:line="480" w:lineRule="auto"/>
        <w:ind w:firstLine="480" w:firstLineChars="200"/>
        <w:jc w:val="both"/>
        <w:rPr>
          <w:rFonts w:hint="default"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（签署页）</w:t>
      </w:r>
    </w:p>
    <w:p>
      <w:pPr>
        <w:pStyle w:val="2"/>
        <w:spacing w:before="156"/>
        <w:ind w:firstLine="480"/>
        <w:rPr>
          <w:color w:val="auto"/>
          <w:highlight w:val="none"/>
        </w:rPr>
      </w:pPr>
    </w:p>
    <w:p>
      <w:pPr>
        <w:spacing w:line="48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发包人：（盖章）</w:t>
      </w:r>
      <w:r>
        <w:rPr>
          <w:rFonts w:hint="eastAsia" w:ascii="仿宋_GB2312" w:eastAsia="仿宋_GB2312"/>
          <w:color w:val="auto"/>
          <w:sz w:val="24"/>
          <w:highlight w:val="none"/>
          <w:u w:val="none"/>
        </w:rPr>
        <w:t>东莞新锋光伏能源科技有限公司</w:t>
      </w:r>
    </w:p>
    <w:p>
      <w:pPr>
        <w:spacing w:line="48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 xml:space="preserve">法定代表人（或授权代表）签字：             </w:t>
      </w:r>
    </w:p>
    <w:p>
      <w:pPr>
        <w:spacing w:line="48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rPr>
        <w:t>日   期：    年   月   日</w:t>
      </w:r>
    </w:p>
    <w:p>
      <w:pPr>
        <w:spacing w:line="480" w:lineRule="auto"/>
        <w:ind w:firstLine="480" w:firstLineChars="200"/>
        <w:rPr>
          <w:rFonts w:hint="default" w:ascii="仿宋_GB2312" w:eastAsia="仿宋_GB2312"/>
          <w:color w:val="auto"/>
          <w:sz w:val="24"/>
          <w:highlight w:val="none"/>
        </w:rPr>
      </w:pPr>
    </w:p>
    <w:p>
      <w:pPr>
        <w:spacing w:line="480" w:lineRule="auto"/>
        <w:ind w:firstLine="480" w:firstLineChars="200"/>
        <w:rPr>
          <w:rFonts w:hint="default" w:ascii="仿宋_GB2312" w:eastAsia="仿宋_GB2312"/>
          <w:color w:val="auto"/>
          <w:sz w:val="24"/>
          <w:highlight w:val="none"/>
          <w:u w:val="none"/>
        </w:rPr>
      </w:pPr>
      <w:r>
        <w:rPr>
          <w:rFonts w:hint="default" w:ascii="仿宋_GB2312" w:eastAsia="仿宋_GB2312"/>
          <w:color w:val="auto"/>
          <w:sz w:val="24"/>
          <w:highlight w:val="none"/>
        </w:rPr>
        <w:t>承包人（主）：（盖章</w:t>
      </w:r>
      <w:r>
        <w:rPr>
          <w:rFonts w:hint="default" w:ascii="仿宋_GB2312" w:eastAsia="仿宋_GB2312"/>
          <w:color w:val="auto"/>
          <w:sz w:val="24"/>
          <w:highlight w:val="none"/>
          <w:u w:val="none"/>
        </w:rPr>
        <w:t>）</w:t>
      </w:r>
      <w:permStart w:id="79"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乙方（主）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79"/>
      <w:r>
        <w:rPr>
          <w:rFonts w:hint="eastAsia" w:ascii="仿宋_GB2312" w:eastAsia="仿宋_GB2312"/>
          <w:color w:val="auto"/>
          <w:sz w:val="24"/>
          <w:highlight w:val="none"/>
          <w:u w:val="none"/>
        </w:rPr>
        <w:t xml:space="preserve">        </w:t>
      </w:r>
    </w:p>
    <w:p>
      <w:pPr>
        <w:spacing w:line="480" w:lineRule="auto"/>
        <w:ind w:firstLine="480" w:firstLineChars="200"/>
        <w:rPr>
          <w:rFonts w:hint="default" w:ascii="仿宋_GB2312" w:eastAsia="仿宋_GB2312"/>
          <w:color w:val="auto"/>
          <w:sz w:val="24"/>
          <w:highlight w:val="none"/>
          <w:u w:val="none"/>
        </w:rPr>
      </w:pPr>
      <w:r>
        <w:rPr>
          <w:rFonts w:hint="default" w:ascii="仿宋_GB2312" w:eastAsia="仿宋_GB2312"/>
          <w:color w:val="auto"/>
          <w:sz w:val="24"/>
          <w:highlight w:val="none"/>
          <w:u w:val="none"/>
        </w:rPr>
        <w:t xml:space="preserve">法定代表人（或授权代表）签字：              </w:t>
      </w:r>
    </w:p>
    <w:p>
      <w:pPr>
        <w:spacing w:line="480" w:lineRule="auto"/>
        <w:ind w:firstLine="480" w:firstLineChars="200"/>
        <w:rPr>
          <w:rFonts w:hint="default" w:ascii="仿宋_GB2312" w:eastAsia="仿宋_GB2312"/>
          <w:color w:val="auto"/>
          <w:sz w:val="24"/>
          <w:highlight w:val="none"/>
          <w:u w:val="none"/>
        </w:rPr>
      </w:pPr>
      <w:r>
        <w:rPr>
          <w:rFonts w:hint="default" w:ascii="仿宋_GB2312" w:eastAsia="仿宋_GB2312"/>
          <w:color w:val="auto"/>
          <w:sz w:val="24"/>
          <w:highlight w:val="none"/>
          <w:u w:val="none"/>
        </w:rPr>
        <w:t>日    期：    年   月   日</w:t>
      </w:r>
    </w:p>
    <w:p>
      <w:pPr>
        <w:spacing w:line="480" w:lineRule="auto"/>
        <w:ind w:firstLine="480" w:firstLineChars="200"/>
        <w:rPr>
          <w:rFonts w:hint="default" w:ascii="仿宋_GB2312" w:eastAsia="仿宋_GB2312"/>
          <w:color w:val="auto"/>
          <w:sz w:val="24"/>
          <w:highlight w:val="none"/>
          <w:u w:val="none"/>
        </w:rPr>
      </w:pPr>
    </w:p>
    <w:p>
      <w:pPr>
        <w:spacing w:line="480" w:lineRule="auto"/>
        <w:ind w:firstLine="480" w:firstLineChars="200"/>
        <w:rPr>
          <w:rFonts w:hint="default" w:ascii="仿宋_GB2312" w:eastAsia="仿宋_GB2312"/>
          <w:color w:val="auto"/>
          <w:sz w:val="24"/>
          <w:highlight w:val="none"/>
          <w:u w:val="none"/>
        </w:rPr>
      </w:pPr>
      <w:r>
        <w:rPr>
          <w:rFonts w:hint="default" w:ascii="仿宋_GB2312" w:eastAsia="仿宋_GB2312"/>
          <w:color w:val="auto"/>
          <w:sz w:val="24"/>
          <w:highlight w:val="none"/>
          <w:u w:val="none"/>
        </w:rPr>
        <w:t>承包人（成）：（盖章）</w:t>
      </w:r>
      <w:permStart w:id="80" w:edGrp="everyone"/>
      <w:r>
        <w:rPr>
          <w:rFonts w:hint="eastAsia" w:ascii="仿宋_GB2312" w:eastAsia="仿宋_GB2312"/>
          <w:color w:val="auto"/>
          <w:sz w:val="24"/>
          <w:highlight w:val="none"/>
          <w:u w:val="none"/>
        </w:rPr>
        <w:fldChar w:fldCharType="begin"/>
      </w:r>
      <w:r>
        <w:rPr>
          <w:rFonts w:hint="eastAsia" w:ascii="仿宋_GB2312" w:eastAsia="仿宋_GB2312"/>
          <w:color w:val="auto"/>
          <w:sz w:val="24"/>
          <w:highlight w:val="none"/>
          <w:u w:val="none"/>
        </w:rPr>
        <w:instrText xml:space="preserve"> REF 乙方（成） \h </w:instrText>
      </w:r>
      <w:r>
        <w:rPr>
          <w:rFonts w:hint="eastAsia" w:ascii="仿宋_GB2312" w:eastAsia="仿宋_GB2312"/>
          <w:color w:val="auto"/>
          <w:sz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rPr>
        <w:fldChar w:fldCharType="end"/>
      </w:r>
      <w:permEnd w:id="80"/>
      <w:r>
        <w:rPr>
          <w:rFonts w:hint="default" w:ascii="仿宋_GB2312" w:eastAsia="仿宋_GB2312"/>
          <w:color w:val="auto"/>
          <w:sz w:val="24"/>
          <w:highlight w:val="none"/>
          <w:u w:val="none"/>
        </w:rPr>
        <w:t xml:space="preserve">                          </w:t>
      </w:r>
    </w:p>
    <w:p>
      <w:pPr>
        <w:spacing w:line="480" w:lineRule="auto"/>
        <w:ind w:firstLine="480" w:firstLineChars="200"/>
        <w:rPr>
          <w:rFonts w:hint="default" w:ascii="仿宋_GB2312" w:eastAsia="仿宋_GB2312"/>
          <w:color w:val="auto"/>
          <w:sz w:val="24"/>
          <w:highlight w:val="none"/>
        </w:rPr>
      </w:pPr>
      <w:r>
        <w:rPr>
          <w:rFonts w:hint="default" w:ascii="仿宋_GB2312" w:eastAsia="仿宋_GB2312"/>
          <w:color w:val="auto"/>
          <w:sz w:val="24"/>
          <w:highlight w:val="none"/>
          <w:u w:val="none"/>
        </w:rPr>
        <w:t xml:space="preserve">法定代表人（或授权代表）签字：      </w:t>
      </w:r>
      <w:r>
        <w:rPr>
          <w:rFonts w:hint="default" w:ascii="仿宋_GB2312" w:eastAsia="仿宋_GB2312"/>
          <w:color w:val="auto"/>
          <w:sz w:val="24"/>
          <w:highlight w:val="none"/>
        </w:rPr>
        <w:t xml:space="preserve">        </w:t>
      </w:r>
    </w:p>
    <w:p>
      <w:pPr>
        <w:spacing w:line="480" w:lineRule="auto"/>
        <w:ind w:firstLine="480" w:firstLineChars="200"/>
        <w:rPr>
          <w:rFonts w:hint="eastAsia" w:ascii="宋体" w:hAnsi="宋体" w:eastAsia="宋体" w:cs="宋体"/>
          <w:color w:val="auto"/>
          <w:sz w:val="21"/>
          <w:szCs w:val="21"/>
          <w:highlight w:val="none"/>
        </w:rPr>
      </w:pPr>
      <w:r>
        <w:rPr>
          <w:rFonts w:hint="default" w:ascii="仿宋_GB2312" w:eastAsia="仿宋_GB2312"/>
          <w:color w:val="auto"/>
          <w:sz w:val="24"/>
          <w:highlight w:val="none"/>
        </w:rPr>
        <w:t>日    期：    年   月   日</w:t>
      </w:r>
      <w:r>
        <w:rPr>
          <w:rFonts w:hint="eastAsia" w:ascii="宋体" w:hAnsi="宋体" w:eastAsia="宋体" w:cs="宋体"/>
          <w:color w:val="auto"/>
          <w:sz w:val="21"/>
          <w:szCs w:val="21"/>
          <w:highlight w:val="none"/>
        </w:rPr>
        <w:t xml:space="preserve">                                  </w:t>
      </w:r>
    </w:p>
    <w:p>
      <w:pPr>
        <w:rPr>
          <w:rFonts w:hint="eastAsia" w:ascii="宋体" w:hAnsi="宋体" w:eastAsia="宋体" w:cs="宋体"/>
          <w:color w:val="auto"/>
          <w:sz w:val="21"/>
          <w:szCs w:val="21"/>
          <w:highlight w:val="none"/>
        </w:rPr>
      </w:pPr>
    </w:p>
    <w:p>
      <w:pPr>
        <w:pStyle w:val="35"/>
        <w:spacing w:before="156"/>
        <w:ind w:firstLine="480"/>
        <w:rPr>
          <w:rFonts w:hint="eastAsia" w:ascii="宋体" w:hAnsi="宋体" w:eastAsia="宋体" w:cs="宋体"/>
          <w:color w:val="auto"/>
          <w:sz w:val="21"/>
          <w:szCs w:val="21"/>
          <w:highlight w:val="none"/>
        </w:rPr>
        <w:sectPr>
          <w:pgSz w:w="11906" w:h="16838"/>
          <w:pgMar w:top="1361" w:right="1134" w:bottom="1361" w:left="1134" w:header="851" w:footer="992" w:gutter="0"/>
          <w:pgBorders>
            <w:top w:val="none" w:sz="0" w:space="0"/>
            <w:left w:val="none" w:sz="0" w:space="0"/>
            <w:bottom w:val="none" w:sz="0" w:space="0"/>
            <w:right w:val="none" w:sz="0" w:space="0"/>
          </w:pgBorders>
          <w:cols w:space="720" w:num="1"/>
          <w:titlePg/>
          <w:docGrid w:type="lines" w:linePitch="312" w:charSpace="0"/>
        </w:sectPr>
      </w:pPr>
    </w:p>
    <w:p>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4</w:t>
      </w:r>
    </w:p>
    <w:p>
      <w:pPr>
        <w:pStyle w:val="2"/>
        <w:spacing w:before="156"/>
        <w:ind w:firstLine="0" w:firstLineChars="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阳光合作协议</w:t>
      </w:r>
    </w:p>
    <w:p>
      <w:pPr>
        <w:keepNext w:val="0"/>
        <w:keepLines w:val="0"/>
        <w:pageBreakBefore w:val="0"/>
        <w:widowControl/>
        <w:kinsoku/>
        <w:wordWrap/>
        <w:overflowPunct/>
        <w:topLinePunct w:val="0"/>
        <w:autoSpaceDE/>
        <w:autoSpaceDN/>
        <w:adjustRightInd/>
        <w:snapToGrid/>
        <w:spacing w:before="156" w:beforeLines="50" w:after="0" w:afterLines="50" w:line="360" w:lineRule="auto"/>
        <w:ind w:firstLine="480" w:firstLineChars="200"/>
        <w:contextualSpacing/>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甲方：东莞新锋光伏能源科技有限公司</w:t>
      </w:r>
    </w:p>
    <w:p>
      <w:pPr>
        <w:spacing w:line="360" w:lineRule="auto"/>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rPr>
        <w:t>乙方：</w:t>
      </w:r>
      <w:r>
        <w:rPr>
          <w:rFonts w:hint="eastAsia" w:ascii="仿宋_GB2312" w:eastAsia="仿宋_GB2312"/>
          <w:color w:val="auto"/>
          <w:sz w:val="24"/>
          <w:highlight w:val="none"/>
        </w:rPr>
        <w:t>(主)</w:t>
      </w:r>
      <w:permStart w:id="81" w:edGrp="everyone"/>
      <w:r>
        <w:rPr>
          <w:rFonts w:hint="eastAsia" w:ascii="仿宋_GB2312" w:eastAsia="仿宋_GB2312"/>
          <w:color w:val="auto"/>
          <w:sz w:val="24"/>
          <w:highlight w:val="none"/>
          <w:u w:val="none"/>
          <w:lang w:eastAsia="zh-CN"/>
        </w:rPr>
        <w:fldChar w:fldCharType="begin"/>
      </w:r>
      <w:r>
        <w:rPr>
          <w:rFonts w:hint="eastAsia" w:ascii="仿宋_GB2312" w:eastAsia="仿宋_GB2312"/>
          <w:color w:val="auto"/>
          <w:sz w:val="24"/>
          <w:highlight w:val="none"/>
          <w:u w:val="none"/>
          <w:lang w:eastAsia="zh-CN"/>
        </w:rPr>
        <w:instrText xml:space="preserve"> REF 乙方（主） \h </w:instrText>
      </w:r>
      <w:r>
        <w:rPr>
          <w:rFonts w:hint="eastAsia" w:ascii="仿宋_GB2312" w:eastAsia="仿宋_GB2312"/>
          <w:color w:val="auto"/>
          <w:sz w:val="24"/>
          <w:highlight w:val="none"/>
          <w:u w:val="none"/>
          <w:lang w:eastAsia="zh-CN"/>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lang w:eastAsia="zh-CN"/>
        </w:rPr>
        <w:fldChar w:fldCharType="end"/>
      </w:r>
      <w:permEnd w:id="81"/>
      <w:r>
        <w:rPr>
          <w:rFonts w:hint="eastAsia" w:ascii="仿宋_GB2312" w:eastAsia="仿宋_GB2312"/>
          <w:color w:val="auto"/>
          <w:sz w:val="24"/>
          <w:highlight w:val="none"/>
          <w:u w:val="none"/>
          <w:lang w:eastAsia="zh-CN"/>
        </w:rPr>
        <w:t>、</w:t>
      </w:r>
      <w:r>
        <w:rPr>
          <w:rFonts w:hint="eastAsia" w:ascii="仿宋_GB2312" w:eastAsia="仿宋_GB2312"/>
          <w:color w:val="auto"/>
          <w:sz w:val="24"/>
          <w:highlight w:val="none"/>
          <w:u w:val="none"/>
        </w:rPr>
        <w:t>(成)</w:t>
      </w:r>
      <w:permStart w:id="82" w:edGrp="everyone"/>
      <w:r>
        <w:rPr>
          <w:rFonts w:hint="eastAsia" w:ascii="仿宋_GB2312" w:eastAsia="仿宋_GB2312"/>
          <w:color w:val="auto"/>
          <w:sz w:val="24"/>
          <w:highlight w:val="none"/>
          <w:u w:val="none"/>
          <w:lang w:eastAsia="zh-CN"/>
        </w:rPr>
        <w:fldChar w:fldCharType="begin"/>
      </w:r>
      <w:r>
        <w:rPr>
          <w:rFonts w:hint="eastAsia" w:ascii="仿宋_GB2312" w:eastAsia="仿宋_GB2312"/>
          <w:color w:val="auto"/>
          <w:sz w:val="24"/>
          <w:highlight w:val="none"/>
          <w:u w:val="none"/>
          <w:lang w:eastAsia="zh-CN"/>
        </w:rPr>
        <w:instrText xml:space="preserve"> REF 乙方（成） \h </w:instrText>
      </w:r>
      <w:r>
        <w:rPr>
          <w:rFonts w:hint="eastAsia" w:ascii="仿宋_GB2312" w:eastAsia="仿宋_GB2312"/>
          <w:color w:val="auto"/>
          <w:sz w:val="24"/>
          <w:highlight w:val="none"/>
          <w:u w:val="none"/>
          <w:lang w:eastAsia="zh-CN"/>
        </w:rPr>
        <w:fldChar w:fldCharType="separate"/>
      </w:r>
      <w:r>
        <w:rPr>
          <w:rFonts w:hint="eastAsia" w:ascii="仿宋_GB2312" w:eastAsia="仿宋_GB2312"/>
          <w:color w:val="auto"/>
          <w:sz w:val="24"/>
          <w:highlight w:val="none"/>
          <w:u w:val="none"/>
        </w:rPr>
        <w:t>XX有限公司</w:t>
      </w:r>
      <w:r>
        <w:rPr>
          <w:rFonts w:hint="eastAsia" w:ascii="仿宋_GB2312" w:eastAsia="仿宋_GB2312"/>
          <w:color w:val="auto"/>
          <w:sz w:val="24"/>
          <w:highlight w:val="none"/>
          <w:u w:val="none"/>
          <w:lang w:eastAsia="zh-CN"/>
        </w:rPr>
        <w:fldChar w:fldCharType="end"/>
      </w:r>
      <w:permEnd w:id="82"/>
    </w:p>
    <w:p>
      <w:pPr>
        <w:keepNext w:val="0"/>
        <w:keepLines w:val="0"/>
        <w:pageBreakBefore w:val="0"/>
        <w:widowControl/>
        <w:kinsoku/>
        <w:wordWrap/>
        <w:overflowPunct/>
        <w:topLinePunct w:val="0"/>
        <w:autoSpaceDE/>
        <w:autoSpaceDN/>
        <w:adjustRightInd/>
        <w:snapToGrid/>
        <w:spacing w:before="0" w:beforeLines="200" w:after="156" w:afterLines="50" w:line="360" w:lineRule="auto"/>
        <w:ind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甲乙双方于</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日签署了《</w:t>
      </w:r>
      <w:permStart w:id="83" w:edGrp="everyone"/>
      <w:r>
        <w:rPr>
          <w:rFonts w:hint="eastAsia" w:ascii="仿宋_GB2312" w:hAnsi="仿宋_GB2312" w:eastAsia="仿宋_GB2312" w:cs="仿宋_GB2312"/>
          <w:snapToGrid w:val="0"/>
          <w:color w:val="auto"/>
          <w:kern w:val="0"/>
          <w:sz w:val="24"/>
          <w:szCs w:val="24"/>
          <w:highlight w:val="none"/>
          <w:u w:val="single"/>
          <w:lang w:val="en-US"/>
        </w:rPr>
        <w:fldChar w:fldCharType="begin"/>
      </w:r>
      <w:r>
        <w:rPr>
          <w:rFonts w:hint="eastAsia" w:ascii="仿宋_GB2312" w:hAnsi="仿宋_GB2312" w:eastAsia="仿宋_GB2312" w:cs="仿宋_GB2312"/>
          <w:snapToGrid w:val="0"/>
          <w:color w:val="auto"/>
          <w:kern w:val="0"/>
          <w:sz w:val="24"/>
          <w:szCs w:val="24"/>
          <w:highlight w:val="none"/>
          <w:u w:val="single"/>
          <w:lang w:val="en-US"/>
        </w:rPr>
        <w:instrText xml:space="preserve"> REF 项目名称 \h </w:instrText>
      </w:r>
      <w:r>
        <w:rPr>
          <w:rFonts w:hint="eastAsia" w:ascii="仿宋_GB2312" w:hAnsi="仿宋_GB2312" w:eastAsia="仿宋_GB2312" w:cs="仿宋_GB2312"/>
          <w:snapToGrid w:val="0"/>
          <w:color w:val="auto"/>
          <w:kern w:val="0"/>
          <w:sz w:val="24"/>
          <w:szCs w:val="24"/>
          <w:highlight w:val="none"/>
          <w:u w:val="single"/>
          <w:lang w:val="en-US"/>
        </w:rPr>
        <w:fldChar w:fldCharType="separate"/>
      </w:r>
      <w:r>
        <w:rPr>
          <w:rFonts w:hint="eastAsia" w:ascii="仿宋_GB2312" w:eastAsia="仿宋_GB2312"/>
          <w:color w:val="auto"/>
          <w:sz w:val="24"/>
          <w:highlight w:val="none"/>
        </w:rPr>
        <w:t>东莞新锋光伏能源科技有限公司XX厂区分布式光伏发电项目</w:t>
      </w:r>
      <w:r>
        <w:rPr>
          <w:rFonts w:hint="eastAsia" w:ascii="仿宋_GB2312" w:hAnsi="仿宋_GB2312" w:eastAsia="仿宋_GB2312" w:cs="仿宋_GB2312"/>
          <w:snapToGrid w:val="0"/>
          <w:color w:val="auto"/>
          <w:kern w:val="0"/>
          <w:sz w:val="24"/>
          <w:szCs w:val="24"/>
          <w:highlight w:val="none"/>
          <w:u w:val="single"/>
          <w:lang w:val="en-US"/>
        </w:rPr>
        <w:fldChar w:fldCharType="end"/>
      </w:r>
      <w:permEnd w:id="83"/>
      <w:r>
        <w:rPr>
          <w:rFonts w:hint="eastAsia" w:ascii="仿宋_GB2312" w:hAnsi="仿宋_GB2312" w:eastAsia="仿宋_GB2312" w:cs="仿宋_GB2312"/>
          <w:snapToGrid w:val="0"/>
          <w:color w:val="auto"/>
          <w:kern w:val="0"/>
          <w:sz w:val="24"/>
          <w:szCs w:val="24"/>
          <w:highlight w:val="none"/>
          <w:u w:val="none"/>
          <w:lang w:val="en-US" w:eastAsia="zh-CN"/>
        </w:rPr>
        <w:t>合同</w:t>
      </w:r>
      <w:r>
        <w:rPr>
          <w:rFonts w:hint="eastAsia" w:ascii="仿宋_GB2312" w:hAnsi="仿宋_GB2312" w:eastAsia="仿宋_GB2312" w:cs="仿宋_GB2312"/>
          <w:color w:val="auto"/>
          <w:sz w:val="24"/>
          <w:szCs w:val="24"/>
          <w:highlight w:val="none"/>
        </w:rPr>
        <w:t>》（以下简称原合同），为加强双方阳光合作，保证职员职业安全，甲乙双方经协商签订本协议并作为双方共同遵守的阳光合作行为准则。</w:t>
      </w:r>
    </w:p>
    <w:p>
      <w:pPr>
        <w:keepNext w:val="0"/>
        <w:keepLines w:val="0"/>
        <w:pageBreakBefore w:val="0"/>
        <w:widowControl/>
        <w:kinsoku/>
        <w:wordWrap/>
        <w:overflowPunct/>
        <w:topLinePunct w:val="0"/>
        <w:autoSpaceDE/>
        <w:autoSpaceDN/>
        <w:adjustRightInd/>
        <w:snapToGrid/>
        <w:spacing w:before="156" w:beforeLines="50" w:after="156" w:afterLines="50" w:line="360" w:lineRule="auto"/>
        <w:ind w:left="420" w:leftChars="200"/>
        <w:contextualSpacing/>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rPr>
        <w:t>甲方责任</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1.甲方有责任向乙方介绍本单位有关采购管理通用原则和本协议的规定。</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2.甲方有责任对本单位相关人员进行阳光合作教育。</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4.甲方人员如违反阳光合作管理制度及本协议规定，甲方视情节轻重、影响大小给予行政及经济处罚。</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5．对于乙方举报甲方人员违反阳光合作规定的情况，甲方应及时进行调查，根据调查情况进行处理，并将调查结果向乙方反馈。</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6.接受举报的一方应为举报方保密，不得对举报方进行报复，对举报属实和严格遵守《阳光合作协议》的合作方，在同等条件下给予后续合作的优先权。</w:t>
      </w:r>
    </w:p>
    <w:p>
      <w:pPr>
        <w:keepNext w:val="0"/>
        <w:keepLines w:val="0"/>
        <w:pageBreakBefore w:val="0"/>
        <w:widowControl/>
        <w:kinsoku/>
        <w:wordWrap/>
        <w:overflowPunct/>
        <w:topLinePunct w:val="0"/>
        <w:autoSpaceDE/>
        <w:autoSpaceDN/>
        <w:adjustRightInd/>
        <w:snapToGrid/>
        <w:spacing w:before="156" w:beforeLines="50" w:after="156" w:afterLines="50" w:line="360" w:lineRule="auto"/>
        <w:ind w:left="420" w:leftChars="200"/>
        <w:contextualSpacing/>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rPr>
        <w:t>乙方责任</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1.乙方应保证乙方人员了解甲方有关采购管理通用原则和及本协议的规定，并遵照执行。</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2.乙方不得以任何形式给予甲方人员回扣、赠送实物、现金、有价证券、礼券等有价物品或提供旅游等其他可能影响职务行为公正履行的活动（以下统称“财物”）。</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3.乙方有责任接受甲方对乙方在合作期间阳光合作管理执行情况的监督，并对甲方相关调查工作主动配合。</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乙方有义务就甲方人员任何形式的索取或收受财物行为及时向甲方（直接联系人为东莞新锋光伏能源科技有限公司）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w:t>
      </w:r>
      <w:r>
        <w:rPr>
          <w:rFonts w:hint="eastAsia" w:ascii="仿宋_GB2312" w:hAnsi="仿宋_GB2312" w:eastAsia="仿宋_GB2312" w:cs="仿宋_GB2312"/>
          <w:color w:val="auto"/>
          <w:sz w:val="24"/>
          <w:szCs w:val="24"/>
          <w:highlight w:val="none"/>
          <w:lang w:val="en-US" w:eastAsia="zh-CN"/>
        </w:rPr>
        <w:t>东莞新锋光伏能源科技有限公司</w:t>
      </w:r>
      <w:r>
        <w:rPr>
          <w:rFonts w:hint="eastAsia" w:ascii="仿宋_GB2312" w:hAnsi="仿宋_GB2312" w:eastAsia="仿宋_GB2312" w:cs="仿宋_GB2312"/>
          <w:color w:val="auto"/>
          <w:sz w:val="24"/>
          <w:szCs w:val="24"/>
          <w:highlight w:val="none"/>
        </w:rPr>
        <w:t>合格供应商。</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5．甲方接受乙方实名或匿名举报，保证为举报者的信息保密，常设举报部门及电</w:t>
      </w:r>
      <w:r>
        <w:rPr>
          <w:rFonts w:hint="eastAsia" w:ascii="仿宋_GB2312" w:hAnsi="仿宋_GB2312" w:eastAsia="仿宋_GB2312" w:cs="仿宋_GB2312"/>
          <w:color w:val="auto"/>
          <w:sz w:val="24"/>
          <w:szCs w:val="24"/>
          <w:highlight w:val="none"/>
          <w:lang w:val="en-US" w:eastAsia="zh-CN"/>
        </w:rPr>
        <w:t>话</w:t>
      </w:r>
      <w:r>
        <w:rPr>
          <w:rFonts w:hint="eastAsia" w:ascii="仿宋_GB2312" w:hAnsi="仿宋_GB2312" w:eastAsia="仿宋_GB2312" w:cs="仿宋_GB2312"/>
          <w:color w:val="auto"/>
          <w:sz w:val="24"/>
          <w:szCs w:val="24"/>
          <w:highlight w:val="none"/>
        </w:rPr>
        <w:t xml:space="preserve">： </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举报受理部门：东莞新锋光伏能源科技有限公司</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举报电话：</w:t>
      </w:r>
      <w:r>
        <w:rPr>
          <w:rFonts w:hint="eastAsia" w:ascii="仿宋_GB2312" w:hAnsi="仿宋_GB2312" w:eastAsia="仿宋_GB2312" w:cs="仿宋_GB2312"/>
          <w:color w:val="auto"/>
          <w:sz w:val="24"/>
          <w:szCs w:val="24"/>
          <w:highlight w:val="none"/>
          <w:lang w:val="en-US" w:eastAsia="zh-CN"/>
        </w:rPr>
        <w:t>0769-22899838，13925875554(李生)</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邮寄地址：广东省东莞市松山湖园区新城路5号1栋601室</w:t>
      </w:r>
    </w:p>
    <w:p>
      <w:pPr>
        <w:keepNext w:val="0"/>
        <w:keepLines w:val="0"/>
        <w:pageBreakBefore w:val="0"/>
        <w:widowControl/>
        <w:kinsoku/>
        <w:wordWrap/>
        <w:overflowPunct/>
        <w:topLinePunct w:val="0"/>
        <w:autoSpaceDE/>
        <w:autoSpaceDN/>
        <w:adjustRightInd/>
        <w:snapToGrid/>
        <w:spacing w:before="156" w:beforeLines="50" w:after="156" w:afterLines="50" w:line="360" w:lineRule="auto"/>
        <w:ind w:left="420" w:leftChars="200"/>
        <w:contextualSpacing/>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三、</w:t>
      </w:r>
      <w:r>
        <w:rPr>
          <w:rFonts w:hint="eastAsia" w:ascii="仿宋_GB2312" w:hAnsi="仿宋_GB2312" w:eastAsia="仿宋_GB2312" w:cs="仿宋_GB2312"/>
          <w:b/>
          <w:color w:val="auto"/>
          <w:sz w:val="24"/>
          <w:szCs w:val="24"/>
          <w:highlight w:val="none"/>
        </w:rPr>
        <w:t>其他</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1.本协议是原合同的补充协议，与原合同有同等法律效力。</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2.本协议</w:t>
      </w:r>
      <w:permStart w:id="84" w:edGrp="everyone"/>
      <w:r>
        <w:rPr>
          <w:rFonts w:hint="eastAsia" w:ascii="仿宋_GB2312" w:hAnsi="仿宋_GB2312" w:eastAsia="仿宋_GB2312" w:cs="仿宋_GB2312"/>
          <w:color w:val="auto"/>
          <w:sz w:val="24"/>
          <w:szCs w:val="24"/>
          <w:highlight w:val="none"/>
          <w:u w:val="single"/>
          <w:lang w:val="en-US" w:eastAsia="zh-CN"/>
        </w:rPr>
        <w:fldChar w:fldCharType="begin"/>
      </w:r>
      <w:r>
        <w:rPr>
          <w:rFonts w:hint="eastAsia" w:ascii="仿宋_GB2312" w:hAnsi="仿宋_GB2312" w:eastAsia="仿宋_GB2312" w:cs="仿宋_GB2312"/>
          <w:color w:val="auto"/>
          <w:sz w:val="24"/>
          <w:szCs w:val="24"/>
          <w:highlight w:val="none"/>
          <w:u w:val="single"/>
          <w:lang w:val="en-US" w:eastAsia="zh-CN"/>
        </w:rPr>
        <w:instrText xml:space="preserve"> REF 合同总数 \h </w:instrText>
      </w:r>
      <w:r>
        <w:rPr>
          <w:rFonts w:hint="eastAsia" w:ascii="仿宋_GB2312" w:hAnsi="仿宋_GB2312" w:eastAsia="仿宋_GB2312" w:cs="仿宋_GB2312"/>
          <w:color w:val="auto"/>
          <w:sz w:val="24"/>
          <w:szCs w:val="24"/>
          <w:highlight w:val="none"/>
          <w:u w:val="single"/>
          <w:lang w:val="en-US" w:eastAsia="zh-CN"/>
        </w:rPr>
        <w:fldChar w:fldCharType="separate"/>
      </w:r>
      <w:r>
        <w:rPr>
          <w:rFonts w:hint="eastAsia" w:ascii="仿宋_GB2312" w:eastAsia="仿宋_GB2312"/>
          <w:color w:val="auto"/>
          <w:sz w:val="24"/>
          <w:highlight w:val="none"/>
        </w:rPr>
        <w:t>一式陆份</w:t>
      </w:r>
      <w:r>
        <w:rPr>
          <w:rFonts w:hint="eastAsia" w:ascii="仿宋_GB2312" w:hAnsi="仿宋_GB2312" w:eastAsia="仿宋_GB2312" w:cs="仿宋_GB2312"/>
          <w:color w:val="auto"/>
          <w:sz w:val="24"/>
          <w:szCs w:val="24"/>
          <w:highlight w:val="none"/>
          <w:u w:val="single"/>
          <w:lang w:val="en-US" w:eastAsia="zh-CN"/>
        </w:rPr>
        <w:fldChar w:fldCharType="end"/>
      </w:r>
      <w:permEnd w:id="84"/>
      <w:r>
        <w:rPr>
          <w:rFonts w:hint="eastAsia" w:ascii="仿宋_GB2312" w:hAnsi="仿宋_GB2312" w:eastAsia="仿宋_GB2312" w:cs="仿宋_GB2312"/>
          <w:color w:val="auto"/>
          <w:sz w:val="24"/>
          <w:szCs w:val="24"/>
          <w:highlight w:val="none"/>
        </w:rPr>
        <w:t>，甲方执</w:t>
      </w:r>
      <w:r>
        <w:rPr>
          <w:rFonts w:hint="eastAsia" w:ascii="仿宋_GB2312" w:hAnsi="仿宋_GB2312" w:eastAsia="仿宋_GB2312" w:cs="仿宋_GB2312"/>
          <w:color w:val="auto"/>
          <w:sz w:val="24"/>
          <w:szCs w:val="24"/>
          <w:highlight w:val="none"/>
          <w:u w:val="none"/>
          <w:lang w:val="en-US" w:eastAsia="zh-CN"/>
        </w:rPr>
        <w:t>贰</w:t>
      </w:r>
      <w:r>
        <w:rPr>
          <w:rFonts w:hint="eastAsia" w:ascii="仿宋_GB2312" w:hAnsi="仿宋_GB2312" w:eastAsia="仿宋_GB2312" w:cs="仿宋_GB2312"/>
          <w:color w:val="auto"/>
          <w:sz w:val="24"/>
          <w:szCs w:val="24"/>
          <w:highlight w:val="none"/>
        </w:rPr>
        <w:t>份，乙方</w:t>
      </w:r>
      <w:permStart w:id="85" w:edGrp="everyone"/>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REF 乙方份数 \h </w:instrText>
      </w:r>
      <w:r>
        <w:rPr>
          <w:rFonts w:hint="eastAsia" w:ascii="仿宋_GB2312" w:hAnsi="仿宋_GB2312" w:eastAsia="仿宋_GB2312" w:cs="仿宋_GB2312"/>
          <w:color w:val="auto"/>
          <w:sz w:val="24"/>
          <w:szCs w:val="24"/>
          <w:highlight w:val="none"/>
        </w:rPr>
        <w:fldChar w:fldCharType="separate"/>
      </w:r>
      <w:r>
        <w:rPr>
          <w:rFonts w:hint="eastAsia" w:ascii="仿宋_GB2312" w:eastAsia="仿宋_GB2312"/>
          <w:color w:val="auto"/>
          <w:sz w:val="24"/>
          <w:highlight w:val="none"/>
        </w:rPr>
        <w:t>各执贰份</w:t>
      </w:r>
      <w:r>
        <w:rPr>
          <w:rFonts w:hint="eastAsia" w:ascii="仿宋_GB2312" w:hAnsi="仿宋_GB2312" w:eastAsia="仿宋_GB2312" w:cs="仿宋_GB2312"/>
          <w:color w:val="auto"/>
          <w:sz w:val="24"/>
          <w:szCs w:val="24"/>
          <w:highlight w:val="none"/>
        </w:rPr>
        <w:fldChar w:fldCharType="end"/>
      </w:r>
      <w:permEnd w:id="85"/>
      <w:r>
        <w:rPr>
          <w:rFonts w:hint="eastAsia" w:ascii="仿宋_GB2312" w:hAnsi="仿宋_GB2312" w:eastAsia="仿宋_GB2312" w:cs="仿宋_GB2312"/>
          <w:color w:val="auto"/>
          <w:sz w:val="24"/>
          <w:szCs w:val="24"/>
          <w:highlight w:val="none"/>
        </w:rPr>
        <w:t>,具有同等法律效力。</w:t>
      </w:r>
    </w:p>
    <w:p>
      <w:pPr>
        <w:keepNext w:val="0"/>
        <w:keepLines w:val="0"/>
        <w:pageBreakBefore w:val="0"/>
        <w:kinsoku/>
        <w:wordWrap/>
        <w:overflowPunct/>
        <w:topLinePunct w:val="0"/>
        <w:autoSpaceDE/>
        <w:autoSpaceDN/>
        <w:adjustRightInd/>
        <w:snapToGrid/>
        <w:spacing w:before="156" w:beforeLines="50" w:after="156" w:afterLines="50" w:line="360" w:lineRule="auto"/>
        <w:ind w:left="105" w:leftChars="50" w:firstLine="480" w:firstLineChars="200"/>
        <w:contextualSpacing/>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3.本协议经双方签署后生效。</w:t>
      </w:r>
    </w:p>
    <w:p>
      <w:pPr>
        <w:pStyle w:val="11"/>
        <w:rPr>
          <w:rFonts w:hint="eastAsia" w:ascii="仿宋_GB2312" w:hAnsi="仿宋_GB2312" w:eastAsia="仿宋_GB2312" w:cs="仿宋_GB2312"/>
          <w:color w:val="auto"/>
          <w:sz w:val="24"/>
          <w:szCs w:val="24"/>
          <w:highlight w:val="none"/>
        </w:rPr>
      </w:pPr>
    </w:p>
    <w:tbl>
      <w:tblPr>
        <w:tblStyle w:val="34"/>
        <w:tblW w:w="9852"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3284"/>
        <w:gridCol w:w="3284"/>
        <w:gridCol w:w="3284"/>
      </w:tblGrid>
      <w:tr>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411" w:hRule="atLeast"/>
        </w:trPr>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u w:val="none"/>
                <w:vertAlign w:val="baseline"/>
              </w:rPr>
            </w:pPr>
            <w:r>
              <w:rPr>
                <w:rFonts w:hint="eastAsia" w:ascii="仿宋_GB2312" w:hAnsi="仿宋_GB2312" w:eastAsia="仿宋_GB2312" w:cs="仿宋_GB2312"/>
                <w:color w:val="auto"/>
                <w:sz w:val="24"/>
                <w:szCs w:val="24"/>
                <w:highlight w:val="none"/>
                <w:u w:val="none"/>
              </w:rPr>
              <w:t>甲方（盖章）：东莞新锋光伏能源科技有限公司</w:t>
            </w:r>
          </w:p>
        </w:tc>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u w:val="none"/>
                <w:vertAlign w:val="baseline"/>
              </w:rPr>
            </w:pPr>
            <w:r>
              <w:rPr>
                <w:rFonts w:hint="eastAsia" w:ascii="仿宋_GB2312" w:hAnsi="仿宋_GB2312" w:eastAsia="仿宋_GB2312" w:cs="仿宋_GB2312"/>
                <w:color w:val="auto"/>
                <w:sz w:val="24"/>
                <w:szCs w:val="24"/>
                <w:highlight w:val="none"/>
                <w:u w:val="none"/>
              </w:rPr>
              <w:t>乙方</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主）</w:t>
            </w:r>
            <w:r>
              <w:rPr>
                <w:rFonts w:hint="eastAsia" w:ascii="仿宋_GB2312" w:hAnsi="仿宋_GB2312" w:eastAsia="仿宋_GB2312" w:cs="仿宋_GB2312"/>
                <w:color w:val="auto"/>
                <w:sz w:val="24"/>
                <w:szCs w:val="24"/>
                <w:highlight w:val="none"/>
                <w:u w:val="none"/>
              </w:rPr>
              <w:t>（盖章）：</w:t>
            </w:r>
            <w:permStart w:id="86" w:edGrp="everyone"/>
            <w:r>
              <w:rPr>
                <w:rFonts w:hint="eastAsia" w:ascii="仿宋_GB2312" w:hAnsi="仿宋_GB2312" w:eastAsia="仿宋_GB2312" w:cs="仿宋_GB2312"/>
                <w:color w:val="auto"/>
                <w:sz w:val="24"/>
                <w:szCs w:val="24"/>
                <w:highlight w:val="none"/>
                <w:u w:val="none"/>
              </w:rPr>
              <w:fldChar w:fldCharType="begin"/>
            </w:r>
            <w:r>
              <w:rPr>
                <w:rFonts w:hint="eastAsia" w:ascii="仿宋_GB2312" w:hAnsi="仿宋_GB2312" w:eastAsia="仿宋_GB2312" w:cs="仿宋_GB2312"/>
                <w:color w:val="auto"/>
                <w:sz w:val="24"/>
                <w:szCs w:val="24"/>
                <w:highlight w:val="none"/>
                <w:u w:val="none"/>
              </w:rPr>
              <w:instrText xml:space="preserve"> REF 乙方（主） \h </w:instrText>
            </w:r>
            <w:r>
              <w:rPr>
                <w:rFonts w:hint="eastAsia" w:ascii="仿宋_GB2312" w:hAnsi="仿宋_GB2312" w:eastAsia="仿宋_GB2312" w:cs="仿宋_GB2312"/>
                <w:color w:val="auto"/>
                <w:sz w:val="24"/>
                <w:szCs w:val="24"/>
                <w:highlight w:val="none"/>
                <w:u w:val="none"/>
              </w:rPr>
              <w:fldChar w:fldCharType="separate"/>
            </w:r>
            <w:r>
              <w:rPr>
                <w:rFonts w:hint="eastAsia" w:ascii="仿宋_GB2312" w:eastAsia="仿宋_GB2312"/>
                <w:color w:val="auto"/>
                <w:sz w:val="24"/>
                <w:highlight w:val="none"/>
                <w:u w:val="none"/>
              </w:rPr>
              <w:t>XX有限公司</w:t>
            </w:r>
            <w:r>
              <w:rPr>
                <w:rFonts w:hint="eastAsia" w:ascii="仿宋_GB2312" w:hAnsi="仿宋_GB2312" w:eastAsia="仿宋_GB2312" w:cs="仿宋_GB2312"/>
                <w:color w:val="auto"/>
                <w:sz w:val="24"/>
                <w:szCs w:val="24"/>
                <w:highlight w:val="none"/>
                <w:u w:val="none"/>
              </w:rPr>
              <w:fldChar w:fldCharType="end"/>
            </w:r>
            <w:permEnd w:id="86"/>
          </w:p>
        </w:tc>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乙方</w:t>
            </w:r>
            <w:r>
              <w:rPr>
                <w:rFonts w:hint="default" w:ascii="仿宋_GB2312" w:eastAsia="仿宋_GB2312"/>
                <w:color w:val="auto"/>
                <w:sz w:val="24"/>
                <w:highlight w:val="none"/>
                <w:u w:val="none"/>
              </w:rPr>
              <w:t>（成）：（盖章）</w:t>
            </w:r>
            <w:permStart w:id="87" w:edGrp="everyone"/>
            <w:r>
              <w:rPr>
                <w:rFonts w:hint="default" w:ascii="仿宋_GB2312" w:eastAsia="仿宋_GB2312"/>
                <w:color w:val="auto"/>
                <w:sz w:val="24"/>
                <w:highlight w:val="none"/>
                <w:u w:val="none"/>
                <w:lang w:val="en-US"/>
              </w:rPr>
              <w:fldChar w:fldCharType="begin"/>
            </w:r>
            <w:r>
              <w:rPr>
                <w:rFonts w:hint="default" w:ascii="仿宋_GB2312" w:eastAsia="仿宋_GB2312"/>
                <w:color w:val="auto"/>
                <w:sz w:val="24"/>
                <w:highlight w:val="none"/>
                <w:u w:val="none"/>
                <w:lang w:val="en-US"/>
              </w:rPr>
              <w:instrText xml:space="preserve"> REF 乙方（成） \h </w:instrText>
            </w:r>
            <w:r>
              <w:rPr>
                <w:rFonts w:hint="default" w:ascii="仿宋_GB2312" w:eastAsia="仿宋_GB2312"/>
                <w:color w:val="auto"/>
                <w:sz w:val="24"/>
                <w:highlight w:val="none"/>
                <w:u w:val="none"/>
                <w:lang w:val="en-US"/>
              </w:rPr>
              <w:fldChar w:fldCharType="separate"/>
            </w:r>
            <w:r>
              <w:rPr>
                <w:rFonts w:hint="eastAsia" w:ascii="仿宋_GB2312" w:eastAsia="仿宋_GB2312"/>
                <w:color w:val="auto"/>
                <w:sz w:val="24"/>
                <w:highlight w:val="none"/>
                <w:u w:val="none"/>
              </w:rPr>
              <w:t>XX有限公司</w:t>
            </w:r>
            <w:r>
              <w:rPr>
                <w:rFonts w:hint="default" w:ascii="仿宋_GB2312" w:eastAsia="仿宋_GB2312"/>
                <w:color w:val="auto"/>
                <w:sz w:val="24"/>
                <w:highlight w:val="none"/>
                <w:u w:val="none"/>
                <w:lang w:val="en-US"/>
              </w:rPr>
              <w:fldChar w:fldCharType="end"/>
            </w:r>
            <w:permEnd w:id="87"/>
          </w:p>
        </w:tc>
      </w:tr>
      <w:tr>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502" w:hRule="atLeast"/>
        </w:trPr>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法定代表人（授权代表）：</w:t>
            </w:r>
          </w:p>
        </w:tc>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法定代表人（授权代表）：</w:t>
            </w:r>
          </w:p>
        </w:tc>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法定代表人（授权代表）：</w:t>
            </w:r>
          </w:p>
        </w:tc>
      </w:tr>
      <w:tr>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203" w:hRule="atLeast"/>
        </w:trPr>
        <w:tc>
          <w:tcPr>
            <w:tcW w:w="328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adjustRightInd/>
              <w:snapToGrid/>
              <w:spacing w:before="156" w:beforeLines="50" w:after="156" w:afterLines="50" w:line="360" w:lineRule="auto"/>
              <w:contextualSpacing/>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签约日期：   年   月   日</w:t>
            </w:r>
          </w:p>
        </w:tc>
        <w:tc>
          <w:tcPr>
            <w:tcW w:w="3284" w:type="dxa"/>
            <w:tcBorders>
              <w:tl2br w:val="nil"/>
              <w:tr2bl w:val="nil"/>
            </w:tcBorders>
            <w:shd w:val="clear" w:color="auto" w:fill="auto"/>
            <w:noWrap w:val="0"/>
            <w:vAlign w:val="center"/>
          </w:tcPr>
          <w:p>
            <w:pPr>
              <w:pStyle w:val="11"/>
              <w:widowControl w:val="0"/>
              <w:spacing w:after="120"/>
              <w:jc w:val="both"/>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签约日期：   年   月   日</w:t>
            </w:r>
          </w:p>
        </w:tc>
        <w:tc>
          <w:tcPr>
            <w:tcW w:w="3284" w:type="dxa"/>
            <w:tcBorders>
              <w:tl2br w:val="nil"/>
              <w:tr2bl w:val="nil"/>
            </w:tcBorders>
            <w:shd w:val="clear" w:color="auto" w:fill="auto"/>
            <w:noWrap w:val="0"/>
            <w:vAlign w:val="center"/>
          </w:tcPr>
          <w:p>
            <w:pPr>
              <w:pStyle w:val="11"/>
              <w:widowControl w:val="0"/>
              <w:spacing w:after="120"/>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签约日期：   年   月   日</w:t>
            </w:r>
          </w:p>
        </w:tc>
      </w:tr>
    </w:tbl>
    <w:p>
      <w:pPr>
        <w:spacing w:line="48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360" w:lineRule="auto"/>
        <w:ind w:firstLine="422" w:firstLineChars="200"/>
        <w:jc w:val="both"/>
        <w:rPr>
          <w:rFonts w:hint="eastAsia" w:ascii="宋体" w:hAnsi="宋体" w:eastAsia="宋体" w:cs="宋体"/>
          <w:b/>
          <w:color w:val="auto"/>
          <w:sz w:val="21"/>
          <w:szCs w:val="21"/>
          <w:highlight w:val="none"/>
        </w:rPr>
        <w:sectPr>
          <w:pgSz w:w="11906" w:h="16838"/>
          <w:pgMar w:top="1361" w:right="1134" w:bottom="1361" w:left="1134" w:header="851" w:footer="992" w:gutter="0"/>
          <w:pgBorders>
            <w:top w:val="none" w:sz="0" w:space="0"/>
            <w:left w:val="none" w:sz="0" w:space="0"/>
            <w:bottom w:val="none" w:sz="0" w:space="0"/>
            <w:right w:val="none" w:sz="0" w:space="0"/>
          </w:pgBorders>
          <w:cols w:space="720" w:num="1"/>
          <w:titlePg/>
          <w:docGrid w:type="lines" w:linePitch="312" w:charSpace="0"/>
        </w:sectPr>
      </w:pPr>
    </w:p>
    <w:p>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 xml:space="preserve"> 中标（成交）通知书</w:t>
      </w:r>
    </w:p>
    <w:p>
      <w:pP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sectPr>
          <w:pgSz w:w="11906" w:h="16838"/>
          <w:pgMar w:top="1361" w:right="1134" w:bottom="1361" w:left="1134" w:header="851" w:footer="992" w:gutter="0"/>
          <w:pgBorders>
            <w:top w:val="none" w:sz="0" w:space="0"/>
            <w:left w:val="none" w:sz="0" w:space="0"/>
            <w:bottom w:val="none" w:sz="0" w:space="0"/>
            <w:right w:val="none" w:sz="0" w:space="0"/>
          </w:pgBorders>
          <w:cols w:space="720" w:num="1"/>
          <w:titlePg/>
          <w:docGrid w:type="lines" w:linePitch="312" w:charSpace="0"/>
        </w:sectPr>
      </w:pPr>
    </w:p>
    <w:p>
      <w:pPr>
        <w:spacing w:line="360" w:lineRule="auto"/>
        <w:jc w:val="left"/>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6</w:t>
      </w:r>
    </w:p>
    <w:p>
      <w:pPr>
        <w:spacing w:line="360" w:lineRule="auto"/>
        <w:jc w:val="center"/>
        <w:rPr>
          <w:rFonts w:hint="default" w:ascii="仿宋_GB2312" w:eastAsia="仿宋_GB2312"/>
          <w:color w:val="auto"/>
          <w:sz w:val="24"/>
          <w:highlight w:val="none"/>
        </w:rPr>
      </w:pPr>
      <w:r>
        <w:rPr>
          <w:rFonts w:hint="eastAsia" w:ascii="仿宋_GB2312" w:hAnsi="仿宋_GB2312" w:eastAsia="仿宋_GB2312" w:cs="仿宋_GB2312"/>
          <w:b/>
          <w:color w:val="auto"/>
          <w:sz w:val="32"/>
          <w:szCs w:val="32"/>
          <w:highlight w:val="none"/>
        </w:rPr>
        <w:t>承包商违规行为处罚条例</w:t>
      </w:r>
    </w:p>
    <w:tbl>
      <w:tblPr>
        <w:tblStyle w:val="33"/>
        <w:tblpPr w:leftFromText="180" w:rightFromText="180" w:vertAnchor="text" w:horzAnchor="page" w:tblpX="1203" w:tblpY="659"/>
        <w:tblOverlap w:val="never"/>
        <w:tblW w:w="9870" w:type="dxa"/>
        <w:tblInd w:w="0" w:type="dxa"/>
        <w:tblLayout w:type="fixed"/>
        <w:tblCellMar>
          <w:top w:w="0" w:type="dxa"/>
          <w:left w:w="108" w:type="dxa"/>
          <w:bottom w:w="0" w:type="dxa"/>
          <w:right w:w="108" w:type="dxa"/>
        </w:tblCellMar>
      </w:tblPr>
      <w:tblGrid>
        <w:gridCol w:w="735"/>
        <w:gridCol w:w="1128"/>
        <w:gridCol w:w="3060"/>
        <w:gridCol w:w="1350"/>
        <w:gridCol w:w="1097"/>
        <w:gridCol w:w="1250"/>
        <w:gridCol w:w="1250"/>
      </w:tblGrid>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项目</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内容</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罚款说明</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第一次违反</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第二次违反</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三次以上违反</w:t>
            </w:r>
          </w:p>
        </w:tc>
      </w:tr>
      <w:tr>
        <w:tblPrEx>
          <w:tblLayout w:type="fixed"/>
          <w:tblCellMar>
            <w:top w:w="0" w:type="dxa"/>
            <w:left w:w="108" w:type="dxa"/>
            <w:bottom w:w="0" w:type="dxa"/>
            <w:right w:w="108" w:type="dxa"/>
          </w:tblCellMar>
        </w:tblPrEx>
        <w:trPr>
          <w:trHeight w:val="454" w:hRule="atLeast"/>
        </w:trPr>
        <w:tc>
          <w:tcPr>
            <w:tcW w:w="735" w:type="dxa"/>
            <w:tcBorders>
              <w:top w:val="nil"/>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一</w:t>
            </w:r>
          </w:p>
        </w:tc>
        <w:tc>
          <w:tcPr>
            <w:tcW w:w="4188" w:type="dxa"/>
            <w:gridSpan w:val="2"/>
            <w:tcBorders>
              <w:top w:val="nil"/>
              <w:left w:val="single" w:color="000000" w:sz="4" w:space="0"/>
              <w:bottom w:val="single" w:color="000000" w:sz="4" w:space="0"/>
              <w:right w:val="single" w:color="000000" w:sz="4" w:space="0"/>
            </w:tcBorders>
            <w:shd w:val="clear" w:color="auto" w:fill="BFBFBF"/>
            <w:vAlign w:val="center"/>
          </w:tcPr>
          <w:p>
            <w:pPr>
              <w:widowControl/>
              <w:jc w:val="left"/>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工程前期准备</w:t>
            </w:r>
          </w:p>
        </w:tc>
        <w:tc>
          <w:tcPr>
            <w:tcW w:w="1350" w:type="dxa"/>
            <w:tcBorders>
              <w:top w:val="nil"/>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b/>
                <w:color w:val="auto"/>
                <w:sz w:val="20"/>
                <w:szCs w:val="20"/>
                <w:highlight w:val="none"/>
              </w:rPr>
            </w:pPr>
          </w:p>
        </w:tc>
        <w:tc>
          <w:tcPr>
            <w:tcW w:w="3597" w:type="dxa"/>
            <w:gridSpan w:val="3"/>
            <w:tcBorders>
              <w:top w:val="nil"/>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单位：元/次</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持证上岗</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施工劳动力安排合理、充足，具备持证上岗资格。</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9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工器具管理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施工机械、施工机具、工器具、安全工器具配置充足、合理；进行进场前的检查，确认合格，建立清册和维护保养台帐。</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1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固定场所配置</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五牌一图按规范挂设，按合同约定设立项目部（如有）</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在材料/施工人员进场前未完成，不符合上述规定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4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b/>
                <w:color w:val="auto"/>
                <w:sz w:val="21"/>
                <w:szCs w:val="21"/>
              </w:rPr>
            </w:pPr>
            <w:r>
              <w:rPr>
                <w:rFonts w:hint="eastAsia" w:ascii="仿宋_GB2312" w:hAnsi="Times New Roman" w:eastAsia="仿宋_GB2312" w:cs="Times New Roman"/>
                <w:b/>
                <w:color w:val="auto"/>
                <w:sz w:val="21"/>
                <w:szCs w:val="21"/>
              </w:rPr>
              <w:t>二</w:t>
            </w:r>
          </w:p>
        </w:tc>
        <w:tc>
          <w:tcPr>
            <w:tcW w:w="5538"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left"/>
              <w:textAlignment w:val="auto"/>
              <w:rPr>
                <w:rFonts w:hint="eastAsia" w:ascii="仿宋_GB2312" w:hAnsi="Times New Roman" w:eastAsia="仿宋_GB2312" w:cs="Times New Roman"/>
                <w:b/>
                <w:color w:val="auto"/>
                <w:sz w:val="21"/>
                <w:szCs w:val="21"/>
              </w:rPr>
            </w:pPr>
            <w:r>
              <w:rPr>
                <w:rFonts w:hint="eastAsia" w:ascii="仿宋_GB2312" w:hAnsi="Times New Roman" w:eastAsia="仿宋_GB2312" w:cs="Times New Roman"/>
                <w:b/>
                <w:color w:val="auto"/>
                <w:sz w:val="21"/>
                <w:szCs w:val="21"/>
              </w:rPr>
              <w:t>工程安全管理</w:t>
            </w:r>
          </w:p>
        </w:tc>
        <w:tc>
          <w:tcPr>
            <w:tcW w:w="3597"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单位：元/次</w:t>
            </w:r>
          </w:p>
        </w:tc>
      </w:tr>
      <w:tr>
        <w:tblPrEx>
          <w:tblLayout w:type="fixed"/>
          <w:tblCellMar>
            <w:top w:w="0" w:type="dxa"/>
            <w:left w:w="108" w:type="dxa"/>
            <w:bottom w:w="0" w:type="dxa"/>
            <w:right w:w="108" w:type="dxa"/>
          </w:tblCellMar>
        </w:tblPrEx>
        <w:trPr>
          <w:trHeight w:val="122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劳保用品使用</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作业人员按照规定使用符合安全标准、规范的劳动防护用品。</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没使用劳务用具、或没正确使用劳务安全用具均属于以上范畴</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0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安全技术交底</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班组级安全交底记录齐全；开工前或分部、分项工程开工前，对参加施工的所有人员进行安全交底，交底记录中无未签字、代签字或机打签字等问题。</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安全活动</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认真参加及组织班前、班后会及其他安全活动。</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6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安全会议</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每月组织一次对本施工现场的安全隐患排查和整治工作，并积极参与项目管理单位组织的安全会议和其他安全生产活动。</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6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文明施工</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遵守施工现场管理要求，做到安全警示标志齐全、安全防护措施有效、施工材料定置摆放、现场道路过道畅通无阻。</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0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安全隐患限时整改</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规定的期限内，按照业主项目部及监理单位下发的安全隐患整改通知单限时进行隐患原因分析及整改。</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限时约定时间按通知单约定，若超过约定整改时间者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44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电源箱</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电源箱、柜、板符合作业环境要求，编号、识别标记齐全醒目，箱、柜、板内外整洁、完好，无杂物、无积水，有足够的操作空间，符合安全规程要求，箱、柜、门完好，开关外壳、消弧罩齐全，引入、引出电缆孔洞封堵严密，室外电源箱防雨设施良好。</w:t>
            </w:r>
            <w:r>
              <w:rPr>
                <w:rFonts w:hint="eastAsia" w:ascii="仿宋_GB2312" w:hAnsi="Times New Roman" w:eastAsia="仿宋_GB2312" w:cs="Times New Roman"/>
                <w:color w:val="auto"/>
                <w:sz w:val="21"/>
                <w:szCs w:val="21"/>
              </w:rPr>
              <w:br w:type="textWrapping"/>
            </w:r>
            <w:r>
              <w:rPr>
                <w:rFonts w:hint="eastAsia" w:ascii="仿宋_GB2312" w:hAnsi="Times New Roman" w:eastAsia="仿宋_GB2312" w:cs="Times New Roman"/>
                <w:color w:val="auto"/>
                <w:sz w:val="21"/>
                <w:szCs w:val="21"/>
              </w:rPr>
              <w:t>导线敷设符合规定，内部器件安装及配线工艺符合安全要求，漏电保护装置配置合理、动作可靠，各路配线负荷标志清晰，熔丝（片）容量符合规程要求，无铜丝、铝线等其他物质代替熔丝现象。</w:t>
            </w:r>
            <w:r>
              <w:rPr>
                <w:rFonts w:hint="eastAsia" w:ascii="仿宋_GB2312" w:hAnsi="Times New Roman" w:eastAsia="仿宋_GB2312" w:cs="Times New Roman"/>
                <w:color w:val="auto"/>
                <w:sz w:val="21"/>
                <w:szCs w:val="21"/>
              </w:rPr>
              <w:br w:type="textWrapping"/>
            </w:r>
            <w:r>
              <w:rPr>
                <w:rFonts w:hint="eastAsia" w:ascii="仿宋_GB2312" w:hAnsi="Times New Roman" w:eastAsia="仿宋_GB2312" w:cs="Times New Roman"/>
                <w:color w:val="auto"/>
                <w:sz w:val="21"/>
                <w:szCs w:val="21"/>
              </w:rPr>
              <w:t>保护接地、接零系统连接正确、牢固可靠，符合安全要求，插座相线、中性线布置符合规定，接线端子标志清楚，保护装置齐全，与负荷匹配合理，外露带电部分屏护完好。</w:t>
            </w:r>
            <w:r>
              <w:rPr>
                <w:rFonts w:hint="eastAsia" w:ascii="仿宋_GB2312" w:hAnsi="Times New Roman" w:eastAsia="仿宋_GB2312" w:cs="Times New Roman"/>
                <w:color w:val="auto"/>
                <w:sz w:val="21"/>
                <w:szCs w:val="21"/>
              </w:rPr>
              <w:br w:type="textWrapping"/>
            </w:r>
            <w:r>
              <w:rPr>
                <w:rFonts w:hint="eastAsia" w:ascii="仿宋_GB2312" w:hAnsi="Times New Roman" w:eastAsia="仿宋_GB2312" w:cs="Times New Roman"/>
                <w:color w:val="auto"/>
                <w:sz w:val="21"/>
                <w:szCs w:val="21"/>
              </w:rPr>
              <w:t>临时用电接线应经过允许，使用绝缘良好、并与负荷匹配的护套软管，敷设符合安全要求，装有总开关控制和漏电保护装置，每分路应装设与负荷匹配的熔断器，临时用电设备接地可靠，严禁在有爆炸和火灾危险场所设临时线路，不得在刀闸或开关上口使用插头、开关。</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21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电焊作业</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电焊机使用管理、检查试验制度完善，检查维护责任落实，编号统一、清晰。</w:t>
            </w:r>
            <w:r>
              <w:rPr>
                <w:rFonts w:hint="eastAsia" w:ascii="仿宋_GB2312" w:hAnsi="Times New Roman" w:eastAsia="仿宋_GB2312" w:cs="Times New Roman"/>
                <w:color w:val="auto"/>
                <w:sz w:val="21"/>
                <w:szCs w:val="21"/>
              </w:rPr>
              <w:br w:type="textWrapping"/>
            </w:r>
            <w:r>
              <w:rPr>
                <w:rFonts w:hint="eastAsia" w:ascii="仿宋_GB2312" w:hAnsi="Times New Roman" w:eastAsia="仿宋_GB2312" w:cs="Times New Roman"/>
                <w:color w:val="auto"/>
                <w:sz w:val="21"/>
                <w:szCs w:val="21"/>
              </w:rPr>
              <w:t>电焊机性能良好，符合安全要求，接线端子屏蔽罩齐全，电焊机接线规范，电源线、焊接电缆与焊机连接处有可靠屏护。金属外壳有可靠的接地（零），一、二次绕组及绕组与外壳间绝缘良好，一次线长度不超过2-3米，且不得拖地或跨越通道使用。二次线接头不超过三个，连接良好。焊钳夹紧力好，绝缘可靠，隔热层完好。</w:t>
            </w:r>
            <w:r>
              <w:rPr>
                <w:rFonts w:hint="eastAsia" w:ascii="仿宋_GB2312" w:hAnsi="Times New Roman" w:eastAsia="仿宋_GB2312" w:cs="Times New Roman"/>
                <w:color w:val="auto"/>
                <w:sz w:val="21"/>
                <w:szCs w:val="21"/>
              </w:rPr>
              <w:br w:type="textWrapping"/>
            </w:r>
            <w:r>
              <w:rPr>
                <w:rFonts w:hint="eastAsia" w:ascii="仿宋_GB2312" w:hAnsi="Times New Roman" w:eastAsia="仿宋_GB2312" w:cs="Times New Roman"/>
                <w:color w:val="auto"/>
                <w:sz w:val="21"/>
                <w:szCs w:val="21"/>
              </w:rPr>
              <w:t>焊接作业应使用动火工作票，现场的防火措施足够，作业人员应持证上岗，按规定正确佩戴个人防护用品。在有限空间作业必须设有防止金属熔渣飞溅、掉落引起火灾的措施以及防止烫伤、触电、爆炸等措施。</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455" w:hRule="atLeast"/>
        </w:trPr>
        <w:tc>
          <w:tcPr>
            <w:tcW w:w="7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三</w:t>
            </w:r>
          </w:p>
        </w:tc>
        <w:tc>
          <w:tcPr>
            <w:tcW w:w="5538"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left"/>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工程质量管理</w:t>
            </w:r>
          </w:p>
        </w:tc>
        <w:tc>
          <w:tcPr>
            <w:tcW w:w="3597"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单位：元/次</w:t>
            </w:r>
          </w:p>
        </w:tc>
      </w:tr>
      <w:tr>
        <w:tblPrEx>
          <w:tblLayout w:type="fixed"/>
          <w:tblCellMar>
            <w:top w:w="0" w:type="dxa"/>
            <w:left w:w="108" w:type="dxa"/>
            <w:bottom w:w="0" w:type="dxa"/>
            <w:right w:w="108" w:type="dxa"/>
          </w:tblCellMar>
        </w:tblPrEx>
        <w:trPr>
          <w:trHeight w:val="82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材料/设备报验</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材料/设备应在进场前通知监理单位/建设单位验收，未经检验的材料/设备不得使用，检验不合格的材料/设备及时退场</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92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材料/设备检验验收</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工程施工中没有使用国家、地方和行业以及公司明令禁止和限制使用的建筑材料及施工工艺，及不符合国家标准的；且不符合合同或招标文件约定的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优先顺序：设计图纸（已盖章）、行业标准、国家标准</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42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隐蔽工程验收</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隐蔽工程自检合格后，承包单位在 48 小时前书面通知监理工程师参加隐蔽工程的检查，承包人准备记录表格验收合格监理工程师在验收记录上签字后，承包单位可进行隐蔽和继续施工。验收不合格。承包人在监理工程师限定的时间内整改后重新验收。</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未按上述规定执行者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质量缺陷管理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对施工存在的质量缺陷，认真整改并及时回复整改意见。</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48小时内回复整改意见；并在通知单约定时间内限时整改，不符合上述规定者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资料与进度同步</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工程质保资料、验评记录及签证记录内容真实、数据准确，能与工程保持同步。</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不符合上述规定</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4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材料/设备进场检验</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工程施工中没有使用国家、地方和行业以及公司明令禁止和限制使用的建筑材料及施工工艺，及不符合国家标准的；且不符合合同或招标文件约定的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优先顺序：设计图纸（已盖章）、行业标准、国家标准</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4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四</w:t>
            </w:r>
          </w:p>
        </w:tc>
        <w:tc>
          <w:tcPr>
            <w:tcW w:w="5538"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left"/>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工程综合管理</w:t>
            </w:r>
          </w:p>
        </w:tc>
        <w:tc>
          <w:tcPr>
            <w:tcW w:w="3597"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单位：元/次</w:t>
            </w:r>
          </w:p>
        </w:tc>
      </w:tr>
      <w:tr>
        <w:tblPrEx>
          <w:tblLayout w:type="fixed"/>
          <w:tblCellMar>
            <w:top w:w="0" w:type="dxa"/>
            <w:left w:w="108" w:type="dxa"/>
            <w:bottom w:w="0" w:type="dxa"/>
            <w:right w:w="108" w:type="dxa"/>
          </w:tblCellMar>
        </w:tblPrEx>
        <w:trPr>
          <w:trHeight w:val="14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业主单位/客户/监管部门投诉</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总承包单位在实施过程中，因施工单位原因：不限于安全、质量、进度问题。业主单位/客户/监管部门投诉至新锋光伏总经理的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47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进度工作汇报</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项目开始实施到竣工验收，施工单位需每天向甲方负责人书面汇报工程进度；每周三汇报项目周进度（项目一张图）</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未如期汇报者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583"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工完料尽场地清</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施工现场工完、料尽、场地清。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未按上述规定执行者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93"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施工进度滞后</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项目开工后，工程进度滞后超过5天（自然日），且未经甲方项目负责人书面同意延期的。（不可抗力因素除外）</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实际工期与计划工程不符者、工期滞后者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罚款8000</w:t>
            </w:r>
          </w:p>
        </w:tc>
      </w:tr>
      <w:tr>
        <w:tblPrEx>
          <w:tblLayout w:type="fixed"/>
          <w:tblCellMar>
            <w:top w:w="0" w:type="dxa"/>
            <w:left w:w="108" w:type="dxa"/>
            <w:bottom w:w="0" w:type="dxa"/>
            <w:right w:w="108" w:type="dxa"/>
          </w:tblCellMar>
        </w:tblPrEx>
        <w:trPr>
          <w:trHeight w:val="95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施工道路及场地保护</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施工道路修筑、维护确保不造成水土流失、破坏周围植被。</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未按上述规定执行者</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70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监管部门罚单</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因施工单位原因，受监管部门开罚单及被扣分者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罚款金额为监管部门开出罚单金额的两倍</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罚款金额为监管部门开出罚单金额的两倍</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罚款金额为监管部门开出罚单金额的两倍，且该分包商年度综合评定为：不合格</w:t>
            </w:r>
          </w:p>
        </w:tc>
      </w:tr>
      <w:tr>
        <w:tblPrEx>
          <w:tblLayout w:type="fixed"/>
          <w:tblCellMar>
            <w:top w:w="0" w:type="dxa"/>
            <w:left w:w="108" w:type="dxa"/>
            <w:bottom w:w="0" w:type="dxa"/>
            <w:right w:w="108" w:type="dxa"/>
          </w:tblCellMar>
        </w:tblPrEx>
        <w:trPr>
          <w:trHeight w:val="3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五</w:t>
            </w:r>
          </w:p>
        </w:tc>
        <w:tc>
          <w:tcPr>
            <w:tcW w:w="5538"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left"/>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起重吊装作业</w:t>
            </w:r>
          </w:p>
        </w:tc>
        <w:tc>
          <w:tcPr>
            <w:tcW w:w="3597"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单位：元/次</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起重机的安全保护装置不完好</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使用未经许可或未经注册的吊装装置</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使用未经检查合格的索具</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非起重工进行起重操作和指挥</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吊装区域未进行隔离及无人监护</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399" w:hRule="atLeast"/>
        </w:trPr>
        <w:tc>
          <w:tcPr>
            <w:tcW w:w="7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六</w:t>
            </w:r>
          </w:p>
        </w:tc>
        <w:tc>
          <w:tcPr>
            <w:tcW w:w="5538"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left"/>
              <w:textAlignment w:val="center"/>
              <w:rPr>
                <w:rFonts w:hint="eastAsia" w:ascii="仿宋" w:hAnsi="仿宋" w:eastAsia="仿宋" w:cs="仿宋"/>
                <w:b/>
                <w:color w:val="auto"/>
                <w:sz w:val="20"/>
                <w:szCs w:val="20"/>
                <w:highlight w:val="none"/>
              </w:rPr>
            </w:pPr>
            <w:r>
              <w:rPr>
                <w:rFonts w:hint="eastAsia" w:ascii="仿宋" w:hAnsi="仿宋" w:eastAsia="仿宋" w:cs="仿宋"/>
                <w:b/>
                <w:color w:val="auto"/>
                <w:kern w:val="0"/>
                <w:sz w:val="20"/>
                <w:szCs w:val="20"/>
                <w:highlight w:val="none"/>
              </w:rPr>
              <w:t>光伏专项管理</w:t>
            </w:r>
          </w:p>
        </w:tc>
        <w:tc>
          <w:tcPr>
            <w:tcW w:w="3597" w:type="dxa"/>
            <w:gridSpan w:val="3"/>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rPr>
              <w:t>单位：元/次</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施工人员在非指定区域吸烟、乱丢烟头的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不按指定路线出入施工区域且不听劝阻者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下班收工未将施工设备断电、气体钢瓶断气者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365"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未经申请用电/不按规定接电/使用破损电缆/电线搭接延长者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9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施工现场存在坑洞、高空坠落物、触电、滑倒等危险因素的场地,未设置醒目标识、护栏或围栏，经指正仍未整改的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危险作业场所未设置警示标志(如禁止进入/注意头部等)及安全防护措施(如耐高压电或耐热手套等)者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违规采用头顶、肩扛等方式搬运组件、踩踏光伏组件者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屋顶作业违规抛掷支架、桥架、扁钢等施工材料者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出现焊接质量（主控项）问题</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出现油漆流淌严重资料问题</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出现混凝土墩缺角、破损开裂严重、不密实、养护不到位等质量问题</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出现楼板防水质量差、导致楼板漏水的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因施工不当，打穿楼板的，没做好成品保护的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778"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高压钢瓶未集中保管或直立未进行固定或任其横置滚动或管线阻碍走道者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使用氧气或乙炔进行切割时未加装逆止阀</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在严禁动火区或在油漆施工中，以及其它危险区域吸烟或动火者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17</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施工现场未确定监工及现场安全管理人员或监工、现场安全管理人员未在现场督导者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18</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施工人员不听劝阻等正常管理，而采取抵触、漫骂等行为</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19</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吊车作业时，无信号指挥人员、安全管理人员在现场指挥、管理的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未办理施工/危险作业审批手续，擅自施工</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未通知相关负责人员，自行任意转动任一管路之阀类开关或电气开关者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擅自拆除或挪用或隔离机电设备/安全装置/消防设施/警告标志者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使用未依法注册登记的特种设备或特种设备未依法年检的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施工单位未按法律规定用工的，（如施工人员未满16岁童工或女工从事高架作业等危险性、有害性工作）</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25</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不当施工或行为造成空气/土壤/水污染且未采取任何恢复措施者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26</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高空作业未做工程安全防护措施的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27</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吊车利用吊索及钩头直接当作人员上/下之用者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28</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施工场所喝酒/酒醉工作者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29</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吊车吊运钢瓶等需要固定的物品而未使用固定支架，直接用钢索吊升的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罚款3000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30</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有危险通知停工改善而未改善或不执行按甲方/监理单位停工整改要求的</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罚款8000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违反安全管理法规，在强风、雨雪等恶劣天气强行施工者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罚款8000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32</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施工现场发生危险，未令停止作业及未告知甲方或监理人员，发生事故者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33</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工作场所发生职业伤害，未通报甲方且未依照相关规定办理者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罚款20000</w:t>
            </w:r>
          </w:p>
        </w:tc>
      </w:tr>
      <w:tr>
        <w:tblPrEx>
          <w:tblLayout w:type="fixed"/>
          <w:tblCellMar>
            <w:top w:w="0" w:type="dxa"/>
            <w:left w:w="108" w:type="dxa"/>
            <w:bottom w:w="0" w:type="dxa"/>
            <w:right w:w="108" w:type="dxa"/>
          </w:tblCellMar>
        </w:tblPrEx>
        <w:trPr>
          <w:trHeight w:val="1037" w:hRule="atLeast"/>
        </w:trPr>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34</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专项管理</w:t>
            </w:r>
          </w:p>
        </w:tc>
        <w:tc>
          <w:tcPr>
            <w:tcW w:w="30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因现场施工单位安全防护措施不到位导致发生事故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存在上述问题的</w:t>
            </w:r>
          </w:p>
        </w:tc>
        <w:tc>
          <w:tcPr>
            <w:tcW w:w="10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罚款5000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罚款10000</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adjustRightInd/>
              <w:snapToGrid/>
              <w:spacing w:beforeLines="0" w:afterLines="0" w:line="240" w:lineRule="auto"/>
              <w:ind w:firstLine="0" w:firstLineChars="0"/>
              <w:jc w:val="center"/>
              <w:textAlignment w:val="auto"/>
              <w:rPr>
                <w:rFonts w:hint="eastAsia" w:ascii="仿宋_GB2312" w:hAnsi="Times New Roman" w:eastAsia="仿宋_GB2312" w:cs="Times New Roman"/>
                <w:color w:val="auto"/>
                <w:sz w:val="21"/>
                <w:szCs w:val="21"/>
              </w:rPr>
            </w:pPr>
            <w:r>
              <w:rPr>
                <w:rFonts w:hint="eastAsia" w:ascii="仿宋_GB2312" w:hAnsi="Times New Roman" w:eastAsia="仿宋_GB2312" w:cs="Times New Roman"/>
                <w:color w:val="auto"/>
                <w:sz w:val="21"/>
                <w:szCs w:val="21"/>
              </w:rPr>
              <w:t>罚款20000</w:t>
            </w:r>
          </w:p>
        </w:tc>
      </w:tr>
    </w:tbl>
    <w:p>
      <w:pPr>
        <w:rPr>
          <w:color w:val="auto"/>
          <w:highlight w:val="none"/>
          <w:lang w:bidi="zh-CN"/>
        </w:rPr>
      </w:pPr>
      <w:r>
        <w:rPr>
          <w:color w:val="auto"/>
          <w:highlight w:val="none"/>
          <w:lang w:bidi="zh-CN"/>
        </w:rPr>
        <w:br w:type="page"/>
      </w:r>
    </w:p>
    <w:p>
      <w:pPr>
        <w:spacing w:line="360" w:lineRule="auto"/>
        <w:jc w:val="left"/>
        <w:rPr>
          <w:rFonts w:hint="eastAsia" w:ascii="仿宋_GB2312" w:hAnsi="仿宋_GB2312" w:eastAsia="仿宋_GB2312" w:cs="仿宋_GB2312"/>
          <w:b/>
          <w:color w:val="auto"/>
          <w:sz w:val="32"/>
          <w:szCs w:val="32"/>
          <w:highlight w:val="none"/>
          <w:lang w:val="en-US" w:eastAsia="zh-CN"/>
        </w:rPr>
      </w:pPr>
      <w:r>
        <w:rPr>
          <w:rFonts w:hint="default" w:ascii="仿宋_GB2312" w:hAnsi="仿宋_GB2312" w:eastAsia="仿宋_GB2312" w:cs="仿宋_GB2312"/>
          <w:b/>
          <w:color w:val="auto"/>
          <w:sz w:val="32"/>
          <w:szCs w:val="32"/>
          <w:highlight w:val="none"/>
          <w:lang w:val="en-US" w:eastAsia="zh-CN"/>
        </w:rPr>
        <w:t>附件</w:t>
      </w:r>
      <w:r>
        <w:rPr>
          <w:rFonts w:hint="eastAsia" w:ascii="仿宋_GB2312" w:hAnsi="仿宋_GB2312" w:eastAsia="仿宋_GB2312" w:cs="仿宋_GB2312"/>
          <w:b/>
          <w:color w:val="auto"/>
          <w:sz w:val="32"/>
          <w:szCs w:val="32"/>
          <w:highlight w:val="none"/>
          <w:lang w:val="en-US" w:eastAsia="zh-CN"/>
        </w:rPr>
        <w:t xml:space="preserve">7 </w:t>
      </w:r>
    </w:p>
    <w:p>
      <w:pPr>
        <w:spacing w:line="360" w:lineRule="auto"/>
        <w:jc w:val="center"/>
        <w:rPr>
          <w:rFonts w:hint="default" w:ascii="仿宋_GB2312" w:hAnsi="仿宋_GB2312" w:eastAsia="仿宋_GB2312" w:cs="仿宋_GB2312"/>
          <w:b/>
          <w:color w:val="auto"/>
          <w:sz w:val="32"/>
          <w:szCs w:val="32"/>
          <w:highlight w:val="none"/>
          <w:lang w:val="en-US" w:eastAsia="zh-CN"/>
        </w:rPr>
      </w:pPr>
      <w:r>
        <w:rPr>
          <w:rFonts w:hint="default" w:ascii="仿宋_GB2312" w:hAnsi="仿宋_GB2312" w:eastAsia="仿宋_GB2312" w:cs="仿宋_GB2312"/>
          <w:b/>
          <w:color w:val="auto"/>
          <w:sz w:val="32"/>
          <w:szCs w:val="32"/>
          <w:highlight w:val="none"/>
          <w:lang w:val="en-US" w:eastAsia="zh-CN"/>
        </w:rPr>
        <w:t>光伏电站发电量保证书</w:t>
      </w:r>
    </w:p>
    <w:p>
      <w:pPr>
        <w:spacing w:beforeLines="0" w:afterLines="0" w:line="360" w:lineRule="auto"/>
        <w:rPr>
          <w:rFonts w:hint="eastAsia" w:ascii="仿宋_GB2312" w:hAnsi="Times New Roman" w:eastAsia="仿宋_GB2312"/>
          <w:color w:val="auto"/>
          <w:sz w:val="24"/>
          <w:szCs w:val="24"/>
        </w:rPr>
      </w:pPr>
    </w:p>
    <w:p>
      <w:pPr>
        <w:spacing w:beforeLines="0" w:after="313" w:afterLines="100" w:line="36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致</w:t>
      </w:r>
      <w:r>
        <w:rPr>
          <w:rFonts w:hint="eastAsia" w:ascii="仿宋_GB2312" w:hAnsi="Times New Roman" w:eastAsia="仿宋_GB2312"/>
          <w:b/>
          <w:color w:val="auto"/>
          <w:sz w:val="24"/>
          <w:szCs w:val="24"/>
        </w:rPr>
        <w:t>东莞新锋光伏能源科技有限公司：</w:t>
      </w:r>
      <w:r>
        <w:rPr>
          <w:rFonts w:hint="eastAsia" w:ascii="仿宋_GB2312" w:hAnsi="Times New Roman" w:eastAsia="仿宋_GB2312"/>
          <w:color w:val="auto"/>
          <w:sz w:val="24"/>
          <w:szCs w:val="24"/>
        </w:rPr>
        <w:t xml:space="preserve"> </w:t>
      </w: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我司已与贵司签订</w:t>
      </w:r>
      <w:permStart w:id="88" w:edGrp="everyone"/>
      <w:r>
        <w:rPr>
          <w:rFonts w:hint="eastAsia" w:ascii="仿宋_GB2312" w:hAnsi="Times New Roman" w:eastAsia="仿宋_GB2312"/>
          <w:color w:val="auto"/>
          <w:sz w:val="24"/>
          <w:szCs w:val="24"/>
        </w:rPr>
        <w:fldChar w:fldCharType="begin"/>
      </w:r>
      <w:r>
        <w:rPr>
          <w:rFonts w:hint="eastAsia" w:ascii="仿宋_GB2312" w:hAnsi="Times New Roman" w:eastAsia="仿宋_GB2312"/>
          <w:color w:val="auto"/>
          <w:sz w:val="24"/>
          <w:szCs w:val="24"/>
        </w:rPr>
        <w:instrText xml:space="preserve"> REF 项目名称 \h </w:instrText>
      </w:r>
      <w:r>
        <w:rPr>
          <w:rFonts w:hint="eastAsia" w:ascii="仿宋_GB2312" w:hAnsi="Times New Roman" w:eastAsia="仿宋_GB2312"/>
          <w:color w:val="auto"/>
          <w:sz w:val="24"/>
          <w:szCs w:val="24"/>
        </w:rPr>
        <w:fldChar w:fldCharType="separate"/>
      </w:r>
      <w:r>
        <w:rPr>
          <w:rFonts w:hint="eastAsia" w:ascii="仿宋_GB2312" w:hAnsi="Times New Roman" w:eastAsia="仿宋_GB2312"/>
          <w:color w:val="auto"/>
          <w:sz w:val="24"/>
          <w:szCs w:val="24"/>
        </w:rPr>
        <w:t>东莞新锋光伏能源科技有限公司XX厂区分布式光伏发电项目</w:t>
      </w:r>
      <w:r>
        <w:rPr>
          <w:rFonts w:hint="eastAsia" w:ascii="仿宋_GB2312" w:hAnsi="Times New Roman" w:eastAsia="仿宋_GB2312"/>
          <w:color w:val="auto"/>
          <w:sz w:val="24"/>
          <w:szCs w:val="24"/>
        </w:rPr>
        <w:fldChar w:fldCharType="end"/>
      </w:r>
      <w:permEnd w:id="88"/>
      <w:r>
        <w:rPr>
          <w:rFonts w:hint="eastAsia" w:ascii="仿宋_GB2312" w:hAnsi="Times New Roman" w:eastAsia="仿宋_GB2312"/>
          <w:color w:val="auto"/>
          <w:sz w:val="24"/>
          <w:szCs w:val="24"/>
        </w:rPr>
        <w:t>总承包合同（合同编号</w:t>
      </w:r>
      <w:r>
        <w:rPr>
          <w:rFonts w:hint="eastAsia" w:ascii="仿宋_GB2312" w:hAnsi="Times New Roman" w:eastAsia="仿宋_GB2312"/>
          <w:b/>
          <w:color w:val="auto"/>
          <w:sz w:val="24"/>
          <w:szCs w:val="24"/>
        </w:rPr>
        <w:t>：</w:t>
      </w:r>
      <w:permStart w:id="89" w:edGrp="everyone"/>
      <w:r>
        <w:rPr>
          <w:rFonts w:hint="eastAsia" w:ascii="仿宋_GB2312" w:hAnsi="Times New Roman" w:eastAsia="仿宋_GB2312" w:cs="Times New Roman"/>
          <w:color w:val="auto"/>
          <w:sz w:val="24"/>
          <w:szCs w:val="24"/>
        </w:rPr>
        <w:fldChar w:fldCharType="begin"/>
      </w:r>
      <w:r>
        <w:rPr>
          <w:rFonts w:hint="eastAsia" w:ascii="仿宋_GB2312" w:hAnsi="Times New Roman" w:eastAsia="仿宋_GB2312" w:cs="Times New Roman"/>
          <w:color w:val="auto"/>
          <w:sz w:val="24"/>
          <w:szCs w:val="24"/>
        </w:rPr>
        <w:instrText xml:space="preserve"> REF 合同编号 \h </w:instrText>
      </w:r>
      <w:r>
        <w:rPr>
          <w:rFonts w:hint="eastAsia" w:ascii="仿宋_GB2312" w:hAnsi="Times New Roman" w:eastAsia="仿宋_GB2312" w:cs="Times New Roman"/>
          <w:color w:val="auto"/>
          <w:sz w:val="24"/>
          <w:szCs w:val="24"/>
        </w:rPr>
        <w:fldChar w:fldCharType="separate"/>
      </w:r>
      <w:r>
        <w:rPr>
          <w:rFonts w:hint="eastAsia" w:ascii="仿宋_GB2312" w:hAnsi="Times New Roman" w:eastAsia="仿宋_GB2312" w:cs="Times New Roman"/>
          <w:color w:val="auto"/>
          <w:sz w:val="24"/>
          <w:szCs w:val="24"/>
        </w:rPr>
        <w:t>XFGFSG202X0XX</w:t>
      </w:r>
      <w:r>
        <w:rPr>
          <w:rFonts w:hint="eastAsia" w:ascii="仿宋_GB2312" w:hAnsi="Times New Roman" w:eastAsia="仿宋_GB2312" w:cs="Times New Roman"/>
          <w:color w:val="auto"/>
          <w:sz w:val="24"/>
          <w:szCs w:val="24"/>
        </w:rPr>
        <w:fldChar w:fldCharType="end"/>
      </w:r>
      <w:permEnd w:id="89"/>
      <w:r>
        <w:rPr>
          <w:rFonts w:hint="eastAsia" w:ascii="仿宋_GB2312" w:hAnsi="Times New Roman" w:eastAsia="仿宋_GB2312"/>
          <w:color w:val="auto"/>
          <w:sz w:val="24"/>
          <w:szCs w:val="24"/>
        </w:rPr>
        <w:t>），我司同意在合同履行过程中，向贵司就本项目建成投运光伏电站发电量做如下保证：</w:t>
      </w: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1、我司保证本项目在并网投运后连续</w:t>
      </w:r>
      <w:r>
        <w:rPr>
          <w:rFonts w:hint="eastAsia" w:ascii="仿宋_GB2312" w:hAnsi="Times New Roman" w:eastAsia="仿宋_GB2312"/>
          <w:b/>
          <w:color w:val="auto"/>
          <w:sz w:val="24"/>
          <w:szCs w:val="24"/>
        </w:rPr>
        <w:t>2年</w:t>
      </w:r>
      <w:r>
        <w:rPr>
          <w:rFonts w:hint="eastAsia" w:ascii="仿宋_GB2312" w:hAnsi="Times New Roman" w:eastAsia="仿宋_GB2312"/>
          <w:color w:val="auto"/>
          <w:sz w:val="24"/>
          <w:szCs w:val="24"/>
        </w:rPr>
        <w:t>运营期内，项目</w:t>
      </w:r>
      <w:r>
        <w:rPr>
          <w:rFonts w:hint="eastAsia" w:ascii="仿宋_GB2312" w:hAnsi="Times New Roman" w:eastAsia="仿宋_GB2312"/>
          <w:b/>
          <w:color w:val="auto"/>
          <w:sz w:val="24"/>
          <w:szCs w:val="24"/>
        </w:rPr>
        <w:t>年发电保底电量发电时数</w:t>
      </w:r>
      <w:r>
        <w:rPr>
          <w:rFonts w:hint="eastAsia" w:ascii="仿宋_GB2312" w:hAnsi="Times New Roman" w:eastAsia="仿宋_GB2312"/>
          <w:color w:val="auto"/>
          <w:sz w:val="24"/>
          <w:szCs w:val="24"/>
        </w:rPr>
        <w:t>（年发电量/实际装机容量）符合贵司要求，如下表；</w:t>
      </w:r>
    </w:p>
    <w:p>
      <w:pPr>
        <w:spacing w:beforeLines="0" w:afterLines="0" w:line="360" w:lineRule="auto"/>
        <w:ind w:firstLine="480" w:firstLineChars="200"/>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项目运营期考核发电量数据表</w:t>
      </w:r>
    </w:p>
    <w:tbl>
      <w:tblPr>
        <w:tblStyle w:val="33"/>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4"/>
        <w:gridCol w:w="1737"/>
        <w:gridCol w:w="1824"/>
        <w:gridCol w:w="2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jc w:val="center"/>
        </w:trPr>
        <w:tc>
          <w:tcPr>
            <w:tcW w:w="27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运维年限</w:t>
            </w:r>
          </w:p>
        </w:tc>
        <w:tc>
          <w:tcPr>
            <w:tcW w:w="17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第1年</w:t>
            </w:r>
          </w:p>
        </w:tc>
        <w:tc>
          <w:tcPr>
            <w:tcW w:w="18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第2年</w:t>
            </w:r>
          </w:p>
        </w:tc>
        <w:tc>
          <w:tcPr>
            <w:tcW w:w="22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第3年及以后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jc w:val="center"/>
        </w:trPr>
        <w:tc>
          <w:tcPr>
            <w:tcW w:w="27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全年考核发电时数</w:t>
            </w:r>
          </w:p>
        </w:tc>
        <w:tc>
          <w:tcPr>
            <w:tcW w:w="17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b/>
                <w:color w:val="auto"/>
                <w:sz w:val="24"/>
                <w:szCs w:val="24"/>
              </w:rPr>
              <w:t>1055小时</w:t>
            </w:r>
          </w:p>
        </w:tc>
        <w:tc>
          <w:tcPr>
            <w:tcW w:w="182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b/>
                <w:color w:val="auto"/>
                <w:sz w:val="24"/>
                <w:szCs w:val="24"/>
              </w:rPr>
              <w:t>1029小时</w:t>
            </w:r>
          </w:p>
        </w:tc>
        <w:tc>
          <w:tcPr>
            <w:tcW w:w="2237"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beforeLines="0" w:afterLines="0" w:line="360" w:lineRule="auto"/>
              <w:jc w:val="cente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不考核</w:t>
            </w:r>
          </w:p>
        </w:tc>
      </w:tr>
    </w:tbl>
    <w:p>
      <w:pPr>
        <w:spacing w:beforeLines="0" w:afterLines="0"/>
        <w:rPr>
          <w:rFonts w:hint="eastAsia" w:ascii="仿宋_GB2312" w:hAnsi="Times New Roman" w:eastAsia="仿宋_GB2312"/>
          <w:color w:val="auto"/>
          <w:sz w:val="24"/>
          <w:szCs w:val="24"/>
        </w:rPr>
      </w:pP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2、若本项目建成投运光伏电站由于我司在安装时自身原因（如图纸设计不符合规范要求、组件遮挡、发电设备质量不符合要求、电气设备接触不良、保修期内保修响应不及时等）未达到相应年限考核发电时数时，我司向贵司补足本应发电量的差额部分（差额部分=全年考核发电时数差额×实际装机容量×本项目能源管理合同应收电价），同意将该差额部分从本项目质量保修金中扣除；</w:t>
      </w: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3、因业主单位或供电部门计划停电或检修产生的电量损失、双方认定的不可抗力影响的发电量损失等不在考核范围内，属于免考核发电量；</w:t>
      </w: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4、本保证书自双方签字盖章之日起生效，与合同一起具有同等法律效力。</w:t>
      </w:r>
    </w:p>
    <w:p>
      <w:pPr>
        <w:spacing w:beforeLines="0" w:afterLines="0" w:line="360" w:lineRule="auto"/>
        <w:ind w:firstLine="480" w:firstLineChars="20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特此保证！</w:t>
      </w:r>
    </w:p>
    <w:p>
      <w:pPr>
        <w:pStyle w:val="2"/>
        <w:spacing w:before="156" w:afterLines="0"/>
        <w:ind w:firstLine="480"/>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（以下无正文）</w:t>
      </w:r>
    </w:p>
    <w:p>
      <w:pPr>
        <w:spacing w:beforeLines="0" w:afterLines="0" w:line="360" w:lineRule="auto"/>
        <w:ind w:firstLine="480" w:firstLineChars="200"/>
        <w:rPr>
          <w:rFonts w:hint="eastAsia" w:ascii="仿宋_GB2312" w:hAnsi="Times New Roman" w:eastAsia="仿宋_GB2312"/>
          <w:color w:val="auto"/>
          <w:sz w:val="24"/>
          <w:szCs w:val="24"/>
        </w:rPr>
      </w:pPr>
    </w:p>
    <w:p>
      <w:pPr>
        <w:spacing w:beforeLines="0" w:afterLines="0" w:line="360" w:lineRule="auto"/>
        <w:ind w:firstLine="480" w:firstLineChars="200"/>
        <w:rPr>
          <w:rFonts w:hint="eastAsia" w:ascii="仿宋_GB2312" w:hAnsi="Times New Roman" w:eastAsia="仿宋_GB2312"/>
          <w:color w:val="auto"/>
          <w:sz w:val="24"/>
          <w:szCs w:val="24"/>
        </w:rPr>
      </w:pPr>
    </w:p>
    <w:p>
      <w:pPr>
        <w:spacing w:beforeLines="0" w:afterLines="0" w:line="360" w:lineRule="auto"/>
        <w:ind w:firstLine="480" w:firstLineChars="200"/>
        <w:rPr>
          <w:rFonts w:hint="eastAsia" w:ascii="仿宋_GB2312" w:hAnsi="Times New Roman" w:eastAsia="仿宋_GB2312"/>
          <w:color w:val="auto"/>
          <w:sz w:val="24"/>
          <w:szCs w:val="24"/>
        </w:rPr>
      </w:pPr>
    </w:p>
    <w:p>
      <w:pPr>
        <w:spacing w:beforeLines="0" w:afterLines="0" w:line="360" w:lineRule="auto"/>
        <w:ind w:firstLine="480" w:firstLineChars="200"/>
        <w:rPr>
          <w:rFonts w:hint="eastAsia" w:ascii="仿宋_GB2312" w:hAnsi="Times New Roman" w:eastAsia="仿宋_GB2312"/>
          <w:color w:val="auto"/>
          <w:sz w:val="24"/>
          <w:szCs w:val="24"/>
        </w:rPr>
      </w:pPr>
    </w:p>
    <w:p>
      <w:pPr>
        <w:spacing w:beforeLines="0" w:afterLines="0" w:line="360" w:lineRule="auto"/>
        <w:ind w:firstLine="480" w:firstLineChars="200"/>
        <w:rPr>
          <w:rFonts w:hint="eastAsia" w:ascii="仿宋_GB2312" w:hAnsi="Times New Roman" w:eastAsia="仿宋_GB2312"/>
          <w:color w:val="auto"/>
          <w:sz w:val="24"/>
          <w:szCs w:val="24"/>
        </w:rPr>
      </w:pPr>
    </w:p>
    <w:p>
      <w:pPr>
        <w:spacing w:beforeLines="0" w:afterLines="0" w:line="480" w:lineRule="auto"/>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（签署页）</w:t>
      </w:r>
    </w:p>
    <w:p>
      <w:pPr>
        <w:spacing w:beforeLines="0" w:afterLines="0" w:line="480" w:lineRule="auto"/>
        <w:rPr>
          <w:rFonts w:hint="eastAsia" w:ascii="仿宋_GB2312" w:hAnsi="Times New Roman" w:eastAsia="仿宋_GB2312"/>
          <w:color w:val="auto"/>
          <w:sz w:val="24"/>
          <w:szCs w:val="24"/>
        </w:rPr>
      </w:pPr>
    </w:p>
    <w:p>
      <w:pPr>
        <w:spacing w:beforeLines="0" w:afterLines="0" w:line="480" w:lineRule="auto"/>
        <w:ind w:firstLine="4800" w:firstLineChars="2000"/>
        <w:rPr>
          <w:rFonts w:hint="eastAsia" w:ascii="仿宋_GB2312" w:hAnsi="Times New Roman" w:eastAsia="仿宋_GB2312"/>
          <w:color w:val="auto"/>
          <w:sz w:val="24"/>
          <w:szCs w:val="24"/>
        </w:rPr>
      </w:pPr>
    </w:p>
    <w:p>
      <w:pPr>
        <w:spacing w:beforeLines="0" w:afterLines="0" w:line="48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承诺方（主）：（盖章）</w:t>
      </w:r>
      <w:permStart w:id="90" w:edGrp="everyone"/>
      <w:r>
        <w:rPr>
          <w:rFonts w:hint="eastAsia" w:ascii="仿宋_GB2312" w:hAnsi="Times New Roman" w:eastAsia="仿宋_GB2312"/>
          <w:color w:val="auto"/>
          <w:sz w:val="24"/>
          <w:szCs w:val="24"/>
        </w:rPr>
        <w:fldChar w:fldCharType="begin"/>
      </w:r>
      <w:r>
        <w:rPr>
          <w:rFonts w:hint="eastAsia" w:ascii="仿宋_GB2312" w:hAnsi="Times New Roman" w:eastAsia="仿宋_GB2312"/>
          <w:color w:val="auto"/>
          <w:sz w:val="24"/>
          <w:szCs w:val="24"/>
        </w:rPr>
        <w:instrText xml:space="preserve"> REF 乙方（主） \h </w:instrText>
      </w:r>
      <w:r>
        <w:rPr>
          <w:rFonts w:hint="eastAsia" w:ascii="仿宋_GB2312" w:hAnsi="Times New Roman" w:eastAsia="仿宋_GB2312"/>
          <w:color w:val="auto"/>
          <w:sz w:val="24"/>
          <w:szCs w:val="24"/>
        </w:rPr>
        <w:fldChar w:fldCharType="separate"/>
      </w:r>
      <w:r>
        <w:rPr>
          <w:rFonts w:hint="eastAsia" w:ascii="仿宋_GB2312" w:hAnsi="Times New Roman" w:eastAsia="仿宋_GB2312"/>
          <w:color w:val="auto"/>
          <w:sz w:val="24"/>
          <w:szCs w:val="24"/>
        </w:rPr>
        <w:t>XX有限公司</w:t>
      </w:r>
      <w:r>
        <w:rPr>
          <w:rFonts w:hint="eastAsia" w:ascii="仿宋_GB2312" w:hAnsi="Times New Roman" w:eastAsia="仿宋_GB2312"/>
          <w:color w:val="auto"/>
          <w:sz w:val="24"/>
          <w:szCs w:val="24"/>
        </w:rPr>
        <w:fldChar w:fldCharType="end"/>
      </w:r>
      <w:permEnd w:id="90"/>
      <w:r>
        <w:rPr>
          <w:rFonts w:hint="eastAsia" w:ascii="仿宋_GB2312" w:hAnsi="Times New Roman" w:eastAsia="仿宋_GB2312"/>
          <w:color w:val="auto"/>
          <w:sz w:val="24"/>
          <w:szCs w:val="24"/>
        </w:rPr>
        <w:t xml:space="preserve">        </w:t>
      </w:r>
    </w:p>
    <w:p>
      <w:pPr>
        <w:spacing w:beforeLines="0" w:afterLines="0" w:line="48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 xml:space="preserve">法定代表人（或授权代表）签字：              </w:t>
      </w:r>
    </w:p>
    <w:p>
      <w:pPr>
        <w:spacing w:beforeLines="0" w:afterLines="0" w:line="48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承诺日期：    年   月   日</w:t>
      </w:r>
    </w:p>
    <w:p>
      <w:pPr>
        <w:spacing w:beforeLines="0" w:afterLines="0" w:line="480" w:lineRule="auto"/>
        <w:rPr>
          <w:rFonts w:hint="eastAsia" w:ascii="仿宋_GB2312" w:hAnsi="Times New Roman" w:eastAsia="仿宋_GB2312"/>
          <w:color w:val="auto"/>
          <w:sz w:val="24"/>
          <w:szCs w:val="24"/>
        </w:rPr>
      </w:pPr>
    </w:p>
    <w:p>
      <w:pPr>
        <w:spacing w:beforeLines="0" w:afterLines="0" w:line="480" w:lineRule="auto"/>
        <w:rPr>
          <w:rFonts w:hint="eastAsia" w:ascii="仿宋_GB2312" w:hAnsi="Times New Roman" w:eastAsia="仿宋_GB2312"/>
          <w:color w:val="auto"/>
          <w:sz w:val="24"/>
          <w:szCs w:val="24"/>
        </w:rPr>
      </w:pPr>
    </w:p>
    <w:p>
      <w:pPr>
        <w:spacing w:beforeLines="0" w:afterLines="0" w:line="48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承诺方（成）：（盖章）</w:t>
      </w:r>
      <w:permStart w:id="91" w:edGrp="everyone"/>
      <w:r>
        <w:rPr>
          <w:rFonts w:hint="eastAsia" w:ascii="仿宋_GB2312" w:hAnsi="Times New Roman" w:eastAsia="仿宋_GB2312"/>
          <w:color w:val="auto"/>
          <w:sz w:val="24"/>
          <w:szCs w:val="24"/>
        </w:rPr>
        <w:fldChar w:fldCharType="begin"/>
      </w:r>
      <w:r>
        <w:rPr>
          <w:rFonts w:hint="eastAsia" w:ascii="仿宋_GB2312" w:hAnsi="Times New Roman" w:eastAsia="仿宋_GB2312"/>
          <w:color w:val="auto"/>
          <w:sz w:val="24"/>
          <w:szCs w:val="24"/>
        </w:rPr>
        <w:instrText xml:space="preserve"> REF 乙方（成） \h </w:instrText>
      </w:r>
      <w:r>
        <w:rPr>
          <w:rFonts w:hint="eastAsia" w:ascii="仿宋_GB2312" w:hAnsi="Times New Roman" w:eastAsia="仿宋_GB2312"/>
          <w:color w:val="auto"/>
          <w:sz w:val="24"/>
          <w:szCs w:val="24"/>
        </w:rPr>
        <w:fldChar w:fldCharType="separate"/>
      </w:r>
      <w:r>
        <w:rPr>
          <w:rFonts w:hint="eastAsia" w:ascii="仿宋_GB2312" w:hAnsi="Times New Roman" w:eastAsia="仿宋_GB2312"/>
          <w:color w:val="auto"/>
          <w:sz w:val="24"/>
          <w:szCs w:val="24"/>
        </w:rPr>
        <w:t>XX有限公司</w:t>
      </w:r>
      <w:r>
        <w:rPr>
          <w:rFonts w:hint="eastAsia" w:ascii="仿宋_GB2312" w:hAnsi="Times New Roman" w:eastAsia="仿宋_GB2312"/>
          <w:color w:val="auto"/>
          <w:sz w:val="24"/>
          <w:szCs w:val="24"/>
        </w:rPr>
        <w:fldChar w:fldCharType="end"/>
      </w:r>
      <w:permEnd w:id="91"/>
      <w:r>
        <w:rPr>
          <w:rFonts w:hint="eastAsia" w:ascii="仿宋_GB2312" w:hAnsi="Times New Roman" w:eastAsia="仿宋_GB2312"/>
          <w:color w:val="auto"/>
          <w:sz w:val="24"/>
          <w:szCs w:val="24"/>
        </w:rPr>
        <w:t xml:space="preserve">        </w:t>
      </w:r>
    </w:p>
    <w:p>
      <w:pPr>
        <w:spacing w:beforeLines="0" w:afterLines="0" w:line="480" w:lineRule="auto"/>
        <w:rPr>
          <w:rFonts w:hint="eastAsia" w:ascii="仿宋_GB2312" w:hAnsi="Times New Roman" w:eastAsia="仿宋_GB2312"/>
          <w:color w:val="auto"/>
          <w:sz w:val="24"/>
          <w:szCs w:val="24"/>
        </w:rPr>
      </w:pPr>
      <w:r>
        <w:rPr>
          <w:rFonts w:hint="eastAsia" w:ascii="仿宋_GB2312" w:hAnsi="Times New Roman" w:eastAsia="仿宋_GB2312"/>
          <w:color w:val="auto"/>
          <w:sz w:val="24"/>
          <w:szCs w:val="24"/>
        </w:rPr>
        <w:t xml:space="preserve">法定代表人（或授权代表）签字：              </w:t>
      </w:r>
    </w:p>
    <w:p>
      <w:pPr>
        <w:spacing w:beforeLines="0" w:afterLines="0" w:line="480" w:lineRule="auto"/>
        <w:rPr>
          <w:rFonts w:hint="eastAsia" w:ascii="仿宋_GB2312" w:hAnsi="仿宋_GB2312" w:eastAsia="仿宋_GB2312" w:cs="仿宋_GB2312"/>
          <w:b/>
          <w:color w:val="auto"/>
          <w:sz w:val="32"/>
          <w:szCs w:val="32"/>
        </w:rPr>
      </w:pPr>
      <w:r>
        <w:rPr>
          <w:rFonts w:hint="eastAsia" w:ascii="仿宋_GB2312" w:hAnsi="Times New Roman" w:eastAsia="仿宋_GB2312"/>
          <w:color w:val="auto"/>
          <w:sz w:val="24"/>
          <w:szCs w:val="24"/>
        </w:rPr>
        <w:t>承诺日期：    年   月   日</w:t>
      </w:r>
    </w:p>
    <w:p>
      <w:pPr>
        <w:shd w:val="clear"/>
        <w:rPr>
          <w:color w:val="auto"/>
          <w:highlight w:val="none"/>
        </w:rPr>
      </w:pPr>
      <w:r>
        <w:rPr>
          <w:color w:val="auto"/>
          <w:highlight w:val="none"/>
          <w:lang w:bidi="zh-CN"/>
        </w:rPr>
        <w:br w:type="page"/>
      </w:r>
    </w:p>
    <w:p>
      <w:pPr>
        <w:pStyle w:val="4"/>
        <w:shd w:val="clear"/>
        <w:spacing w:before="0" w:after="0" w:line="240" w:lineRule="auto"/>
        <w:rPr>
          <w:color w:val="auto"/>
          <w:sz w:val="28"/>
          <w:szCs w:val="28"/>
          <w:highlight w:val="none"/>
        </w:rPr>
      </w:pPr>
      <w:bookmarkStart w:id="98" w:name="_Toc30676"/>
      <w:r>
        <w:rPr>
          <w:rFonts w:hint="eastAsia"/>
          <w:color w:val="auto"/>
          <w:sz w:val="28"/>
          <w:szCs w:val="28"/>
          <w:highlight w:val="none"/>
        </w:rPr>
        <w:t>第六部分</w:t>
      </w:r>
      <w:r>
        <w:rPr>
          <w:rFonts w:hint="eastAsia"/>
          <w:color w:val="auto"/>
          <w:sz w:val="28"/>
          <w:szCs w:val="28"/>
          <w:highlight w:val="none"/>
          <w:lang w:val="en-US" w:eastAsia="zh-CN"/>
        </w:rPr>
        <w:t xml:space="preserve">  </w:t>
      </w:r>
      <w:r>
        <w:rPr>
          <w:rFonts w:hint="eastAsia"/>
          <w:color w:val="auto"/>
          <w:sz w:val="28"/>
          <w:szCs w:val="28"/>
          <w:highlight w:val="none"/>
        </w:rPr>
        <w:t>投标文件格式</w:t>
      </w:r>
      <w:bookmarkEnd w:id="98"/>
    </w:p>
    <w:p>
      <w:pPr>
        <w:shd w:val="clear"/>
        <w:rPr>
          <w:color w:val="auto"/>
          <w:highlight w:val="none"/>
        </w:rPr>
      </w:pPr>
    </w:p>
    <w:p>
      <w:pPr>
        <w:shd w:val="clear"/>
        <w:jc w:val="center"/>
        <w:rPr>
          <w:rFonts w:ascii="黑体" w:eastAsia="黑体"/>
          <w:color w:val="auto"/>
          <w:sz w:val="32"/>
          <w:szCs w:val="32"/>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投标文件目录</w:t>
      </w:r>
    </w:p>
    <w:p>
      <w:pPr>
        <w:pStyle w:val="14"/>
        <w:tabs>
          <w:tab w:val="right" w:leader="dot" w:pos="8306"/>
          <w:tab w:val="clear" w:pos="8296"/>
        </w:tabs>
        <w:ind w:left="0" w:leftChars="0" w:firstLine="179"/>
        <w:rPr>
          <w:rFonts w:hint="eastAsia" w:ascii="宋体" w:hAnsi="宋体" w:cs="宋体"/>
          <w:b/>
          <w:bCs/>
          <w:color w:val="auto"/>
          <w:sz w:val="24"/>
          <w:szCs w:val="24"/>
        </w:rPr>
      </w:pPr>
      <w:r>
        <w:rPr>
          <w:color w:val="auto"/>
        </w:rPr>
        <w:fldChar w:fldCharType="begin"/>
      </w:r>
      <w:r>
        <w:rPr>
          <w:color w:val="auto"/>
        </w:rPr>
        <w:instrText xml:space="preserve"> HYPERLINK \l "_Toc30895" </w:instrText>
      </w:r>
      <w:r>
        <w:rPr>
          <w:color w:val="auto"/>
        </w:rPr>
        <w:fldChar w:fldCharType="separate"/>
      </w:r>
      <w:r>
        <w:rPr>
          <w:rFonts w:hint="eastAsia" w:ascii="宋体" w:hAnsi="宋体" w:cs="宋体"/>
          <w:b/>
          <w:bCs/>
          <w:color w:val="auto"/>
          <w:sz w:val="24"/>
          <w:szCs w:val="24"/>
        </w:rPr>
        <w:t>价格文件</w:t>
      </w:r>
      <w:r>
        <w:rPr>
          <w:rFonts w:hint="eastAsia" w:ascii="宋体" w:hAnsi="宋体" w:cs="宋体"/>
          <w:b/>
          <w:bCs/>
          <w:color w:val="auto"/>
          <w:sz w:val="24"/>
          <w:szCs w:val="24"/>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"_Toc15657" </w:instrText>
      </w:r>
      <w:r>
        <w:rPr>
          <w:color w:val="auto"/>
        </w:rPr>
        <w:fldChar w:fldCharType="separate"/>
      </w:r>
      <w:r>
        <w:rPr>
          <w:rFonts w:hint="eastAsia" w:ascii="宋体" w:hAnsi="宋体" w:cs="宋体"/>
          <w:color w:val="auto"/>
        </w:rPr>
        <w:t>开标一览表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"_Toc17495" </w:instrText>
      </w:r>
      <w:r>
        <w:rPr>
          <w:color w:val="auto"/>
        </w:rPr>
        <w:fldChar w:fldCharType="separate"/>
      </w:r>
      <w:r>
        <w:rPr>
          <w:rFonts w:hint="eastAsia" w:ascii="宋体" w:hAnsi="宋体" w:cs="宋体"/>
          <w:color w:val="auto"/>
        </w:rPr>
        <w:t>主要设备品牌响应表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"_Toc4453" </w:instrText>
      </w:r>
      <w:r>
        <w:rPr>
          <w:color w:val="auto"/>
        </w:rPr>
        <w:fldChar w:fldCharType="separate"/>
      </w:r>
      <w:r>
        <w:rPr>
          <w:rFonts w:hint="eastAsia" w:ascii="宋体" w:hAnsi="宋体" w:cs="宋体"/>
          <w:color w:val="auto"/>
        </w:rPr>
        <w:t>报价明细表</w:t>
      </w:r>
      <w:r>
        <w:rPr>
          <w:rFonts w:hint="eastAsia" w:ascii="宋体" w:hAnsi="宋体" w:cs="宋体"/>
          <w:color w:val="auto"/>
        </w:rPr>
        <w:fldChar w:fldCharType="end"/>
      </w:r>
    </w:p>
    <w:p>
      <w:pPr>
        <w:pStyle w:val="14"/>
        <w:tabs>
          <w:tab w:val="right" w:leader="dot" w:pos="8306"/>
          <w:tab w:val="clear" w:pos="8296"/>
        </w:tabs>
        <w:ind w:left="0" w:leftChars="0" w:firstLine="179"/>
        <w:rPr>
          <w:rFonts w:hint="eastAsia" w:ascii="宋体" w:hAnsi="宋体" w:cs="宋体"/>
          <w:b/>
          <w:bCs/>
          <w:color w:val="auto"/>
          <w:sz w:val="24"/>
          <w:szCs w:val="24"/>
        </w:rPr>
      </w:pPr>
      <w:r>
        <w:rPr>
          <w:color w:val="auto"/>
        </w:rPr>
        <w:fldChar w:fldCharType="begin"/>
      </w:r>
      <w:r>
        <w:rPr>
          <w:color w:val="auto"/>
        </w:rPr>
        <w:instrText xml:space="preserve"> HYPERLINK \l "_Toc8484" </w:instrText>
      </w:r>
      <w:r>
        <w:rPr>
          <w:color w:val="auto"/>
        </w:rPr>
        <w:fldChar w:fldCharType="separate"/>
      </w:r>
      <w:r>
        <w:rPr>
          <w:rFonts w:hint="eastAsia" w:ascii="宋体" w:hAnsi="宋体" w:cs="宋体"/>
          <w:b/>
          <w:bCs/>
          <w:color w:val="auto"/>
          <w:sz w:val="24"/>
          <w:szCs w:val="24"/>
        </w:rPr>
        <w:t>商务文件</w:t>
      </w:r>
      <w:r>
        <w:rPr>
          <w:rFonts w:hint="eastAsia" w:ascii="宋体" w:hAnsi="宋体" w:cs="宋体"/>
          <w:b/>
          <w:bCs/>
          <w:color w:val="auto"/>
          <w:sz w:val="24"/>
          <w:szCs w:val="24"/>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商务</w:t>
      </w:r>
      <w:r>
        <w:rPr>
          <w:rFonts w:hint="eastAsia" w:ascii="宋体" w:hAnsi="宋体" w:cs="宋体"/>
          <w:color w:val="auto"/>
        </w:rPr>
        <w:fldChar w:fldCharType="begin"/>
      </w:r>
      <w:r>
        <w:rPr>
          <w:rFonts w:hint="eastAsia" w:ascii="宋体" w:hAnsi="宋体" w:cs="宋体"/>
          <w:color w:val="auto"/>
        </w:rPr>
        <w:instrText xml:space="preserve"> HYPERLINK \l _Toc3044 </w:instrText>
      </w:r>
      <w:r>
        <w:rPr>
          <w:rFonts w:hint="eastAsia" w:ascii="宋体" w:hAnsi="宋体" w:cs="宋体"/>
          <w:color w:val="auto"/>
        </w:rPr>
        <w:fldChar w:fldCharType="separate"/>
      </w:r>
      <w:r>
        <w:rPr>
          <w:rFonts w:hint="eastAsia" w:ascii="宋体" w:hAnsi="宋体" w:cs="宋体"/>
          <w:color w:val="auto"/>
        </w:rPr>
        <w:t>评分标准索引表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"_Toc28959" </w:instrText>
      </w:r>
      <w:r>
        <w:rPr>
          <w:color w:val="auto"/>
        </w:rPr>
        <w:fldChar w:fldCharType="separate"/>
      </w:r>
      <w:r>
        <w:rPr>
          <w:rFonts w:hint="eastAsia" w:ascii="宋体" w:hAnsi="宋体" w:cs="宋体"/>
          <w:color w:val="auto"/>
        </w:rPr>
        <w:t>投标书格式</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"_Toc6073" </w:instrText>
      </w:r>
      <w:r>
        <w:rPr>
          <w:color w:val="auto"/>
        </w:rPr>
        <w:fldChar w:fldCharType="separate"/>
      </w:r>
      <w:r>
        <w:rPr>
          <w:rFonts w:hint="eastAsia" w:ascii="宋体" w:hAnsi="宋体" w:cs="宋体"/>
          <w:color w:val="auto"/>
        </w:rPr>
        <w:t>法定代表人证明书</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"_Toc25531" </w:instrText>
      </w:r>
      <w:r>
        <w:rPr>
          <w:color w:val="auto"/>
        </w:rPr>
        <w:fldChar w:fldCharType="separate"/>
      </w:r>
      <w:r>
        <w:rPr>
          <w:rFonts w:hint="eastAsia" w:ascii="宋体" w:hAnsi="宋体" w:cs="宋体"/>
          <w:color w:val="auto"/>
        </w:rPr>
        <w:t>法定代表人授权书</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"_Toc30192" </w:instrText>
      </w:r>
      <w:r>
        <w:rPr>
          <w:color w:val="auto"/>
        </w:rPr>
        <w:fldChar w:fldCharType="separate"/>
      </w:r>
      <w:r>
        <w:rPr>
          <w:rFonts w:hint="eastAsia" w:ascii="宋体" w:hAnsi="宋体" w:cs="宋体"/>
          <w:color w:val="auto"/>
        </w:rPr>
        <w:t>资格申明</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"_Toc31632" </w:instrText>
      </w:r>
      <w:r>
        <w:rPr>
          <w:color w:val="auto"/>
        </w:rPr>
        <w:fldChar w:fldCharType="separate"/>
      </w:r>
      <w:r>
        <w:rPr>
          <w:rFonts w:hint="eastAsia" w:ascii="宋体" w:hAnsi="宋体" w:cs="宋体"/>
          <w:color w:val="auto"/>
        </w:rPr>
        <w:t>营业执照</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"_Toc6435" </w:instrText>
      </w:r>
      <w:r>
        <w:rPr>
          <w:color w:val="auto"/>
        </w:rPr>
        <w:fldChar w:fldCharType="separate"/>
      </w:r>
      <w:r>
        <w:rPr>
          <w:rFonts w:hint="eastAsia" w:ascii="宋体" w:hAnsi="宋体" w:cs="宋体"/>
          <w:color w:val="auto"/>
        </w:rPr>
        <w:t>相关资质证明文件</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"_Toc19329" </w:instrText>
      </w:r>
      <w:r>
        <w:rPr>
          <w:color w:val="auto"/>
        </w:rPr>
        <w:fldChar w:fldCharType="separate"/>
      </w:r>
      <w:r>
        <w:rPr>
          <w:rFonts w:hint="eastAsia" w:ascii="宋体" w:hAnsi="宋体" w:cs="宋体"/>
          <w:color w:val="auto"/>
        </w:rPr>
        <w:t>在经营活动中没有重大违法记录的书面声明</w:t>
      </w:r>
      <w:r>
        <w:rPr>
          <w:rFonts w:hint="eastAsia" w:ascii="宋体" w:hAnsi="宋体" w:cs="宋体"/>
          <w:color w:val="auto"/>
        </w:rPr>
        <w:fldChar w:fldCharType="end"/>
      </w:r>
    </w:p>
    <w:p>
      <w:pPr>
        <w:ind w:firstLine="420"/>
        <w:rPr>
          <w:rFonts w:hint="eastAsia" w:ascii="宋体" w:hAnsi="宋体" w:cs="宋体"/>
          <w:color w:val="auto"/>
          <w:lang w:val="en-US" w:eastAsia="zh-CN"/>
        </w:rPr>
      </w:pPr>
      <w:r>
        <w:rPr>
          <w:rFonts w:hint="eastAsia" w:ascii="宋体" w:hAnsi="宋体" w:cs="宋体"/>
          <w:color w:val="auto"/>
          <w:lang w:val="en-US" w:eastAsia="zh-CN"/>
        </w:rPr>
        <w:t>未被列入“信用中国”记录失信被执行人或重大税收违法失信主体或政府采购严重违法失信行为记录名单的证明资料</w:t>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"_Toc4049" </w:instrText>
      </w:r>
      <w:r>
        <w:rPr>
          <w:color w:val="auto"/>
        </w:rPr>
        <w:fldChar w:fldCharType="separate"/>
      </w:r>
      <w:r>
        <w:rPr>
          <w:rFonts w:hint="eastAsia" w:ascii="宋体" w:hAnsi="宋体" w:cs="宋体"/>
          <w:color w:val="auto"/>
        </w:rPr>
        <w:t>承诺书</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"_Toc31380" </w:instrText>
      </w:r>
      <w:r>
        <w:rPr>
          <w:color w:val="auto"/>
        </w:rPr>
        <w:fldChar w:fldCharType="separate"/>
      </w:r>
      <w:r>
        <w:rPr>
          <w:rFonts w:hint="eastAsia" w:ascii="宋体" w:hAnsi="宋体" w:cs="宋体"/>
          <w:color w:val="auto"/>
        </w:rPr>
        <w:t>商务需求条款偏离表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"_Toc30050" </w:instrText>
      </w:r>
      <w:r>
        <w:rPr>
          <w:color w:val="auto"/>
        </w:rPr>
        <w:fldChar w:fldCharType="separate"/>
      </w:r>
      <w:r>
        <w:rPr>
          <w:rFonts w:hint="eastAsia" w:ascii="宋体" w:hAnsi="宋体" w:cs="宋体"/>
          <w:color w:val="auto"/>
        </w:rPr>
        <w:t>业绩表</w:t>
      </w:r>
      <w:r>
        <w:rPr>
          <w:rFonts w:hint="eastAsia" w:ascii="宋体" w:hAnsi="宋体" w:cs="宋体"/>
          <w:color w:val="auto"/>
        </w:rPr>
        <w:fldChar w:fldCharType="end"/>
      </w:r>
      <w:r>
        <w:rPr>
          <w:rFonts w:hint="eastAsia" w:ascii="宋体" w:hAnsi="宋体" w:cs="宋体"/>
          <w:color w:val="auto"/>
        </w:rPr>
        <w:t>（包括合同复印件、并网证明、验收证明）</w:t>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"_Toc27938" </w:instrText>
      </w:r>
      <w:r>
        <w:rPr>
          <w:color w:val="auto"/>
        </w:rPr>
        <w:fldChar w:fldCharType="separate"/>
      </w:r>
      <w:r>
        <w:rPr>
          <w:rFonts w:hint="eastAsia" w:ascii="宋体" w:hAnsi="宋体" w:cs="宋体"/>
          <w:color w:val="auto"/>
        </w:rPr>
        <w:t>联合体协议书（如有）</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体系认证资料</w:t>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财务资料</w:t>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"_Toc32156" </w:instrText>
      </w:r>
      <w:r>
        <w:rPr>
          <w:color w:val="auto"/>
        </w:rPr>
        <w:fldChar w:fldCharType="separate"/>
      </w:r>
      <w:r>
        <w:rPr>
          <w:rFonts w:hint="eastAsia" w:ascii="宋体" w:hAnsi="宋体" w:cs="宋体"/>
          <w:color w:val="auto"/>
        </w:rPr>
        <w:t>实施本项目的有关人员资料表</w:t>
      </w:r>
      <w:r>
        <w:rPr>
          <w:rFonts w:hint="eastAsia" w:ascii="宋体" w:hAnsi="宋体" w:cs="宋体"/>
          <w:color w:val="auto"/>
        </w:rPr>
        <w:fldChar w:fldCharType="end"/>
      </w:r>
      <w:r>
        <w:rPr>
          <w:rFonts w:hint="eastAsia" w:ascii="宋体" w:hAnsi="宋体" w:cs="宋体"/>
          <w:color w:val="auto"/>
        </w:rPr>
        <w:t>（包括相关人员相关证书资料）</w:t>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有关人员近期的社保缴纳情况</w:t>
      </w:r>
    </w:p>
    <w:p>
      <w:pPr>
        <w:pStyle w:val="14"/>
        <w:tabs>
          <w:tab w:val="right" w:leader="dot" w:pos="8306"/>
          <w:tab w:val="clear" w:pos="8296"/>
        </w:tabs>
        <w:ind w:left="0" w:leftChars="0" w:firstLine="179"/>
        <w:rPr>
          <w:rFonts w:hint="eastAsia" w:ascii="宋体" w:hAnsi="宋体" w:cs="宋体"/>
          <w:b/>
          <w:bCs/>
          <w:color w:val="auto"/>
          <w:sz w:val="24"/>
          <w:szCs w:val="24"/>
        </w:rPr>
      </w:pPr>
      <w:r>
        <w:rPr>
          <w:color w:val="auto"/>
        </w:rPr>
        <w:fldChar w:fldCharType="begin"/>
      </w:r>
      <w:r>
        <w:rPr>
          <w:color w:val="auto"/>
        </w:rPr>
        <w:instrText xml:space="preserve"> HYPERLINK \l "_Toc16663" </w:instrText>
      </w:r>
      <w:r>
        <w:rPr>
          <w:color w:val="auto"/>
        </w:rPr>
        <w:fldChar w:fldCharType="separate"/>
      </w:r>
      <w:r>
        <w:rPr>
          <w:rFonts w:hint="eastAsia" w:ascii="宋体" w:hAnsi="宋体" w:cs="宋体"/>
          <w:b/>
          <w:bCs/>
          <w:color w:val="auto"/>
          <w:sz w:val="24"/>
          <w:szCs w:val="24"/>
        </w:rPr>
        <w:t>技术文件</w:t>
      </w:r>
      <w:r>
        <w:rPr>
          <w:rFonts w:hint="eastAsia" w:ascii="宋体" w:hAnsi="宋体" w:cs="宋体"/>
          <w:b/>
          <w:bCs/>
          <w:color w:val="auto"/>
          <w:sz w:val="24"/>
          <w:szCs w:val="24"/>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技术</w:t>
      </w:r>
      <w:r>
        <w:rPr>
          <w:rFonts w:hint="eastAsia" w:ascii="宋体" w:hAnsi="宋体" w:cs="宋体"/>
          <w:color w:val="auto"/>
        </w:rPr>
        <w:fldChar w:fldCharType="begin"/>
      </w:r>
      <w:r>
        <w:rPr>
          <w:rFonts w:hint="eastAsia" w:ascii="宋体" w:hAnsi="宋体" w:cs="宋体"/>
          <w:color w:val="auto"/>
        </w:rPr>
        <w:instrText xml:space="preserve"> HYPERLINK \l _Toc3044 </w:instrText>
      </w:r>
      <w:r>
        <w:rPr>
          <w:rFonts w:hint="eastAsia" w:ascii="宋体" w:hAnsi="宋体" w:cs="宋体"/>
          <w:color w:val="auto"/>
        </w:rPr>
        <w:fldChar w:fldCharType="separate"/>
      </w:r>
      <w:r>
        <w:rPr>
          <w:rFonts w:hint="eastAsia" w:ascii="宋体" w:hAnsi="宋体" w:cs="宋体"/>
          <w:color w:val="auto"/>
        </w:rPr>
        <w:t>评分标准索引表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"_Toc30859" </w:instrText>
      </w:r>
      <w:r>
        <w:rPr>
          <w:color w:val="auto"/>
        </w:rPr>
        <w:fldChar w:fldCharType="separate"/>
      </w:r>
      <w:r>
        <w:rPr>
          <w:rFonts w:hint="eastAsia" w:ascii="宋体" w:hAnsi="宋体" w:cs="宋体"/>
          <w:color w:val="auto"/>
        </w:rPr>
        <w:t>技术规格偏离表</w:t>
      </w:r>
      <w:r>
        <w:rPr>
          <w:rFonts w:hint="eastAsia" w:ascii="宋体" w:hAnsi="宋体" w:cs="宋体"/>
          <w:color w:val="auto"/>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color w:val="auto"/>
        </w:rPr>
        <w:fldChar w:fldCharType="begin"/>
      </w:r>
      <w:r>
        <w:rPr>
          <w:color w:val="auto"/>
        </w:rPr>
        <w:instrText xml:space="preserve"> HYPERLINK \l "_Toc18790" </w:instrText>
      </w:r>
      <w:r>
        <w:rPr>
          <w:color w:val="auto"/>
        </w:rPr>
        <w:fldChar w:fldCharType="separate"/>
      </w:r>
      <w:r>
        <w:rPr>
          <w:rFonts w:hint="eastAsia" w:ascii="宋体" w:hAnsi="宋体" w:cs="宋体"/>
          <w:color w:val="auto"/>
        </w:rPr>
        <w:t>项目实施方案</w:t>
      </w:r>
      <w:r>
        <w:rPr>
          <w:rFonts w:hint="eastAsia" w:ascii="宋体" w:hAnsi="宋体" w:cs="宋体"/>
          <w:color w:val="auto"/>
        </w:rPr>
        <w:fldChar w:fldCharType="end"/>
      </w:r>
      <w:r>
        <w:rPr>
          <w:rFonts w:hint="eastAsia" w:ascii="宋体" w:hAnsi="宋体" w:cs="宋体"/>
          <w:color w:val="auto"/>
        </w:rPr>
        <w:t>（包括项目实施方案、质量保证措施方案、售后服务方案、所投产品性能资料等）</w:t>
      </w:r>
    </w:p>
    <w:p>
      <w:pPr>
        <w:pStyle w:val="14"/>
        <w:tabs>
          <w:tab w:val="right" w:leader="dot" w:pos="8306"/>
          <w:tab w:val="clear" w:pos="8296"/>
        </w:tabs>
        <w:ind w:left="0" w:leftChars="0" w:firstLine="210" w:firstLineChars="100"/>
        <w:rPr>
          <w:rFonts w:hint="eastAsia" w:ascii="宋体" w:hAnsi="宋体" w:cs="宋体"/>
          <w:b/>
          <w:bCs/>
          <w:color w:val="auto"/>
          <w:sz w:val="24"/>
          <w:szCs w:val="24"/>
        </w:rPr>
      </w:pPr>
      <w:r>
        <w:rPr>
          <w:color w:val="auto"/>
        </w:rPr>
        <w:fldChar w:fldCharType="begin"/>
      </w:r>
      <w:r>
        <w:rPr>
          <w:color w:val="auto"/>
        </w:rPr>
        <w:instrText xml:space="preserve"> HYPERLINK \l "_Toc13443" </w:instrText>
      </w:r>
      <w:r>
        <w:rPr>
          <w:color w:val="auto"/>
        </w:rPr>
        <w:fldChar w:fldCharType="separate"/>
      </w:r>
      <w:r>
        <w:rPr>
          <w:rFonts w:hint="eastAsia" w:ascii="宋体" w:hAnsi="宋体" w:cs="宋体"/>
          <w:b/>
          <w:bCs/>
          <w:color w:val="auto"/>
          <w:sz w:val="24"/>
          <w:szCs w:val="24"/>
        </w:rPr>
        <w:t>唱标信封</w:t>
      </w:r>
      <w:r>
        <w:rPr>
          <w:rFonts w:hint="eastAsia" w:ascii="宋体" w:hAnsi="宋体" w:cs="宋体"/>
          <w:b/>
          <w:bCs/>
          <w:color w:val="auto"/>
          <w:sz w:val="24"/>
          <w:szCs w:val="24"/>
        </w:rPr>
        <w:fldChar w:fldCharType="end"/>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开标一览表</w:t>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法定代表人证明书</w:t>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法定代表人授权委托书加盖公章</w:t>
      </w:r>
    </w:p>
    <w:p>
      <w:pPr>
        <w:pStyle w:val="14"/>
        <w:tabs>
          <w:tab w:val="right" w:leader="dot" w:pos="8306"/>
          <w:tab w:val="clear" w:pos="8296"/>
        </w:tabs>
        <w:ind w:left="0" w:leftChars="0" w:firstLine="420" w:firstLineChars="200"/>
        <w:rPr>
          <w:rFonts w:hint="eastAsia" w:ascii="宋体" w:hAnsi="宋体" w:cs="宋体"/>
          <w:color w:val="auto"/>
        </w:rPr>
      </w:pPr>
      <w:r>
        <w:rPr>
          <w:rFonts w:hint="eastAsia" w:ascii="宋体" w:hAnsi="宋体" w:cs="宋体"/>
          <w:color w:val="auto"/>
        </w:rPr>
        <w:t>投标保证金汇入情况说明（含银行汇款凭证）</w:t>
      </w:r>
    </w:p>
    <w:p>
      <w:pPr>
        <w:pStyle w:val="14"/>
        <w:tabs>
          <w:tab w:val="right" w:leader="dot" w:pos="8306"/>
          <w:tab w:val="clear" w:pos="8296"/>
        </w:tabs>
        <w:ind w:left="0" w:leftChars="0" w:firstLine="420" w:firstLineChars="200"/>
        <w:rPr>
          <w:rFonts w:ascii="宋体" w:hAnsi="宋体"/>
          <w:color w:val="auto"/>
          <w:szCs w:val="21"/>
          <w:highlight w:val="none"/>
        </w:rPr>
      </w:pPr>
      <w:r>
        <w:rPr>
          <w:rFonts w:hint="eastAsia" w:ascii="宋体" w:hAnsi="宋体" w:cs="宋体"/>
          <w:color w:val="auto"/>
        </w:rPr>
        <w:t>投标文件</w:t>
      </w:r>
      <w:r>
        <w:rPr>
          <w:rFonts w:hint="eastAsia" w:ascii="宋体" w:hAnsi="宋体" w:eastAsia="宋体" w:cs="宋体"/>
          <w:color w:val="auto"/>
        </w:rPr>
        <w:t>电子</w:t>
      </w:r>
      <w:r>
        <w:rPr>
          <w:rFonts w:hint="eastAsia" w:ascii="宋体" w:hAnsi="宋体" w:cs="宋体"/>
          <w:color w:val="auto"/>
        </w:rPr>
        <w:t>文件（U盘）</w:t>
      </w: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99" w:name="_Toc4543"/>
      <w:r>
        <w:rPr>
          <w:rFonts w:hint="eastAsia" w:ascii="宋体" w:hAnsi="宋体"/>
          <w:color w:val="auto"/>
          <w:sz w:val="21"/>
          <w:szCs w:val="21"/>
          <w:highlight w:val="none"/>
        </w:rPr>
        <w:t>附件1.评分标准索引表</w:t>
      </w:r>
      <w:bookmarkEnd w:id="99"/>
    </w:p>
    <w:p>
      <w:pPr>
        <w:shd w:val="clear"/>
        <w:adjustRightInd/>
        <w:snapToGrid/>
        <w:spacing w:line="276" w:lineRule="auto"/>
        <w:rPr>
          <w:rFonts w:ascii="宋体" w:hAnsi="宋体"/>
          <w:color w:val="auto"/>
          <w:szCs w:val="21"/>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704" w:type="dxa"/>
            <w:vAlign w:val="center"/>
          </w:tcPr>
          <w:p>
            <w:pPr>
              <w:shd w:val="clea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shd w:val="clea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shd w:val="clear"/>
              <w:jc w:val="center"/>
              <w:rPr>
                <w:rFonts w:ascii="宋体" w:hAnsi="宋体" w:cs="宋体"/>
                <w:color w:val="auto"/>
                <w:highlight w:val="none"/>
              </w:rPr>
            </w:pPr>
            <w:r>
              <w:rPr>
                <w:rFonts w:hint="eastAsia" w:ascii="宋体" w:hAnsi="宋体" w:cs="宋体"/>
                <w:color w:val="auto"/>
                <w:highlight w:val="none"/>
              </w:rPr>
              <w:t>评审细则</w:t>
            </w:r>
          </w:p>
        </w:tc>
        <w:tc>
          <w:tcPr>
            <w:tcW w:w="1705" w:type="dxa"/>
            <w:vAlign w:val="center"/>
          </w:tcPr>
          <w:p>
            <w:pPr>
              <w:shd w:val="clea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shd w:val="clea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vAlign w:val="center"/>
          </w:tcPr>
          <w:p>
            <w:pPr>
              <w:shd w:val="clea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8522" w:type="dxa"/>
            <w:gridSpan w:val="5"/>
            <w:vAlign w:val="center"/>
          </w:tcPr>
          <w:p>
            <w:pPr>
              <w:shd w:val="clea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4"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c>
          <w:tcPr>
            <w:tcW w:w="1705" w:type="dxa"/>
            <w:vAlign w:val="center"/>
          </w:tcPr>
          <w:p>
            <w:pPr>
              <w:shd w:val="clear"/>
              <w:jc w:val="center"/>
              <w:rPr>
                <w:rFonts w:ascii="宋体" w:hAnsi="宋体" w:cs="宋体"/>
                <w:color w:val="auto"/>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注：</w:t>
      </w:r>
    </w:p>
    <w:p>
      <w:pPr>
        <w:numPr>
          <w:ilvl w:val="0"/>
          <w:numId w:val="11"/>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1"/>
        <w:shd w:val="clear"/>
        <w:spacing w:before="0"/>
        <w:ind w:left="0"/>
        <w:rPr>
          <w:color w:val="auto"/>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shd w:val="clear"/>
        <w:jc w:val="center"/>
        <w:rPr>
          <w:rFonts w:ascii="黑体" w:eastAsia="黑体"/>
          <w:color w:val="auto"/>
          <w:sz w:val="52"/>
          <w:szCs w:val="52"/>
          <w:highlight w:val="none"/>
        </w:rPr>
      </w:pPr>
      <w:bookmarkStart w:id="100" w:name="_Toc30918"/>
      <w:bookmarkStart w:id="101" w:name="_Toc18450"/>
      <w:bookmarkStart w:id="102" w:name="_Toc28154"/>
      <w:bookmarkStart w:id="103" w:name="_Toc20335"/>
      <w:bookmarkStart w:id="104" w:name="_Toc21746"/>
    </w:p>
    <w:p>
      <w:pPr>
        <w:pStyle w:val="4"/>
        <w:shd w:val="clear"/>
        <w:spacing w:before="0" w:after="0" w:line="360" w:lineRule="auto"/>
        <w:jc w:val="center"/>
        <w:rPr>
          <w:color w:val="auto"/>
          <w:sz w:val="72"/>
          <w:szCs w:val="72"/>
          <w:highlight w:val="none"/>
        </w:rPr>
      </w:pPr>
      <w:bookmarkStart w:id="105" w:name="_Toc32759"/>
      <w:r>
        <w:rPr>
          <w:rFonts w:hint="eastAsia"/>
          <w:color w:val="auto"/>
          <w:sz w:val="72"/>
          <w:szCs w:val="72"/>
          <w:highlight w:val="none"/>
        </w:rPr>
        <w:t>价格文件</w:t>
      </w:r>
      <w:bookmarkEnd w:id="100"/>
      <w:bookmarkEnd w:id="101"/>
      <w:bookmarkEnd w:id="105"/>
      <w:bookmarkStart w:id="106" w:name="_Hlt10456397"/>
      <w:bookmarkEnd w:id="106"/>
      <w:bookmarkStart w:id="107" w:name="_Hlt10519799"/>
      <w:bookmarkEnd w:id="107"/>
    </w:p>
    <w:p>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102"/>
      <w:bookmarkEnd w:id="103"/>
      <w:bookmarkEnd w:id="104"/>
    </w:p>
    <w:p>
      <w:pPr>
        <w:shd w:val="clear"/>
        <w:rPr>
          <w:color w:val="auto"/>
          <w:highlight w:val="none"/>
        </w:rPr>
      </w:pPr>
    </w:p>
    <w:p>
      <w:pPr>
        <w:pStyle w:val="11"/>
        <w:shd w:val="clear"/>
        <w:rPr>
          <w:color w:val="auto"/>
          <w:highlight w:val="none"/>
        </w:rPr>
      </w:pPr>
    </w:p>
    <w:p>
      <w:pPr>
        <w:shd w:val="clear"/>
        <w:ind w:firstLine="240"/>
        <w:rPr>
          <w:color w:val="auto"/>
          <w:highlight w:val="none"/>
        </w:rPr>
      </w:pPr>
    </w:p>
    <w:p>
      <w:pPr>
        <w:shd w:val="clear"/>
        <w:rPr>
          <w:rFonts w:hint="eastAsia" w:ascii="宋体" w:hAnsi="宋体" w:cs="宋体"/>
          <w:b/>
          <w:bCs/>
          <w:color w:val="auto"/>
          <w:spacing w:val="106"/>
          <w:kern w:val="0"/>
          <w:sz w:val="32"/>
          <w:szCs w:val="32"/>
          <w:highlight w:val="none"/>
          <w:fitText w:val="1600" w:id="0"/>
        </w:rPr>
      </w:pPr>
      <w:r>
        <w:rPr>
          <w:rFonts w:hint="eastAsia" w:ascii="宋体" w:hAnsi="宋体" w:cs="宋体"/>
          <w:b/>
          <w:bCs/>
          <w:color w:val="auto"/>
          <w:spacing w:val="0"/>
          <w:kern w:val="0"/>
          <w:sz w:val="32"/>
          <w:szCs w:val="32"/>
          <w:highlight w:val="none"/>
          <w:fitText w:val="1600" w:id="0"/>
        </w:rPr>
        <w:t>项目名称：</w:t>
      </w:r>
    </w:p>
    <w:p>
      <w:pPr>
        <w:shd w:val="clear"/>
        <w:rPr>
          <w:rFonts w:hint="eastAsia" w:ascii="宋体" w:hAnsi="宋体" w:cs="宋体"/>
          <w:b/>
          <w:bCs/>
          <w:color w:val="auto"/>
          <w:spacing w:val="106"/>
          <w:kern w:val="0"/>
          <w:sz w:val="32"/>
          <w:szCs w:val="32"/>
          <w:highlight w:val="none"/>
          <w:fitText w:val="1600" w:id="1"/>
        </w:rPr>
      </w:pPr>
      <w:r>
        <w:rPr>
          <w:rFonts w:hint="eastAsia" w:ascii="宋体" w:hAnsi="宋体" w:cs="宋体"/>
          <w:b/>
          <w:bCs/>
          <w:color w:val="auto"/>
          <w:spacing w:val="0"/>
          <w:kern w:val="0"/>
          <w:sz w:val="32"/>
          <w:szCs w:val="32"/>
          <w:highlight w:val="none"/>
          <w:fitText w:val="1600" w:id="1"/>
        </w:rPr>
        <w:t>项目编号：</w:t>
      </w:r>
    </w:p>
    <w:p>
      <w:pPr>
        <w:shd w:val="clear"/>
        <w:rPr>
          <w:rFonts w:hint="eastAsia" w:ascii="宋体" w:hAnsi="宋体" w:cs="宋体"/>
          <w:b/>
          <w:bCs/>
          <w:color w:val="auto"/>
          <w:spacing w:val="106"/>
          <w:kern w:val="0"/>
          <w:sz w:val="32"/>
          <w:szCs w:val="32"/>
          <w:highlight w:val="none"/>
          <w:fitText w:val="1600" w:id="2"/>
        </w:rPr>
      </w:pPr>
      <w:r>
        <w:rPr>
          <w:rFonts w:hint="eastAsia" w:ascii="宋体" w:hAnsi="宋体" w:cs="宋体"/>
          <w:b/>
          <w:bCs/>
          <w:color w:val="auto"/>
          <w:spacing w:val="1"/>
          <w:w w:val="62"/>
          <w:kern w:val="0"/>
          <w:sz w:val="32"/>
          <w:szCs w:val="32"/>
          <w:highlight w:val="none"/>
          <w:fitText w:val="1600" w:id="2"/>
        </w:rPr>
        <w:t>包组号（如有）</w:t>
      </w:r>
      <w:r>
        <w:rPr>
          <w:rFonts w:hint="eastAsia" w:ascii="宋体" w:hAnsi="宋体" w:cs="宋体"/>
          <w:b/>
          <w:bCs/>
          <w:color w:val="auto"/>
          <w:spacing w:val="4"/>
          <w:w w:val="62"/>
          <w:kern w:val="0"/>
          <w:sz w:val="32"/>
          <w:szCs w:val="32"/>
          <w:highlight w:val="none"/>
          <w:fitText w:val="1600" w:id="2"/>
        </w:rPr>
        <w:t>：</w:t>
      </w:r>
    </w:p>
    <w:p>
      <w:pPr>
        <w:shd w:val="clear"/>
        <w:rPr>
          <w:rFonts w:hint="eastAsia" w:ascii="宋体" w:hAnsi="宋体" w:cs="宋体"/>
          <w:b/>
          <w:bCs/>
          <w:color w:val="auto"/>
          <w:spacing w:val="106"/>
          <w:kern w:val="0"/>
          <w:sz w:val="32"/>
          <w:szCs w:val="32"/>
          <w:highlight w:val="none"/>
          <w:fitText w:val="1600" w:id="3"/>
        </w:rPr>
      </w:pPr>
      <w:r>
        <w:rPr>
          <w:rFonts w:hint="eastAsia" w:ascii="宋体" w:hAnsi="宋体" w:cs="宋体"/>
          <w:b/>
          <w:bCs/>
          <w:color w:val="auto"/>
          <w:spacing w:val="0"/>
          <w:w w:val="83"/>
          <w:kern w:val="0"/>
          <w:sz w:val="32"/>
          <w:szCs w:val="32"/>
          <w:highlight w:val="none"/>
          <w:fitText w:val="1600" w:id="3"/>
        </w:rPr>
        <w:t>投标人名称：</w:t>
      </w:r>
    </w:p>
    <w:p>
      <w:pPr>
        <w:shd w:val="clear"/>
        <w:rPr>
          <w:rFonts w:hint="eastAsia" w:ascii="宋体" w:hAnsi="宋体" w:cs="宋体"/>
          <w:b/>
          <w:bCs/>
          <w:color w:val="auto"/>
          <w:spacing w:val="106"/>
          <w:kern w:val="0"/>
          <w:sz w:val="32"/>
          <w:szCs w:val="32"/>
          <w:highlight w:val="none"/>
          <w:fitText w:val="1600" w:id="4"/>
        </w:rPr>
      </w:pPr>
      <w:r>
        <w:rPr>
          <w:rFonts w:hint="eastAsia" w:ascii="宋体" w:hAnsi="宋体" w:cs="宋体"/>
          <w:b/>
          <w:bCs/>
          <w:color w:val="auto"/>
          <w:spacing w:val="0"/>
          <w:kern w:val="0"/>
          <w:sz w:val="32"/>
          <w:szCs w:val="32"/>
          <w:highlight w:val="none"/>
          <w:fitText w:val="1600" w:id="4"/>
        </w:rPr>
        <w:t>日    期：</w:t>
      </w:r>
    </w:p>
    <w:p>
      <w:pPr>
        <w:shd w:val="clear"/>
        <w:rPr>
          <w:color w:val="auto"/>
          <w:highlight w:val="none"/>
        </w:rPr>
      </w:pPr>
    </w:p>
    <w:p>
      <w:pPr>
        <w:pStyle w:val="11"/>
        <w:shd w:val="clear"/>
        <w:rPr>
          <w:color w:val="auto"/>
          <w:highlight w:val="none"/>
        </w:rPr>
      </w:pPr>
    </w:p>
    <w:p>
      <w:pPr>
        <w:shd w:val="clear"/>
        <w:ind w:firstLine="240"/>
        <w:rPr>
          <w:color w:val="auto"/>
          <w:highlight w:val="none"/>
        </w:rPr>
      </w:pPr>
    </w:p>
    <w:p>
      <w:pPr>
        <w:pStyle w:val="23"/>
        <w:shd w:val="clear"/>
        <w:rPr>
          <w:color w:val="auto"/>
          <w:highlight w:val="none"/>
        </w:rPr>
      </w:pPr>
    </w:p>
    <w:p>
      <w:pPr>
        <w:shd w:val="clear"/>
        <w:rPr>
          <w:color w:val="auto"/>
          <w:highlight w:val="none"/>
        </w:rPr>
      </w:pPr>
    </w:p>
    <w:p>
      <w:pPr>
        <w:pStyle w:val="11"/>
        <w:shd w:val="clear"/>
        <w:rPr>
          <w:color w:val="auto"/>
          <w:highlight w:val="none"/>
        </w:rPr>
      </w:pPr>
    </w:p>
    <w:p>
      <w:pPr>
        <w:shd w:val="clear"/>
        <w:ind w:firstLine="240"/>
        <w:rPr>
          <w:color w:val="auto"/>
          <w:highlight w:val="none"/>
        </w:rPr>
      </w:pPr>
    </w:p>
    <w:p>
      <w:pPr>
        <w:pStyle w:val="23"/>
        <w:shd w:val="clear"/>
        <w:rPr>
          <w:color w:val="auto"/>
          <w:highlight w:val="none"/>
        </w:rPr>
      </w:pPr>
    </w:p>
    <w:p>
      <w:pPr>
        <w:pStyle w:val="23"/>
        <w:shd w:val="clear"/>
        <w:ind w:left="0"/>
        <w:rPr>
          <w:color w:val="auto"/>
          <w:highlight w:val="none"/>
        </w:rPr>
      </w:pPr>
    </w:p>
    <w:p>
      <w:pPr>
        <w:shd w:val="clear"/>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08" w:name="_Toc25620"/>
      <w:r>
        <w:rPr>
          <w:rFonts w:hint="eastAsia" w:ascii="宋体" w:hAnsi="宋体"/>
          <w:color w:val="auto"/>
          <w:sz w:val="21"/>
          <w:szCs w:val="21"/>
          <w:highlight w:val="none"/>
        </w:rPr>
        <w:t>附件2.开标一览表格式</w:t>
      </w:r>
      <w:bookmarkEnd w:id="108"/>
    </w:p>
    <w:p>
      <w:pPr>
        <w:jc w:val="center"/>
        <w:rPr>
          <w:rFonts w:hint="eastAsia"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pPr>
        <w:rPr>
          <w:rFonts w:ascii="宋体" w:hAnsi="宋体"/>
          <w:color w:val="auto"/>
          <w:szCs w:val="21"/>
          <w:highlight w:val="none"/>
        </w:rPr>
      </w:pPr>
      <w:r>
        <w:rPr>
          <w:rFonts w:hint="eastAsia" w:ascii="宋体" w:hAnsi="宋体"/>
          <w:color w:val="auto"/>
          <w:szCs w:val="21"/>
          <w:highlight w:val="none"/>
          <w:lang w:val="en-US" w:eastAsia="zh-CN"/>
        </w:rPr>
        <w:t>项目</w:t>
      </w:r>
      <w:r>
        <w:rPr>
          <w:rFonts w:hint="eastAsia" w:ascii="宋体" w:hAnsi="宋体"/>
          <w:color w:val="auto"/>
          <w:szCs w:val="21"/>
          <w:highlight w:val="none"/>
        </w:rPr>
        <w:t>名称：</w:t>
      </w:r>
    </w:p>
    <w:p>
      <w:pPr>
        <w:rPr>
          <w:color w:val="auto"/>
          <w:highlight w:val="none"/>
        </w:rPr>
      </w:pPr>
      <w:r>
        <w:rPr>
          <w:rFonts w:hint="eastAsia" w:ascii="宋体" w:hAnsi="宋体"/>
          <w:color w:val="auto"/>
          <w:szCs w:val="21"/>
          <w:highlight w:val="none"/>
        </w:rPr>
        <w:t>采购项目编号：</w:t>
      </w:r>
    </w:p>
    <w:tbl>
      <w:tblPr>
        <w:tblStyle w:val="3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2327"/>
        <w:gridCol w:w="1679"/>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2013" w:type="dxa"/>
            <w:vAlign w:val="center"/>
          </w:tcPr>
          <w:p>
            <w:pPr>
              <w:spacing w:line="240" w:lineRule="auto"/>
              <w:jc w:val="center"/>
              <w:rPr>
                <w:rFonts w:hint="eastAsia" w:ascii="宋体" w:hAnsi="宋体" w:cs="宋体"/>
                <w:color w:val="auto"/>
                <w:kern w:val="28"/>
                <w:szCs w:val="21"/>
                <w:highlight w:val="none"/>
              </w:rPr>
            </w:pPr>
            <w:r>
              <w:rPr>
                <w:rFonts w:hint="eastAsia" w:ascii="宋体" w:hAnsi="宋体"/>
                <w:color w:val="auto"/>
                <w:szCs w:val="21"/>
                <w:highlight w:val="none"/>
              </w:rPr>
              <w:t>项目名称</w:t>
            </w:r>
          </w:p>
        </w:tc>
        <w:tc>
          <w:tcPr>
            <w:tcW w:w="2327" w:type="dxa"/>
            <w:vAlign w:val="center"/>
          </w:tcPr>
          <w:p>
            <w:pPr>
              <w:spacing w:line="240" w:lineRule="auto"/>
              <w:jc w:val="center"/>
              <w:rPr>
                <w:rFonts w:hint="eastAsia" w:ascii="宋体" w:hAnsi="宋体" w:cs="宋体"/>
                <w:color w:val="auto"/>
                <w:kern w:val="28"/>
                <w:szCs w:val="21"/>
                <w:highlight w:val="none"/>
              </w:rPr>
            </w:pPr>
            <w:r>
              <w:rPr>
                <w:rFonts w:hint="eastAsia" w:ascii="宋体" w:hAnsi="宋体" w:cs="宋体"/>
                <w:color w:val="auto"/>
                <w:kern w:val="28"/>
                <w:szCs w:val="21"/>
                <w:highlight w:val="none"/>
              </w:rPr>
              <w:t>投标下浮率（%）</w:t>
            </w:r>
          </w:p>
        </w:tc>
        <w:tc>
          <w:tcPr>
            <w:tcW w:w="1679" w:type="dxa"/>
            <w:vAlign w:val="center"/>
          </w:tcPr>
          <w:p>
            <w:pPr>
              <w:spacing w:line="240" w:lineRule="auto"/>
              <w:jc w:val="center"/>
              <w:rPr>
                <w:rFonts w:hint="eastAsia" w:ascii="宋体" w:hAnsi="宋体" w:cs="宋体"/>
                <w:color w:val="auto"/>
                <w:kern w:val="28"/>
                <w:szCs w:val="21"/>
                <w:highlight w:val="none"/>
              </w:rPr>
            </w:pPr>
            <w:r>
              <w:rPr>
                <w:rFonts w:hint="eastAsia" w:ascii="宋体" w:hAnsi="宋体" w:cs="宋体"/>
                <w:color w:val="auto"/>
                <w:kern w:val="28"/>
                <w:szCs w:val="21"/>
                <w:highlight w:val="none"/>
              </w:rPr>
              <w:t>增值税税率</w:t>
            </w:r>
          </w:p>
        </w:tc>
        <w:tc>
          <w:tcPr>
            <w:tcW w:w="2500" w:type="dxa"/>
            <w:vAlign w:val="center"/>
          </w:tcPr>
          <w:p>
            <w:pPr>
              <w:spacing w:line="240" w:lineRule="auto"/>
              <w:jc w:val="center"/>
              <w:rPr>
                <w:rFonts w:hint="eastAsia" w:ascii="宋体" w:hAnsi="宋体" w:cs="宋体"/>
                <w:color w:val="auto"/>
                <w:kern w:val="28"/>
                <w:szCs w:val="21"/>
                <w:highlight w:val="none"/>
              </w:rPr>
            </w:pPr>
            <w:r>
              <w:rPr>
                <w:rFonts w:hint="eastAsia" w:ascii="宋体" w:hAnsi="宋体" w:cs="宋体"/>
                <w:color w:val="auto"/>
                <w:kern w:val="28"/>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2013" w:type="dxa"/>
            <w:vAlign w:val="center"/>
          </w:tcPr>
          <w:p>
            <w:pPr>
              <w:spacing w:line="240" w:lineRule="auto"/>
              <w:jc w:val="center"/>
              <w:rPr>
                <w:rFonts w:hint="eastAsia" w:ascii="宋体" w:hAnsi="宋体" w:cs="宋体"/>
                <w:color w:val="auto"/>
                <w:szCs w:val="21"/>
                <w:highlight w:val="none"/>
              </w:rPr>
            </w:pPr>
          </w:p>
        </w:tc>
        <w:tc>
          <w:tcPr>
            <w:tcW w:w="2327" w:type="dxa"/>
            <w:vAlign w:val="center"/>
          </w:tcPr>
          <w:p>
            <w:pPr>
              <w:spacing w:line="240" w:lineRule="auto"/>
              <w:jc w:val="both"/>
              <w:rPr>
                <w:rFonts w:hint="eastAsia" w:ascii="宋体" w:hAnsi="宋体" w:cs="宋体"/>
                <w:color w:val="auto"/>
                <w:szCs w:val="21"/>
                <w:highlight w:val="none"/>
              </w:rPr>
            </w:pPr>
            <w:r>
              <w:rPr>
                <w:rFonts w:hint="eastAsia" w:ascii="宋体" w:hAnsi="宋体" w:cs="宋体"/>
                <w:color w:val="auto"/>
                <w:szCs w:val="21"/>
                <w:highlight w:val="none"/>
              </w:rPr>
              <w:t>小写：</w:t>
            </w:r>
          </w:p>
          <w:p>
            <w:pPr>
              <w:spacing w:line="240" w:lineRule="auto"/>
              <w:jc w:val="both"/>
              <w:rPr>
                <w:rFonts w:hint="eastAsia" w:ascii="宋体" w:hAnsi="宋体" w:cs="宋体"/>
                <w:color w:val="auto"/>
                <w:szCs w:val="21"/>
                <w:highlight w:val="none"/>
              </w:rPr>
            </w:pPr>
            <w:r>
              <w:rPr>
                <w:rFonts w:hint="eastAsia" w:ascii="宋体" w:hAnsi="宋体" w:cs="宋体"/>
                <w:color w:val="auto"/>
                <w:szCs w:val="21"/>
                <w:highlight w:val="none"/>
              </w:rPr>
              <w:t>大写：</w:t>
            </w:r>
          </w:p>
        </w:tc>
        <w:tc>
          <w:tcPr>
            <w:tcW w:w="1679" w:type="dxa"/>
          </w:tcPr>
          <w:p>
            <w:pPr>
              <w:pStyle w:val="64"/>
              <w:jc w:val="center"/>
              <w:rPr>
                <w:rFonts w:hint="eastAsia" w:hAnsi="宋体"/>
                <w:color w:val="auto"/>
                <w:sz w:val="21"/>
                <w:szCs w:val="21"/>
                <w:highlight w:val="none"/>
              </w:rPr>
            </w:pPr>
          </w:p>
        </w:tc>
        <w:tc>
          <w:tcPr>
            <w:tcW w:w="2500" w:type="dxa"/>
            <w:vAlign w:val="center"/>
          </w:tcPr>
          <w:p>
            <w:pPr>
              <w:pStyle w:val="64"/>
              <w:jc w:val="center"/>
              <w:rPr>
                <w:rFonts w:hint="eastAsia" w:hAnsi="宋体"/>
                <w:color w:val="auto"/>
                <w:sz w:val="21"/>
                <w:szCs w:val="21"/>
                <w:highlight w:val="none"/>
              </w:rPr>
            </w:pPr>
          </w:p>
        </w:tc>
      </w:tr>
    </w:tbl>
    <w:p>
      <w:pPr>
        <w:ind w:firstLine="359" w:firstLineChars="171"/>
        <w:rPr>
          <w:rFonts w:ascii="宋体" w:hAnsi="宋体"/>
          <w:color w:val="auto"/>
          <w:szCs w:val="21"/>
          <w:highlight w:val="none"/>
        </w:rPr>
      </w:pPr>
    </w:p>
    <w:p>
      <w:pPr>
        <w:pStyle w:val="11"/>
        <w:rPr>
          <w:rFonts w:ascii="宋体" w:hAnsi="宋体"/>
          <w:color w:val="auto"/>
          <w:szCs w:val="21"/>
          <w:highlight w:val="none"/>
        </w:rPr>
      </w:pPr>
    </w:p>
    <w:p>
      <w:pPr>
        <w:pStyle w:val="1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lang w:eastAsia="zh-CN"/>
        </w:rPr>
        <w:t>（</w:t>
      </w:r>
      <w:r>
        <w:rPr>
          <w:rFonts w:hint="eastAsia" w:ascii="宋体" w:hAnsi="宋体"/>
          <w:color w:val="auto"/>
          <w:szCs w:val="21"/>
          <w:highlight w:val="none"/>
        </w:rPr>
        <w:t>盖章</w:t>
      </w:r>
      <w:r>
        <w:rPr>
          <w:rFonts w:hint="eastAsia" w:ascii="宋体" w:hAnsi="宋体"/>
          <w:color w:val="auto"/>
          <w:szCs w:val="21"/>
          <w:highlight w:val="none"/>
          <w:lang w:eastAsia="zh-CN"/>
        </w:rPr>
        <w:t>）</w:t>
      </w:r>
      <w:r>
        <w:rPr>
          <w:rFonts w:hint="eastAsia" w:ascii="宋体" w:hAnsi="宋体"/>
          <w:color w:val="auto"/>
          <w:szCs w:val="21"/>
          <w:highlight w:val="none"/>
        </w:rPr>
        <w:t>：</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pStyle w:val="1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numPr>
          <w:ilvl w:val="0"/>
          <w:numId w:val="0"/>
        </w:numPr>
        <w:ind w:firstLine="420" w:firstLineChars="200"/>
        <w:rPr>
          <w:rFonts w:hint="eastAsia" w:ascii="宋体" w:hAnsi="宋体"/>
          <w:color w:val="auto"/>
          <w:szCs w:val="21"/>
          <w:highlight w:val="none"/>
        </w:rPr>
      </w:pPr>
      <w:r>
        <w:rPr>
          <w:rFonts w:hint="eastAsia" w:ascii="宋体" w:hAnsi="宋体" w:eastAsiaTheme="minorEastAsia" w:cstheme="minorBidi"/>
          <w:color w:val="auto"/>
          <w:kern w:val="2"/>
          <w:sz w:val="21"/>
          <w:szCs w:val="21"/>
          <w:highlight w:val="none"/>
          <w:lang w:val="en-US" w:eastAsia="zh-CN" w:bidi="ar-SA"/>
        </w:rPr>
        <w:t>1、</w:t>
      </w:r>
      <w:r>
        <w:rPr>
          <w:rFonts w:hint="eastAsia" w:ascii="宋体" w:hAnsi="宋体"/>
          <w:color w:val="auto"/>
          <w:szCs w:val="21"/>
          <w:highlight w:val="none"/>
        </w:rPr>
        <w:t>投标下浮率栏须用大写金额和小写金额两种方式表示的下浮率，报价保留小数点后两位。投标下浮率大小写不一致，以大写为准。</w:t>
      </w:r>
    </w:p>
    <w:p>
      <w:pPr>
        <w:numPr>
          <w:ilvl w:val="0"/>
          <w:numId w:val="0"/>
        </w:numPr>
        <w:ind w:firstLine="420" w:firstLineChars="200"/>
        <w:rPr>
          <w:rFonts w:hint="eastAsia" w:ascii="宋体" w:hAnsi="宋体"/>
          <w:color w:val="auto"/>
          <w:szCs w:val="21"/>
          <w:highlight w:val="none"/>
        </w:rPr>
      </w:pPr>
      <w:r>
        <w:rPr>
          <w:rFonts w:hint="eastAsia" w:ascii="宋体" w:hAnsi="宋体" w:eastAsiaTheme="minorEastAsia" w:cstheme="minorBidi"/>
          <w:color w:val="auto"/>
          <w:kern w:val="2"/>
          <w:sz w:val="21"/>
          <w:szCs w:val="21"/>
          <w:highlight w:val="none"/>
          <w:lang w:val="en-US" w:eastAsia="zh-CN" w:bidi="ar-SA"/>
        </w:rPr>
        <w:t>2、</w:t>
      </w:r>
      <w:r>
        <w:rPr>
          <w:rFonts w:hint="eastAsia" w:ascii="宋体" w:hAnsi="宋体" w:cstheme="minorBidi"/>
          <w:color w:val="auto"/>
          <w:kern w:val="2"/>
          <w:sz w:val="21"/>
          <w:szCs w:val="21"/>
          <w:highlight w:val="none"/>
          <w:lang w:val="en-US" w:eastAsia="zh-CN" w:bidi="ar-SA"/>
        </w:rPr>
        <w:t>限价表中的单价根据投标下浮率进行下浮后保留三位小数（去尾法），总价以单价计算汇总金额结果为准，总价保留两位小数（四舍五入）</w:t>
      </w:r>
      <w:r>
        <w:rPr>
          <w:rFonts w:hint="eastAsia" w:ascii="宋体" w:hAnsi="宋体"/>
          <w:color w:val="auto"/>
          <w:szCs w:val="21"/>
          <w:highlight w:val="none"/>
        </w:rPr>
        <w:t>。</w:t>
      </w:r>
    </w:p>
    <w:p>
      <w:pPr>
        <w:ind w:firstLine="420" w:firstLineChars="200"/>
        <w:rPr>
          <w:rFonts w:hint="eastAsia" w:ascii="宋体" w:hAnsi="宋体"/>
          <w:color w:val="auto"/>
          <w:szCs w:val="21"/>
          <w:highlight w:val="none"/>
        </w:rPr>
      </w:pPr>
      <w:r>
        <w:rPr>
          <w:rFonts w:hint="eastAsia" w:ascii="宋体" w:hAnsi="宋体"/>
          <w:color w:val="auto"/>
          <w:szCs w:val="21"/>
          <w:highlight w:val="none"/>
        </w:rPr>
        <w:t>3、报价包含前期勘察、施工图纸设计、发改备案、两违办报建、供电报装、采购施工、并网投运及相应视频监控系统、水清洗系统、安全设施、</w:t>
      </w:r>
      <w:r>
        <w:rPr>
          <w:rFonts w:hint="eastAsia" w:ascii="宋体" w:hAnsi="宋体"/>
          <w:color w:val="auto"/>
          <w:szCs w:val="21"/>
          <w:highlight w:val="none"/>
          <w:lang w:val="en-US" w:eastAsia="zh-CN"/>
        </w:rPr>
        <w:t>运维通道、</w:t>
      </w:r>
      <w:r>
        <w:rPr>
          <w:rFonts w:hint="eastAsia" w:ascii="宋体" w:hAnsi="宋体"/>
          <w:color w:val="auto"/>
          <w:szCs w:val="21"/>
          <w:highlight w:val="none"/>
        </w:rPr>
        <w:t>运维设施安装及其他为实现合同目的所涉及的所有费用，投标总价必须准确唯一且应包含采购文件要求的所有费用。</w:t>
      </w:r>
    </w:p>
    <w:p>
      <w:pPr>
        <w:ind w:firstLine="420" w:firstLineChars="200"/>
        <w:rPr>
          <w:rFonts w:hint="eastAsia" w:ascii="宋体" w:hAnsi="宋体" w:eastAsia="宋体" w:cs="宋体"/>
          <w:color w:val="auto"/>
          <w:sz w:val="21"/>
          <w:szCs w:val="21"/>
          <w:highlight w:val="none"/>
        </w:rPr>
      </w:pPr>
      <w:r>
        <w:rPr>
          <w:rFonts w:hint="eastAsia" w:ascii="宋体" w:hAnsi="宋体"/>
          <w:color w:val="auto"/>
          <w:szCs w:val="21"/>
          <w:highlight w:val="none"/>
        </w:rPr>
        <w:t>4</w:t>
      </w:r>
      <w:r>
        <w:rPr>
          <w:rFonts w:hint="eastAsia" w:ascii="宋体" w:hAnsi="宋体"/>
          <w:color w:val="auto"/>
          <w:szCs w:val="21"/>
          <w:highlight w:val="none"/>
          <w:lang w:eastAsia="zh-CN"/>
        </w:rPr>
        <w:t>、</w:t>
      </w:r>
      <w:r>
        <w:rPr>
          <w:rFonts w:hint="eastAsia" w:ascii="宋体" w:hAnsi="宋体"/>
          <w:color w:val="auto"/>
          <w:szCs w:val="21"/>
          <w:highlight w:val="none"/>
        </w:rPr>
        <w:t>未按采购文件要求报价、填写开标一览表是导致投标人废标的常见问题，请投标人仔细填写，认真核对</w:t>
      </w:r>
      <w:r>
        <w:rPr>
          <w:rFonts w:hint="eastAsia" w:ascii="宋体" w:hAnsi="宋体" w:eastAsia="宋体" w:cs="宋体"/>
          <w:color w:val="auto"/>
          <w:sz w:val="21"/>
          <w:szCs w:val="21"/>
          <w:highlight w:val="none"/>
        </w:rPr>
        <w:t>。</w:t>
      </w:r>
    </w:p>
    <w:p>
      <w:pPr>
        <w:shd w:val="clear"/>
        <w:spacing w:line="360" w:lineRule="auto"/>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09" w:name="_Toc9316"/>
      <w:bookmarkStart w:id="110" w:name="_Toc1724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.报价明细表格式</w:t>
      </w:r>
      <w:bookmarkEnd w:id="109"/>
      <w:bookmarkEnd w:id="110"/>
    </w:p>
    <w:p>
      <w:pPr>
        <w:shd w:val="clear"/>
        <w:jc w:val="center"/>
        <w:rPr>
          <w:rFonts w:ascii="黑体" w:eastAsia="黑体"/>
          <w:color w:val="auto"/>
          <w:sz w:val="32"/>
          <w:szCs w:val="32"/>
          <w:highlight w:val="none"/>
        </w:rPr>
      </w:pPr>
      <w:bookmarkStart w:id="111" w:name="_Toc31062"/>
      <w:bookmarkStart w:id="112" w:name="_Toc31172"/>
      <w:r>
        <w:rPr>
          <w:rFonts w:hint="eastAsia" w:ascii="黑体" w:eastAsia="黑体"/>
          <w:color w:val="auto"/>
          <w:sz w:val="32"/>
          <w:szCs w:val="32"/>
          <w:highlight w:val="none"/>
        </w:rPr>
        <w:t>报价明细表</w:t>
      </w:r>
      <w:bookmarkEnd w:id="111"/>
      <w:bookmarkEnd w:id="112"/>
    </w:p>
    <w:p>
      <w:pPr>
        <w:pStyle w:val="74"/>
        <w:shd w:val="clear"/>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3"/>
        <w:tblW w:w="84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992"/>
        <w:gridCol w:w="1230"/>
        <w:gridCol w:w="1005"/>
        <w:gridCol w:w="1110"/>
        <w:gridCol w:w="720"/>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682"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货物名称</w:t>
            </w:r>
          </w:p>
        </w:tc>
        <w:tc>
          <w:tcPr>
            <w:tcW w:w="992"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品牌</w:t>
            </w: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w:t>
            </w: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99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123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0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11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720"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15"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6791" w:type="dxa"/>
            <w:gridSpan w:val="6"/>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1635" w:type="dxa"/>
            <w:gridSpan w:val="2"/>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bl>
    <w:p>
      <w:pPr>
        <w:shd w:val="clear"/>
        <w:rPr>
          <w:rFonts w:ascii="宋体" w:hAnsi="宋体" w:cs="宋体"/>
          <w:b/>
          <w:color w:val="auto"/>
          <w:szCs w:val="21"/>
          <w:highlight w:val="none"/>
        </w:rPr>
      </w:pPr>
    </w:p>
    <w:p>
      <w:pPr>
        <w:shd w:val="clear"/>
        <w:rPr>
          <w:rFonts w:ascii="宋体" w:hAnsi="宋体"/>
          <w:color w:val="auto"/>
          <w:szCs w:val="21"/>
          <w:highlight w:val="none"/>
        </w:rPr>
      </w:pPr>
      <w:bookmarkStart w:id="113" w:name="_Toc12412"/>
    </w:p>
    <w:bookmarkEnd w:id="113"/>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hint="eastAsia" w:ascii="宋体" w:hAnsi="宋体"/>
          <w:color w:val="auto"/>
          <w:szCs w:val="21"/>
          <w:highlight w:val="none"/>
        </w:rPr>
      </w:pPr>
      <w:r>
        <w:rPr>
          <w:rFonts w:hint="eastAsia" w:ascii="宋体" w:hAnsi="宋体"/>
          <w:color w:val="auto"/>
          <w:szCs w:val="21"/>
          <w:highlight w:val="none"/>
        </w:rPr>
        <w:t>日期：</w:t>
      </w:r>
    </w:p>
    <w:p>
      <w:pPr>
        <w:rPr>
          <w:color w:val="auto"/>
          <w:sz w:val="52"/>
          <w:szCs w:val="52"/>
          <w:highlight w:val="none"/>
        </w:rPr>
      </w:pPr>
      <w:r>
        <w:rPr>
          <w:color w:val="auto"/>
          <w:sz w:val="52"/>
          <w:szCs w:val="52"/>
          <w:highlight w:val="none"/>
        </w:rPr>
        <w:br w:type="page"/>
      </w:r>
    </w:p>
    <w:p>
      <w:pPr>
        <w:pStyle w:val="6"/>
        <w:widowControl w:val="0"/>
        <w:shd w:val="clear"/>
        <w:overflowPunct w:val="0"/>
        <w:spacing w:line="240" w:lineRule="auto"/>
        <w:rPr>
          <w:rFonts w:hint="eastAsia" w:ascii="宋体" w:hAnsi="宋体"/>
          <w:color w:val="auto"/>
          <w:sz w:val="21"/>
          <w:szCs w:val="21"/>
          <w:highlight w:val="none"/>
          <w:lang w:val="zh-CN"/>
        </w:rPr>
      </w:pPr>
      <w:bookmarkStart w:id="114" w:name="_Toc31440"/>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4.主要设备品牌响应表格式</w:t>
      </w:r>
      <w:bookmarkEnd w:id="114"/>
    </w:p>
    <w:p>
      <w:pPr>
        <w:numPr>
          <w:ilvl w:val="255"/>
          <w:numId w:val="0"/>
        </w:numPr>
        <w:tabs>
          <w:tab w:val="left" w:pos="567"/>
        </w:tabs>
        <w:autoSpaceDE w:val="0"/>
        <w:autoSpaceDN w:val="0"/>
        <w:adjustRightInd w:val="0"/>
        <w:spacing w:line="360" w:lineRule="auto"/>
        <w:ind w:right="-23" w:rightChars="-11"/>
        <w:jc w:val="center"/>
        <w:rPr>
          <w:rFonts w:hint="eastAsia" w:ascii="宋体" w:hAnsi="宋体" w:eastAsia="宋体" w:cs="宋体"/>
          <w:b/>
          <w:color w:val="auto"/>
          <w:kern w:val="28"/>
          <w:sz w:val="28"/>
          <w:szCs w:val="28"/>
          <w:highlight w:val="none"/>
          <w:lang w:val="zh-CN"/>
        </w:rPr>
      </w:pPr>
    </w:p>
    <w:p>
      <w:pPr>
        <w:numPr>
          <w:ilvl w:val="255"/>
          <w:numId w:val="0"/>
        </w:numPr>
        <w:tabs>
          <w:tab w:val="left" w:pos="567"/>
        </w:tabs>
        <w:autoSpaceDE w:val="0"/>
        <w:autoSpaceDN w:val="0"/>
        <w:adjustRightInd w:val="0"/>
        <w:spacing w:line="360" w:lineRule="auto"/>
        <w:ind w:right="-23" w:rightChars="-11"/>
        <w:jc w:val="center"/>
        <w:rPr>
          <w:rFonts w:ascii="宋体" w:hAnsi="宋体" w:eastAsia="宋体" w:cs="宋体"/>
          <w:bCs/>
          <w:color w:val="auto"/>
          <w:kern w:val="28"/>
          <w:sz w:val="28"/>
          <w:szCs w:val="28"/>
          <w:highlight w:val="none"/>
          <w:lang w:val="zh-CN"/>
        </w:rPr>
      </w:pPr>
      <w:r>
        <w:rPr>
          <w:rFonts w:hint="eastAsia" w:ascii="宋体" w:hAnsi="宋体" w:eastAsia="宋体" w:cs="宋体"/>
          <w:b/>
          <w:color w:val="auto"/>
          <w:kern w:val="28"/>
          <w:sz w:val="28"/>
          <w:szCs w:val="28"/>
          <w:highlight w:val="none"/>
          <w:lang w:val="zh-CN"/>
        </w:rPr>
        <w:t>主要设备品牌响应表</w:t>
      </w:r>
    </w:p>
    <w:p>
      <w:pPr>
        <w:autoSpaceDE w:val="0"/>
        <w:autoSpaceDN w:val="0"/>
        <w:adjustRightInd w:val="0"/>
        <w:spacing w:line="360" w:lineRule="auto"/>
        <w:ind w:firstLine="422" w:firstLineChars="200"/>
        <w:jc w:val="left"/>
        <w:rPr>
          <w:rFonts w:hint="eastAsia" w:ascii="宋体" w:hAnsi="宋体" w:eastAsia="宋体" w:cs="宋体"/>
          <w:b/>
          <w:color w:val="auto"/>
          <w:szCs w:val="21"/>
          <w:highlight w:val="none"/>
        </w:rPr>
      </w:pPr>
    </w:p>
    <w:tbl>
      <w:tblPr>
        <w:tblStyle w:val="3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39"/>
        <w:gridCol w:w="4525"/>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推荐品牌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eastAsia="zh-CN"/>
              </w:rPr>
              <w:t>投标品牌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光伏组件</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隆基绿能、晶科能源、晶澳科技、天合光能、南玻太阳能或具备同等质量的品牌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并网</w:t>
            </w:r>
            <w:r>
              <w:rPr>
                <w:rFonts w:hint="default" w:ascii="Times New Roman" w:hAnsi="Times New Roman" w:eastAsia="宋体" w:cs="Times New Roman"/>
                <w:color w:val="auto"/>
                <w:szCs w:val="21"/>
                <w:highlight w:val="none"/>
              </w:rPr>
              <w:t>逆变器</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华为、阳光电源与古瑞瓦特或具备同等质量的品牌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3</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并网柜断路器</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常熟、良信、上海人民或具备同等质量的品牌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交、直流电缆</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东佳信、成天泰、南洋、新亚、金牌、民兴或具备同等质量的品牌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p>
        </w:tc>
      </w:tr>
      <w:tr>
        <w:tblPrEx>
          <w:tblLayout w:type="fixed"/>
          <w:tblCellMar>
            <w:top w:w="0" w:type="dxa"/>
            <w:left w:w="108" w:type="dxa"/>
            <w:bottom w:w="0" w:type="dxa"/>
            <w:right w:w="108" w:type="dxa"/>
          </w:tblCellMar>
        </w:tblPrEx>
        <w:trPr>
          <w:trHeight w:val="1134" w:hRule="atLeast"/>
          <w:jc w:val="center"/>
        </w:trPr>
        <w:tc>
          <w:tcPr>
            <w:tcW w:w="65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1339"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视频监控系统</w:t>
            </w:r>
          </w:p>
        </w:tc>
        <w:tc>
          <w:tcPr>
            <w:tcW w:w="4525"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海康威视、大华科技或具备同等质量的品牌</w:t>
            </w:r>
          </w:p>
        </w:tc>
        <w:tc>
          <w:tcPr>
            <w:tcW w:w="2003" w:type="dxa"/>
            <w:vAlign w:val="center"/>
          </w:tcPr>
          <w:p>
            <w:pPr>
              <w:keepNext/>
              <w:keepLines/>
              <w:pageBreakBefore w:val="0"/>
              <w:numPr>
                <w:ilvl w:val="1"/>
                <w:numId w:val="0"/>
              </w:numPr>
              <w:suppressLineNumbers w:val="0"/>
              <w:kinsoku/>
              <w:wordWrap/>
              <w:overflowPunct/>
              <w:topLinePunct w:val="0"/>
              <w:bidi w:val="0"/>
              <w:adjustRightInd w:val="0"/>
              <w:spacing w:before="0" w:beforeAutospacing="0" w:after="0" w:afterAutospacing="0" w:line="400" w:lineRule="exact"/>
              <w:ind w:left="0" w:leftChars="0" w:right="0" w:rightChars="0" w:firstLine="0" w:firstLineChars="0"/>
              <w:jc w:val="center"/>
              <w:textAlignment w:val="baseline"/>
              <w:rPr>
                <w:rFonts w:hint="default" w:ascii="Times New Roman" w:hAnsi="Times New Roman" w:eastAsia="宋体" w:cs="Times New Roman"/>
                <w:color w:val="auto"/>
                <w:szCs w:val="21"/>
                <w:highlight w:val="none"/>
              </w:rPr>
            </w:pPr>
          </w:p>
        </w:tc>
      </w:tr>
    </w:tbl>
    <w:p>
      <w:pPr>
        <w:autoSpaceDE w:val="0"/>
        <w:autoSpaceDN w:val="0"/>
        <w:adjustRightInd w:val="0"/>
        <w:snapToGrid w:val="0"/>
        <w:spacing w:line="360" w:lineRule="auto"/>
        <w:jc w:val="left"/>
        <w:rPr>
          <w:rFonts w:hint="default" w:ascii="宋体" w:hAnsi="宋体" w:eastAsia="宋体" w:cs="Times New Roman"/>
          <w:color w:val="auto"/>
          <w:kern w:val="0"/>
          <w:szCs w:val="21"/>
          <w:highlight w:val="none"/>
          <w:lang w:val="en-US" w:eastAsia="zh-CN"/>
        </w:rPr>
      </w:pPr>
    </w:p>
    <w:p>
      <w:pPr>
        <w:autoSpaceDE w:val="0"/>
        <w:autoSpaceDN w:val="0"/>
        <w:adjustRightInd w:val="0"/>
        <w:spacing w:line="360" w:lineRule="auto"/>
        <w:jc w:val="left"/>
        <w:rPr>
          <w:rFonts w:ascii="宋体" w:hAnsi="宋体" w:eastAsia="宋体" w:cs="Times New Roman"/>
          <w:color w:val="auto"/>
          <w:kern w:val="3"/>
          <w:szCs w:val="21"/>
          <w:highlight w:val="none"/>
        </w:rPr>
      </w:pPr>
    </w:p>
    <w:p>
      <w:pPr>
        <w:autoSpaceDE w:val="0"/>
        <w:autoSpaceDN w:val="0"/>
        <w:adjustRightInd w:val="0"/>
        <w:spacing w:line="360" w:lineRule="auto"/>
        <w:ind w:firstLine="4200" w:firstLineChars="2000"/>
        <w:jc w:val="left"/>
        <w:rPr>
          <w:rFonts w:ascii="宋体" w:hAnsi="宋体" w:eastAsia="宋体" w:cs="Times New Roman"/>
          <w:color w:val="auto"/>
          <w:kern w:val="3"/>
          <w:szCs w:val="21"/>
          <w:highlight w:val="none"/>
        </w:rPr>
      </w:pPr>
    </w:p>
    <w:p>
      <w:pPr>
        <w:autoSpaceDE w:val="0"/>
        <w:autoSpaceDN w:val="0"/>
        <w:adjustRightInd w:val="0"/>
        <w:spacing w:line="360" w:lineRule="auto"/>
        <w:ind w:firstLine="4200" w:firstLineChars="2000"/>
        <w:jc w:val="left"/>
        <w:rPr>
          <w:rFonts w:ascii="宋体" w:hAnsi="宋体" w:eastAsia="宋体" w:cs="Times New Roman"/>
          <w:color w:val="auto"/>
          <w:kern w:val="0"/>
          <w:szCs w:val="21"/>
          <w:highlight w:val="none"/>
        </w:rPr>
      </w:pPr>
      <w:r>
        <w:rPr>
          <w:rFonts w:ascii="宋体" w:hAnsi="宋体" w:eastAsia="宋体" w:cs="Times New Roman"/>
          <w:color w:val="auto"/>
          <w:kern w:val="3"/>
          <w:szCs w:val="21"/>
          <w:highlight w:val="none"/>
        </w:rPr>
        <w:t xml:space="preserve">投 标 人（公章）：              </w:t>
      </w:r>
    </w:p>
    <w:p>
      <w:pPr>
        <w:spacing w:line="360" w:lineRule="auto"/>
        <w:ind w:firstLine="4200" w:firstLineChars="2000"/>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日  期：        年     月     日</w:t>
      </w:r>
    </w:p>
    <w:p>
      <w:pPr>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br w:type="page"/>
      </w:r>
    </w:p>
    <w:p>
      <w:pPr>
        <w:rPr>
          <w:color w:val="auto"/>
          <w:sz w:val="52"/>
          <w:szCs w:val="52"/>
          <w:highlight w:val="none"/>
        </w:rPr>
      </w:pPr>
    </w:p>
    <w:p>
      <w:pPr>
        <w:shd w:val="clear"/>
        <w:spacing w:before="0" w:after="0" w:line="360" w:lineRule="auto"/>
        <w:jc w:val="center"/>
        <w:outlineLvl w:val="9"/>
        <w:rPr>
          <w:rFonts w:hint="eastAsia"/>
          <w:color w:val="auto"/>
          <w:sz w:val="72"/>
          <w:szCs w:val="72"/>
          <w:highlight w:val="none"/>
        </w:rPr>
      </w:pPr>
    </w:p>
    <w:p>
      <w:pPr>
        <w:shd w:val="clear"/>
        <w:spacing w:before="0" w:after="0" w:line="360" w:lineRule="auto"/>
        <w:jc w:val="center"/>
        <w:outlineLvl w:val="9"/>
        <w:rPr>
          <w:rFonts w:hint="eastAsia"/>
          <w:color w:val="auto"/>
          <w:sz w:val="72"/>
          <w:szCs w:val="72"/>
          <w:highlight w:val="none"/>
        </w:rPr>
      </w:pPr>
    </w:p>
    <w:p>
      <w:pPr>
        <w:pStyle w:val="4"/>
        <w:shd w:val="clear"/>
        <w:spacing w:before="0" w:after="0" w:line="360" w:lineRule="auto"/>
        <w:jc w:val="center"/>
        <w:rPr>
          <w:color w:val="auto"/>
          <w:sz w:val="72"/>
          <w:szCs w:val="72"/>
          <w:highlight w:val="none"/>
        </w:rPr>
      </w:pPr>
      <w:bookmarkStart w:id="115" w:name="_Toc11259"/>
      <w:r>
        <w:rPr>
          <w:rFonts w:hint="eastAsia"/>
          <w:color w:val="auto"/>
          <w:sz w:val="72"/>
          <w:szCs w:val="72"/>
          <w:highlight w:val="none"/>
        </w:rPr>
        <w:t>商务文件</w:t>
      </w:r>
      <w:bookmarkEnd w:id="115"/>
    </w:p>
    <w:p>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shd w:val="clear"/>
        <w:rPr>
          <w:color w:val="auto"/>
          <w:highlight w:val="none"/>
        </w:rPr>
      </w:pPr>
    </w:p>
    <w:p>
      <w:pPr>
        <w:pStyle w:val="11"/>
        <w:shd w:val="clear"/>
        <w:rPr>
          <w:color w:val="auto"/>
          <w:highlight w:val="none"/>
        </w:rPr>
      </w:pPr>
    </w:p>
    <w:p>
      <w:pPr>
        <w:shd w:val="clear"/>
        <w:ind w:firstLine="240"/>
        <w:rPr>
          <w:color w:val="auto"/>
          <w:highlight w:val="none"/>
        </w:rPr>
      </w:pPr>
    </w:p>
    <w:p>
      <w:pPr>
        <w:shd w:val="clear"/>
        <w:rPr>
          <w:rFonts w:hint="eastAsia" w:ascii="宋体" w:hAnsi="宋体" w:cs="宋体"/>
          <w:b/>
          <w:bCs/>
          <w:color w:val="auto"/>
          <w:spacing w:val="106"/>
          <w:kern w:val="0"/>
          <w:sz w:val="32"/>
          <w:szCs w:val="32"/>
          <w:highlight w:val="none"/>
          <w:fitText w:val="1600" w:id="5"/>
        </w:rPr>
      </w:pPr>
      <w:r>
        <w:rPr>
          <w:rFonts w:hint="eastAsia" w:ascii="宋体" w:hAnsi="宋体" w:cs="宋体"/>
          <w:b/>
          <w:bCs/>
          <w:color w:val="auto"/>
          <w:spacing w:val="0"/>
          <w:kern w:val="0"/>
          <w:sz w:val="32"/>
          <w:szCs w:val="32"/>
          <w:highlight w:val="none"/>
          <w:fitText w:val="1600" w:id="5"/>
        </w:rPr>
        <w:t>项目名称：</w:t>
      </w:r>
    </w:p>
    <w:p>
      <w:pPr>
        <w:shd w:val="clear"/>
        <w:rPr>
          <w:rFonts w:hint="eastAsia" w:ascii="宋体" w:hAnsi="宋体" w:cs="宋体"/>
          <w:b/>
          <w:bCs/>
          <w:color w:val="auto"/>
          <w:spacing w:val="106"/>
          <w:kern w:val="0"/>
          <w:sz w:val="32"/>
          <w:szCs w:val="32"/>
          <w:highlight w:val="none"/>
          <w:fitText w:val="1600" w:id="6"/>
        </w:rPr>
      </w:pPr>
      <w:r>
        <w:rPr>
          <w:rFonts w:hint="eastAsia" w:ascii="宋体" w:hAnsi="宋体" w:cs="宋体"/>
          <w:b/>
          <w:bCs/>
          <w:color w:val="auto"/>
          <w:spacing w:val="0"/>
          <w:kern w:val="0"/>
          <w:sz w:val="32"/>
          <w:szCs w:val="32"/>
          <w:highlight w:val="none"/>
          <w:fitText w:val="1600" w:id="6"/>
        </w:rPr>
        <w:t>项目编号：</w:t>
      </w:r>
    </w:p>
    <w:p>
      <w:pPr>
        <w:shd w:val="clear"/>
        <w:rPr>
          <w:rFonts w:hint="eastAsia" w:ascii="宋体" w:hAnsi="宋体" w:cs="宋体"/>
          <w:b/>
          <w:bCs/>
          <w:color w:val="auto"/>
          <w:spacing w:val="106"/>
          <w:kern w:val="0"/>
          <w:sz w:val="32"/>
          <w:szCs w:val="32"/>
          <w:highlight w:val="none"/>
          <w:fitText w:val="1600" w:id="7"/>
        </w:rPr>
      </w:pPr>
      <w:r>
        <w:rPr>
          <w:rFonts w:hint="eastAsia" w:ascii="宋体" w:hAnsi="宋体" w:cs="宋体"/>
          <w:b/>
          <w:bCs/>
          <w:color w:val="auto"/>
          <w:spacing w:val="1"/>
          <w:w w:val="62"/>
          <w:kern w:val="0"/>
          <w:sz w:val="32"/>
          <w:szCs w:val="32"/>
          <w:highlight w:val="none"/>
          <w:fitText w:val="1600" w:id="7"/>
          <w:lang w:val="en-US"/>
        </w:rPr>
        <w:t>包组号（如有）</w:t>
      </w:r>
      <w:r>
        <w:rPr>
          <w:rFonts w:hint="eastAsia" w:ascii="宋体" w:hAnsi="宋体" w:cs="宋体"/>
          <w:b/>
          <w:bCs/>
          <w:color w:val="auto"/>
          <w:spacing w:val="4"/>
          <w:w w:val="62"/>
          <w:kern w:val="0"/>
          <w:sz w:val="32"/>
          <w:szCs w:val="32"/>
          <w:highlight w:val="none"/>
          <w:fitText w:val="1600" w:id="7"/>
          <w:lang w:val="en-US"/>
        </w:rPr>
        <w:t>：</w:t>
      </w:r>
    </w:p>
    <w:p>
      <w:pPr>
        <w:shd w:val="clear"/>
        <w:rPr>
          <w:rFonts w:hint="eastAsia" w:ascii="宋体" w:hAnsi="宋体" w:cs="宋体"/>
          <w:b/>
          <w:bCs/>
          <w:color w:val="auto"/>
          <w:spacing w:val="106"/>
          <w:kern w:val="0"/>
          <w:sz w:val="32"/>
          <w:szCs w:val="32"/>
          <w:highlight w:val="none"/>
          <w:fitText w:val="1600" w:id="8"/>
        </w:rPr>
      </w:pPr>
      <w:r>
        <w:rPr>
          <w:rFonts w:hint="eastAsia" w:ascii="宋体" w:hAnsi="宋体" w:cs="宋体"/>
          <w:b/>
          <w:bCs/>
          <w:color w:val="auto"/>
          <w:spacing w:val="0"/>
          <w:w w:val="83"/>
          <w:kern w:val="0"/>
          <w:sz w:val="32"/>
          <w:szCs w:val="32"/>
          <w:highlight w:val="none"/>
          <w:fitText w:val="1600" w:id="8"/>
        </w:rPr>
        <w:t>投标人名称：</w:t>
      </w:r>
    </w:p>
    <w:p>
      <w:pPr>
        <w:shd w:val="clear"/>
        <w:rPr>
          <w:rFonts w:hint="eastAsia" w:ascii="宋体" w:hAnsi="宋体" w:cs="宋体"/>
          <w:b/>
          <w:bCs/>
          <w:color w:val="auto"/>
          <w:spacing w:val="106"/>
          <w:kern w:val="0"/>
          <w:sz w:val="32"/>
          <w:szCs w:val="32"/>
          <w:highlight w:val="none"/>
          <w:fitText w:val="1600" w:id="9"/>
        </w:rPr>
      </w:pPr>
      <w:r>
        <w:rPr>
          <w:rFonts w:hint="eastAsia" w:ascii="宋体" w:hAnsi="宋体" w:cs="宋体"/>
          <w:b/>
          <w:bCs/>
          <w:color w:val="auto"/>
          <w:spacing w:val="0"/>
          <w:kern w:val="0"/>
          <w:sz w:val="32"/>
          <w:szCs w:val="32"/>
          <w:highlight w:val="none"/>
          <w:fitText w:val="1600" w:id="9"/>
        </w:rPr>
        <w:t>日    期：</w:t>
      </w:r>
    </w:p>
    <w:p>
      <w:pPr>
        <w:pStyle w:val="11"/>
        <w:shd w:val="clear"/>
        <w:rPr>
          <w:b/>
          <w:color w:val="auto"/>
          <w:sz w:val="32"/>
          <w:szCs w:val="32"/>
          <w:highlight w:val="none"/>
        </w:rPr>
      </w:pPr>
    </w:p>
    <w:p>
      <w:pPr>
        <w:shd w:val="clear"/>
        <w:ind w:firstLine="321"/>
        <w:rPr>
          <w:b/>
          <w:color w:val="auto"/>
          <w:sz w:val="32"/>
          <w:szCs w:val="32"/>
          <w:highlight w:val="none"/>
        </w:rPr>
      </w:pPr>
    </w:p>
    <w:p>
      <w:pPr>
        <w:pStyle w:val="23"/>
        <w:shd w:val="clear"/>
        <w:rPr>
          <w:rFonts w:ascii="宋体" w:hAnsi="宋体" w:cs="宋体"/>
          <w:b/>
          <w:color w:val="auto"/>
          <w:sz w:val="32"/>
          <w:szCs w:val="32"/>
          <w:highlight w:val="none"/>
        </w:rPr>
      </w:pPr>
    </w:p>
    <w:p>
      <w:pPr>
        <w:shd w:val="clear"/>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color w:val="auto"/>
          <w:highlight w:val="none"/>
        </w:rPr>
      </w:pPr>
      <w:bookmarkStart w:id="116" w:name="_Toc1936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.投标书格式</w:t>
      </w:r>
      <w:bookmarkEnd w:id="116"/>
    </w:p>
    <w:p>
      <w:pPr>
        <w:shd w:val="clear"/>
        <w:jc w:val="center"/>
        <w:rPr>
          <w:rFonts w:ascii="宋体" w:hAnsi="宋体"/>
          <w:color w:val="auto"/>
          <w:szCs w:val="21"/>
          <w:highlight w:val="none"/>
        </w:rPr>
      </w:pPr>
      <w:r>
        <w:rPr>
          <w:rFonts w:hint="eastAsia" w:ascii="黑体" w:eastAsia="黑体"/>
          <w:color w:val="auto"/>
          <w:sz w:val="32"/>
          <w:szCs w:val="32"/>
          <w:highlight w:val="none"/>
        </w:rPr>
        <w:t>投标书</w:t>
      </w:r>
    </w:p>
    <w:p>
      <w:pPr>
        <w:shd w:val="clea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shd w:val="clear"/>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12"/>
        </w:numPr>
        <w:shd w:val="clea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shd w:val="clear"/>
        <w:rPr>
          <w:rFonts w:ascii="宋体" w:hAnsi="宋体"/>
          <w:color w:val="auto"/>
          <w:szCs w:val="21"/>
          <w:highlight w:val="none"/>
        </w:rPr>
      </w:pPr>
      <w:r>
        <w:rPr>
          <w:rFonts w:hint="eastAsia" w:ascii="宋体" w:hAnsi="宋体"/>
          <w:color w:val="auto"/>
          <w:szCs w:val="21"/>
          <w:highlight w:val="none"/>
        </w:rPr>
        <w:t>地址：　　　　　　　　　　　　　　　电子邮箱：　　　　</w:t>
      </w:r>
    </w:p>
    <w:p>
      <w:pPr>
        <w:shd w:val="clear"/>
        <w:rPr>
          <w:rFonts w:ascii="宋体" w:hAnsi="宋体"/>
          <w:color w:val="auto"/>
          <w:szCs w:val="21"/>
          <w:highlight w:val="none"/>
        </w:rPr>
      </w:pPr>
      <w:r>
        <w:rPr>
          <w:rFonts w:hint="eastAsia" w:ascii="宋体" w:hAnsi="宋体"/>
          <w:color w:val="auto"/>
          <w:szCs w:val="21"/>
          <w:highlight w:val="none"/>
        </w:rPr>
        <w:t>电话/移动电话：</w:t>
      </w:r>
    </w:p>
    <w:p>
      <w:pPr>
        <w:shd w:val="clear"/>
        <w:rPr>
          <w:rFonts w:ascii="宋体" w:hAnsi="宋体"/>
          <w:color w:val="auto"/>
          <w:szCs w:val="21"/>
          <w:highlight w:val="none"/>
        </w:rPr>
      </w:pPr>
      <w:r>
        <w:rPr>
          <w:rFonts w:hint="eastAsia" w:ascii="宋体" w:hAnsi="宋体"/>
          <w:color w:val="auto"/>
          <w:szCs w:val="21"/>
          <w:highlight w:val="none"/>
        </w:rPr>
        <w:t xml:space="preserve">投标人法定代表人（或其授权代表）签字：                  </w:t>
      </w:r>
    </w:p>
    <w:p>
      <w:pPr>
        <w:shd w:val="clear"/>
        <w:rPr>
          <w:rFonts w:ascii="宋体" w:hAnsi="宋体"/>
          <w:color w:val="auto"/>
          <w:szCs w:val="21"/>
          <w:highlight w:val="none"/>
        </w:rPr>
      </w:pPr>
      <w:r>
        <w:rPr>
          <w:rFonts w:hint="eastAsia" w:ascii="宋体" w:hAnsi="宋体"/>
          <w:color w:val="auto"/>
          <w:szCs w:val="21"/>
          <w:highlight w:val="none"/>
        </w:rPr>
        <w:t xml:space="preserve">投标人名称（全称）： </w:t>
      </w:r>
    </w:p>
    <w:p>
      <w:pPr>
        <w:shd w:val="clear"/>
        <w:rPr>
          <w:rFonts w:ascii="宋体" w:hAnsi="宋体"/>
          <w:color w:val="auto"/>
          <w:szCs w:val="21"/>
          <w:highlight w:val="none"/>
        </w:rPr>
      </w:pPr>
      <w:r>
        <w:rPr>
          <w:rFonts w:hint="eastAsia" w:ascii="宋体" w:hAnsi="宋体"/>
          <w:color w:val="auto"/>
          <w:szCs w:val="21"/>
          <w:highlight w:val="none"/>
        </w:rPr>
        <w:t xml:space="preserve">投标人盖章： </w:t>
      </w:r>
    </w:p>
    <w:p>
      <w:pPr>
        <w:shd w:val="clear"/>
        <w:rPr>
          <w:color w:val="auto"/>
          <w:highlight w:val="none"/>
        </w:rPr>
      </w:pPr>
      <w:r>
        <w:rPr>
          <w:rFonts w:hint="eastAsia" w:ascii="宋体" w:hAnsi="宋体"/>
          <w:color w:val="auto"/>
          <w:szCs w:val="21"/>
          <w:highlight w:val="none"/>
        </w:rPr>
        <w:t>日期：</w:t>
      </w:r>
      <w:r>
        <w:rPr>
          <w:color w:val="auto"/>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17" w:name="_Toc26145"/>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.法定代表人证明书格式</w:t>
      </w:r>
      <w:bookmarkEnd w:id="117"/>
    </w:p>
    <w:p>
      <w:pPr>
        <w:shd w:val="clear"/>
        <w:rPr>
          <w:color w:val="auto"/>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43"/>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3"/>
        <w:shd w:val="clear"/>
        <w:spacing w:line="420" w:lineRule="atLeast"/>
        <w:ind w:firstLine="433"/>
        <w:rPr>
          <w:rFonts w:ascii="宋体" w:eastAsia="宋体"/>
          <w:color w:val="auto"/>
          <w:sz w:val="21"/>
          <w:szCs w:val="21"/>
          <w:highlight w:val="none"/>
        </w:rPr>
      </w:pPr>
    </w:p>
    <w:p>
      <w:pPr>
        <w:pStyle w:val="43"/>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43"/>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3"/>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3"/>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日</w:t>
      </w:r>
    </w:p>
    <w:p>
      <w:pPr>
        <w:pStyle w:val="43"/>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3"/>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性别：</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年龄：</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职务：</w:t>
      </w:r>
    </w:p>
    <w:p>
      <w:pPr>
        <w:pStyle w:val="43"/>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（投标人名称）的法定代表人。</w:t>
      </w:r>
    </w:p>
    <w:p>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hd w:val="clear"/>
        <w:spacing w:line="500" w:lineRule="atLeast"/>
        <w:ind w:firstLine="3517" w:firstLineChars="1675"/>
        <w:rPr>
          <w:rFonts w:ascii="宋体" w:eastAsia="宋体"/>
          <w:color w:val="auto"/>
          <w:sz w:val="21"/>
          <w:szCs w:val="21"/>
          <w:highlight w:val="none"/>
        </w:rPr>
      </w:pP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3"/>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3"/>
        <w:shd w:val="clear"/>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shd w:val="clear"/>
        <w:ind w:firstLine="420" w:firstLineChars="200"/>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3"/>
        <w:tblW w:w="83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517" w:hRule="atLeast"/>
          <w:jc w:val="center"/>
        </w:trPr>
        <w:tc>
          <w:tcPr>
            <w:tcW w:w="4182" w:type="dxa"/>
            <w:vAlign w:val="center"/>
          </w:tcPr>
          <w:p>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shd w:val="clear"/>
        <w:rPr>
          <w:color w:val="auto"/>
          <w:highlight w:val="none"/>
        </w:rPr>
      </w:pPr>
    </w:p>
    <w:p>
      <w:pPr>
        <w:shd w:val="clea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shd w:val="clear"/>
        <w:overflowPunct w:val="0"/>
        <w:spacing w:line="240" w:lineRule="auto"/>
        <w:rPr>
          <w:color w:val="auto"/>
          <w:highlight w:val="none"/>
        </w:rPr>
      </w:pPr>
      <w:bookmarkStart w:id="118" w:name="_Toc12658"/>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.法定代表人授权书格式</w:t>
      </w:r>
      <w:bookmarkEnd w:id="118"/>
    </w:p>
    <w:p>
      <w:pPr>
        <w:shd w:val="clear"/>
        <w:rPr>
          <w:color w:val="auto"/>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43"/>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广西同泽工程项目管理股份有限公司</w:t>
      </w:r>
    </w:p>
    <w:p>
      <w:pPr>
        <w:pStyle w:val="43"/>
        <w:shd w:val="clear"/>
        <w:spacing w:line="420" w:lineRule="atLeast"/>
        <w:ind w:firstLine="433"/>
        <w:rPr>
          <w:rFonts w:ascii="宋体" w:eastAsia="宋体"/>
          <w:color w:val="auto"/>
          <w:sz w:val="21"/>
          <w:szCs w:val="21"/>
          <w:highlight w:val="none"/>
        </w:rPr>
      </w:pPr>
    </w:p>
    <w:p>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hd w:val="clear"/>
        <w:spacing w:line="500" w:lineRule="atLeast"/>
        <w:ind w:firstLine="3517" w:firstLineChars="1675"/>
        <w:rPr>
          <w:rFonts w:ascii="宋体" w:eastAsia="宋体"/>
          <w:color w:val="auto"/>
          <w:sz w:val="21"/>
          <w:szCs w:val="21"/>
          <w:highlight w:val="none"/>
        </w:rPr>
      </w:pP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3"/>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3"/>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3"/>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3"/>
        <w:shd w:val="clear"/>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pStyle w:val="43"/>
        <w:shd w:val="clear"/>
        <w:spacing w:line="460" w:lineRule="exact"/>
        <w:ind w:firstLine="433"/>
        <w:rPr>
          <w:rFonts w:ascii="宋体" w:eastAsia="宋体"/>
          <w:color w:val="auto"/>
          <w:sz w:val="21"/>
          <w:szCs w:val="21"/>
          <w:highlight w:val="none"/>
        </w:rPr>
      </w:pPr>
    </w:p>
    <w:p>
      <w:pPr>
        <w:shd w:val="clear"/>
        <w:ind w:firstLine="420" w:firstLineChars="200"/>
        <w:rPr>
          <w:color w:val="auto"/>
          <w:highlight w:val="none"/>
        </w:rPr>
      </w:pPr>
      <w:r>
        <w:rPr>
          <w:rFonts w:hint="eastAsia" w:ascii="宋体" w:hAnsi="宋体"/>
          <w:color w:val="auto"/>
          <w:szCs w:val="21"/>
          <w:highlight w:val="none"/>
        </w:rPr>
        <w:t>须附：被授权人身份证复印件。</w:t>
      </w:r>
    </w:p>
    <w:tbl>
      <w:tblPr>
        <w:tblStyle w:val="33"/>
        <w:tblW w:w="84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PrEx>
        <w:trPr>
          <w:trHeight w:val="2661" w:hRule="atLeast"/>
          <w:jc w:val="center"/>
        </w:trPr>
        <w:tc>
          <w:tcPr>
            <w:tcW w:w="4232" w:type="dxa"/>
            <w:vAlign w:val="center"/>
          </w:tcPr>
          <w:p>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shd w:val="clear"/>
        <w:adjustRightInd/>
        <w:snapToGrid/>
        <w:spacing w:line="276" w:lineRule="auto"/>
        <w:rPr>
          <w:color w:val="auto"/>
          <w:highlight w:val="none"/>
        </w:rPr>
      </w:pPr>
      <w:bookmarkStart w:id="119" w:name="_Toc22486"/>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20" w:name="_Toc1064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.资格申明</w:t>
      </w:r>
      <w:bookmarkEnd w:id="120"/>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eastAsia="zh-CN"/>
        </w:rPr>
        <w:t>广西同泽工程项目管理股份有限公司</w:t>
      </w:r>
      <w:r>
        <w:rPr>
          <w:rFonts w:hint="eastAsia" w:ascii="宋体" w:eastAsia="宋体"/>
          <w:color w:val="auto"/>
          <w:sz w:val="21"/>
          <w:szCs w:val="21"/>
          <w:highlight w:val="none"/>
        </w:rPr>
        <w:t>：</w:t>
      </w:r>
    </w:p>
    <w:p>
      <w:pPr>
        <w:shd w:val="clear"/>
        <w:ind w:firstLine="420" w:firstLineChars="200"/>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pPr>
        <w:pStyle w:val="43"/>
        <w:shd w:val="clear"/>
        <w:spacing w:line="500" w:lineRule="atLeast"/>
        <w:ind w:firstLine="3517" w:firstLineChars="1675"/>
        <w:rPr>
          <w:rFonts w:ascii="宋体" w:eastAsia="宋体"/>
          <w:color w:val="auto"/>
          <w:sz w:val="21"/>
          <w:szCs w:val="21"/>
          <w:highlight w:val="none"/>
        </w:rPr>
      </w:pPr>
    </w:p>
    <w:p>
      <w:pPr>
        <w:pStyle w:val="43"/>
        <w:shd w:val="clear"/>
        <w:spacing w:line="500" w:lineRule="atLeast"/>
        <w:ind w:firstLine="3517" w:firstLineChars="1675"/>
        <w:rPr>
          <w:rFonts w:ascii="宋体" w:eastAsia="宋体"/>
          <w:color w:val="auto"/>
          <w:sz w:val="21"/>
          <w:szCs w:val="21"/>
          <w:highlight w:val="none"/>
        </w:rPr>
      </w:pPr>
    </w:p>
    <w:p>
      <w:pPr>
        <w:pStyle w:val="43"/>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3"/>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3"/>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3"/>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21" w:name="_Toc29581"/>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.营业执照</w:t>
      </w:r>
      <w:bookmarkEnd w:id="121"/>
    </w:p>
    <w:p>
      <w:pPr>
        <w:shd w:val="clear"/>
        <w:jc w:val="center"/>
        <w:rPr>
          <w:rFonts w:ascii="黑体" w:eastAsia="黑体"/>
          <w:color w:val="auto"/>
          <w:sz w:val="28"/>
          <w:szCs w:val="28"/>
          <w:highlight w:val="none"/>
        </w:rPr>
      </w:pPr>
      <w:bookmarkStart w:id="122" w:name="_Toc5919"/>
      <w:bookmarkStart w:id="123" w:name="_Toc24210"/>
      <w:bookmarkStart w:id="124" w:name="_Toc1511"/>
      <w:bookmarkStart w:id="125" w:name="_Toc17470"/>
      <w:bookmarkStart w:id="126" w:name="_Toc4926"/>
      <w:r>
        <w:rPr>
          <w:rFonts w:hint="eastAsia" w:ascii="黑体" w:eastAsia="黑体"/>
          <w:color w:val="auto"/>
          <w:sz w:val="28"/>
          <w:szCs w:val="28"/>
          <w:highlight w:val="none"/>
        </w:rPr>
        <w:t>营业执照</w:t>
      </w:r>
      <w:bookmarkEnd w:id="122"/>
      <w:bookmarkEnd w:id="123"/>
      <w:bookmarkEnd w:id="124"/>
      <w:bookmarkEnd w:id="125"/>
      <w:bookmarkEnd w:id="126"/>
    </w:p>
    <w:p>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27" w:name="_Toc3184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rPr>
        <w:t>.相关资质证明文件</w:t>
      </w:r>
      <w:bookmarkEnd w:id="127"/>
    </w:p>
    <w:p>
      <w:pPr>
        <w:shd w:val="clear"/>
        <w:rPr>
          <w:color w:val="auto"/>
          <w:highlight w:val="none"/>
        </w:rPr>
      </w:pPr>
    </w:p>
    <w:p>
      <w:pPr>
        <w:shd w:val="clear"/>
        <w:jc w:val="center"/>
        <w:rPr>
          <w:rFonts w:ascii="黑体" w:eastAsia="黑体"/>
          <w:color w:val="auto"/>
          <w:sz w:val="28"/>
          <w:szCs w:val="28"/>
          <w:highlight w:val="none"/>
        </w:rPr>
      </w:pPr>
      <w:bookmarkStart w:id="128" w:name="_Toc16698"/>
      <w:bookmarkStart w:id="129" w:name="_Toc30307"/>
      <w:bookmarkStart w:id="130" w:name="_Toc13458"/>
      <w:bookmarkStart w:id="131" w:name="_Toc16233"/>
      <w:bookmarkStart w:id="132" w:name="_Toc9592"/>
      <w:r>
        <w:rPr>
          <w:rFonts w:hint="eastAsia" w:ascii="黑体" w:eastAsia="黑体"/>
          <w:color w:val="auto"/>
          <w:sz w:val="28"/>
          <w:szCs w:val="28"/>
          <w:highlight w:val="none"/>
        </w:rPr>
        <w:t>相关资质证明文件</w:t>
      </w:r>
      <w:bookmarkEnd w:id="119"/>
      <w:bookmarkEnd w:id="128"/>
      <w:bookmarkEnd w:id="129"/>
      <w:bookmarkEnd w:id="130"/>
      <w:bookmarkEnd w:id="131"/>
      <w:bookmarkEnd w:id="132"/>
    </w:p>
    <w:p>
      <w:pPr>
        <w:numPr>
          <w:ilvl w:val="0"/>
          <w:numId w:val="13"/>
        </w:numPr>
        <w:shd w:val="clea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符合投标邀请书“投标人资格要求”其他要求对应的证明文件；</w:t>
      </w:r>
    </w:p>
    <w:p>
      <w:pPr>
        <w:numPr>
          <w:ilvl w:val="0"/>
          <w:numId w:val="13"/>
        </w:numPr>
        <w:shd w:val="clea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投标人认为必要的文件。</w:t>
      </w:r>
      <w:r>
        <w:rPr>
          <w:rFonts w:hint="eastAsia" w:ascii="宋体" w:hAnsi="宋体" w:cs="宋体"/>
          <w:b/>
          <w:bCs/>
          <w:color w:val="auto"/>
          <w:szCs w:val="21"/>
          <w:highlight w:val="none"/>
        </w:rPr>
        <w:br w:type="page"/>
      </w:r>
    </w:p>
    <w:p>
      <w:pPr>
        <w:pStyle w:val="6"/>
        <w:widowControl w:val="0"/>
        <w:shd w:val="clear"/>
        <w:overflowPunct w:val="0"/>
        <w:spacing w:line="240" w:lineRule="auto"/>
        <w:rPr>
          <w:rFonts w:ascii="楷体_GB2312" w:eastAsia="楷体_GB2312"/>
          <w:color w:val="auto"/>
          <w:highlight w:val="none"/>
        </w:rPr>
      </w:pPr>
      <w:bookmarkStart w:id="133" w:name="_Toc2965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.在经营活动中没有重大违法记录的书面声明格式</w:t>
      </w:r>
      <w:bookmarkEnd w:id="133"/>
    </w:p>
    <w:p>
      <w:pPr>
        <w:shd w:val="clear"/>
        <w:rPr>
          <w:color w:val="auto"/>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w:t>
      </w:r>
    </w:p>
    <w:p>
      <w:pPr>
        <w:shd w:val="clear"/>
        <w:ind w:firstLine="420" w:firstLineChars="200"/>
        <w:rPr>
          <w:rFonts w:ascii="宋体" w:hAnsi="宋体" w:cs="宋体"/>
          <w:color w:val="auto"/>
          <w:szCs w:val="21"/>
          <w:highlight w:val="none"/>
        </w:rPr>
      </w:pPr>
    </w:p>
    <w:p>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东莞新锋光伏能源科技有限公司</w:t>
      </w:r>
      <w:r>
        <w:rPr>
          <w:rFonts w:hint="eastAsia" w:ascii="宋体" w:hAnsi="宋体" w:cs="宋体"/>
          <w:color w:val="auto"/>
          <w:szCs w:val="21"/>
          <w:highlight w:val="none"/>
          <w:lang w:eastAsia="zh-CN"/>
        </w:rPr>
        <w:t>、广西同泽工程项目管理股份有限公司</w:t>
      </w:r>
      <w:r>
        <w:rPr>
          <w:rFonts w:hint="eastAsia" w:ascii="宋体" w:hAnsi="宋体" w:cs="宋体"/>
          <w:color w:val="auto"/>
          <w:szCs w:val="21"/>
          <w:highlight w:val="none"/>
        </w:rPr>
        <w:t>：</w:t>
      </w:r>
    </w:p>
    <w:p>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lang w:val="en-US" w:eastAsia="zh-CN"/>
        </w:rPr>
        <w:t>XX</w:t>
      </w:r>
      <w:r>
        <w:rPr>
          <w:rFonts w:hint="eastAsia" w:ascii="宋体" w:hAnsi="宋体" w:cs="宋体"/>
          <w:color w:val="auto"/>
          <w:szCs w:val="21"/>
          <w:highlight w:val="none"/>
        </w:rPr>
        <w:t>）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shd w:val="clear"/>
        <w:ind w:firstLine="420" w:firstLineChars="200"/>
        <w:rPr>
          <w:rFonts w:ascii="宋体" w:hAnsi="宋体" w:cs="宋体"/>
          <w:color w:val="auto"/>
          <w:szCs w:val="21"/>
          <w:highlight w:val="none"/>
        </w:rPr>
      </w:pPr>
    </w:p>
    <w:p>
      <w:pPr>
        <w:shd w:val="clear"/>
        <w:rPr>
          <w:rFonts w:ascii="宋体" w:hAnsi="宋体" w:cs="宋体"/>
          <w:color w:val="auto"/>
          <w:szCs w:val="21"/>
          <w:highlight w:val="none"/>
        </w:rPr>
      </w:pP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shd w:val="clear"/>
        <w:rPr>
          <w:rFonts w:ascii="宋体" w:hAnsi="宋体" w:cs="宋体"/>
          <w:color w:val="auto"/>
          <w:szCs w:val="21"/>
          <w:highlight w:val="none"/>
        </w:rPr>
      </w:pP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shd w:val="clear"/>
        <w:rPr>
          <w:color w:val="auto"/>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color w:val="auto"/>
          <w:highlight w:val="none"/>
        </w:rPr>
      </w:pPr>
    </w:p>
    <w:p>
      <w:pPr>
        <w:pStyle w:val="6"/>
        <w:widowControl w:val="0"/>
        <w:shd w:val="clear"/>
        <w:overflowPunct w:val="0"/>
        <w:spacing w:line="240" w:lineRule="auto"/>
        <w:rPr>
          <w:rFonts w:ascii="楷体_GB2312" w:eastAsia="楷体_GB2312"/>
          <w:color w:val="auto"/>
          <w:highlight w:val="none"/>
        </w:rPr>
      </w:pPr>
      <w:bookmarkStart w:id="134" w:name="_Toc1766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.承诺书格式</w:t>
      </w:r>
      <w:bookmarkEnd w:id="134"/>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承诺书</w:t>
      </w:r>
    </w:p>
    <w:p>
      <w:pPr>
        <w:pStyle w:val="43"/>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广西同泽工程项目管理股份有限公司</w:t>
      </w:r>
      <w:r>
        <w:rPr>
          <w:rFonts w:hint="eastAsia" w:ascii="宋体" w:eastAsia="宋体" w:cs="宋体"/>
          <w:color w:val="auto"/>
          <w:sz w:val="21"/>
          <w:szCs w:val="21"/>
          <w:highlight w:val="none"/>
        </w:rPr>
        <w:t>：</w:t>
      </w:r>
    </w:p>
    <w:p>
      <w:pPr>
        <w:shd w:val="clear"/>
        <w:jc w:val="center"/>
        <w:rPr>
          <w:rFonts w:ascii="宋体" w:hAnsi="宋体" w:cs="宋体"/>
          <w:color w:val="auto"/>
          <w:szCs w:val="21"/>
          <w:highlight w:val="none"/>
        </w:rPr>
      </w:pPr>
    </w:p>
    <w:p>
      <w:pPr>
        <w:pStyle w:val="43"/>
        <w:shd w:val="clear"/>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eastAsia="宋体" w:cs="宋体"/>
          <w:color w:val="auto"/>
          <w:sz w:val="21"/>
          <w:szCs w:val="21"/>
          <w:highlight w:val="none"/>
        </w:rPr>
        <w:cr/>
      </w:r>
    </w:p>
    <w:p>
      <w:pPr>
        <w:pStyle w:val="43"/>
        <w:shd w:val="clear"/>
        <w:spacing w:line="420" w:lineRule="exact"/>
        <w:ind w:firstLine="433"/>
        <w:rPr>
          <w:rFonts w:ascii="宋体" w:eastAsia="宋体" w:cs="宋体"/>
          <w:color w:val="auto"/>
          <w:sz w:val="21"/>
          <w:szCs w:val="21"/>
          <w:highlight w:val="none"/>
        </w:rPr>
      </w:pP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shd w:val="clear"/>
        <w:rPr>
          <w:color w:val="auto"/>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rFonts w:ascii="宋体" w:hAnsi="宋体"/>
          <w:color w:val="auto"/>
          <w:szCs w:val="21"/>
          <w:highlight w:val="none"/>
        </w:rPr>
      </w:pPr>
    </w:p>
    <w:p>
      <w:pPr>
        <w:pStyle w:val="11"/>
        <w:shd w:val="clear"/>
        <w:rPr>
          <w:color w:val="auto"/>
          <w:sz w:val="21"/>
          <w:szCs w:val="21"/>
          <w:highlight w:val="none"/>
        </w:rPr>
      </w:pPr>
    </w:p>
    <w:p>
      <w:pPr>
        <w:shd w:val="clear"/>
        <w:rPr>
          <w:color w:val="auto"/>
          <w:highlight w:val="none"/>
        </w:rPr>
      </w:pPr>
    </w:p>
    <w:p>
      <w:pPr>
        <w:pStyle w:val="6"/>
        <w:widowControl w:val="0"/>
        <w:shd w:val="clear"/>
        <w:overflowPunct w:val="0"/>
        <w:spacing w:line="240" w:lineRule="auto"/>
        <w:rPr>
          <w:rFonts w:ascii="宋体" w:hAnsi="宋体"/>
          <w:color w:val="auto"/>
          <w:sz w:val="21"/>
          <w:szCs w:val="21"/>
          <w:highlight w:val="none"/>
        </w:rPr>
      </w:pPr>
      <w:bookmarkStart w:id="135" w:name="_Toc8896"/>
      <w:bookmarkStart w:id="136" w:name="_Toc827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.商务需求条款偏离表格式</w:t>
      </w:r>
      <w:bookmarkEnd w:id="135"/>
      <w:bookmarkEnd w:id="136"/>
    </w:p>
    <w:p>
      <w:pPr>
        <w:shd w:val="clear"/>
        <w:jc w:val="center"/>
        <w:rPr>
          <w:rFonts w:ascii="黑体" w:eastAsia="黑体"/>
          <w:color w:val="auto"/>
          <w:sz w:val="28"/>
          <w:szCs w:val="28"/>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3"/>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008"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hd w:val="clear"/>
              <w:jc w:val="center"/>
              <w:rPr>
                <w:rFonts w:ascii="宋体" w:hAnsi="宋体"/>
                <w:color w:val="auto"/>
                <w:szCs w:val="21"/>
                <w:highlight w:val="none"/>
              </w:rPr>
            </w:pPr>
          </w:p>
        </w:tc>
        <w:tc>
          <w:tcPr>
            <w:tcW w:w="1620" w:type="dxa"/>
            <w:vAlign w:val="center"/>
          </w:tcPr>
          <w:p>
            <w:pPr>
              <w:shd w:val="clear"/>
              <w:jc w:val="center"/>
              <w:rPr>
                <w:rFonts w:ascii="宋体" w:hAnsi="宋体"/>
                <w:color w:val="auto"/>
                <w:szCs w:val="21"/>
                <w:highlight w:val="none"/>
              </w:rPr>
            </w:pPr>
          </w:p>
        </w:tc>
        <w:tc>
          <w:tcPr>
            <w:tcW w:w="1360" w:type="dxa"/>
            <w:vAlign w:val="center"/>
          </w:tcPr>
          <w:p>
            <w:pPr>
              <w:shd w:val="clear"/>
              <w:jc w:val="center"/>
              <w:rPr>
                <w:rFonts w:ascii="宋体" w:hAnsi="宋体"/>
                <w:color w:val="auto"/>
                <w:szCs w:val="21"/>
                <w:highlight w:val="none"/>
              </w:rPr>
            </w:pPr>
          </w:p>
        </w:tc>
        <w:tc>
          <w:tcPr>
            <w:tcW w:w="1587" w:type="dxa"/>
            <w:vAlign w:val="center"/>
          </w:tcPr>
          <w:p>
            <w:pPr>
              <w:shd w:val="clear"/>
              <w:jc w:val="center"/>
              <w:rPr>
                <w:rFonts w:ascii="宋体" w:hAnsi="宋体"/>
                <w:color w:val="auto"/>
                <w:szCs w:val="21"/>
                <w:highlight w:val="none"/>
              </w:rPr>
            </w:pPr>
          </w:p>
        </w:tc>
        <w:tc>
          <w:tcPr>
            <w:tcW w:w="1133" w:type="dxa"/>
            <w:vAlign w:val="center"/>
          </w:tcPr>
          <w:p>
            <w:pPr>
              <w:shd w:val="clear"/>
              <w:jc w:val="center"/>
              <w:rPr>
                <w:rFonts w:ascii="宋体" w:hAnsi="宋体"/>
                <w:color w:val="auto"/>
                <w:szCs w:val="21"/>
                <w:highlight w:val="none"/>
              </w:rPr>
            </w:pPr>
          </w:p>
        </w:tc>
        <w:tc>
          <w:tcPr>
            <w:tcW w:w="1730" w:type="dxa"/>
            <w:vAlign w:val="center"/>
          </w:tcPr>
          <w:p>
            <w:pPr>
              <w:shd w:val="clear"/>
              <w:jc w:val="center"/>
              <w:rPr>
                <w:rFonts w:ascii="宋体" w:hAnsi="宋体"/>
                <w:color w:val="auto"/>
                <w:szCs w:val="21"/>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rPr>
          <w:rFonts w:ascii="宋体" w:hAnsi="宋体"/>
          <w:color w:val="auto"/>
          <w:szCs w:val="21"/>
          <w:highlight w:val="none"/>
        </w:rPr>
      </w:pPr>
    </w:p>
    <w:p>
      <w:pPr>
        <w:shd w:val="clear"/>
        <w:ind w:left="718" w:hanging="718" w:hangingChars="342"/>
        <w:rPr>
          <w:rFonts w:ascii="宋体" w:hAnsi="宋体"/>
          <w:color w:val="auto"/>
          <w:szCs w:val="21"/>
          <w:highlight w:val="none"/>
        </w:rPr>
      </w:pPr>
      <w:r>
        <w:rPr>
          <w:rFonts w:hint="eastAsia" w:ascii="宋体" w:hAnsi="宋体"/>
          <w:color w:val="auto"/>
          <w:szCs w:val="21"/>
          <w:highlight w:val="none"/>
        </w:rPr>
        <w:t>注：</w:t>
      </w:r>
    </w:p>
    <w:p>
      <w:pPr>
        <w:shd w:val="clea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pPr>
        <w:shd w:val="clea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pPr>
        <w:shd w:val="clea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shd w:val="clea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shd w:val="clea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shd w:val="clear"/>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30"/>
          <w:szCs w:val="30"/>
          <w:highlight w:val="none"/>
        </w:rPr>
      </w:pPr>
      <w:bookmarkStart w:id="137" w:name="_Toc2833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.业绩表</w:t>
      </w:r>
      <w:bookmarkEnd w:id="137"/>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4"/>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vAlign w:val="center"/>
          </w:tcPr>
          <w:p>
            <w:pPr>
              <w:shd w:val="clea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shd w:val="clea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shd w:val="clea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pPr>
              <w:shd w:val="clear"/>
              <w:adjustRightInd/>
              <w:snapToGrid/>
              <w:jc w:val="center"/>
              <w:rPr>
                <w:rFonts w:hint="eastAsia" w:ascii="宋体" w:hAnsi="宋体"/>
                <w:color w:val="auto"/>
                <w:szCs w:val="21"/>
                <w:highlight w:val="none"/>
              </w:rPr>
            </w:pPr>
            <w:r>
              <w:rPr>
                <w:rFonts w:hint="eastAsia" w:ascii="宋体" w:hAnsi="宋体"/>
                <w:color w:val="auto"/>
                <w:szCs w:val="21"/>
                <w:highlight w:val="none"/>
              </w:rPr>
              <w:t>项目合同</w:t>
            </w:r>
          </w:p>
          <w:p>
            <w:pPr>
              <w:shd w:val="clear"/>
              <w:adjustRightInd/>
              <w:snapToGrid/>
              <w:jc w:val="center"/>
              <w:rPr>
                <w:rFonts w:ascii="宋体" w:hAnsi="宋体"/>
                <w:color w:val="auto"/>
                <w:szCs w:val="21"/>
                <w:highlight w:val="none"/>
              </w:rPr>
            </w:pPr>
            <w:r>
              <w:rPr>
                <w:rFonts w:hint="eastAsia" w:ascii="宋体" w:hAnsi="宋体"/>
                <w:color w:val="auto"/>
                <w:szCs w:val="21"/>
                <w:highlight w:val="none"/>
              </w:rPr>
              <w:t>签订时间</w:t>
            </w:r>
          </w:p>
        </w:tc>
        <w:tc>
          <w:tcPr>
            <w:tcW w:w="1697" w:type="dxa"/>
            <w:vAlign w:val="center"/>
          </w:tcPr>
          <w:p>
            <w:pPr>
              <w:shd w:val="clea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vAlign w:val="center"/>
          </w:tcPr>
          <w:p>
            <w:pPr>
              <w:shd w:val="clear"/>
              <w:adjustRightInd/>
              <w:snapToGrid/>
              <w:jc w:val="center"/>
              <w:rPr>
                <w:rFonts w:ascii="宋体" w:hAnsi="宋体"/>
                <w:color w:val="auto"/>
                <w:szCs w:val="21"/>
                <w:highlight w:val="none"/>
              </w:rPr>
            </w:pPr>
          </w:p>
        </w:tc>
        <w:tc>
          <w:tcPr>
            <w:tcW w:w="1705" w:type="dxa"/>
            <w:vAlign w:val="center"/>
          </w:tcPr>
          <w:p>
            <w:pPr>
              <w:shd w:val="clear"/>
              <w:adjustRightInd/>
              <w:snapToGrid/>
              <w:jc w:val="center"/>
              <w:rPr>
                <w:rFonts w:ascii="宋体" w:hAnsi="宋体"/>
                <w:color w:val="auto"/>
                <w:szCs w:val="21"/>
                <w:highlight w:val="none"/>
              </w:rPr>
            </w:pPr>
          </w:p>
        </w:tc>
        <w:tc>
          <w:tcPr>
            <w:tcW w:w="1706" w:type="dxa"/>
            <w:vAlign w:val="center"/>
          </w:tcPr>
          <w:p>
            <w:pPr>
              <w:shd w:val="clear"/>
              <w:adjustRightInd/>
              <w:snapToGrid/>
              <w:jc w:val="center"/>
              <w:rPr>
                <w:rFonts w:ascii="宋体" w:hAnsi="宋体"/>
                <w:color w:val="auto"/>
                <w:szCs w:val="21"/>
                <w:highlight w:val="none"/>
              </w:rPr>
            </w:pPr>
          </w:p>
        </w:tc>
        <w:tc>
          <w:tcPr>
            <w:tcW w:w="1705" w:type="dxa"/>
            <w:vAlign w:val="center"/>
          </w:tcPr>
          <w:p>
            <w:pPr>
              <w:shd w:val="clear"/>
              <w:adjustRightInd/>
              <w:snapToGrid/>
              <w:jc w:val="center"/>
              <w:rPr>
                <w:rFonts w:ascii="宋体" w:hAnsi="宋体"/>
                <w:color w:val="auto"/>
                <w:szCs w:val="21"/>
                <w:highlight w:val="none"/>
              </w:rPr>
            </w:pPr>
          </w:p>
        </w:tc>
        <w:tc>
          <w:tcPr>
            <w:tcW w:w="1697" w:type="dxa"/>
            <w:vAlign w:val="center"/>
          </w:tcPr>
          <w:p>
            <w:pPr>
              <w:shd w:val="clea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706"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697" w:type="dxa"/>
          </w:tcPr>
          <w:p>
            <w:pPr>
              <w:shd w:val="clea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706"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697" w:type="dxa"/>
          </w:tcPr>
          <w:p>
            <w:pPr>
              <w:shd w:val="clea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706"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697" w:type="dxa"/>
          </w:tcPr>
          <w:p>
            <w:pPr>
              <w:shd w:val="clea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706"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697" w:type="dxa"/>
          </w:tcPr>
          <w:p>
            <w:pPr>
              <w:shd w:val="clea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1705"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706" w:type="dxa"/>
          </w:tcPr>
          <w:p>
            <w:pPr>
              <w:shd w:val="clear"/>
              <w:adjustRightInd/>
              <w:snapToGrid/>
              <w:rPr>
                <w:rFonts w:ascii="宋体" w:hAnsi="宋体"/>
                <w:color w:val="auto"/>
                <w:szCs w:val="21"/>
                <w:highlight w:val="none"/>
              </w:rPr>
            </w:pPr>
          </w:p>
        </w:tc>
        <w:tc>
          <w:tcPr>
            <w:tcW w:w="1705" w:type="dxa"/>
          </w:tcPr>
          <w:p>
            <w:pPr>
              <w:shd w:val="clear"/>
              <w:adjustRightInd/>
              <w:snapToGrid/>
              <w:rPr>
                <w:rFonts w:ascii="宋体" w:hAnsi="宋体"/>
                <w:color w:val="auto"/>
                <w:szCs w:val="21"/>
                <w:highlight w:val="none"/>
              </w:rPr>
            </w:pPr>
          </w:p>
        </w:tc>
        <w:tc>
          <w:tcPr>
            <w:tcW w:w="1697" w:type="dxa"/>
          </w:tcPr>
          <w:p>
            <w:pPr>
              <w:shd w:val="clear"/>
              <w:adjustRightInd/>
              <w:snapToGrid/>
              <w:rPr>
                <w:rFonts w:ascii="宋体" w:hAnsi="宋体"/>
                <w:color w:val="auto"/>
                <w:szCs w:val="21"/>
                <w:highlight w:val="none"/>
              </w:rPr>
            </w:pPr>
          </w:p>
        </w:tc>
      </w:tr>
    </w:tbl>
    <w:p>
      <w:pPr>
        <w:pStyle w:val="40"/>
        <w:shd w:val="clear"/>
        <w:rPr>
          <w:rFonts w:ascii="宋体" w:hAnsi="宋体"/>
          <w:color w:val="auto"/>
          <w:szCs w:val="21"/>
          <w:highlight w:val="none"/>
        </w:rPr>
      </w:pPr>
    </w:p>
    <w:p>
      <w:pPr>
        <w:pStyle w:val="40"/>
        <w:shd w:val="clear"/>
        <w:rPr>
          <w:rFonts w:ascii="宋体" w:hAnsi="宋体"/>
          <w:color w:val="auto"/>
          <w:szCs w:val="21"/>
          <w:highlight w:val="none"/>
        </w:rPr>
      </w:pPr>
      <w:r>
        <w:rPr>
          <w:rFonts w:hint="eastAsia" w:ascii="宋体" w:hAnsi="宋体"/>
          <w:color w:val="auto"/>
          <w:szCs w:val="21"/>
          <w:highlight w:val="none"/>
        </w:rPr>
        <w:t>注：</w:t>
      </w:r>
    </w:p>
    <w:p>
      <w:pPr>
        <w:pStyle w:val="40"/>
        <w:numPr>
          <w:ilvl w:val="0"/>
          <w:numId w:val="14"/>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40"/>
        <w:numPr>
          <w:ilvl w:val="0"/>
          <w:numId w:val="14"/>
        </w:numPr>
        <w:shd w:val="clea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shd w:val="clear"/>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color w:val="auto"/>
          <w:highlight w:val="none"/>
        </w:rPr>
      </w:pPr>
      <w:bookmarkStart w:id="138" w:name="_Toc4230"/>
      <w:bookmarkStart w:id="139" w:name="_Toc195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.联合体协议书</w:t>
      </w:r>
      <w:r>
        <w:rPr>
          <w:rFonts w:hint="eastAsia"/>
          <w:color w:val="auto"/>
          <w:highlight w:val="none"/>
        </w:rPr>
        <w:t>（如有）</w:t>
      </w:r>
      <w:bookmarkEnd w:id="138"/>
      <w:bookmarkEnd w:id="139"/>
    </w:p>
    <w:p>
      <w:pPr>
        <w:shd w:val="clear"/>
        <w:rPr>
          <w:color w:val="auto"/>
          <w:highlight w:val="none"/>
        </w:rPr>
      </w:pPr>
    </w:p>
    <w:p>
      <w:pPr>
        <w:shd w:val="clear"/>
        <w:jc w:val="center"/>
        <w:rPr>
          <w:rFonts w:hAnsi="宋体" w:cs="宋体"/>
          <w:color w:val="auto"/>
          <w:highlight w:val="none"/>
        </w:rPr>
      </w:pPr>
      <w:r>
        <w:rPr>
          <w:rFonts w:hint="eastAsia" w:hAnsi="宋体" w:cs="宋体"/>
          <w:b/>
          <w:bCs/>
          <w:color w:val="auto"/>
          <w:highlight w:val="none"/>
        </w:rPr>
        <w:t>联合体共同投标协议书</w:t>
      </w:r>
    </w:p>
    <w:p>
      <w:pPr>
        <w:shd w:val="clear"/>
        <w:jc w:val="center"/>
        <w:rPr>
          <w:rFonts w:hAnsi="宋体" w:cs="宋体"/>
          <w:color w:val="auto"/>
          <w:highlight w:val="none"/>
        </w:rPr>
      </w:pPr>
    </w:p>
    <w:p>
      <w:pPr>
        <w:shd w:val="clear"/>
        <w:rPr>
          <w:rFonts w:hAnsi="宋体" w:cs="宋体"/>
          <w:color w:val="auto"/>
          <w:szCs w:val="21"/>
          <w:highlight w:val="none"/>
        </w:rPr>
      </w:pPr>
      <w:r>
        <w:rPr>
          <w:rFonts w:hint="eastAsia" w:hAnsi="宋体" w:cs="宋体"/>
          <w:color w:val="auto"/>
          <w:szCs w:val="21"/>
          <w:highlight w:val="none"/>
        </w:rPr>
        <w:t>立约方：（甲公司全称）</w:t>
      </w:r>
    </w:p>
    <w:p>
      <w:pPr>
        <w:shd w:val="clear"/>
        <w:rPr>
          <w:rFonts w:hAnsi="宋体" w:cs="宋体"/>
          <w:color w:val="auto"/>
          <w:szCs w:val="21"/>
          <w:highlight w:val="none"/>
        </w:rPr>
      </w:pPr>
      <w:r>
        <w:rPr>
          <w:rFonts w:hint="eastAsia" w:hAnsi="宋体" w:cs="宋体"/>
          <w:color w:val="auto"/>
          <w:szCs w:val="21"/>
          <w:highlight w:val="none"/>
        </w:rPr>
        <w:t>（乙公司全称）</w:t>
      </w:r>
    </w:p>
    <w:p>
      <w:pPr>
        <w:shd w:val="clear"/>
        <w:rPr>
          <w:rFonts w:hAnsi="宋体" w:cs="宋体"/>
          <w:color w:val="auto"/>
          <w:szCs w:val="21"/>
          <w:highlight w:val="none"/>
        </w:rPr>
      </w:pPr>
      <w:r>
        <w:rPr>
          <w:rFonts w:hint="eastAsia" w:hAnsi="宋体" w:cs="宋体"/>
          <w:color w:val="auto"/>
          <w:szCs w:val="21"/>
          <w:highlight w:val="none"/>
        </w:rPr>
        <w:t>（……公司全称）</w:t>
      </w:r>
    </w:p>
    <w:p>
      <w:pPr>
        <w:shd w:val="clea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自愿组成联合体，以一个投标人的身份共同参加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pPr>
        <w:shd w:val="clear"/>
        <w:rPr>
          <w:rFonts w:hAnsi="宋体" w:cs="宋体"/>
          <w:color w:val="auto"/>
          <w:szCs w:val="21"/>
          <w:highlight w:val="none"/>
        </w:rPr>
      </w:pPr>
      <w:r>
        <w:rPr>
          <w:rFonts w:hint="eastAsia" w:hAnsi="宋体" w:cs="宋体"/>
          <w:color w:val="auto"/>
          <w:szCs w:val="21"/>
          <w:highlight w:val="none"/>
        </w:rPr>
        <w:t>一、联合体各方关系</w:t>
      </w:r>
    </w:p>
    <w:p>
      <w:pPr>
        <w:shd w:val="clea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共同组成一个联合体，以一个投标人的身份共同参加本项目的投标。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作为联合体成员，若中标，联合体各方共同与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pPr>
        <w:shd w:val="clea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pPr>
        <w:shd w:val="clear"/>
        <w:rPr>
          <w:rFonts w:hAnsi="宋体" w:cs="宋体"/>
          <w:color w:val="auto"/>
          <w:szCs w:val="21"/>
          <w:highlight w:val="none"/>
        </w:rPr>
      </w:pPr>
      <w:r>
        <w:rPr>
          <w:rFonts w:hint="eastAsia" w:hAnsi="宋体" w:cs="宋体"/>
          <w:color w:val="auto"/>
          <w:szCs w:val="21"/>
          <w:highlight w:val="none"/>
        </w:rPr>
        <w:t>二、联合体内部有关事项约定如下：</w:t>
      </w:r>
    </w:p>
    <w:p>
      <w:pPr>
        <w:shd w:val="clear"/>
        <w:rPr>
          <w:rFonts w:hAnsi="宋体" w:cs="宋体"/>
          <w:color w:val="auto"/>
          <w:szCs w:val="21"/>
          <w:highlight w:val="none"/>
        </w:rPr>
      </w:pPr>
      <w:r>
        <w:rPr>
          <w:rFonts w:hint="eastAsia" w:hAnsi="宋体"/>
          <w:color w:val="auto"/>
          <w:szCs w:val="21"/>
          <w:highlight w:val="none"/>
        </w:rPr>
        <w:t>1.联合体牵头人合法代表联合体各成员，负责本项目投标文件编制和投标工作，并代表联合体成员递交和接受相关的资料、信息及指示，并处理与之有关的一切事务，负责合同实施阶段的主办、组织和协调工作。</w:t>
      </w:r>
    </w:p>
    <w:p>
      <w:pPr>
        <w:shd w:val="clear"/>
        <w:rPr>
          <w:rFonts w:hAnsi="宋体" w:cs="宋体"/>
          <w:color w:val="auto"/>
          <w:szCs w:val="21"/>
          <w:highlight w:val="none"/>
        </w:rPr>
      </w:pPr>
      <w:r>
        <w:rPr>
          <w:rFonts w:hint="eastAsia" w:hAnsi="宋体" w:cs="宋体"/>
          <w:color w:val="auto"/>
          <w:szCs w:val="21"/>
          <w:highlight w:val="none"/>
        </w:rPr>
        <w:t>2.联合体将严格按照文件的各项要求，递交投标文件，切实执行一切合同文件，共同承担合同规定的一切义务和责任，同时按照内部职责的划分，承担自身所负的责任和风险，在法律上承担连带责任。</w:t>
      </w:r>
    </w:p>
    <w:p>
      <w:pPr>
        <w:shd w:val="clear"/>
        <w:rPr>
          <w:rFonts w:hAnsi="宋体" w:cs="宋体"/>
          <w:color w:val="auto"/>
          <w:szCs w:val="21"/>
          <w:highlight w:val="none"/>
        </w:rPr>
      </w:pPr>
      <w:r>
        <w:rPr>
          <w:rFonts w:hint="eastAsia" w:hAnsi="宋体" w:cs="宋体"/>
          <w:color w:val="auto"/>
          <w:szCs w:val="21"/>
          <w:highlight w:val="none"/>
        </w:rPr>
        <w:t>3.如中标，联合体各方共同与（采购人）签订合同书，并就中标项目向采购人负有连带的和各自的法律责任；</w:t>
      </w:r>
    </w:p>
    <w:p>
      <w:pPr>
        <w:shd w:val="clear"/>
        <w:rPr>
          <w:rFonts w:hAnsi="宋体" w:cs="宋体"/>
          <w:color w:val="auto"/>
          <w:szCs w:val="21"/>
          <w:highlight w:val="none"/>
        </w:rPr>
      </w:pPr>
      <w:r>
        <w:rPr>
          <w:rFonts w:hint="eastAsia" w:hAnsi="宋体" w:cs="宋体"/>
          <w:color w:val="auto"/>
          <w:szCs w:val="21"/>
          <w:highlight w:val="none"/>
        </w:rPr>
        <w:t>4.联合体各成员单位内部的职责分工如下：</w:t>
      </w:r>
    </w:p>
    <w:p>
      <w:pPr>
        <w:shd w:val="clear"/>
        <w:rPr>
          <w:rFonts w:hAnsi="宋体" w:cs="宋体"/>
          <w:color w:val="auto"/>
          <w:szCs w:val="21"/>
          <w:highlight w:val="none"/>
        </w:rPr>
      </w:pPr>
      <w:r>
        <w:rPr>
          <w:rFonts w:hint="eastAsia" w:hAnsi="宋体" w:cs="宋体"/>
          <w:color w:val="auto"/>
          <w:szCs w:val="21"/>
          <w:highlight w:val="none"/>
        </w:rPr>
        <w:t>（1）</w:t>
      </w:r>
    </w:p>
    <w:p>
      <w:pPr>
        <w:shd w:val="clear"/>
        <w:rPr>
          <w:color w:val="auto"/>
          <w:highlight w:val="none"/>
        </w:rPr>
      </w:pPr>
      <w:r>
        <w:rPr>
          <w:rFonts w:hint="eastAsia" w:hAnsi="宋体" w:cs="宋体"/>
          <w:color w:val="auto"/>
          <w:szCs w:val="21"/>
          <w:highlight w:val="none"/>
        </w:rPr>
        <w:t>（2）</w:t>
      </w:r>
    </w:p>
    <w:p>
      <w:pPr>
        <w:shd w:val="clea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pPr>
        <w:shd w:val="clea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pPr>
        <w:shd w:val="clear"/>
        <w:rPr>
          <w:rFonts w:hAnsi="宋体" w:cs="宋体"/>
          <w:color w:val="auto"/>
          <w:szCs w:val="21"/>
          <w:highlight w:val="none"/>
        </w:rPr>
      </w:pPr>
      <w:r>
        <w:rPr>
          <w:rFonts w:hint="eastAsia"/>
          <w:color w:val="auto"/>
          <w:szCs w:val="21"/>
          <w:highlight w:val="none"/>
        </w:rPr>
        <w:t>五、联合体中标后，本联合体协议是合同的附件，对联合体各成员单位有合同约束力。</w:t>
      </w:r>
    </w:p>
    <w:p>
      <w:pPr>
        <w:shd w:val="clear"/>
        <w:rPr>
          <w:rFonts w:hAnsi="宋体" w:cs="宋体"/>
          <w:color w:val="auto"/>
          <w:szCs w:val="21"/>
          <w:highlight w:val="none"/>
        </w:rPr>
      </w:pPr>
      <w:r>
        <w:rPr>
          <w:rFonts w:hint="eastAsia" w:hAnsi="宋体" w:cs="宋体"/>
          <w:color w:val="auto"/>
          <w:szCs w:val="21"/>
          <w:highlight w:val="none"/>
        </w:rPr>
        <w:t>六、本协议在自签署之日起生效，投标有效期内有效，如获中标资格，本协议有效期延续至合同履行完毕之日。</w:t>
      </w:r>
    </w:p>
    <w:p>
      <w:pPr>
        <w:shd w:val="clea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pPr>
        <w:shd w:val="clear"/>
        <w:rPr>
          <w:rFonts w:hAnsi="宋体" w:cs="宋体"/>
          <w:color w:val="auto"/>
          <w:szCs w:val="21"/>
          <w:highlight w:val="none"/>
        </w:rPr>
      </w:pPr>
    </w:p>
    <w:p>
      <w:pPr>
        <w:pStyle w:val="11"/>
        <w:shd w:val="clear"/>
        <w:rPr>
          <w:color w:val="auto"/>
          <w:sz w:val="21"/>
          <w:szCs w:val="21"/>
          <w:highlight w:val="none"/>
        </w:rPr>
      </w:pPr>
      <w:r>
        <w:rPr>
          <w:rFonts w:hint="eastAsia"/>
          <w:color w:val="auto"/>
          <w:sz w:val="21"/>
          <w:szCs w:val="21"/>
          <w:highlight w:val="none"/>
        </w:rPr>
        <w:t>注：本协议书由委托人签字的，应附法定代表人签字的授权委托书。</w:t>
      </w:r>
    </w:p>
    <w:p>
      <w:pPr>
        <w:pStyle w:val="11"/>
        <w:shd w:val="clear"/>
        <w:rPr>
          <w:color w:val="auto"/>
          <w:sz w:val="21"/>
          <w:szCs w:val="21"/>
          <w:highlight w:val="none"/>
        </w:rPr>
      </w:pPr>
      <w:r>
        <w:rPr>
          <w:rFonts w:hint="eastAsia"/>
          <w:color w:val="auto"/>
          <w:sz w:val="21"/>
          <w:szCs w:val="21"/>
          <w:highlight w:val="none"/>
        </w:rPr>
        <w:t>牵头人名称：_______________________（盖单位公章）</w:t>
      </w:r>
    </w:p>
    <w:p>
      <w:pPr>
        <w:pStyle w:val="11"/>
        <w:shd w:val="clear"/>
        <w:rPr>
          <w:color w:val="auto"/>
          <w:sz w:val="21"/>
          <w:szCs w:val="21"/>
          <w:highlight w:val="none"/>
        </w:rPr>
      </w:pPr>
      <w:r>
        <w:rPr>
          <w:rFonts w:hint="eastAsia"/>
          <w:color w:val="auto"/>
          <w:sz w:val="21"/>
          <w:szCs w:val="21"/>
          <w:highlight w:val="none"/>
        </w:rPr>
        <w:t>法定代表人或其委托代理人：_____________（签字）</w:t>
      </w:r>
    </w:p>
    <w:p>
      <w:pPr>
        <w:pStyle w:val="11"/>
        <w:shd w:val="clear"/>
        <w:rPr>
          <w:color w:val="auto"/>
          <w:sz w:val="21"/>
          <w:szCs w:val="21"/>
          <w:highlight w:val="none"/>
        </w:rPr>
      </w:pPr>
    </w:p>
    <w:p>
      <w:pPr>
        <w:pStyle w:val="11"/>
        <w:shd w:val="clear"/>
        <w:rPr>
          <w:color w:val="auto"/>
          <w:sz w:val="21"/>
          <w:szCs w:val="21"/>
          <w:highlight w:val="none"/>
        </w:rPr>
      </w:pPr>
      <w:r>
        <w:rPr>
          <w:rFonts w:hint="eastAsia"/>
          <w:color w:val="auto"/>
          <w:sz w:val="21"/>
          <w:szCs w:val="21"/>
          <w:highlight w:val="none"/>
        </w:rPr>
        <w:t>成员一名称：_______________________（盖单位公章）</w:t>
      </w:r>
    </w:p>
    <w:p>
      <w:pPr>
        <w:pStyle w:val="11"/>
        <w:shd w:val="clear"/>
        <w:rPr>
          <w:color w:val="auto"/>
          <w:sz w:val="21"/>
          <w:szCs w:val="21"/>
          <w:highlight w:val="none"/>
        </w:rPr>
      </w:pPr>
      <w:r>
        <w:rPr>
          <w:rFonts w:hint="eastAsia"/>
          <w:color w:val="auto"/>
          <w:sz w:val="21"/>
          <w:szCs w:val="21"/>
          <w:highlight w:val="none"/>
        </w:rPr>
        <w:t>法定代表人或其委托代理人：_____________（签字）</w:t>
      </w:r>
    </w:p>
    <w:p>
      <w:pPr>
        <w:pStyle w:val="11"/>
        <w:shd w:val="clear"/>
        <w:rPr>
          <w:color w:val="auto"/>
          <w:sz w:val="21"/>
          <w:szCs w:val="21"/>
          <w:highlight w:val="none"/>
        </w:rPr>
      </w:pPr>
    </w:p>
    <w:p>
      <w:pPr>
        <w:pStyle w:val="11"/>
        <w:shd w:val="clear"/>
        <w:rPr>
          <w:color w:val="auto"/>
          <w:sz w:val="21"/>
          <w:szCs w:val="21"/>
          <w:highlight w:val="none"/>
        </w:rPr>
      </w:pPr>
      <w:r>
        <w:rPr>
          <w:rFonts w:hint="eastAsia"/>
          <w:color w:val="auto"/>
          <w:sz w:val="21"/>
          <w:szCs w:val="21"/>
          <w:highlight w:val="none"/>
        </w:rPr>
        <w:t>成员二名称：_______________________（盖单位公章）</w:t>
      </w:r>
    </w:p>
    <w:p>
      <w:pPr>
        <w:pStyle w:val="11"/>
        <w:shd w:val="clear"/>
        <w:rPr>
          <w:color w:val="auto"/>
          <w:sz w:val="21"/>
          <w:szCs w:val="21"/>
          <w:highlight w:val="none"/>
        </w:rPr>
      </w:pPr>
      <w:r>
        <w:rPr>
          <w:rFonts w:hint="eastAsia"/>
          <w:color w:val="auto"/>
          <w:sz w:val="21"/>
          <w:szCs w:val="21"/>
          <w:highlight w:val="none"/>
        </w:rPr>
        <w:t>法定代表人或其委托代理人：_____________（签字）</w:t>
      </w:r>
    </w:p>
    <w:p>
      <w:pPr>
        <w:pStyle w:val="11"/>
        <w:shd w:val="clear"/>
        <w:ind w:firstLine="210" w:firstLineChars="100"/>
        <w:jc w:val="both"/>
        <w:rPr>
          <w:color w:val="auto"/>
          <w:sz w:val="21"/>
          <w:szCs w:val="21"/>
          <w:highlight w:val="none"/>
        </w:rPr>
      </w:pPr>
      <w:r>
        <w:rPr>
          <w:rFonts w:hint="eastAsia"/>
          <w:color w:val="auto"/>
          <w:sz w:val="21"/>
          <w:szCs w:val="21"/>
          <w:highlight w:val="none"/>
        </w:rPr>
        <w:t>……</w:t>
      </w:r>
    </w:p>
    <w:p>
      <w:pPr>
        <w:pStyle w:val="11"/>
        <w:shd w:val="clear"/>
        <w:rPr>
          <w:color w:val="auto"/>
          <w:highlight w:val="none"/>
          <w:lang w:val="en-US"/>
        </w:rPr>
        <w:sectPr>
          <w:headerReference r:id="rId13" w:type="first"/>
          <w:footerReference r:id="rId15" w:type="first"/>
          <w:headerReference r:id="rId12" w:type="default"/>
          <w:footerReference r:id="rId14" w:type="default"/>
          <w:pgSz w:w="11906" w:h="16838"/>
          <w:pgMar w:top="1440" w:right="1800" w:bottom="1440" w:left="1800" w:header="708" w:footer="708" w:gutter="0"/>
          <w:pgNumType w:fmt="decimal"/>
          <w:cols w:space="708" w:num="1"/>
          <w:titlePg/>
          <w:docGrid w:type="lines" w:linePitch="360" w:charSpace="0"/>
        </w:sectPr>
      </w:pPr>
      <w:r>
        <w:rPr>
          <w:rFonts w:hint="eastAsia"/>
          <w:color w:val="auto"/>
          <w:sz w:val="21"/>
          <w:szCs w:val="21"/>
          <w:highlight w:val="none"/>
        </w:rPr>
        <w:t xml:space="preserve">        年     月     日</w:t>
      </w:r>
    </w:p>
    <w:p>
      <w:pPr>
        <w:pStyle w:val="11"/>
        <w:shd w:val="clear"/>
        <w:rPr>
          <w:color w:val="auto"/>
          <w:highlight w:val="none"/>
        </w:rPr>
      </w:pPr>
    </w:p>
    <w:p>
      <w:pPr>
        <w:pStyle w:val="4"/>
        <w:shd w:val="clear"/>
        <w:spacing w:before="0" w:after="0" w:line="360" w:lineRule="auto"/>
        <w:jc w:val="center"/>
        <w:rPr>
          <w:color w:val="auto"/>
          <w:sz w:val="72"/>
          <w:szCs w:val="72"/>
          <w:highlight w:val="none"/>
        </w:rPr>
      </w:pPr>
      <w:bookmarkStart w:id="140" w:name="_Toc14965"/>
      <w:r>
        <w:rPr>
          <w:rFonts w:hint="eastAsia"/>
          <w:color w:val="auto"/>
          <w:sz w:val="72"/>
          <w:szCs w:val="72"/>
          <w:highlight w:val="none"/>
        </w:rPr>
        <w:t>技术文件</w:t>
      </w:r>
      <w:bookmarkEnd w:id="140"/>
    </w:p>
    <w:p>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shd w:val="clear"/>
        <w:rPr>
          <w:color w:val="auto"/>
          <w:highlight w:val="none"/>
        </w:rPr>
      </w:pPr>
    </w:p>
    <w:p>
      <w:pPr>
        <w:pStyle w:val="11"/>
        <w:shd w:val="clear"/>
        <w:rPr>
          <w:color w:val="auto"/>
          <w:highlight w:val="none"/>
        </w:rPr>
      </w:pPr>
    </w:p>
    <w:p>
      <w:pPr>
        <w:shd w:val="clear"/>
        <w:ind w:firstLine="240"/>
        <w:rPr>
          <w:color w:val="auto"/>
          <w:highlight w:val="none"/>
        </w:rPr>
      </w:pPr>
    </w:p>
    <w:p>
      <w:pPr>
        <w:shd w:val="clear"/>
        <w:rPr>
          <w:rFonts w:hint="eastAsia" w:ascii="宋体" w:hAnsi="宋体" w:cs="宋体"/>
          <w:b/>
          <w:bCs/>
          <w:color w:val="auto"/>
          <w:spacing w:val="106"/>
          <w:kern w:val="0"/>
          <w:sz w:val="32"/>
          <w:szCs w:val="32"/>
          <w:highlight w:val="none"/>
          <w:fitText w:val="1600" w:id="10"/>
        </w:rPr>
      </w:pPr>
      <w:r>
        <w:rPr>
          <w:rFonts w:hint="eastAsia" w:ascii="宋体" w:hAnsi="宋体" w:cs="宋体"/>
          <w:b/>
          <w:bCs/>
          <w:color w:val="auto"/>
          <w:spacing w:val="0"/>
          <w:kern w:val="0"/>
          <w:sz w:val="32"/>
          <w:szCs w:val="32"/>
          <w:highlight w:val="none"/>
          <w:fitText w:val="1600" w:id="10"/>
        </w:rPr>
        <w:t>项目名称：</w:t>
      </w:r>
    </w:p>
    <w:p>
      <w:pPr>
        <w:shd w:val="clear"/>
        <w:rPr>
          <w:rFonts w:hint="eastAsia" w:ascii="宋体" w:hAnsi="宋体" w:cs="宋体"/>
          <w:b/>
          <w:bCs/>
          <w:color w:val="auto"/>
          <w:spacing w:val="106"/>
          <w:kern w:val="0"/>
          <w:sz w:val="32"/>
          <w:szCs w:val="32"/>
          <w:highlight w:val="none"/>
          <w:fitText w:val="1600" w:id="11"/>
        </w:rPr>
      </w:pPr>
      <w:r>
        <w:rPr>
          <w:rFonts w:hint="eastAsia" w:ascii="宋体" w:hAnsi="宋体" w:cs="宋体"/>
          <w:b/>
          <w:bCs/>
          <w:color w:val="auto"/>
          <w:spacing w:val="0"/>
          <w:kern w:val="0"/>
          <w:sz w:val="32"/>
          <w:szCs w:val="32"/>
          <w:highlight w:val="none"/>
          <w:fitText w:val="1600" w:id="11"/>
        </w:rPr>
        <w:t>项目编号：</w:t>
      </w:r>
    </w:p>
    <w:p>
      <w:pPr>
        <w:shd w:val="clear"/>
        <w:rPr>
          <w:rFonts w:hint="eastAsia" w:ascii="宋体" w:hAnsi="宋体" w:cs="宋体"/>
          <w:b/>
          <w:bCs/>
          <w:color w:val="auto"/>
          <w:spacing w:val="106"/>
          <w:kern w:val="0"/>
          <w:sz w:val="32"/>
          <w:szCs w:val="32"/>
          <w:highlight w:val="none"/>
          <w:fitText w:val="1600" w:id="12"/>
        </w:rPr>
      </w:pPr>
      <w:r>
        <w:rPr>
          <w:rFonts w:hint="eastAsia" w:ascii="宋体" w:hAnsi="宋体" w:cs="宋体"/>
          <w:b/>
          <w:bCs/>
          <w:color w:val="auto"/>
          <w:spacing w:val="1"/>
          <w:w w:val="62"/>
          <w:kern w:val="0"/>
          <w:sz w:val="32"/>
          <w:szCs w:val="32"/>
          <w:highlight w:val="none"/>
          <w:fitText w:val="1600" w:id="12"/>
          <w:lang w:val="en-US"/>
        </w:rPr>
        <w:t>包组号（如有）</w:t>
      </w:r>
      <w:r>
        <w:rPr>
          <w:rFonts w:hint="eastAsia" w:ascii="宋体" w:hAnsi="宋体" w:cs="宋体"/>
          <w:b/>
          <w:bCs/>
          <w:color w:val="auto"/>
          <w:spacing w:val="4"/>
          <w:w w:val="62"/>
          <w:kern w:val="0"/>
          <w:sz w:val="32"/>
          <w:szCs w:val="32"/>
          <w:highlight w:val="none"/>
          <w:fitText w:val="1600" w:id="12"/>
          <w:lang w:val="en-US"/>
        </w:rPr>
        <w:t>：</w:t>
      </w:r>
    </w:p>
    <w:p>
      <w:pPr>
        <w:shd w:val="clear"/>
        <w:rPr>
          <w:rFonts w:hint="eastAsia" w:ascii="宋体" w:hAnsi="宋体" w:cs="宋体"/>
          <w:b/>
          <w:bCs/>
          <w:color w:val="auto"/>
          <w:spacing w:val="106"/>
          <w:kern w:val="0"/>
          <w:sz w:val="32"/>
          <w:szCs w:val="32"/>
          <w:highlight w:val="none"/>
          <w:fitText w:val="1600" w:id="13"/>
        </w:rPr>
      </w:pPr>
      <w:r>
        <w:rPr>
          <w:rFonts w:hint="eastAsia" w:ascii="宋体" w:hAnsi="宋体" w:cs="宋体"/>
          <w:b/>
          <w:bCs/>
          <w:color w:val="auto"/>
          <w:spacing w:val="0"/>
          <w:w w:val="83"/>
          <w:kern w:val="0"/>
          <w:sz w:val="32"/>
          <w:szCs w:val="32"/>
          <w:highlight w:val="none"/>
          <w:fitText w:val="1600" w:id="13"/>
        </w:rPr>
        <w:t>投标人名称：</w:t>
      </w:r>
    </w:p>
    <w:p>
      <w:pPr>
        <w:shd w:val="clear"/>
        <w:rPr>
          <w:rFonts w:hint="eastAsia" w:ascii="宋体" w:hAnsi="宋体" w:cs="宋体"/>
          <w:b/>
          <w:bCs/>
          <w:color w:val="auto"/>
          <w:spacing w:val="106"/>
          <w:kern w:val="0"/>
          <w:sz w:val="32"/>
          <w:szCs w:val="32"/>
          <w:highlight w:val="none"/>
          <w:fitText w:val="1600" w:id="14"/>
        </w:rPr>
      </w:pPr>
      <w:r>
        <w:rPr>
          <w:rFonts w:hint="eastAsia" w:ascii="宋体" w:hAnsi="宋体" w:cs="宋体"/>
          <w:b/>
          <w:bCs/>
          <w:color w:val="auto"/>
          <w:spacing w:val="0"/>
          <w:kern w:val="0"/>
          <w:sz w:val="32"/>
          <w:szCs w:val="32"/>
          <w:highlight w:val="none"/>
          <w:fitText w:val="1600" w:id="14"/>
        </w:rPr>
        <w:t>日    期：</w:t>
      </w:r>
    </w:p>
    <w:p>
      <w:pPr>
        <w:shd w:val="clear"/>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41" w:name="_Toc2793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技术规格偏离表格式</w:t>
      </w:r>
      <w:bookmarkEnd w:id="141"/>
    </w:p>
    <w:p>
      <w:pPr>
        <w:shd w:val="clear"/>
        <w:jc w:val="center"/>
        <w:rPr>
          <w:rFonts w:ascii="黑体" w:eastAsia="黑体"/>
          <w:color w:val="auto"/>
          <w:sz w:val="28"/>
          <w:szCs w:val="28"/>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838"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hd w:val="clear"/>
              <w:jc w:val="center"/>
              <w:rPr>
                <w:rFonts w:ascii="宋体" w:hAnsi="宋体"/>
                <w:color w:val="auto"/>
                <w:szCs w:val="21"/>
                <w:highlight w:val="none"/>
              </w:rPr>
            </w:pPr>
          </w:p>
        </w:tc>
        <w:tc>
          <w:tcPr>
            <w:tcW w:w="1902" w:type="dxa"/>
            <w:vAlign w:val="center"/>
          </w:tcPr>
          <w:p>
            <w:pPr>
              <w:shd w:val="clear"/>
              <w:jc w:val="center"/>
              <w:rPr>
                <w:rFonts w:ascii="宋体" w:hAnsi="宋体"/>
                <w:color w:val="auto"/>
                <w:szCs w:val="21"/>
                <w:highlight w:val="none"/>
              </w:rPr>
            </w:pPr>
          </w:p>
        </w:tc>
        <w:tc>
          <w:tcPr>
            <w:tcW w:w="1370" w:type="dxa"/>
            <w:vAlign w:val="center"/>
          </w:tcPr>
          <w:p>
            <w:pPr>
              <w:shd w:val="clear"/>
              <w:jc w:val="center"/>
              <w:rPr>
                <w:rFonts w:ascii="宋体" w:hAnsi="宋体"/>
                <w:color w:val="auto"/>
                <w:szCs w:val="21"/>
                <w:highlight w:val="none"/>
              </w:rPr>
            </w:pPr>
          </w:p>
        </w:tc>
        <w:tc>
          <w:tcPr>
            <w:tcW w:w="1629" w:type="dxa"/>
            <w:vAlign w:val="center"/>
          </w:tcPr>
          <w:p>
            <w:pPr>
              <w:shd w:val="clear"/>
              <w:jc w:val="center"/>
              <w:rPr>
                <w:rFonts w:ascii="宋体" w:hAnsi="宋体"/>
                <w:color w:val="auto"/>
                <w:szCs w:val="21"/>
                <w:highlight w:val="none"/>
              </w:rPr>
            </w:pPr>
          </w:p>
        </w:tc>
        <w:tc>
          <w:tcPr>
            <w:tcW w:w="1239" w:type="dxa"/>
            <w:vAlign w:val="center"/>
          </w:tcPr>
          <w:p>
            <w:pPr>
              <w:shd w:val="clear"/>
              <w:jc w:val="center"/>
              <w:rPr>
                <w:rFonts w:ascii="宋体" w:hAnsi="宋体"/>
                <w:color w:val="auto"/>
                <w:szCs w:val="21"/>
                <w:highlight w:val="none"/>
              </w:rPr>
            </w:pPr>
          </w:p>
        </w:tc>
        <w:tc>
          <w:tcPr>
            <w:tcW w:w="1544" w:type="dxa"/>
            <w:vAlign w:val="center"/>
          </w:tcPr>
          <w:p>
            <w:pPr>
              <w:shd w:val="clear"/>
              <w:jc w:val="center"/>
              <w:rPr>
                <w:rFonts w:ascii="宋体" w:hAnsi="宋体"/>
                <w:color w:val="auto"/>
                <w:szCs w:val="21"/>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ind w:firstLine="178" w:firstLineChars="85"/>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注：</w:t>
      </w:r>
    </w:p>
    <w:p>
      <w:pPr>
        <w:shd w:val="clear"/>
        <w:rPr>
          <w:rFonts w:ascii="宋体" w:hAnsi="宋体"/>
          <w:color w:val="auto"/>
          <w:szCs w:val="21"/>
          <w:highlight w:val="none"/>
        </w:rPr>
      </w:pPr>
      <w:r>
        <w:rPr>
          <w:rFonts w:hint="eastAsia" w:ascii="宋体" w:hAnsi="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pPr>
        <w:shd w:val="clea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pPr>
        <w:shd w:val="clea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shd w:val="clea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shd w:val="clea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w:t>
      </w:r>
      <w:r>
        <w:rPr>
          <w:rFonts w:hint="eastAsia" w:hAnsi="宋体" w:cs="宋体"/>
          <w:color w:val="auto"/>
          <w:szCs w:val="21"/>
          <w:highlight w:val="none"/>
          <w:lang w:eastAsia="zh-CN"/>
        </w:rPr>
        <w:t>技术</w:t>
      </w:r>
      <w:r>
        <w:rPr>
          <w:rFonts w:hint="eastAsia" w:hAnsi="宋体" w:cs="宋体"/>
          <w:color w:val="auto"/>
          <w:szCs w:val="21"/>
          <w:highlight w:val="none"/>
        </w:rPr>
        <w:t>要求的条款全部响应的，也可以在表格下面用文字总括性的说明。</w:t>
      </w:r>
    </w:p>
    <w:p>
      <w:pPr>
        <w:shd w:val="clear"/>
        <w:rPr>
          <w:rFonts w:ascii="宋体" w:hAnsi="宋体"/>
          <w:color w:val="auto"/>
          <w:szCs w:val="21"/>
          <w:highlight w:val="none"/>
        </w:rPr>
      </w:pPr>
    </w:p>
    <w:p>
      <w:pPr>
        <w:shd w:val="clear"/>
        <w:adjustRightInd/>
        <w:snapToGrid/>
        <w:spacing w:line="276" w:lineRule="auto"/>
        <w:rPr>
          <w:color w:val="auto"/>
          <w:highlight w:val="none"/>
        </w:rPr>
      </w:pPr>
    </w:p>
    <w:p>
      <w:pPr>
        <w:shd w:val="clear"/>
        <w:rPr>
          <w:rFonts w:ascii="宋体" w:hAnsi="宋体"/>
          <w:color w:val="auto"/>
          <w:szCs w:val="21"/>
          <w:highlight w:val="none"/>
        </w:rPr>
      </w:pPr>
      <w:bookmarkStart w:id="142" w:name="_Toc17691"/>
      <w:r>
        <w:rPr>
          <w:rFonts w:hint="eastAsia" w:ascii="宋体" w:hAnsi="宋体"/>
          <w:color w:val="auto"/>
          <w:szCs w:val="21"/>
          <w:highlight w:val="none"/>
        </w:rPr>
        <w:br w:type="page"/>
      </w:r>
    </w:p>
    <w:bookmarkEnd w:id="142"/>
    <w:p>
      <w:pPr>
        <w:pStyle w:val="6"/>
        <w:widowControl w:val="0"/>
        <w:shd w:val="clear"/>
        <w:overflowPunct w:val="0"/>
        <w:spacing w:line="240" w:lineRule="auto"/>
        <w:rPr>
          <w:rFonts w:ascii="宋体" w:hAnsi="宋体"/>
          <w:color w:val="auto"/>
          <w:sz w:val="21"/>
          <w:szCs w:val="21"/>
          <w:highlight w:val="none"/>
        </w:rPr>
      </w:pPr>
      <w:bookmarkStart w:id="143" w:name="_Toc26533"/>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.项目实施方案格式</w:t>
      </w:r>
      <w:bookmarkEnd w:id="143"/>
    </w:p>
    <w:p>
      <w:pPr>
        <w:shd w:val="clear"/>
        <w:jc w:val="center"/>
        <w:rPr>
          <w:rFonts w:ascii="黑体" w:eastAsia="黑体"/>
          <w:color w:val="auto"/>
          <w:sz w:val="32"/>
          <w:szCs w:val="32"/>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shd w:val="clear"/>
        <w:jc w:val="center"/>
        <w:rPr>
          <w:rFonts w:ascii="黑体" w:eastAsia="黑体"/>
          <w:color w:val="auto"/>
          <w:sz w:val="32"/>
          <w:szCs w:val="32"/>
          <w:highlight w:val="none"/>
        </w:rPr>
      </w:pP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shd w:val="clear"/>
        <w:ind w:left="718" w:leftChars="200" w:hanging="298" w:hangingChars="142"/>
        <w:rPr>
          <w:rFonts w:ascii="宋体" w:hAnsi="宋体"/>
          <w:color w:val="auto"/>
          <w:szCs w:val="21"/>
          <w:highlight w:val="none"/>
        </w:rPr>
      </w:pPr>
    </w:p>
    <w:p>
      <w:pPr>
        <w:shd w:val="clear"/>
        <w:ind w:left="718" w:leftChars="200" w:hanging="298" w:hangingChars="142"/>
        <w:rPr>
          <w:rFonts w:ascii="宋体" w:hAnsi="宋体"/>
          <w:color w:val="auto"/>
          <w:szCs w:val="21"/>
          <w:highlight w:val="none"/>
        </w:rPr>
      </w:pP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rFonts w:ascii="宋体" w:hAnsi="宋体"/>
          <w:color w:val="auto"/>
          <w:sz w:val="21"/>
          <w:szCs w:val="21"/>
          <w:highlight w:val="none"/>
        </w:rPr>
      </w:pPr>
      <w:bookmarkStart w:id="144" w:name="_Toc529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18</w:t>
      </w:r>
      <w:r>
        <w:rPr>
          <w:rFonts w:hint="eastAsia" w:ascii="宋体" w:hAnsi="宋体"/>
          <w:color w:val="auto"/>
          <w:sz w:val="21"/>
          <w:szCs w:val="21"/>
          <w:highlight w:val="none"/>
        </w:rPr>
        <w:t>.实施本项目的有关人员资料表格式</w:t>
      </w:r>
      <w:bookmarkEnd w:id="144"/>
    </w:p>
    <w:p>
      <w:pPr>
        <w:shd w:val="clear"/>
        <w:jc w:val="center"/>
        <w:rPr>
          <w:rFonts w:ascii="宋体" w:hAnsi="宋体"/>
          <w:color w:val="auto"/>
          <w:szCs w:val="21"/>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3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02"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姓名</w:t>
            </w:r>
          </w:p>
        </w:tc>
        <w:tc>
          <w:tcPr>
            <w:tcW w:w="1861"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性别</w:t>
            </w:r>
          </w:p>
        </w:tc>
        <w:tc>
          <w:tcPr>
            <w:tcW w:w="702"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年龄</w:t>
            </w:r>
          </w:p>
        </w:tc>
        <w:tc>
          <w:tcPr>
            <w:tcW w:w="1164"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专 业</w:t>
            </w:r>
          </w:p>
        </w:tc>
        <w:tc>
          <w:tcPr>
            <w:tcW w:w="1165"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861"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702" w:type="dxa"/>
            <w:vAlign w:val="center"/>
          </w:tcPr>
          <w:p>
            <w:pPr>
              <w:shd w:val="clear"/>
              <w:spacing w:line="288" w:lineRule="auto"/>
              <w:jc w:val="center"/>
              <w:rPr>
                <w:rFonts w:ascii="宋体" w:hAnsi="宋体"/>
                <w:color w:val="auto"/>
                <w:szCs w:val="21"/>
                <w:highlight w:val="none"/>
              </w:rPr>
            </w:pPr>
          </w:p>
        </w:tc>
        <w:tc>
          <w:tcPr>
            <w:tcW w:w="1164" w:type="dxa"/>
            <w:vAlign w:val="center"/>
          </w:tcPr>
          <w:p>
            <w:pPr>
              <w:shd w:val="clear"/>
              <w:spacing w:line="288" w:lineRule="auto"/>
              <w:jc w:val="center"/>
              <w:rPr>
                <w:rFonts w:ascii="宋体" w:hAnsi="宋体"/>
                <w:color w:val="auto"/>
                <w:szCs w:val="21"/>
                <w:highlight w:val="none"/>
              </w:rPr>
            </w:pPr>
          </w:p>
        </w:tc>
        <w:tc>
          <w:tcPr>
            <w:tcW w:w="818" w:type="dxa"/>
            <w:vAlign w:val="center"/>
          </w:tcPr>
          <w:p>
            <w:pPr>
              <w:shd w:val="clear"/>
              <w:spacing w:line="288" w:lineRule="auto"/>
              <w:jc w:val="center"/>
              <w:rPr>
                <w:rFonts w:ascii="宋体" w:hAnsi="宋体"/>
                <w:color w:val="auto"/>
                <w:szCs w:val="21"/>
                <w:highlight w:val="none"/>
              </w:rPr>
            </w:pPr>
          </w:p>
        </w:tc>
        <w:tc>
          <w:tcPr>
            <w:tcW w:w="1165" w:type="dxa"/>
            <w:vAlign w:val="center"/>
          </w:tcPr>
          <w:p>
            <w:pPr>
              <w:shd w:val="clear"/>
              <w:spacing w:line="288" w:lineRule="auto"/>
              <w:jc w:val="center"/>
              <w:rPr>
                <w:rFonts w:ascii="宋体" w:hAnsi="宋体"/>
                <w:color w:val="auto"/>
                <w:szCs w:val="21"/>
                <w:highlight w:val="none"/>
              </w:rPr>
            </w:pPr>
          </w:p>
        </w:tc>
        <w:tc>
          <w:tcPr>
            <w:tcW w:w="703" w:type="dxa"/>
            <w:tcBorders>
              <w:right w:val="single" w:color="auto" w:sz="6" w:space="0"/>
            </w:tcBorders>
            <w:vAlign w:val="center"/>
          </w:tcPr>
          <w:p>
            <w:pPr>
              <w:shd w:val="clear"/>
              <w:spacing w:line="288" w:lineRule="auto"/>
              <w:jc w:val="center"/>
              <w:rPr>
                <w:rFonts w:ascii="宋体" w:hAnsi="宋体"/>
                <w:color w:val="auto"/>
                <w:szCs w:val="21"/>
                <w:highlight w:val="none"/>
              </w:rPr>
            </w:pPr>
          </w:p>
        </w:tc>
      </w:tr>
    </w:tbl>
    <w:p>
      <w:pPr>
        <w:shd w:val="clear"/>
        <w:ind w:firstLine="178" w:firstLineChars="85"/>
        <w:rPr>
          <w:rFonts w:ascii="宋体" w:hAnsi="宋体"/>
          <w:color w:val="auto"/>
          <w:szCs w:val="21"/>
          <w:highlight w:val="none"/>
        </w:rPr>
      </w:pPr>
    </w:p>
    <w:p>
      <w:pPr>
        <w:shd w:val="clea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shd w:val="clea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shd w:val="clea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shd w:val="clear"/>
        <w:rPr>
          <w:rFonts w:ascii="宋体" w:hAnsi="宋体"/>
          <w:color w:val="auto"/>
          <w:szCs w:val="21"/>
          <w:highlight w:val="none"/>
        </w:rPr>
      </w:pPr>
      <w:r>
        <w:rPr>
          <w:rFonts w:hint="eastAsia" w:ascii="宋体" w:hAnsi="宋体"/>
          <w:color w:val="auto"/>
          <w:szCs w:val="21"/>
          <w:highlight w:val="none"/>
        </w:rPr>
        <w:t>注：</w:t>
      </w:r>
    </w:p>
    <w:p>
      <w:pPr>
        <w:pStyle w:val="40"/>
        <w:numPr>
          <w:ilvl w:val="0"/>
          <w:numId w:val="15"/>
        </w:numPr>
        <w:shd w:val="clear"/>
        <w:ind w:firstLineChars="0"/>
        <w:rPr>
          <w:rFonts w:ascii="宋体" w:hAnsi="宋体"/>
          <w:color w:val="auto"/>
          <w:szCs w:val="21"/>
          <w:highlight w:val="none"/>
        </w:rPr>
      </w:pPr>
      <w:r>
        <w:rPr>
          <w:rFonts w:hint="eastAsia" w:ascii="宋体" w:hAnsi="宋体"/>
          <w:color w:val="auto"/>
          <w:szCs w:val="21"/>
          <w:highlight w:val="none"/>
        </w:rPr>
        <w:t>投标人可按项目的实际需要提供本表格。</w:t>
      </w:r>
    </w:p>
    <w:p>
      <w:pPr>
        <w:pStyle w:val="40"/>
        <w:numPr>
          <w:ilvl w:val="0"/>
          <w:numId w:val="15"/>
        </w:numPr>
        <w:shd w:val="clea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shd w:val="clear"/>
        <w:rPr>
          <w:rFonts w:ascii="宋体" w:hAnsi="宋体" w:cs="Times New Roman"/>
          <w:color w:val="auto"/>
          <w:szCs w:val="21"/>
          <w:highlight w:val="none"/>
        </w:rPr>
      </w:pPr>
      <w:r>
        <w:rPr>
          <w:rFonts w:hint="eastAsia" w:ascii="宋体" w:hAnsi="宋体"/>
          <w:color w:val="auto"/>
          <w:szCs w:val="21"/>
          <w:highlight w:val="none"/>
        </w:rPr>
        <w:t>3、投标人若未提供或未填写完整则视为完全响应采购文件的人员要求，因此对投标人投标产生负面影响的，投标人自行承担后果。</w:t>
      </w:r>
    </w:p>
    <w:p>
      <w:pPr>
        <w:pStyle w:val="40"/>
        <w:numPr>
          <w:ilvl w:val="0"/>
          <w:numId w:val="15"/>
        </w:numPr>
        <w:shd w:val="clear"/>
        <w:ind w:firstLineChars="0"/>
        <w:rPr>
          <w:rFonts w:ascii="宋体" w:hAnsi="宋体" w:cs="Times New Roman"/>
          <w:color w:val="auto"/>
          <w:szCs w:val="21"/>
          <w:highlight w:val="none"/>
        </w:rPr>
      </w:pPr>
      <w:r>
        <w:rPr>
          <w:rFonts w:hint="eastAsia" w:ascii="宋体" w:hAnsi="宋体"/>
          <w:color w:val="auto"/>
          <w:szCs w:val="21"/>
          <w:highlight w:val="none"/>
        </w:rPr>
        <w:br w:type="page"/>
      </w:r>
    </w:p>
    <w:p>
      <w:pPr>
        <w:pStyle w:val="6"/>
        <w:widowControl w:val="0"/>
        <w:shd w:val="clear"/>
        <w:overflowPunct w:val="0"/>
        <w:spacing w:line="240" w:lineRule="auto"/>
        <w:rPr>
          <w:color w:val="auto"/>
          <w:highlight w:val="none"/>
        </w:rPr>
      </w:pPr>
      <w:bookmarkStart w:id="145" w:name="_Toc3153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.投标保证金汇入情况说明格式</w:t>
      </w:r>
      <w:bookmarkEnd w:id="145"/>
    </w:p>
    <w:p>
      <w:pPr>
        <w:shd w:val="clear"/>
        <w:rPr>
          <w:color w:val="auto"/>
          <w:highlight w:val="none"/>
        </w:rPr>
      </w:pP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hd w:val="clea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广西同泽工程项目管理股份有限公司</w:t>
      </w:r>
      <w:r>
        <w:rPr>
          <w:rFonts w:hint="eastAsia" w:ascii="宋体" w:hAnsi="宋体"/>
          <w:color w:val="auto"/>
          <w:szCs w:val="21"/>
          <w:highlight w:val="none"/>
        </w:rPr>
        <w:t>：</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项目（采购项目编号：）的采购文件要求，于年月日前以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shd w:val="clea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hd w:val="clea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hd w:val="clea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hd w:val="clear"/>
        <w:spacing w:line="480" w:lineRule="auto"/>
        <w:rPr>
          <w:rFonts w:ascii="宋体" w:hAnsi="宋体"/>
          <w:color w:val="auto"/>
          <w:szCs w:val="21"/>
          <w:highlight w:val="none"/>
        </w:rPr>
      </w:pPr>
      <w:r>
        <w:rPr>
          <w:rFonts w:hint="eastAsia" w:ascii="宋体" w:hAnsi="宋体"/>
          <w:color w:val="auto"/>
          <w:szCs w:val="21"/>
          <w:highlight w:val="none"/>
        </w:rPr>
        <w:t>单位名称：</w:t>
      </w:r>
    </w:p>
    <w:p>
      <w:pPr>
        <w:shd w:val="clear"/>
        <w:spacing w:line="480" w:lineRule="auto"/>
        <w:rPr>
          <w:rFonts w:ascii="宋体" w:hAnsi="宋体"/>
          <w:color w:val="auto"/>
          <w:szCs w:val="21"/>
          <w:highlight w:val="none"/>
        </w:rPr>
      </w:pPr>
      <w:r>
        <w:rPr>
          <w:rFonts w:hint="eastAsia" w:ascii="宋体" w:hAnsi="宋体"/>
          <w:color w:val="auto"/>
          <w:szCs w:val="21"/>
          <w:highlight w:val="none"/>
        </w:rPr>
        <w:t>单位地址：</w:t>
      </w:r>
    </w:p>
    <w:p>
      <w:pPr>
        <w:shd w:val="clear"/>
        <w:spacing w:line="480" w:lineRule="auto"/>
        <w:rPr>
          <w:rFonts w:ascii="宋体" w:hAnsi="宋体"/>
          <w:color w:val="auto"/>
          <w:szCs w:val="21"/>
          <w:highlight w:val="none"/>
        </w:rPr>
      </w:pPr>
      <w:r>
        <w:rPr>
          <w:rFonts w:hint="eastAsia" w:ascii="宋体" w:hAnsi="宋体"/>
          <w:color w:val="auto"/>
          <w:szCs w:val="21"/>
          <w:highlight w:val="none"/>
        </w:rPr>
        <w:t>联系人：</w:t>
      </w:r>
    </w:p>
    <w:p>
      <w:pPr>
        <w:shd w:val="clear"/>
        <w:spacing w:line="480" w:lineRule="auto"/>
        <w:rPr>
          <w:rFonts w:hint="eastAsia" w:ascii="宋体" w:hAnsi="宋体"/>
          <w:color w:val="auto"/>
          <w:szCs w:val="21"/>
          <w:highlight w:val="none"/>
        </w:rPr>
      </w:pPr>
      <w:r>
        <w:rPr>
          <w:rFonts w:hint="eastAsia" w:ascii="宋体" w:hAnsi="宋体"/>
          <w:color w:val="auto"/>
          <w:szCs w:val="21"/>
          <w:highlight w:val="none"/>
        </w:rPr>
        <w:t xml:space="preserve">单位电话： </w:t>
      </w:r>
    </w:p>
    <w:p>
      <w:pPr>
        <w:shd w:val="clear"/>
        <w:spacing w:line="480" w:lineRule="auto"/>
        <w:rPr>
          <w:rFonts w:ascii="宋体" w:hAnsi="宋体"/>
          <w:color w:val="auto"/>
          <w:szCs w:val="21"/>
          <w:highlight w:val="none"/>
        </w:rPr>
      </w:pPr>
      <w:r>
        <w:rPr>
          <w:rFonts w:hint="eastAsia" w:ascii="宋体" w:hAnsi="宋体"/>
          <w:color w:val="auto"/>
          <w:szCs w:val="21"/>
          <w:highlight w:val="none"/>
        </w:rPr>
        <w:t>联系人手机：</w:t>
      </w:r>
    </w:p>
    <w:p>
      <w:pPr>
        <w:shd w:val="clear"/>
        <w:rPr>
          <w:rFonts w:ascii="宋体" w:hAnsi="宋体"/>
          <w:color w:val="auto"/>
          <w:szCs w:val="21"/>
          <w:highlight w:val="none"/>
        </w:rPr>
      </w:pPr>
    </w:p>
    <w:p>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89" w:hRule="atLeast"/>
        </w:trPr>
        <w:tc>
          <w:tcPr>
            <w:tcW w:w="8522" w:type="dxa"/>
            <w:vAlign w:val="center"/>
          </w:tcPr>
          <w:p>
            <w:pPr>
              <w:shd w:val="clea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pStyle w:val="6"/>
        <w:numPr>
          <w:ilvl w:val="255"/>
          <w:numId w:val="0"/>
        </w:numPr>
        <w:shd w:val="clear"/>
        <w:tabs>
          <w:tab w:val="left" w:pos="720"/>
          <w:tab w:val="left" w:pos="3840"/>
        </w:tabs>
        <w:jc w:val="both"/>
        <w:rPr>
          <w:rFonts w:ascii="宋体" w:hAnsi="宋体"/>
          <w:color w:val="auto"/>
          <w:sz w:val="21"/>
          <w:szCs w:val="21"/>
          <w:highlight w:val="none"/>
        </w:rPr>
      </w:pPr>
      <w:bookmarkStart w:id="146" w:name="_Toc2144"/>
      <w:bookmarkStart w:id="147" w:name="_Toc29823"/>
      <w:bookmarkStart w:id="148" w:name="_Toc17028"/>
      <w:bookmarkStart w:id="149" w:name="_Toc28623"/>
      <w:bookmarkStart w:id="150" w:name="_Toc25861"/>
      <w:bookmarkStart w:id="151" w:name="_Toc19947"/>
      <w:bookmarkStart w:id="152" w:name="_Toc14605"/>
      <w:bookmarkStart w:id="153" w:name="_Toc29855"/>
      <w:bookmarkStart w:id="154" w:name="_Toc4866"/>
      <w:bookmarkStart w:id="155" w:name="_Toc18296"/>
      <w:bookmarkStart w:id="156" w:name="_Toc1562"/>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20</w:t>
      </w:r>
      <w:r>
        <w:rPr>
          <w:rFonts w:hint="eastAsia" w:ascii="宋体" w:hAnsi="宋体"/>
          <w:color w:val="auto"/>
          <w:sz w:val="21"/>
          <w:szCs w:val="21"/>
          <w:highlight w:val="none"/>
        </w:rPr>
        <w:t>.不可撤销履约保函</w:t>
      </w:r>
      <w:bookmarkEnd w:id="146"/>
      <w:bookmarkEnd w:id="147"/>
      <w:bookmarkEnd w:id="148"/>
      <w:bookmarkEnd w:id="149"/>
      <w:bookmarkEnd w:id="150"/>
      <w:bookmarkEnd w:id="151"/>
      <w:bookmarkEnd w:id="152"/>
      <w:bookmarkEnd w:id="153"/>
      <w:bookmarkEnd w:id="154"/>
      <w:bookmarkEnd w:id="155"/>
      <w:bookmarkEnd w:id="156"/>
    </w:p>
    <w:p>
      <w:pPr>
        <w:shd w:val="clear"/>
        <w:jc w:val="center"/>
        <w:rPr>
          <w:rFonts w:ascii="宋体" w:hAnsi="宋体"/>
          <w:color w:val="auto"/>
          <w:highlight w:val="none"/>
        </w:rPr>
      </w:pPr>
      <w:r>
        <w:rPr>
          <w:rFonts w:hint="eastAsia" w:ascii="宋体" w:hAnsi="宋体"/>
          <w:color w:val="auto"/>
          <w:highlight w:val="none"/>
        </w:rPr>
        <w:t>银行编号：</w:t>
      </w:r>
    </w:p>
    <w:p>
      <w:pPr>
        <w:shd w:val="clear"/>
        <w:rPr>
          <w:rFonts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shd w:val="clea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shd w:val="clea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shd w:val="clea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shd w:val="clea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shd w:val="clear"/>
        <w:ind w:firstLine="420" w:firstLineChars="200"/>
        <w:rPr>
          <w:color w:val="auto"/>
          <w:highlight w:val="none"/>
        </w:rPr>
      </w:pPr>
      <w:r>
        <w:rPr>
          <w:rFonts w:hint="eastAsia"/>
          <w:color w:val="auto"/>
          <w:highlight w:val="none"/>
        </w:rPr>
        <w:t>本保函从上述合同签订之日起至项目服务期结束验收合格并完成结算后，双方签字之日起7天内保持有效。</w:t>
      </w:r>
    </w:p>
    <w:p>
      <w:pPr>
        <w:shd w:val="clear"/>
        <w:ind w:firstLine="2824" w:firstLineChars="1345"/>
        <w:rPr>
          <w:rFonts w:ascii="宋体" w:hAnsi="宋体"/>
          <w:color w:val="auto"/>
          <w:highlight w:val="none"/>
        </w:rPr>
      </w:pPr>
    </w:p>
    <w:p>
      <w:pPr>
        <w:shd w:val="clea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shd w:val="clea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shd w:val="clea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shd w:val="clea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shd w:val="clea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12"/>
        <w:shd w:val="clear"/>
        <w:rPr>
          <w:color w:val="auto"/>
          <w:szCs w:val="24"/>
          <w:highlight w:val="none"/>
        </w:rPr>
      </w:pPr>
      <w:r>
        <w:rPr>
          <w:rFonts w:hint="eastAsia"/>
          <w:color w:val="auto"/>
          <w:szCs w:val="24"/>
          <w:highlight w:val="none"/>
        </w:rPr>
        <w:t>说明：投标人在投标时不需提交正式保函，在投标文件中盖投标人公章确认保函格式即可，乙方</w:t>
      </w:r>
      <w:r>
        <w:rPr>
          <w:rFonts w:hint="eastAsia"/>
          <w:color w:val="auto"/>
          <w:highlight w:val="none"/>
        </w:rPr>
        <w:t>在签订合同时</w:t>
      </w:r>
      <w:r>
        <w:rPr>
          <w:rFonts w:hint="eastAsia"/>
          <w:color w:val="auto"/>
          <w:szCs w:val="24"/>
          <w:highlight w:val="none"/>
        </w:rPr>
        <w:t>提交正式保函。</w:t>
      </w:r>
    </w:p>
    <w:p>
      <w:pPr>
        <w:shd w:val="clear"/>
        <w:rPr>
          <w:rFonts w:ascii="宋体" w:hAnsi="宋体"/>
          <w:color w:val="auto"/>
          <w:szCs w:val="21"/>
          <w:highlight w:val="none"/>
        </w:rPr>
      </w:pPr>
    </w:p>
    <w:p>
      <w:pPr>
        <w:shd w:val="clea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pPr>
        <w:pStyle w:val="6"/>
        <w:numPr>
          <w:ilvl w:val="255"/>
          <w:numId w:val="0"/>
        </w:numPr>
        <w:shd w:val="clear"/>
        <w:tabs>
          <w:tab w:val="left" w:pos="720"/>
          <w:tab w:val="left" w:pos="3840"/>
        </w:tabs>
        <w:ind w:left="283"/>
        <w:jc w:val="both"/>
        <w:rPr>
          <w:rFonts w:ascii="宋体" w:hAnsi="宋体"/>
          <w:color w:val="auto"/>
          <w:sz w:val="21"/>
          <w:szCs w:val="21"/>
          <w:highlight w:val="none"/>
        </w:rPr>
      </w:pPr>
      <w:bookmarkStart w:id="157" w:name="_Toc1313"/>
      <w:bookmarkStart w:id="158" w:name="_Toc24863"/>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.预付款保函</w:t>
      </w:r>
      <w:bookmarkEnd w:id="157"/>
      <w:r>
        <w:rPr>
          <w:rFonts w:hint="eastAsia" w:ascii="宋体" w:hAnsi="宋体"/>
          <w:color w:val="auto"/>
          <w:sz w:val="21"/>
          <w:szCs w:val="21"/>
          <w:highlight w:val="none"/>
        </w:rPr>
        <w:t>（适用于预付款支付）</w:t>
      </w:r>
      <w:bookmarkEnd w:id="158"/>
    </w:p>
    <w:p>
      <w:pPr>
        <w:pStyle w:val="12"/>
        <w:shd w:val="clear"/>
        <w:rPr>
          <w:color w:val="auto"/>
          <w:szCs w:val="24"/>
          <w:highlight w:val="none"/>
        </w:rPr>
      </w:pPr>
    </w:p>
    <w:p>
      <w:pPr>
        <w:shd w:val="clear"/>
        <w:jc w:val="center"/>
        <w:rPr>
          <w:rFonts w:ascii="黑体" w:eastAsia="黑体"/>
          <w:color w:val="auto"/>
          <w:sz w:val="28"/>
          <w:szCs w:val="28"/>
          <w:highlight w:val="none"/>
        </w:rPr>
      </w:pPr>
      <w:bookmarkStart w:id="159" w:name="_Toc1039"/>
      <w:bookmarkStart w:id="160" w:name="_Toc7374"/>
      <w:bookmarkStart w:id="161" w:name="_Toc10719"/>
      <w:bookmarkStart w:id="162" w:name="_Toc31418"/>
      <w:bookmarkStart w:id="163" w:name="_Toc20669"/>
      <w:bookmarkStart w:id="164" w:name="_Toc3295"/>
      <w:bookmarkStart w:id="165" w:name="_Toc29728"/>
      <w:bookmarkStart w:id="166" w:name="_Toc29054"/>
      <w:bookmarkStart w:id="167" w:name="_Toc25494"/>
      <w:bookmarkStart w:id="168" w:name="_Toc10315"/>
      <w:bookmarkStart w:id="169" w:name="_Toc6877"/>
      <w:bookmarkStart w:id="170" w:name="_Toc27545"/>
      <w:r>
        <w:rPr>
          <w:rFonts w:hint="eastAsia" w:ascii="黑体" w:eastAsia="黑体"/>
          <w:color w:val="auto"/>
          <w:sz w:val="28"/>
          <w:szCs w:val="28"/>
          <w:highlight w:val="none"/>
        </w:rPr>
        <w:t>不可撤销预付款保函</w:t>
      </w:r>
      <w:bookmarkEnd w:id="159"/>
      <w:bookmarkEnd w:id="160"/>
      <w:bookmarkEnd w:id="161"/>
      <w:bookmarkEnd w:id="162"/>
      <w:bookmarkEnd w:id="163"/>
      <w:bookmarkEnd w:id="164"/>
      <w:bookmarkEnd w:id="165"/>
      <w:bookmarkEnd w:id="166"/>
      <w:bookmarkEnd w:id="167"/>
      <w:bookmarkEnd w:id="168"/>
      <w:bookmarkEnd w:id="169"/>
      <w:bookmarkEnd w:id="170"/>
    </w:p>
    <w:p>
      <w:pPr>
        <w:shd w:val="clea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shd w:val="clear"/>
        <w:ind w:firstLine="6300"/>
        <w:rPr>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shd w:val="clea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shd w:val="clear"/>
        <w:ind w:firstLine="437"/>
        <w:rPr>
          <w:rFonts w:ascii="宋体" w:hAnsi="宋体"/>
          <w:color w:val="auto"/>
          <w:szCs w:val="21"/>
          <w:highlight w:val="none"/>
        </w:rPr>
      </w:pPr>
      <w:r>
        <w:rPr>
          <w:rFonts w:hint="eastAsia" w:ascii="宋体" w:hAnsi="宋体"/>
          <w:color w:val="auto"/>
          <w:szCs w:val="24"/>
          <w:highlight w:val="none"/>
        </w:rPr>
        <w:t>根据上述合同（招标文件）规定，中标人应向采购人提供一份金额为合同总价的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shd w:val="clea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shd w:val="clea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shd w:val="clea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shd w:val="clear"/>
        <w:rPr>
          <w:rFonts w:ascii="宋体" w:hAnsi="宋体"/>
          <w:color w:val="auto"/>
          <w:szCs w:val="21"/>
          <w:highlight w:val="none"/>
        </w:rPr>
      </w:pPr>
    </w:p>
    <w:p>
      <w:pPr>
        <w:shd w:val="clear"/>
        <w:ind w:firstLine="437"/>
        <w:rPr>
          <w:rFonts w:ascii="宋体" w:hAnsi="宋体"/>
          <w:color w:val="auto"/>
          <w:szCs w:val="21"/>
          <w:highlight w:val="none"/>
        </w:rPr>
      </w:pPr>
    </w:p>
    <w:p>
      <w:pPr>
        <w:shd w:val="clea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shd w:val="clea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shd w:val="clea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shd w:val="clea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shd w:val="clea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12"/>
        <w:shd w:val="clear"/>
        <w:rPr>
          <w:color w:val="auto"/>
          <w:szCs w:val="21"/>
          <w:highlight w:val="none"/>
        </w:rPr>
      </w:pPr>
    </w:p>
    <w:p>
      <w:pPr>
        <w:pStyle w:val="12"/>
        <w:shd w:val="clear"/>
        <w:rPr>
          <w:color w:val="auto"/>
          <w:szCs w:val="21"/>
          <w:highlight w:val="none"/>
        </w:rPr>
      </w:pPr>
    </w:p>
    <w:p>
      <w:pPr>
        <w:shd w:val="clear"/>
        <w:ind w:firstLine="413" w:firstLineChars="196"/>
        <w:rPr>
          <w:rFonts w:ascii="宋体" w:hAnsi="宋体"/>
          <w:b/>
          <w:color w:val="auto"/>
          <w:szCs w:val="21"/>
          <w:highlight w:val="none"/>
        </w:rPr>
      </w:pPr>
      <w:r>
        <w:rPr>
          <w:rFonts w:hint="eastAsia" w:ascii="宋体" w:hAnsi="宋体"/>
          <w:b/>
          <w:color w:val="auto"/>
          <w:szCs w:val="21"/>
          <w:highlight w:val="none"/>
        </w:rPr>
        <w:t>说明：投标人在投标文件中盖投标人公章确认保函内容即可，如中标再由银行出具保函。</w:t>
      </w:r>
    </w:p>
    <w:p>
      <w:pPr>
        <w:shd w:val="clea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pPr>
        <w:shd w:val="clear"/>
        <w:jc w:val="center"/>
        <w:outlineLvl w:val="1"/>
        <w:rPr>
          <w:rFonts w:eastAsia="黑体"/>
          <w:color w:val="auto"/>
          <w:sz w:val="72"/>
          <w:szCs w:val="72"/>
          <w:highlight w:val="none"/>
        </w:rPr>
      </w:pPr>
      <w:bookmarkStart w:id="171" w:name="_Toc13507"/>
      <w:r>
        <w:rPr>
          <w:rFonts w:hint="eastAsia" w:eastAsia="黑体"/>
          <w:color w:val="auto"/>
          <w:sz w:val="72"/>
          <w:szCs w:val="72"/>
          <w:highlight w:val="none"/>
        </w:rPr>
        <w:t>唱标信封</w:t>
      </w:r>
      <w:bookmarkEnd w:id="171"/>
    </w:p>
    <w:p>
      <w:pPr>
        <w:shd w:val="clea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shd w:val="clear"/>
        <w:rPr>
          <w:color w:val="auto"/>
          <w:highlight w:val="none"/>
        </w:rPr>
      </w:pPr>
    </w:p>
    <w:p>
      <w:pPr>
        <w:pStyle w:val="11"/>
        <w:shd w:val="clear"/>
        <w:rPr>
          <w:color w:val="auto"/>
          <w:highlight w:val="none"/>
        </w:rPr>
      </w:pPr>
    </w:p>
    <w:p>
      <w:pPr>
        <w:shd w:val="clear"/>
        <w:ind w:firstLine="240"/>
        <w:rPr>
          <w:color w:val="auto"/>
          <w:highlight w:val="none"/>
        </w:rPr>
      </w:pPr>
    </w:p>
    <w:p>
      <w:pPr>
        <w:shd w:val="clear"/>
        <w:ind w:firstLine="240"/>
        <w:rPr>
          <w:color w:val="auto"/>
          <w:highlight w:val="none"/>
        </w:rPr>
      </w:pPr>
    </w:p>
    <w:p>
      <w:pPr>
        <w:shd w:val="clea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pPr>
        <w:shd w:val="clea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pPr>
        <w:pStyle w:val="11"/>
        <w:shd w:val="clear"/>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pPr>
        <w:shd w:val="clear"/>
        <w:rPr>
          <w:rFonts w:ascii="宋体" w:hAnsi="宋体" w:cs="宋体"/>
          <w:b/>
          <w:color w:val="auto"/>
          <w:sz w:val="32"/>
          <w:szCs w:val="32"/>
          <w:highlight w:val="none"/>
        </w:rPr>
      </w:pPr>
      <w:r>
        <w:rPr>
          <w:rFonts w:hint="eastAsia" w:ascii="宋体" w:hAnsi="宋体" w:cs="宋体"/>
          <w:b/>
          <w:color w:val="auto"/>
          <w:sz w:val="32"/>
          <w:szCs w:val="32"/>
          <w:highlight w:val="none"/>
        </w:rPr>
        <w:t>投标人名称：</w:t>
      </w:r>
    </w:p>
    <w:p>
      <w:pPr>
        <w:shd w:val="clea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pPr>
        <w:shd w:val="clear"/>
        <w:rPr>
          <w:rFonts w:ascii="宋体" w:hAnsi="宋体"/>
          <w:color w:val="auto"/>
          <w:szCs w:val="21"/>
          <w:highlight w:val="none"/>
        </w:rPr>
      </w:pPr>
      <w:r>
        <w:rPr>
          <w:rFonts w:hint="eastAsia" w:ascii="宋体" w:hAnsi="宋体"/>
          <w:color w:val="auto"/>
          <w:szCs w:val="21"/>
          <w:highlight w:val="none"/>
        </w:rPr>
        <w:br w:type="page"/>
      </w:r>
    </w:p>
    <w:p>
      <w:pPr>
        <w:pStyle w:val="6"/>
        <w:numPr>
          <w:ilvl w:val="255"/>
          <w:numId w:val="0"/>
        </w:numPr>
        <w:shd w:val="clear"/>
        <w:tabs>
          <w:tab w:val="left" w:pos="720"/>
          <w:tab w:val="left" w:pos="3840"/>
        </w:tabs>
        <w:ind w:left="283"/>
        <w:jc w:val="both"/>
        <w:rPr>
          <w:rFonts w:ascii="宋体" w:hAnsi="宋体"/>
          <w:color w:val="auto"/>
          <w:sz w:val="21"/>
          <w:szCs w:val="21"/>
          <w:highlight w:val="none"/>
        </w:rPr>
      </w:pPr>
      <w:bookmarkStart w:id="172" w:name="_Toc17341"/>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.唱标信封内装（内容务必与投标文件正本一致）</w:t>
      </w:r>
      <w:bookmarkEnd w:id="172"/>
    </w:p>
    <w:p>
      <w:pPr>
        <w:numPr>
          <w:ilvl w:val="0"/>
          <w:numId w:val="0"/>
        </w:numPr>
        <w:shd w:val="clea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一、</w:t>
      </w:r>
      <w:r>
        <w:rPr>
          <w:rFonts w:hint="eastAsia" w:hAnsi="宋体"/>
          <w:color w:val="auto"/>
          <w:szCs w:val="21"/>
          <w:highlight w:val="none"/>
        </w:rPr>
        <w:t>开标一览表加盖公章；</w:t>
      </w:r>
    </w:p>
    <w:p>
      <w:pPr>
        <w:numPr>
          <w:ilvl w:val="0"/>
          <w:numId w:val="0"/>
        </w:numPr>
        <w:shd w:val="clea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二、</w:t>
      </w:r>
      <w:r>
        <w:rPr>
          <w:rFonts w:hint="eastAsia" w:hAnsi="宋体"/>
          <w:color w:val="auto"/>
          <w:szCs w:val="21"/>
          <w:highlight w:val="none"/>
        </w:rPr>
        <w:t>法定代表人证明书加盖公章；</w:t>
      </w:r>
    </w:p>
    <w:p>
      <w:pPr>
        <w:numPr>
          <w:ilvl w:val="0"/>
          <w:numId w:val="0"/>
        </w:numPr>
        <w:shd w:val="clea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三、</w:t>
      </w:r>
      <w:r>
        <w:rPr>
          <w:rFonts w:hint="eastAsia" w:hAnsi="宋体"/>
          <w:color w:val="auto"/>
          <w:szCs w:val="21"/>
          <w:highlight w:val="none"/>
        </w:rPr>
        <w:t>法定代表人授权委托书加盖公章（法定代表人投标的除外）；</w:t>
      </w:r>
    </w:p>
    <w:p>
      <w:pPr>
        <w:numPr>
          <w:ilvl w:val="0"/>
          <w:numId w:val="0"/>
        </w:numPr>
        <w:shd w:val="clea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四、</w:t>
      </w:r>
      <w:r>
        <w:rPr>
          <w:rFonts w:hint="eastAsia" w:hAnsi="宋体"/>
          <w:color w:val="auto"/>
          <w:szCs w:val="21"/>
          <w:highlight w:val="none"/>
        </w:rPr>
        <w:t>投标保证金汇入情况说明（含银行汇款凭证）或投标保函加盖公章；</w:t>
      </w:r>
    </w:p>
    <w:p>
      <w:pPr>
        <w:numPr>
          <w:ilvl w:val="0"/>
          <w:numId w:val="0"/>
        </w:numPr>
        <w:shd w:val="clea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五、</w:t>
      </w:r>
      <w:r>
        <w:rPr>
          <w:rFonts w:hint="eastAsia" w:hAnsi="宋体"/>
          <w:color w:val="auto"/>
          <w:szCs w:val="21"/>
          <w:highlight w:val="none"/>
        </w:rPr>
        <w:t>投标文件电子文件（U盘，须含盖章版PDF投标文件和WORD版投标文件各一版，文字采用WORD文档，计算表格采用 EXCEL文档。）</w:t>
      </w:r>
    </w:p>
    <w:p>
      <w:pPr>
        <w:shd w:val="clear"/>
        <w:rPr>
          <w:rFonts w:ascii="宋体" w:hAnsi="宋体" w:cs="宋体"/>
          <w:color w:val="auto"/>
          <w:szCs w:val="21"/>
          <w:highlight w:val="none"/>
        </w:rPr>
      </w:pPr>
    </w:p>
    <w:sectPr>
      <w:pgSz w:w="11906" w:h="16838"/>
      <w:pgMar w:top="1440" w:right="1800" w:bottom="1440" w:left="1800" w:header="708" w:footer="708" w:gutter="0"/>
      <w:pgNumType w:fmt="decimal"/>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ascii="宋体" w:hAnsi="宋体" w:eastAsia="宋体" w:cs="宋体"/>
                              <w:lang w:eastAsia="zh-CN"/>
                            </w:rPr>
                          </w:pPr>
                          <w:r>
                            <w:rPr>
                              <w:rFonts w:hint="eastAsia" w:ascii="宋体" w:hAnsi="宋体" w:eastAsia="宋体" w:cs="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2</w:t>
                          </w:r>
                          <w:r>
                            <w:rPr>
                              <w:rFonts w:hint="eastAsia" w:ascii="宋体" w:hAnsi="宋体" w:eastAsia="宋体" w:cs="宋体"/>
                              <w:lang w:eastAsia="zh-CN"/>
                            </w:rPr>
                            <w:fldChar w:fldCharType="end"/>
                          </w:r>
                          <w:r>
                            <w:rPr>
                              <w:rFonts w:hint="eastAsia" w:ascii="宋体" w:hAnsi="宋体" w:eastAsia="宋体" w:cs="宋体"/>
                              <w:lang w:eastAsia="zh-CN"/>
                            </w:rPr>
                            <w:t xml:space="preserve"> 页 共 </w:t>
                          </w:r>
                          <w:r>
                            <w:rPr>
                              <w:rFonts w:hint="eastAsia" w:ascii="宋体" w:hAnsi="宋体" w:eastAsia="宋体" w:cs="宋体"/>
                              <w:lang w:eastAsia="zh-CN"/>
                            </w:rPr>
                            <w:fldChar w:fldCharType="begin"/>
                          </w:r>
                          <w:r>
                            <w:rPr>
                              <w:rFonts w:hint="eastAsia" w:ascii="宋体" w:hAnsi="宋体" w:eastAsia="宋体" w:cs="宋体"/>
                              <w:lang w:eastAsia="zh-CN"/>
                            </w:rPr>
                            <w:instrText xml:space="preserve"> NUMPAGES  \* MERGEFORMAT </w:instrText>
                          </w:r>
                          <w:r>
                            <w:rPr>
                              <w:rFonts w:hint="eastAsia" w:ascii="宋体" w:hAnsi="宋体" w:eastAsia="宋体" w:cs="宋体"/>
                              <w:lang w:eastAsia="zh-CN"/>
                            </w:rPr>
                            <w:fldChar w:fldCharType="separate"/>
                          </w:r>
                          <w:r>
                            <w:rPr>
                              <w:rFonts w:hint="eastAsia" w:ascii="宋体" w:hAnsi="宋体" w:eastAsia="宋体" w:cs="宋体"/>
                              <w:lang w:eastAsia="zh-CN"/>
                            </w:rPr>
                            <w:t>108</w:t>
                          </w:r>
                          <w:r>
                            <w:rPr>
                              <w:rFonts w:hint="eastAsia" w:ascii="宋体" w:hAnsi="宋体" w:eastAsia="宋体" w:cs="宋体"/>
                              <w:lang w:eastAsia="zh-CN"/>
                            </w:rPr>
                            <w:fldChar w:fldCharType="end"/>
                          </w:r>
                          <w:r>
                            <w:rPr>
                              <w:rFonts w:hint="eastAsia" w:ascii="宋体" w:hAnsi="宋体" w:eastAsia="宋体" w:cs="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ascii="宋体" w:hAnsi="宋体" w:eastAsia="宋体" w:cs="宋体"/>
                        <w:lang w:eastAsia="zh-CN"/>
                      </w:rPr>
                    </w:pPr>
                    <w:r>
                      <w:rPr>
                        <w:rFonts w:hint="eastAsia" w:ascii="宋体" w:hAnsi="宋体" w:eastAsia="宋体" w:cs="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2</w:t>
                    </w:r>
                    <w:r>
                      <w:rPr>
                        <w:rFonts w:hint="eastAsia" w:ascii="宋体" w:hAnsi="宋体" w:eastAsia="宋体" w:cs="宋体"/>
                        <w:lang w:eastAsia="zh-CN"/>
                      </w:rPr>
                      <w:fldChar w:fldCharType="end"/>
                    </w:r>
                    <w:r>
                      <w:rPr>
                        <w:rFonts w:hint="eastAsia" w:ascii="宋体" w:hAnsi="宋体" w:eastAsia="宋体" w:cs="宋体"/>
                        <w:lang w:eastAsia="zh-CN"/>
                      </w:rPr>
                      <w:t xml:space="preserve"> 页 共 </w:t>
                    </w:r>
                    <w:r>
                      <w:rPr>
                        <w:rFonts w:hint="eastAsia" w:ascii="宋体" w:hAnsi="宋体" w:eastAsia="宋体" w:cs="宋体"/>
                        <w:lang w:eastAsia="zh-CN"/>
                      </w:rPr>
                      <w:fldChar w:fldCharType="begin"/>
                    </w:r>
                    <w:r>
                      <w:rPr>
                        <w:rFonts w:hint="eastAsia" w:ascii="宋体" w:hAnsi="宋体" w:eastAsia="宋体" w:cs="宋体"/>
                        <w:lang w:eastAsia="zh-CN"/>
                      </w:rPr>
                      <w:instrText xml:space="preserve"> NUMPAGES  \* MERGEFORMAT </w:instrText>
                    </w:r>
                    <w:r>
                      <w:rPr>
                        <w:rFonts w:hint="eastAsia" w:ascii="宋体" w:hAnsi="宋体" w:eastAsia="宋体" w:cs="宋体"/>
                        <w:lang w:eastAsia="zh-CN"/>
                      </w:rPr>
                      <w:fldChar w:fldCharType="separate"/>
                    </w:r>
                    <w:r>
                      <w:rPr>
                        <w:rFonts w:hint="eastAsia" w:ascii="宋体" w:hAnsi="宋体" w:eastAsia="宋体" w:cs="宋体"/>
                        <w:lang w:eastAsia="zh-CN"/>
                      </w:rPr>
                      <w:t>108</w:t>
                    </w:r>
                    <w:r>
                      <w:rPr>
                        <w:rFonts w:hint="eastAsia" w:ascii="宋体" w:hAnsi="宋体" w:eastAsia="宋体" w:cs="宋体"/>
                        <w:lang w:eastAsia="zh-CN"/>
                      </w:rPr>
                      <w:fldChar w:fldCharType="end"/>
                    </w:r>
                    <w:r>
                      <w:rPr>
                        <w:rFonts w:hint="eastAsia" w:ascii="宋体" w:hAnsi="宋体" w:eastAsia="宋体" w:cs="宋体"/>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wps:spPr>
                    <wps:txbx>
                      <w:txbxContent>
                        <w:p>
                          <w:pPr>
                            <w:pStyle w:val="18"/>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108</w:t>
                          </w:r>
                          <w:r>
                            <w:rPr>
                              <w:rFonts w:hint="eastAsia"/>
                              <w:lang w:eastAsia="zh-CN"/>
                            </w:rPr>
                            <w:fldChar w:fldCharType="end"/>
                          </w:r>
                          <w:r>
                            <w:rPr>
                              <w:rFonts w:hint="eastAsia"/>
                              <w:lang w:eastAsia="zh-CN"/>
                            </w:rPr>
                            <w:t xml:space="preserve"> 页</w:t>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85.7pt;mso-position-horizontal:center;mso-position-horizontal-relative:margin;z-index:251659264;mso-width-relative:page;mso-height-relative:page;" filled="f" stroked="f" coordsize="21600,21600" o:gfxdata="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sfqk0wAAAAUB&#10;AAAPAAAAAAAAAAEAIAAAACIAAABkcnMvZG93bnJldi54bWxQSwECFAAUAAAACACHTuJAwUn3La4B&#10;AABCAwAADgAAAAAAAAABACAAAAAiAQAAZHJzL2Uyb0RvYy54bWxQSwUGAAAAAAYABgBZAQAAQgUA&#10;AAAA&#10;">
              <v:fill on="f" focussize="0,0"/>
              <v:stroke on="f"/>
              <v:imagedata o:title=""/>
              <o:lock v:ext="edit" aspectratio="f"/>
              <v:textbox inset="0mm,0mm,0mm,0mm" style="mso-fit-shape-to-text:t;">
                <w:txbxContent>
                  <w:p>
                    <w:pPr>
                      <w:pStyle w:val="18"/>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108</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pPr>
                            <w:pStyle w:val="18"/>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108</w:t>
                          </w:r>
                          <w:r>
                            <w:rPr>
                              <w:rFonts w:hint="eastAsia"/>
                              <w:lang w:eastAsia="zh-CN"/>
                            </w:rPr>
                            <w:fldChar w:fldCharType="end"/>
                          </w:r>
                          <w:r>
                            <w:rPr>
                              <w:rFonts w:hint="eastAsia"/>
                              <w:lang w:eastAsia="zh-CN"/>
                            </w:rP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ggSLNIAAAAFAQAA&#10;DwAAAAAAAAABACAAAAAiAAAAZHJzL2Rvd25yZXYueG1sUEsBAhQAFAAAAAgAh07iQPzF/Y2tAQAA&#10;QgMAAA4AAAAAAAAAAQAgAAAAIQEAAGRycy9lMm9Eb2MueG1sUEsFBgAAAAAGAAYAWQEAAEAFAAAA&#10;AA==&#10;">
              <v:fill on="f" focussize="0,0"/>
              <v:stroke on="f"/>
              <v:imagedata o:title=""/>
              <o:lock v:ext="edit" aspectratio="f"/>
              <v:textbox inset="0mm,0mm,0mm,0mm" style="mso-fit-shape-to-text:t;">
                <w:txbxContent>
                  <w:p>
                    <w:pPr>
                      <w:pStyle w:val="18"/>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108</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A8459C"/>
    <w:multiLevelType w:val="singleLevel"/>
    <w:tmpl w:val="90A8459C"/>
    <w:lvl w:ilvl="0" w:tentative="0">
      <w:start w:val="5"/>
      <w:numFmt w:val="decimal"/>
      <w:suff w:val="nothing"/>
      <w:lvlText w:val="%1、"/>
      <w:lvlJc w:val="left"/>
    </w:lvl>
  </w:abstractNum>
  <w:abstractNum w:abstractNumId="1">
    <w:nsid w:val="917218B6"/>
    <w:multiLevelType w:val="multilevel"/>
    <w:tmpl w:val="917218B6"/>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default" w:ascii="仿宋_GB2312" w:hAnsi="仿宋_GB2312" w:eastAsia="仿宋_GB2312" w:cs="仿宋_GB2312"/>
        <w:sz w:val="24"/>
        <w:szCs w:val="24"/>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
    <w:nsid w:val="C9555E15"/>
    <w:multiLevelType w:val="singleLevel"/>
    <w:tmpl w:val="C9555E15"/>
    <w:lvl w:ilvl="0" w:tentative="0">
      <w:start w:val="1"/>
      <w:numFmt w:val="decimal"/>
      <w:lvlText w:val="(%1)"/>
      <w:lvlJc w:val="left"/>
      <w:pPr>
        <w:ind w:left="425" w:hanging="425"/>
      </w:pPr>
      <w:rPr>
        <w:rFonts w:hint="default"/>
      </w:rPr>
    </w:lvl>
  </w:abstractNum>
  <w:abstractNum w:abstractNumId="3">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CFF174A5"/>
    <w:multiLevelType w:val="singleLevel"/>
    <w:tmpl w:val="CFF174A5"/>
    <w:lvl w:ilvl="0" w:tentative="0">
      <w:start w:val="1"/>
      <w:numFmt w:val="decimal"/>
      <w:suff w:val="nothing"/>
      <w:lvlText w:val="%1、"/>
      <w:lvlJc w:val="left"/>
    </w:lvl>
  </w:abstractNum>
  <w:abstractNum w:abstractNumId="5">
    <w:nsid w:val="D0047B7E"/>
    <w:multiLevelType w:val="singleLevel"/>
    <w:tmpl w:val="D0047B7E"/>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8">
    <w:nsid w:val="00A2B788"/>
    <w:multiLevelType w:val="singleLevel"/>
    <w:tmpl w:val="00A2B788"/>
    <w:lvl w:ilvl="0" w:tentative="0">
      <w:start w:val="8"/>
      <w:numFmt w:val="decimal"/>
      <w:suff w:val="space"/>
      <w:lvlText w:val="%1."/>
      <w:lvlJc w:val="left"/>
    </w:lvl>
  </w:abstractNum>
  <w:abstractNum w:abstractNumId="9">
    <w:nsid w:val="20D2348B"/>
    <w:multiLevelType w:val="singleLevel"/>
    <w:tmpl w:val="20D2348B"/>
    <w:lvl w:ilvl="0" w:tentative="0">
      <w:start w:val="1"/>
      <w:numFmt w:val="chineseCounting"/>
      <w:suff w:val="nothing"/>
      <w:lvlText w:val="（%1）"/>
      <w:lvlJc w:val="left"/>
      <w:rPr>
        <w:rFonts w:hint="eastAsia"/>
      </w:rPr>
    </w:lvl>
  </w:abstractNum>
  <w:abstractNum w:abstractNumId="10">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2"/>
  </w:num>
  <w:num w:numId="2">
    <w:abstractNumId w:val="10"/>
  </w:num>
  <w:num w:numId="3">
    <w:abstractNumId w:val="3"/>
  </w:num>
  <w:num w:numId="4">
    <w:abstractNumId w:val="14"/>
  </w:num>
  <w:num w:numId="5">
    <w:abstractNumId w:val="11"/>
  </w:num>
  <w:num w:numId="6">
    <w:abstractNumId w:val="7"/>
  </w:num>
  <w:num w:numId="7">
    <w:abstractNumId w:val="2"/>
  </w:num>
  <w:num w:numId="8">
    <w:abstractNumId w:val="1"/>
  </w:num>
  <w:num w:numId="9">
    <w:abstractNumId w:val="8"/>
  </w:num>
  <w:num w:numId="10">
    <w:abstractNumId w:val="0"/>
  </w:num>
  <w:num w:numId="11">
    <w:abstractNumId w:val="4"/>
  </w:num>
  <w:num w:numId="12">
    <w:abstractNumId w:val="6"/>
  </w:num>
  <w:num w:numId="13">
    <w:abstractNumId w:val="9"/>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xODRmOWQwY2JlNzVlNGZlZDM1ZTI4ZTVmZWUxNTAifQ=="/>
  </w:docVars>
  <w:rsids>
    <w:rsidRoot w:val="00172A27"/>
    <w:rsid w:val="00005A66"/>
    <w:rsid w:val="00006462"/>
    <w:rsid w:val="000300E4"/>
    <w:rsid w:val="0003307E"/>
    <w:rsid w:val="000336BA"/>
    <w:rsid w:val="000359A1"/>
    <w:rsid w:val="0005185D"/>
    <w:rsid w:val="00067748"/>
    <w:rsid w:val="0007500F"/>
    <w:rsid w:val="0008282E"/>
    <w:rsid w:val="00084F6D"/>
    <w:rsid w:val="00093A13"/>
    <w:rsid w:val="000A363F"/>
    <w:rsid w:val="000A42A8"/>
    <w:rsid w:val="000A5063"/>
    <w:rsid w:val="000A5DBD"/>
    <w:rsid w:val="000C4524"/>
    <w:rsid w:val="000D44A6"/>
    <w:rsid w:val="000E2CB7"/>
    <w:rsid w:val="000F0E98"/>
    <w:rsid w:val="001049A5"/>
    <w:rsid w:val="001120E0"/>
    <w:rsid w:val="00121ADA"/>
    <w:rsid w:val="001242F3"/>
    <w:rsid w:val="001332BB"/>
    <w:rsid w:val="00134CAD"/>
    <w:rsid w:val="001368B7"/>
    <w:rsid w:val="0013730B"/>
    <w:rsid w:val="00137853"/>
    <w:rsid w:val="00137E1C"/>
    <w:rsid w:val="00147012"/>
    <w:rsid w:val="00172A27"/>
    <w:rsid w:val="00173126"/>
    <w:rsid w:val="00173905"/>
    <w:rsid w:val="00173E04"/>
    <w:rsid w:val="00175D29"/>
    <w:rsid w:val="001833A1"/>
    <w:rsid w:val="001844F4"/>
    <w:rsid w:val="00185039"/>
    <w:rsid w:val="001852D7"/>
    <w:rsid w:val="001915D6"/>
    <w:rsid w:val="001934B1"/>
    <w:rsid w:val="00193CF2"/>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503E"/>
    <w:rsid w:val="00225BB4"/>
    <w:rsid w:val="00226313"/>
    <w:rsid w:val="002358D2"/>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3DFB"/>
    <w:rsid w:val="0035595E"/>
    <w:rsid w:val="00360C24"/>
    <w:rsid w:val="003717F5"/>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63ACB"/>
    <w:rsid w:val="00475A80"/>
    <w:rsid w:val="00490B9E"/>
    <w:rsid w:val="00497577"/>
    <w:rsid w:val="004A05D7"/>
    <w:rsid w:val="004A154E"/>
    <w:rsid w:val="004A2B28"/>
    <w:rsid w:val="004A69F1"/>
    <w:rsid w:val="004B3550"/>
    <w:rsid w:val="004B3F06"/>
    <w:rsid w:val="004C7FD6"/>
    <w:rsid w:val="004D08C0"/>
    <w:rsid w:val="004D1669"/>
    <w:rsid w:val="004D22B3"/>
    <w:rsid w:val="004D51A2"/>
    <w:rsid w:val="004D5AFB"/>
    <w:rsid w:val="004E04FD"/>
    <w:rsid w:val="004E3E1F"/>
    <w:rsid w:val="004F1BB7"/>
    <w:rsid w:val="0050759C"/>
    <w:rsid w:val="00510827"/>
    <w:rsid w:val="00511DEA"/>
    <w:rsid w:val="005267F1"/>
    <w:rsid w:val="005269A9"/>
    <w:rsid w:val="00532034"/>
    <w:rsid w:val="00545D9A"/>
    <w:rsid w:val="00546A42"/>
    <w:rsid w:val="0055408D"/>
    <w:rsid w:val="0057492D"/>
    <w:rsid w:val="0058523E"/>
    <w:rsid w:val="00590819"/>
    <w:rsid w:val="00593D68"/>
    <w:rsid w:val="005A208B"/>
    <w:rsid w:val="005A555E"/>
    <w:rsid w:val="005A7612"/>
    <w:rsid w:val="005B58A6"/>
    <w:rsid w:val="005C57E1"/>
    <w:rsid w:val="005C702E"/>
    <w:rsid w:val="005D01B8"/>
    <w:rsid w:val="005D066B"/>
    <w:rsid w:val="005D1D00"/>
    <w:rsid w:val="005D2D85"/>
    <w:rsid w:val="005F20A4"/>
    <w:rsid w:val="005F4EAE"/>
    <w:rsid w:val="005F573A"/>
    <w:rsid w:val="005F660B"/>
    <w:rsid w:val="005F7EB1"/>
    <w:rsid w:val="00604B81"/>
    <w:rsid w:val="0061246F"/>
    <w:rsid w:val="00613151"/>
    <w:rsid w:val="00613417"/>
    <w:rsid w:val="00613B25"/>
    <w:rsid w:val="0061545F"/>
    <w:rsid w:val="006175DE"/>
    <w:rsid w:val="006215AC"/>
    <w:rsid w:val="00621821"/>
    <w:rsid w:val="00622362"/>
    <w:rsid w:val="00622497"/>
    <w:rsid w:val="006276AD"/>
    <w:rsid w:val="006378D4"/>
    <w:rsid w:val="00641E8C"/>
    <w:rsid w:val="0064416A"/>
    <w:rsid w:val="006476E3"/>
    <w:rsid w:val="00650DDC"/>
    <w:rsid w:val="00652983"/>
    <w:rsid w:val="0065365D"/>
    <w:rsid w:val="006546D0"/>
    <w:rsid w:val="006576FD"/>
    <w:rsid w:val="00664F6B"/>
    <w:rsid w:val="006731D2"/>
    <w:rsid w:val="00680EB0"/>
    <w:rsid w:val="00682986"/>
    <w:rsid w:val="0068501E"/>
    <w:rsid w:val="00691701"/>
    <w:rsid w:val="00691AE0"/>
    <w:rsid w:val="0069491E"/>
    <w:rsid w:val="006A5604"/>
    <w:rsid w:val="006A75B0"/>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57709"/>
    <w:rsid w:val="0086026F"/>
    <w:rsid w:val="008640F5"/>
    <w:rsid w:val="0087704E"/>
    <w:rsid w:val="008907DA"/>
    <w:rsid w:val="008A0587"/>
    <w:rsid w:val="008A7273"/>
    <w:rsid w:val="008B55B9"/>
    <w:rsid w:val="008B7726"/>
    <w:rsid w:val="008C05BA"/>
    <w:rsid w:val="008D0211"/>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5809"/>
    <w:rsid w:val="00A275C2"/>
    <w:rsid w:val="00A3295D"/>
    <w:rsid w:val="00A353F9"/>
    <w:rsid w:val="00A4012F"/>
    <w:rsid w:val="00A4190E"/>
    <w:rsid w:val="00A42E91"/>
    <w:rsid w:val="00A50383"/>
    <w:rsid w:val="00A61230"/>
    <w:rsid w:val="00A668C8"/>
    <w:rsid w:val="00A74ED3"/>
    <w:rsid w:val="00A75C51"/>
    <w:rsid w:val="00A813C5"/>
    <w:rsid w:val="00A824E6"/>
    <w:rsid w:val="00A858DC"/>
    <w:rsid w:val="00A94D14"/>
    <w:rsid w:val="00A96ED2"/>
    <w:rsid w:val="00AA0EAD"/>
    <w:rsid w:val="00AB19CE"/>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0E6D"/>
    <w:rsid w:val="00BC3E74"/>
    <w:rsid w:val="00BD630F"/>
    <w:rsid w:val="00BD7C1B"/>
    <w:rsid w:val="00BE0825"/>
    <w:rsid w:val="00BE2EE6"/>
    <w:rsid w:val="00BF17FD"/>
    <w:rsid w:val="00BF2820"/>
    <w:rsid w:val="00BF41D4"/>
    <w:rsid w:val="00BF5AFB"/>
    <w:rsid w:val="00C16734"/>
    <w:rsid w:val="00C17B47"/>
    <w:rsid w:val="00C2046D"/>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2D67"/>
    <w:rsid w:val="00CA32B5"/>
    <w:rsid w:val="00CB57AD"/>
    <w:rsid w:val="00CC009D"/>
    <w:rsid w:val="00CC584A"/>
    <w:rsid w:val="00CC5E4E"/>
    <w:rsid w:val="00CD0EAB"/>
    <w:rsid w:val="00CD7E8F"/>
    <w:rsid w:val="00CE2AF3"/>
    <w:rsid w:val="00CE621D"/>
    <w:rsid w:val="00CE66E8"/>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DF6877"/>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400"/>
    <w:rsid w:val="00E83650"/>
    <w:rsid w:val="00E83A31"/>
    <w:rsid w:val="00E93BF5"/>
    <w:rsid w:val="00E97CC0"/>
    <w:rsid w:val="00EA22B8"/>
    <w:rsid w:val="00EA2524"/>
    <w:rsid w:val="00EA33E7"/>
    <w:rsid w:val="00EC092D"/>
    <w:rsid w:val="00EC0DF8"/>
    <w:rsid w:val="00ED378B"/>
    <w:rsid w:val="00ED6D58"/>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54B2"/>
    <w:rsid w:val="00FC1C43"/>
    <w:rsid w:val="00FC529F"/>
    <w:rsid w:val="00FC7B53"/>
    <w:rsid w:val="00FD48CC"/>
    <w:rsid w:val="00FE0C02"/>
    <w:rsid w:val="00FE62D1"/>
    <w:rsid w:val="00FE7B94"/>
    <w:rsid w:val="00FF0736"/>
    <w:rsid w:val="00FF2515"/>
    <w:rsid w:val="00FF26BF"/>
    <w:rsid w:val="01030FE2"/>
    <w:rsid w:val="010908A7"/>
    <w:rsid w:val="013C51B0"/>
    <w:rsid w:val="01525581"/>
    <w:rsid w:val="016412A2"/>
    <w:rsid w:val="01651C23"/>
    <w:rsid w:val="018023CE"/>
    <w:rsid w:val="01881AD6"/>
    <w:rsid w:val="019127B6"/>
    <w:rsid w:val="01B71A01"/>
    <w:rsid w:val="01DC03CE"/>
    <w:rsid w:val="01E36F4E"/>
    <w:rsid w:val="020C3478"/>
    <w:rsid w:val="023C5F15"/>
    <w:rsid w:val="023F3FA2"/>
    <w:rsid w:val="028B6D36"/>
    <w:rsid w:val="02985CD5"/>
    <w:rsid w:val="02A741FD"/>
    <w:rsid w:val="02B77F75"/>
    <w:rsid w:val="02C16E5D"/>
    <w:rsid w:val="02D51343"/>
    <w:rsid w:val="02D964CF"/>
    <w:rsid w:val="02DE5ECF"/>
    <w:rsid w:val="02E74073"/>
    <w:rsid w:val="02EF6DB1"/>
    <w:rsid w:val="02F713C2"/>
    <w:rsid w:val="03080482"/>
    <w:rsid w:val="0316681C"/>
    <w:rsid w:val="0367744E"/>
    <w:rsid w:val="03707410"/>
    <w:rsid w:val="039240A3"/>
    <w:rsid w:val="03973E17"/>
    <w:rsid w:val="03A0770F"/>
    <w:rsid w:val="03A448B8"/>
    <w:rsid w:val="03C01631"/>
    <w:rsid w:val="03C656A9"/>
    <w:rsid w:val="03F33148"/>
    <w:rsid w:val="042F3419"/>
    <w:rsid w:val="044566F3"/>
    <w:rsid w:val="044841D6"/>
    <w:rsid w:val="047B4012"/>
    <w:rsid w:val="047F2DDF"/>
    <w:rsid w:val="04815FBF"/>
    <w:rsid w:val="04822497"/>
    <w:rsid w:val="04974587"/>
    <w:rsid w:val="04DF1036"/>
    <w:rsid w:val="0599183C"/>
    <w:rsid w:val="05A97DEC"/>
    <w:rsid w:val="05B23978"/>
    <w:rsid w:val="05C81981"/>
    <w:rsid w:val="060C3203"/>
    <w:rsid w:val="065A6D82"/>
    <w:rsid w:val="069B4E4A"/>
    <w:rsid w:val="069C642D"/>
    <w:rsid w:val="06BC41F2"/>
    <w:rsid w:val="06EF0ECF"/>
    <w:rsid w:val="06F415CC"/>
    <w:rsid w:val="070E26CD"/>
    <w:rsid w:val="07197D08"/>
    <w:rsid w:val="071E5C55"/>
    <w:rsid w:val="075C1FE5"/>
    <w:rsid w:val="076B4CB0"/>
    <w:rsid w:val="077005AB"/>
    <w:rsid w:val="078270C7"/>
    <w:rsid w:val="078F4581"/>
    <w:rsid w:val="079529C6"/>
    <w:rsid w:val="07BF027F"/>
    <w:rsid w:val="07E3403E"/>
    <w:rsid w:val="08031A31"/>
    <w:rsid w:val="08307C7E"/>
    <w:rsid w:val="08420CAE"/>
    <w:rsid w:val="08574B3D"/>
    <w:rsid w:val="0858198D"/>
    <w:rsid w:val="08E0126D"/>
    <w:rsid w:val="08E352B9"/>
    <w:rsid w:val="09061A75"/>
    <w:rsid w:val="09182241"/>
    <w:rsid w:val="095F1030"/>
    <w:rsid w:val="09855177"/>
    <w:rsid w:val="09EE5125"/>
    <w:rsid w:val="0A2522FD"/>
    <w:rsid w:val="0A327478"/>
    <w:rsid w:val="0A462748"/>
    <w:rsid w:val="0A4D0C81"/>
    <w:rsid w:val="0A723E95"/>
    <w:rsid w:val="0A733243"/>
    <w:rsid w:val="0A846743"/>
    <w:rsid w:val="0A873F23"/>
    <w:rsid w:val="0AA534D5"/>
    <w:rsid w:val="0AA650EB"/>
    <w:rsid w:val="0AA7129C"/>
    <w:rsid w:val="0AE26205"/>
    <w:rsid w:val="0AF47339"/>
    <w:rsid w:val="0B22594B"/>
    <w:rsid w:val="0B27506F"/>
    <w:rsid w:val="0B7724E1"/>
    <w:rsid w:val="0B8C04A6"/>
    <w:rsid w:val="0B9610F4"/>
    <w:rsid w:val="0B99757D"/>
    <w:rsid w:val="0BBF77A4"/>
    <w:rsid w:val="0BD16C8D"/>
    <w:rsid w:val="0BDF26F7"/>
    <w:rsid w:val="0C027DB2"/>
    <w:rsid w:val="0C2B4952"/>
    <w:rsid w:val="0C322F8A"/>
    <w:rsid w:val="0C4607E5"/>
    <w:rsid w:val="0C516C55"/>
    <w:rsid w:val="0C560447"/>
    <w:rsid w:val="0C7B2220"/>
    <w:rsid w:val="0C8D493C"/>
    <w:rsid w:val="0CB67D83"/>
    <w:rsid w:val="0CCB3545"/>
    <w:rsid w:val="0CD20599"/>
    <w:rsid w:val="0CE53018"/>
    <w:rsid w:val="0D0B5B12"/>
    <w:rsid w:val="0D133046"/>
    <w:rsid w:val="0D153F28"/>
    <w:rsid w:val="0D1C792E"/>
    <w:rsid w:val="0D3A0F98"/>
    <w:rsid w:val="0D423216"/>
    <w:rsid w:val="0D6A4502"/>
    <w:rsid w:val="0D7415CA"/>
    <w:rsid w:val="0D890E47"/>
    <w:rsid w:val="0DC64A00"/>
    <w:rsid w:val="0DEB5FFA"/>
    <w:rsid w:val="0DF67134"/>
    <w:rsid w:val="0DF75C46"/>
    <w:rsid w:val="0DFC60BA"/>
    <w:rsid w:val="0E1C06B2"/>
    <w:rsid w:val="0E69691B"/>
    <w:rsid w:val="0EBB5484"/>
    <w:rsid w:val="0EBD5AA3"/>
    <w:rsid w:val="0F407E8F"/>
    <w:rsid w:val="0F5723EF"/>
    <w:rsid w:val="0F5F5360"/>
    <w:rsid w:val="0F7C5FF6"/>
    <w:rsid w:val="0F7D04FC"/>
    <w:rsid w:val="0FC63FBD"/>
    <w:rsid w:val="0FD54DCA"/>
    <w:rsid w:val="0FDD003F"/>
    <w:rsid w:val="0FF87EA4"/>
    <w:rsid w:val="0FFF7484"/>
    <w:rsid w:val="10066939"/>
    <w:rsid w:val="100B77ED"/>
    <w:rsid w:val="101D47AD"/>
    <w:rsid w:val="10305890"/>
    <w:rsid w:val="103D5A1A"/>
    <w:rsid w:val="105847E5"/>
    <w:rsid w:val="106C564D"/>
    <w:rsid w:val="106E0AED"/>
    <w:rsid w:val="107B7B8F"/>
    <w:rsid w:val="107C67CE"/>
    <w:rsid w:val="10912D03"/>
    <w:rsid w:val="1092666B"/>
    <w:rsid w:val="109D68CB"/>
    <w:rsid w:val="10A949B8"/>
    <w:rsid w:val="10AB5D61"/>
    <w:rsid w:val="11144AFE"/>
    <w:rsid w:val="11200D07"/>
    <w:rsid w:val="11410632"/>
    <w:rsid w:val="115E03E3"/>
    <w:rsid w:val="11786AB5"/>
    <w:rsid w:val="118049D4"/>
    <w:rsid w:val="118561F8"/>
    <w:rsid w:val="11942D84"/>
    <w:rsid w:val="11B21219"/>
    <w:rsid w:val="11DA73AF"/>
    <w:rsid w:val="11FC1ECD"/>
    <w:rsid w:val="124D097B"/>
    <w:rsid w:val="12511265"/>
    <w:rsid w:val="126D4818"/>
    <w:rsid w:val="1283614B"/>
    <w:rsid w:val="12856FF3"/>
    <w:rsid w:val="129671FB"/>
    <w:rsid w:val="12A576FF"/>
    <w:rsid w:val="12C60D80"/>
    <w:rsid w:val="130523B3"/>
    <w:rsid w:val="131356D4"/>
    <w:rsid w:val="131F7A3A"/>
    <w:rsid w:val="132645D0"/>
    <w:rsid w:val="133D4061"/>
    <w:rsid w:val="13455ABC"/>
    <w:rsid w:val="1370322B"/>
    <w:rsid w:val="13BA0460"/>
    <w:rsid w:val="13BB41AE"/>
    <w:rsid w:val="13C24F9B"/>
    <w:rsid w:val="13C45A18"/>
    <w:rsid w:val="13C9247B"/>
    <w:rsid w:val="13D6515C"/>
    <w:rsid w:val="13F13CC6"/>
    <w:rsid w:val="143B2E0B"/>
    <w:rsid w:val="14671645"/>
    <w:rsid w:val="14725FF6"/>
    <w:rsid w:val="147C1943"/>
    <w:rsid w:val="148054E9"/>
    <w:rsid w:val="14892735"/>
    <w:rsid w:val="14CC769D"/>
    <w:rsid w:val="14D764D5"/>
    <w:rsid w:val="14EF61BF"/>
    <w:rsid w:val="14F43330"/>
    <w:rsid w:val="15004CB2"/>
    <w:rsid w:val="150F7FEC"/>
    <w:rsid w:val="15436F05"/>
    <w:rsid w:val="15691FE3"/>
    <w:rsid w:val="158B5DDD"/>
    <w:rsid w:val="15B11221"/>
    <w:rsid w:val="15C16EB3"/>
    <w:rsid w:val="15CB76C9"/>
    <w:rsid w:val="15D27D8F"/>
    <w:rsid w:val="15D359D7"/>
    <w:rsid w:val="160E7A2C"/>
    <w:rsid w:val="16317A1A"/>
    <w:rsid w:val="163C77BE"/>
    <w:rsid w:val="164A3F23"/>
    <w:rsid w:val="16573587"/>
    <w:rsid w:val="165C5C7C"/>
    <w:rsid w:val="1679588C"/>
    <w:rsid w:val="168C2855"/>
    <w:rsid w:val="16994962"/>
    <w:rsid w:val="16A233CF"/>
    <w:rsid w:val="16A71041"/>
    <w:rsid w:val="16AA24BF"/>
    <w:rsid w:val="16F871DC"/>
    <w:rsid w:val="17110A80"/>
    <w:rsid w:val="171D3FE1"/>
    <w:rsid w:val="17680CAB"/>
    <w:rsid w:val="176E4128"/>
    <w:rsid w:val="17725CE9"/>
    <w:rsid w:val="1783371F"/>
    <w:rsid w:val="178E48DA"/>
    <w:rsid w:val="17C93012"/>
    <w:rsid w:val="17E62B67"/>
    <w:rsid w:val="180F4499"/>
    <w:rsid w:val="182201B4"/>
    <w:rsid w:val="18221ECE"/>
    <w:rsid w:val="183C3D90"/>
    <w:rsid w:val="1859036F"/>
    <w:rsid w:val="18681814"/>
    <w:rsid w:val="18B0649B"/>
    <w:rsid w:val="18D418FC"/>
    <w:rsid w:val="18E5143F"/>
    <w:rsid w:val="18E83469"/>
    <w:rsid w:val="18FC7745"/>
    <w:rsid w:val="19117D89"/>
    <w:rsid w:val="192F3B7C"/>
    <w:rsid w:val="19353F17"/>
    <w:rsid w:val="19864975"/>
    <w:rsid w:val="19864EEB"/>
    <w:rsid w:val="19961DFC"/>
    <w:rsid w:val="19D1065C"/>
    <w:rsid w:val="19DD405E"/>
    <w:rsid w:val="1A121864"/>
    <w:rsid w:val="1A2D591D"/>
    <w:rsid w:val="1A460CF5"/>
    <w:rsid w:val="1A7F297D"/>
    <w:rsid w:val="1A9D6244"/>
    <w:rsid w:val="1AB16AC1"/>
    <w:rsid w:val="1ABF1CEA"/>
    <w:rsid w:val="1B014DDE"/>
    <w:rsid w:val="1B0320FB"/>
    <w:rsid w:val="1B034A52"/>
    <w:rsid w:val="1B2640F6"/>
    <w:rsid w:val="1B45344E"/>
    <w:rsid w:val="1B5D76FB"/>
    <w:rsid w:val="1B683578"/>
    <w:rsid w:val="1B8C0040"/>
    <w:rsid w:val="1BDE2F66"/>
    <w:rsid w:val="1C750ECE"/>
    <w:rsid w:val="1CA56AF4"/>
    <w:rsid w:val="1CD667CB"/>
    <w:rsid w:val="1CE25AF9"/>
    <w:rsid w:val="1D196139"/>
    <w:rsid w:val="1D372585"/>
    <w:rsid w:val="1D5E02D1"/>
    <w:rsid w:val="1D7F0ED0"/>
    <w:rsid w:val="1D921938"/>
    <w:rsid w:val="1DBB6100"/>
    <w:rsid w:val="1DBE6816"/>
    <w:rsid w:val="1DCB4FF1"/>
    <w:rsid w:val="1DF20D7E"/>
    <w:rsid w:val="1E010AF7"/>
    <w:rsid w:val="1E1C405A"/>
    <w:rsid w:val="1E2E29E0"/>
    <w:rsid w:val="1E2E5F9F"/>
    <w:rsid w:val="1E301173"/>
    <w:rsid w:val="1E884D18"/>
    <w:rsid w:val="1ED8781E"/>
    <w:rsid w:val="1EDD3235"/>
    <w:rsid w:val="1F1102B0"/>
    <w:rsid w:val="1F2F1047"/>
    <w:rsid w:val="1F2F2B69"/>
    <w:rsid w:val="1F43381C"/>
    <w:rsid w:val="1F781224"/>
    <w:rsid w:val="1FA4148D"/>
    <w:rsid w:val="1FBB4C72"/>
    <w:rsid w:val="1FC10FAB"/>
    <w:rsid w:val="1FC65577"/>
    <w:rsid w:val="1FD82385"/>
    <w:rsid w:val="1FF274ED"/>
    <w:rsid w:val="20121621"/>
    <w:rsid w:val="20147D79"/>
    <w:rsid w:val="201636E2"/>
    <w:rsid w:val="202E3F6D"/>
    <w:rsid w:val="20325F7E"/>
    <w:rsid w:val="204E554F"/>
    <w:rsid w:val="20590035"/>
    <w:rsid w:val="209033C5"/>
    <w:rsid w:val="20E5011E"/>
    <w:rsid w:val="20FC799E"/>
    <w:rsid w:val="21101BAA"/>
    <w:rsid w:val="21286DA7"/>
    <w:rsid w:val="2134683B"/>
    <w:rsid w:val="21545CAE"/>
    <w:rsid w:val="219068BB"/>
    <w:rsid w:val="21C82E72"/>
    <w:rsid w:val="21DE0801"/>
    <w:rsid w:val="21DE339D"/>
    <w:rsid w:val="21E95CDD"/>
    <w:rsid w:val="2203115E"/>
    <w:rsid w:val="22154DDD"/>
    <w:rsid w:val="22336873"/>
    <w:rsid w:val="22396826"/>
    <w:rsid w:val="22412CD8"/>
    <w:rsid w:val="225471A3"/>
    <w:rsid w:val="225E34DC"/>
    <w:rsid w:val="227D1295"/>
    <w:rsid w:val="229412E0"/>
    <w:rsid w:val="22AB3B7D"/>
    <w:rsid w:val="22AF3A08"/>
    <w:rsid w:val="22F92F75"/>
    <w:rsid w:val="23172FFC"/>
    <w:rsid w:val="23847077"/>
    <w:rsid w:val="23BB4E7D"/>
    <w:rsid w:val="23C172D6"/>
    <w:rsid w:val="23D77537"/>
    <w:rsid w:val="23E6195D"/>
    <w:rsid w:val="23F04F64"/>
    <w:rsid w:val="24087BF9"/>
    <w:rsid w:val="24814CBE"/>
    <w:rsid w:val="24AC168B"/>
    <w:rsid w:val="24BB6664"/>
    <w:rsid w:val="24BD406A"/>
    <w:rsid w:val="24D23A61"/>
    <w:rsid w:val="24F73430"/>
    <w:rsid w:val="250E1318"/>
    <w:rsid w:val="25467247"/>
    <w:rsid w:val="254D0389"/>
    <w:rsid w:val="25884C5D"/>
    <w:rsid w:val="258C3BEC"/>
    <w:rsid w:val="25A03144"/>
    <w:rsid w:val="25B2479F"/>
    <w:rsid w:val="25C15C5D"/>
    <w:rsid w:val="25D329B9"/>
    <w:rsid w:val="25E5427A"/>
    <w:rsid w:val="26276A31"/>
    <w:rsid w:val="26366F9D"/>
    <w:rsid w:val="263B1230"/>
    <w:rsid w:val="2642752B"/>
    <w:rsid w:val="26485508"/>
    <w:rsid w:val="26554808"/>
    <w:rsid w:val="26607D95"/>
    <w:rsid w:val="26700955"/>
    <w:rsid w:val="268166B9"/>
    <w:rsid w:val="26A16AE9"/>
    <w:rsid w:val="26A27AE1"/>
    <w:rsid w:val="26A605D9"/>
    <w:rsid w:val="26AD0500"/>
    <w:rsid w:val="26B121A3"/>
    <w:rsid w:val="26E962CF"/>
    <w:rsid w:val="26F34269"/>
    <w:rsid w:val="272E3097"/>
    <w:rsid w:val="272E6F74"/>
    <w:rsid w:val="27501685"/>
    <w:rsid w:val="277E6655"/>
    <w:rsid w:val="279313E1"/>
    <w:rsid w:val="27933DEA"/>
    <w:rsid w:val="27AF30E6"/>
    <w:rsid w:val="27B36A67"/>
    <w:rsid w:val="27BE6794"/>
    <w:rsid w:val="281E404F"/>
    <w:rsid w:val="28302479"/>
    <w:rsid w:val="28346E3B"/>
    <w:rsid w:val="2846581F"/>
    <w:rsid w:val="284A5CA4"/>
    <w:rsid w:val="286602C8"/>
    <w:rsid w:val="28665C95"/>
    <w:rsid w:val="28716D1C"/>
    <w:rsid w:val="28736F5F"/>
    <w:rsid w:val="28833BE9"/>
    <w:rsid w:val="28851EB4"/>
    <w:rsid w:val="28B01D1E"/>
    <w:rsid w:val="28C2628C"/>
    <w:rsid w:val="28CC3373"/>
    <w:rsid w:val="28F579BA"/>
    <w:rsid w:val="290B3EB9"/>
    <w:rsid w:val="292728C1"/>
    <w:rsid w:val="292C7FA1"/>
    <w:rsid w:val="2940493E"/>
    <w:rsid w:val="2950768C"/>
    <w:rsid w:val="297A5FC4"/>
    <w:rsid w:val="29B41DA5"/>
    <w:rsid w:val="29E14657"/>
    <w:rsid w:val="29E474B8"/>
    <w:rsid w:val="29ED574B"/>
    <w:rsid w:val="29FA2D3E"/>
    <w:rsid w:val="29FE5CE6"/>
    <w:rsid w:val="2A323294"/>
    <w:rsid w:val="2A5C784F"/>
    <w:rsid w:val="2A600C13"/>
    <w:rsid w:val="2A633B90"/>
    <w:rsid w:val="2A68500A"/>
    <w:rsid w:val="2A743AE8"/>
    <w:rsid w:val="2A8D4F8F"/>
    <w:rsid w:val="2A901BEE"/>
    <w:rsid w:val="2A917B34"/>
    <w:rsid w:val="2A9308A8"/>
    <w:rsid w:val="2A9475FF"/>
    <w:rsid w:val="2A9F5AB8"/>
    <w:rsid w:val="2AAA0AA2"/>
    <w:rsid w:val="2AD74E8C"/>
    <w:rsid w:val="2AE3766F"/>
    <w:rsid w:val="2AE74CEF"/>
    <w:rsid w:val="2AEC612E"/>
    <w:rsid w:val="2B0E56AB"/>
    <w:rsid w:val="2B276305"/>
    <w:rsid w:val="2B54704F"/>
    <w:rsid w:val="2B590601"/>
    <w:rsid w:val="2B7E4054"/>
    <w:rsid w:val="2B9B5A44"/>
    <w:rsid w:val="2BA45A85"/>
    <w:rsid w:val="2BB12905"/>
    <w:rsid w:val="2BBA6A76"/>
    <w:rsid w:val="2BCC03D1"/>
    <w:rsid w:val="2BD73285"/>
    <w:rsid w:val="2C035AE6"/>
    <w:rsid w:val="2C0C6D59"/>
    <w:rsid w:val="2C787BAC"/>
    <w:rsid w:val="2C8903AA"/>
    <w:rsid w:val="2C8E776E"/>
    <w:rsid w:val="2C8E7BB8"/>
    <w:rsid w:val="2C987C56"/>
    <w:rsid w:val="2CA156F3"/>
    <w:rsid w:val="2CC11460"/>
    <w:rsid w:val="2CC15BAA"/>
    <w:rsid w:val="2CDC3153"/>
    <w:rsid w:val="2CDF621C"/>
    <w:rsid w:val="2CE136D7"/>
    <w:rsid w:val="2CFE7A11"/>
    <w:rsid w:val="2CFF149A"/>
    <w:rsid w:val="2D201865"/>
    <w:rsid w:val="2D2F67DA"/>
    <w:rsid w:val="2D4B5CEA"/>
    <w:rsid w:val="2D4C5B4C"/>
    <w:rsid w:val="2D4C6B07"/>
    <w:rsid w:val="2D514661"/>
    <w:rsid w:val="2D6273B2"/>
    <w:rsid w:val="2D652658"/>
    <w:rsid w:val="2D964A56"/>
    <w:rsid w:val="2DC16E0A"/>
    <w:rsid w:val="2DC80C49"/>
    <w:rsid w:val="2DCA6355"/>
    <w:rsid w:val="2DD85F0E"/>
    <w:rsid w:val="2E166748"/>
    <w:rsid w:val="2E2054A0"/>
    <w:rsid w:val="2E482374"/>
    <w:rsid w:val="2E556F01"/>
    <w:rsid w:val="2E8345A7"/>
    <w:rsid w:val="2E8E20B4"/>
    <w:rsid w:val="2EAA7BAE"/>
    <w:rsid w:val="2EC0235F"/>
    <w:rsid w:val="2EC1207D"/>
    <w:rsid w:val="2ED06066"/>
    <w:rsid w:val="2ED1223D"/>
    <w:rsid w:val="2F000139"/>
    <w:rsid w:val="2F1B303D"/>
    <w:rsid w:val="2F3925CB"/>
    <w:rsid w:val="2F65799D"/>
    <w:rsid w:val="2F8A2880"/>
    <w:rsid w:val="2F9F42DC"/>
    <w:rsid w:val="2FAC3772"/>
    <w:rsid w:val="2FB62C2F"/>
    <w:rsid w:val="2FBC2844"/>
    <w:rsid w:val="2FBD57BB"/>
    <w:rsid w:val="2FC32F68"/>
    <w:rsid w:val="2FF37AB3"/>
    <w:rsid w:val="30210B8A"/>
    <w:rsid w:val="30224DC7"/>
    <w:rsid w:val="303265F2"/>
    <w:rsid w:val="303B4C3F"/>
    <w:rsid w:val="30476D7A"/>
    <w:rsid w:val="3073310C"/>
    <w:rsid w:val="309D6BE6"/>
    <w:rsid w:val="30AA1790"/>
    <w:rsid w:val="30EE385E"/>
    <w:rsid w:val="30F85AFE"/>
    <w:rsid w:val="31170995"/>
    <w:rsid w:val="31264A30"/>
    <w:rsid w:val="312651F8"/>
    <w:rsid w:val="31884E67"/>
    <w:rsid w:val="31A0275E"/>
    <w:rsid w:val="31A67308"/>
    <w:rsid w:val="31B91526"/>
    <w:rsid w:val="31EF0041"/>
    <w:rsid w:val="320107F5"/>
    <w:rsid w:val="326A0524"/>
    <w:rsid w:val="32986C45"/>
    <w:rsid w:val="32AB70C5"/>
    <w:rsid w:val="32F50547"/>
    <w:rsid w:val="330E23C2"/>
    <w:rsid w:val="33247607"/>
    <w:rsid w:val="33487C23"/>
    <w:rsid w:val="335D0AF5"/>
    <w:rsid w:val="3370088C"/>
    <w:rsid w:val="33735C77"/>
    <w:rsid w:val="33807C90"/>
    <w:rsid w:val="339A687B"/>
    <w:rsid w:val="33C14594"/>
    <w:rsid w:val="33DC2F78"/>
    <w:rsid w:val="3428227C"/>
    <w:rsid w:val="343230D5"/>
    <w:rsid w:val="3439428E"/>
    <w:rsid w:val="347918A5"/>
    <w:rsid w:val="349D37D5"/>
    <w:rsid w:val="34A61BDE"/>
    <w:rsid w:val="34BC3BF7"/>
    <w:rsid w:val="3522586C"/>
    <w:rsid w:val="35572473"/>
    <w:rsid w:val="35602226"/>
    <w:rsid w:val="356B72E7"/>
    <w:rsid w:val="356D2AC8"/>
    <w:rsid w:val="3572424F"/>
    <w:rsid w:val="35866014"/>
    <w:rsid w:val="359E5CE0"/>
    <w:rsid w:val="362B215D"/>
    <w:rsid w:val="363E0D05"/>
    <w:rsid w:val="367801A9"/>
    <w:rsid w:val="36AD519D"/>
    <w:rsid w:val="36B57705"/>
    <w:rsid w:val="36CB08C5"/>
    <w:rsid w:val="36DC1DD3"/>
    <w:rsid w:val="37090CD6"/>
    <w:rsid w:val="37122320"/>
    <w:rsid w:val="372F6E95"/>
    <w:rsid w:val="373E6129"/>
    <w:rsid w:val="3754697A"/>
    <w:rsid w:val="37636A21"/>
    <w:rsid w:val="37883E50"/>
    <w:rsid w:val="37A103ED"/>
    <w:rsid w:val="37A367C3"/>
    <w:rsid w:val="37BD33EE"/>
    <w:rsid w:val="37C24FF3"/>
    <w:rsid w:val="37E02B23"/>
    <w:rsid w:val="37E345A6"/>
    <w:rsid w:val="37EA5E6E"/>
    <w:rsid w:val="37FF016F"/>
    <w:rsid w:val="382A6E2D"/>
    <w:rsid w:val="38534B1D"/>
    <w:rsid w:val="386E4145"/>
    <w:rsid w:val="387C5ABE"/>
    <w:rsid w:val="38B66D0C"/>
    <w:rsid w:val="38EB6119"/>
    <w:rsid w:val="38ED3021"/>
    <w:rsid w:val="38F10684"/>
    <w:rsid w:val="392D500E"/>
    <w:rsid w:val="396678D9"/>
    <w:rsid w:val="39736669"/>
    <w:rsid w:val="397A0ADB"/>
    <w:rsid w:val="39954B2B"/>
    <w:rsid w:val="39DA2245"/>
    <w:rsid w:val="39E66E3B"/>
    <w:rsid w:val="39FD4CC2"/>
    <w:rsid w:val="3A3A7721"/>
    <w:rsid w:val="3A51228C"/>
    <w:rsid w:val="3A545E48"/>
    <w:rsid w:val="3A552E60"/>
    <w:rsid w:val="3A5D642F"/>
    <w:rsid w:val="3A744447"/>
    <w:rsid w:val="3A78219D"/>
    <w:rsid w:val="3A995C5C"/>
    <w:rsid w:val="3AB210FC"/>
    <w:rsid w:val="3B043A1D"/>
    <w:rsid w:val="3B212C76"/>
    <w:rsid w:val="3B793A48"/>
    <w:rsid w:val="3B85393E"/>
    <w:rsid w:val="3BCA4B8A"/>
    <w:rsid w:val="3BCD72F7"/>
    <w:rsid w:val="3BF4153E"/>
    <w:rsid w:val="3C37146A"/>
    <w:rsid w:val="3C3D3625"/>
    <w:rsid w:val="3C414142"/>
    <w:rsid w:val="3C5B725E"/>
    <w:rsid w:val="3C88055A"/>
    <w:rsid w:val="3CAF79B9"/>
    <w:rsid w:val="3CB35097"/>
    <w:rsid w:val="3CF737A2"/>
    <w:rsid w:val="3D10295A"/>
    <w:rsid w:val="3D184041"/>
    <w:rsid w:val="3D370C2A"/>
    <w:rsid w:val="3D414FC0"/>
    <w:rsid w:val="3D5E329C"/>
    <w:rsid w:val="3D7D049C"/>
    <w:rsid w:val="3DC4250E"/>
    <w:rsid w:val="3DE20EAE"/>
    <w:rsid w:val="3DEC2E9F"/>
    <w:rsid w:val="3DEF3701"/>
    <w:rsid w:val="3E0572FD"/>
    <w:rsid w:val="3E0720FE"/>
    <w:rsid w:val="3E2819F6"/>
    <w:rsid w:val="3E287A22"/>
    <w:rsid w:val="3E5A7FE7"/>
    <w:rsid w:val="3E955A6A"/>
    <w:rsid w:val="3E964D81"/>
    <w:rsid w:val="3EBA1F32"/>
    <w:rsid w:val="3EDE741A"/>
    <w:rsid w:val="3EEF6FFF"/>
    <w:rsid w:val="3EF66B2E"/>
    <w:rsid w:val="3EF908D7"/>
    <w:rsid w:val="3F217914"/>
    <w:rsid w:val="3F5D44A8"/>
    <w:rsid w:val="3FD70BB0"/>
    <w:rsid w:val="3FF1740C"/>
    <w:rsid w:val="3FF542A0"/>
    <w:rsid w:val="3FFB55AC"/>
    <w:rsid w:val="40017152"/>
    <w:rsid w:val="400A057C"/>
    <w:rsid w:val="401C5F9D"/>
    <w:rsid w:val="401C690C"/>
    <w:rsid w:val="401D7195"/>
    <w:rsid w:val="402D6138"/>
    <w:rsid w:val="405C1C05"/>
    <w:rsid w:val="407A652F"/>
    <w:rsid w:val="40825D97"/>
    <w:rsid w:val="409928E7"/>
    <w:rsid w:val="40997CFE"/>
    <w:rsid w:val="409C35A8"/>
    <w:rsid w:val="40A06CB8"/>
    <w:rsid w:val="40C45B55"/>
    <w:rsid w:val="40CE3DC0"/>
    <w:rsid w:val="40D7455A"/>
    <w:rsid w:val="40E743E5"/>
    <w:rsid w:val="40EB4012"/>
    <w:rsid w:val="410A1661"/>
    <w:rsid w:val="41246142"/>
    <w:rsid w:val="412D5EA0"/>
    <w:rsid w:val="416D78C7"/>
    <w:rsid w:val="41734CBA"/>
    <w:rsid w:val="417F4E1A"/>
    <w:rsid w:val="41A82190"/>
    <w:rsid w:val="41DE5999"/>
    <w:rsid w:val="41E1181A"/>
    <w:rsid w:val="41E32A20"/>
    <w:rsid w:val="41FA3241"/>
    <w:rsid w:val="420F7A65"/>
    <w:rsid w:val="4216611A"/>
    <w:rsid w:val="423E300F"/>
    <w:rsid w:val="425656C8"/>
    <w:rsid w:val="4257273C"/>
    <w:rsid w:val="42687ACE"/>
    <w:rsid w:val="4285733F"/>
    <w:rsid w:val="429E6041"/>
    <w:rsid w:val="42BF4B02"/>
    <w:rsid w:val="42C84B75"/>
    <w:rsid w:val="42F90864"/>
    <w:rsid w:val="42FD694D"/>
    <w:rsid w:val="43183383"/>
    <w:rsid w:val="43525542"/>
    <w:rsid w:val="437D6687"/>
    <w:rsid w:val="438351F5"/>
    <w:rsid w:val="438D35EA"/>
    <w:rsid w:val="43BC1E57"/>
    <w:rsid w:val="43D23F8D"/>
    <w:rsid w:val="43D43F1D"/>
    <w:rsid w:val="43FA5777"/>
    <w:rsid w:val="44023422"/>
    <w:rsid w:val="44184A2D"/>
    <w:rsid w:val="441A5455"/>
    <w:rsid w:val="441C1611"/>
    <w:rsid w:val="443C440B"/>
    <w:rsid w:val="44506DE3"/>
    <w:rsid w:val="44514F52"/>
    <w:rsid w:val="44761C8F"/>
    <w:rsid w:val="449722E3"/>
    <w:rsid w:val="449D7B09"/>
    <w:rsid w:val="44AE3FD4"/>
    <w:rsid w:val="44D0586F"/>
    <w:rsid w:val="44FA2D53"/>
    <w:rsid w:val="4504751B"/>
    <w:rsid w:val="453C4912"/>
    <w:rsid w:val="45627191"/>
    <w:rsid w:val="45687813"/>
    <w:rsid w:val="456E7B7D"/>
    <w:rsid w:val="4571374F"/>
    <w:rsid w:val="458B1BB0"/>
    <w:rsid w:val="45AD31D6"/>
    <w:rsid w:val="45B93426"/>
    <w:rsid w:val="45E326FD"/>
    <w:rsid w:val="464C6420"/>
    <w:rsid w:val="46552F9B"/>
    <w:rsid w:val="467A0297"/>
    <w:rsid w:val="468B7125"/>
    <w:rsid w:val="46B506EF"/>
    <w:rsid w:val="46BC1F6E"/>
    <w:rsid w:val="46C4691F"/>
    <w:rsid w:val="46CB53EF"/>
    <w:rsid w:val="46CE645F"/>
    <w:rsid w:val="470F5A71"/>
    <w:rsid w:val="472F2690"/>
    <w:rsid w:val="47685427"/>
    <w:rsid w:val="4779499C"/>
    <w:rsid w:val="479C6284"/>
    <w:rsid w:val="479D1D34"/>
    <w:rsid w:val="47B609C0"/>
    <w:rsid w:val="47EC3B04"/>
    <w:rsid w:val="47EC6277"/>
    <w:rsid w:val="481A219B"/>
    <w:rsid w:val="482D31EA"/>
    <w:rsid w:val="48594C7C"/>
    <w:rsid w:val="485970A0"/>
    <w:rsid w:val="48667F79"/>
    <w:rsid w:val="486A6E89"/>
    <w:rsid w:val="48702E73"/>
    <w:rsid w:val="48823516"/>
    <w:rsid w:val="48877686"/>
    <w:rsid w:val="48B176C2"/>
    <w:rsid w:val="48B65C71"/>
    <w:rsid w:val="48C15387"/>
    <w:rsid w:val="48DD391D"/>
    <w:rsid w:val="48FB1909"/>
    <w:rsid w:val="49140AE3"/>
    <w:rsid w:val="491574F4"/>
    <w:rsid w:val="491F266E"/>
    <w:rsid w:val="492E6A57"/>
    <w:rsid w:val="495839AA"/>
    <w:rsid w:val="49771AFE"/>
    <w:rsid w:val="49802948"/>
    <w:rsid w:val="4986089F"/>
    <w:rsid w:val="498B5309"/>
    <w:rsid w:val="499E6DEB"/>
    <w:rsid w:val="499F0AAB"/>
    <w:rsid w:val="49C33FF5"/>
    <w:rsid w:val="49C63D13"/>
    <w:rsid w:val="49DB11EC"/>
    <w:rsid w:val="49E22068"/>
    <w:rsid w:val="49E31DD1"/>
    <w:rsid w:val="49E64E2B"/>
    <w:rsid w:val="49E82ED4"/>
    <w:rsid w:val="4A0030EE"/>
    <w:rsid w:val="4A0568D6"/>
    <w:rsid w:val="4A0C4F3C"/>
    <w:rsid w:val="4A484D41"/>
    <w:rsid w:val="4A6D15F8"/>
    <w:rsid w:val="4A8C4FB8"/>
    <w:rsid w:val="4A9A25BD"/>
    <w:rsid w:val="4A9E0551"/>
    <w:rsid w:val="4AA03D78"/>
    <w:rsid w:val="4AAB17DF"/>
    <w:rsid w:val="4AB542AE"/>
    <w:rsid w:val="4ABA7AB3"/>
    <w:rsid w:val="4AF72FEA"/>
    <w:rsid w:val="4B243D9D"/>
    <w:rsid w:val="4B2C1752"/>
    <w:rsid w:val="4B5B54F0"/>
    <w:rsid w:val="4B645524"/>
    <w:rsid w:val="4B8C2DEB"/>
    <w:rsid w:val="4BC423D3"/>
    <w:rsid w:val="4BE01954"/>
    <w:rsid w:val="4BFA3C9F"/>
    <w:rsid w:val="4C042674"/>
    <w:rsid w:val="4C107F48"/>
    <w:rsid w:val="4C3277BC"/>
    <w:rsid w:val="4C5C442D"/>
    <w:rsid w:val="4C6D42A9"/>
    <w:rsid w:val="4C716A38"/>
    <w:rsid w:val="4CC0351C"/>
    <w:rsid w:val="4CC353EB"/>
    <w:rsid w:val="4CE64E14"/>
    <w:rsid w:val="4CF36F3C"/>
    <w:rsid w:val="4D00189F"/>
    <w:rsid w:val="4D007BC8"/>
    <w:rsid w:val="4D143EC2"/>
    <w:rsid w:val="4D1470BD"/>
    <w:rsid w:val="4D154882"/>
    <w:rsid w:val="4D1C3C50"/>
    <w:rsid w:val="4D603399"/>
    <w:rsid w:val="4D664F64"/>
    <w:rsid w:val="4D6A7284"/>
    <w:rsid w:val="4D867EE1"/>
    <w:rsid w:val="4DB07591"/>
    <w:rsid w:val="4DBC4C65"/>
    <w:rsid w:val="4DE2009B"/>
    <w:rsid w:val="4E0F235E"/>
    <w:rsid w:val="4E157689"/>
    <w:rsid w:val="4E533FA5"/>
    <w:rsid w:val="4E550010"/>
    <w:rsid w:val="4E5964E9"/>
    <w:rsid w:val="4E5F14CB"/>
    <w:rsid w:val="4E6808B0"/>
    <w:rsid w:val="4EC00DDD"/>
    <w:rsid w:val="4EE334F2"/>
    <w:rsid w:val="4EF265BE"/>
    <w:rsid w:val="4EFB1C45"/>
    <w:rsid w:val="4F0C2A48"/>
    <w:rsid w:val="4F26273B"/>
    <w:rsid w:val="4F2D3A8A"/>
    <w:rsid w:val="4F32478A"/>
    <w:rsid w:val="4F3705F8"/>
    <w:rsid w:val="4F785B69"/>
    <w:rsid w:val="4F9714A0"/>
    <w:rsid w:val="4FAC3540"/>
    <w:rsid w:val="4FC56ABD"/>
    <w:rsid w:val="4FC97CE0"/>
    <w:rsid w:val="4FCF1583"/>
    <w:rsid w:val="4FD23E66"/>
    <w:rsid w:val="4FD44D1B"/>
    <w:rsid w:val="4FDC066D"/>
    <w:rsid w:val="4FFA7625"/>
    <w:rsid w:val="50453E7E"/>
    <w:rsid w:val="50485BA4"/>
    <w:rsid w:val="507D2599"/>
    <w:rsid w:val="508F08E7"/>
    <w:rsid w:val="5096229D"/>
    <w:rsid w:val="509E157D"/>
    <w:rsid w:val="50DA3350"/>
    <w:rsid w:val="50DC4184"/>
    <w:rsid w:val="50FB6146"/>
    <w:rsid w:val="512F4CA0"/>
    <w:rsid w:val="51323DB9"/>
    <w:rsid w:val="51361FFF"/>
    <w:rsid w:val="513723D1"/>
    <w:rsid w:val="514C3EA7"/>
    <w:rsid w:val="51551AFE"/>
    <w:rsid w:val="516D33BA"/>
    <w:rsid w:val="51FF3C99"/>
    <w:rsid w:val="52363D4D"/>
    <w:rsid w:val="52521A20"/>
    <w:rsid w:val="525261E1"/>
    <w:rsid w:val="52AC4ABC"/>
    <w:rsid w:val="52BA7493"/>
    <w:rsid w:val="52C201B9"/>
    <w:rsid w:val="52C3633F"/>
    <w:rsid w:val="52E57A12"/>
    <w:rsid w:val="52F20B62"/>
    <w:rsid w:val="538152F3"/>
    <w:rsid w:val="53827E49"/>
    <w:rsid w:val="538A6BB9"/>
    <w:rsid w:val="539964FD"/>
    <w:rsid w:val="539C1B81"/>
    <w:rsid w:val="53A447B1"/>
    <w:rsid w:val="53AE750F"/>
    <w:rsid w:val="53BB2A61"/>
    <w:rsid w:val="53D00C67"/>
    <w:rsid w:val="53D224B3"/>
    <w:rsid w:val="53DF06D8"/>
    <w:rsid w:val="53F81D96"/>
    <w:rsid w:val="544B5214"/>
    <w:rsid w:val="546B0405"/>
    <w:rsid w:val="549A6BFA"/>
    <w:rsid w:val="54B36A7C"/>
    <w:rsid w:val="54D933CD"/>
    <w:rsid w:val="55244D7F"/>
    <w:rsid w:val="55362287"/>
    <w:rsid w:val="55432F3C"/>
    <w:rsid w:val="555016D2"/>
    <w:rsid w:val="556D2820"/>
    <w:rsid w:val="55C3227E"/>
    <w:rsid w:val="55C83E39"/>
    <w:rsid w:val="55FA2961"/>
    <w:rsid w:val="5602250F"/>
    <w:rsid w:val="564220BA"/>
    <w:rsid w:val="565E7F4F"/>
    <w:rsid w:val="565F3DA6"/>
    <w:rsid w:val="56914056"/>
    <w:rsid w:val="56C36589"/>
    <w:rsid w:val="570D55B0"/>
    <w:rsid w:val="57293C95"/>
    <w:rsid w:val="572A6381"/>
    <w:rsid w:val="572B41B4"/>
    <w:rsid w:val="572E079D"/>
    <w:rsid w:val="57365868"/>
    <w:rsid w:val="573C1959"/>
    <w:rsid w:val="57A65E71"/>
    <w:rsid w:val="57F12ED6"/>
    <w:rsid w:val="57F65317"/>
    <w:rsid w:val="57FC2169"/>
    <w:rsid w:val="58024015"/>
    <w:rsid w:val="58096275"/>
    <w:rsid w:val="5819544F"/>
    <w:rsid w:val="582E6EF7"/>
    <w:rsid w:val="584E30E6"/>
    <w:rsid w:val="58546EFD"/>
    <w:rsid w:val="58E26731"/>
    <w:rsid w:val="590E4A97"/>
    <w:rsid w:val="591250FF"/>
    <w:rsid w:val="5920012C"/>
    <w:rsid w:val="592B1244"/>
    <w:rsid w:val="594714AD"/>
    <w:rsid w:val="594D06B4"/>
    <w:rsid w:val="595578DE"/>
    <w:rsid w:val="597B384D"/>
    <w:rsid w:val="59996DA8"/>
    <w:rsid w:val="599C05DE"/>
    <w:rsid w:val="59C30F1B"/>
    <w:rsid w:val="5A8C20D0"/>
    <w:rsid w:val="5AC7121C"/>
    <w:rsid w:val="5AD90B8D"/>
    <w:rsid w:val="5AE12927"/>
    <w:rsid w:val="5AE35472"/>
    <w:rsid w:val="5AF41CF3"/>
    <w:rsid w:val="5AF87CC9"/>
    <w:rsid w:val="5B19477F"/>
    <w:rsid w:val="5B4E1A44"/>
    <w:rsid w:val="5B774ED6"/>
    <w:rsid w:val="5B873201"/>
    <w:rsid w:val="5B967767"/>
    <w:rsid w:val="5B9D1624"/>
    <w:rsid w:val="5C0C2FF6"/>
    <w:rsid w:val="5C1241CC"/>
    <w:rsid w:val="5C286807"/>
    <w:rsid w:val="5C370E72"/>
    <w:rsid w:val="5C446BC8"/>
    <w:rsid w:val="5C4529E1"/>
    <w:rsid w:val="5C4B56E1"/>
    <w:rsid w:val="5C630689"/>
    <w:rsid w:val="5C7146B1"/>
    <w:rsid w:val="5C7C2768"/>
    <w:rsid w:val="5C7E1834"/>
    <w:rsid w:val="5CB23AE6"/>
    <w:rsid w:val="5CDC0A42"/>
    <w:rsid w:val="5CED5863"/>
    <w:rsid w:val="5D0D6DF5"/>
    <w:rsid w:val="5D580A8A"/>
    <w:rsid w:val="5D893B14"/>
    <w:rsid w:val="5DB42C29"/>
    <w:rsid w:val="5DC24941"/>
    <w:rsid w:val="5E291636"/>
    <w:rsid w:val="5E6F64A1"/>
    <w:rsid w:val="5E7E7421"/>
    <w:rsid w:val="5E8B0770"/>
    <w:rsid w:val="5EA06921"/>
    <w:rsid w:val="5EA902B4"/>
    <w:rsid w:val="5EBA259F"/>
    <w:rsid w:val="5EE97BB4"/>
    <w:rsid w:val="5F085DDA"/>
    <w:rsid w:val="5F2E2D52"/>
    <w:rsid w:val="5F54198B"/>
    <w:rsid w:val="5F546D2C"/>
    <w:rsid w:val="5F9D1350"/>
    <w:rsid w:val="5FBE370A"/>
    <w:rsid w:val="5FC83407"/>
    <w:rsid w:val="5FD56E87"/>
    <w:rsid w:val="5FF0558C"/>
    <w:rsid w:val="601A27F4"/>
    <w:rsid w:val="60292845"/>
    <w:rsid w:val="604D2644"/>
    <w:rsid w:val="605238CF"/>
    <w:rsid w:val="6053694F"/>
    <w:rsid w:val="607921FE"/>
    <w:rsid w:val="608F62AE"/>
    <w:rsid w:val="60B9251B"/>
    <w:rsid w:val="60E236C1"/>
    <w:rsid w:val="611911B1"/>
    <w:rsid w:val="61260B6B"/>
    <w:rsid w:val="612B3ABB"/>
    <w:rsid w:val="612E1A5D"/>
    <w:rsid w:val="614E5D7E"/>
    <w:rsid w:val="61560892"/>
    <w:rsid w:val="61770BF8"/>
    <w:rsid w:val="61816046"/>
    <w:rsid w:val="61C81AB1"/>
    <w:rsid w:val="61D417B9"/>
    <w:rsid w:val="620B0059"/>
    <w:rsid w:val="62391564"/>
    <w:rsid w:val="623F0B7F"/>
    <w:rsid w:val="624A22BE"/>
    <w:rsid w:val="626E235A"/>
    <w:rsid w:val="626F60D5"/>
    <w:rsid w:val="62816669"/>
    <w:rsid w:val="6282086D"/>
    <w:rsid w:val="62B36CD7"/>
    <w:rsid w:val="62BA0953"/>
    <w:rsid w:val="62D03A7C"/>
    <w:rsid w:val="62D8790F"/>
    <w:rsid w:val="62F42FAE"/>
    <w:rsid w:val="62F648FE"/>
    <w:rsid w:val="63167A4F"/>
    <w:rsid w:val="631D2BD6"/>
    <w:rsid w:val="635356F3"/>
    <w:rsid w:val="635D6064"/>
    <w:rsid w:val="637D5B70"/>
    <w:rsid w:val="63825E77"/>
    <w:rsid w:val="63A10995"/>
    <w:rsid w:val="63C23EFA"/>
    <w:rsid w:val="63D255DA"/>
    <w:rsid w:val="64076B79"/>
    <w:rsid w:val="640B7654"/>
    <w:rsid w:val="643A070A"/>
    <w:rsid w:val="64402337"/>
    <w:rsid w:val="64410A96"/>
    <w:rsid w:val="644C573D"/>
    <w:rsid w:val="64507EFB"/>
    <w:rsid w:val="64B97A50"/>
    <w:rsid w:val="65032F85"/>
    <w:rsid w:val="651304A7"/>
    <w:rsid w:val="65136B50"/>
    <w:rsid w:val="657E2A35"/>
    <w:rsid w:val="65A94E9D"/>
    <w:rsid w:val="65B96B3F"/>
    <w:rsid w:val="65BE1071"/>
    <w:rsid w:val="65C60A92"/>
    <w:rsid w:val="65D35142"/>
    <w:rsid w:val="660451CE"/>
    <w:rsid w:val="660B02F6"/>
    <w:rsid w:val="662D2630"/>
    <w:rsid w:val="665346B7"/>
    <w:rsid w:val="66705A4E"/>
    <w:rsid w:val="667C7CCE"/>
    <w:rsid w:val="669C56BF"/>
    <w:rsid w:val="66A12460"/>
    <w:rsid w:val="66A20C1E"/>
    <w:rsid w:val="66BE2423"/>
    <w:rsid w:val="66DD6702"/>
    <w:rsid w:val="671B1623"/>
    <w:rsid w:val="671E6EBA"/>
    <w:rsid w:val="672C0ACD"/>
    <w:rsid w:val="675352AA"/>
    <w:rsid w:val="6759400B"/>
    <w:rsid w:val="675E528D"/>
    <w:rsid w:val="676C598C"/>
    <w:rsid w:val="67962635"/>
    <w:rsid w:val="67966EFB"/>
    <w:rsid w:val="679E7FA1"/>
    <w:rsid w:val="67A32389"/>
    <w:rsid w:val="67B768D0"/>
    <w:rsid w:val="67C779FD"/>
    <w:rsid w:val="682A2352"/>
    <w:rsid w:val="682E7AFD"/>
    <w:rsid w:val="683E65A5"/>
    <w:rsid w:val="68707071"/>
    <w:rsid w:val="687A4379"/>
    <w:rsid w:val="687B015C"/>
    <w:rsid w:val="687E3889"/>
    <w:rsid w:val="6884222C"/>
    <w:rsid w:val="68AD17BB"/>
    <w:rsid w:val="68D94D22"/>
    <w:rsid w:val="692B2E4A"/>
    <w:rsid w:val="696A0B34"/>
    <w:rsid w:val="69821807"/>
    <w:rsid w:val="698D6A17"/>
    <w:rsid w:val="69D37590"/>
    <w:rsid w:val="69F954C1"/>
    <w:rsid w:val="69FA2750"/>
    <w:rsid w:val="6A1E1E73"/>
    <w:rsid w:val="6A2031B6"/>
    <w:rsid w:val="6A26299B"/>
    <w:rsid w:val="6A276275"/>
    <w:rsid w:val="6A2F57D7"/>
    <w:rsid w:val="6A3C1D40"/>
    <w:rsid w:val="6A6432E1"/>
    <w:rsid w:val="6A6A5005"/>
    <w:rsid w:val="6A8D5833"/>
    <w:rsid w:val="6AA23DFF"/>
    <w:rsid w:val="6AC61F6F"/>
    <w:rsid w:val="6AD34E53"/>
    <w:rsid w:val="6AD83EA1"/>
    <w:rsid w:val="6ADE74F0"/>
    <w:rsid w:val="6B167F73"/>
    <w:rsid w:val="6B1D62E8"/>
    <w:rsid w:val="6B513AF9"/>
    <w:rsid w:val="6B723594"/>
    <w:rsid w:val="6B805156"/>
    <w:rsid w:val="6B945E48"/>
    <w:rsid w:val="6BD50977"/>
    <w:rsid w:val="6BE450D3"/>
    <w:rsid w:val="6BE60C84"/>
    <w:rsid w:val="6C587C0E"/>
    <w:rsid w:val="6C6C32E1"/>
    <w:rsid w:val="6C6E3E15"/>
    <w:rsid w:val="6C8B1F5D"/>
    <w:rsid w:val="6CAA3931"/>
    <w:rsid w:val="6CCF3BFB"/>
    <w:rsid w:val="6D290C8C"/>
    <w:rsid w:val="6D325918"/>
    <w:rsid w:val="6D370B82"/>
    <w:rsid w:val="6D3933CA"/>
    <w:rsid w:val="6D6261FE"/>
    <w:rsid w:val="6D7B61EC"/>
    <w:rsid w:val="6D8E03AA"/>
    <w:rsid w:val="6D97152A"/>
    <w:rsid w:val="6DBB089F"/>
    <w:rsid w:val="6DC63038"/>
    <w:rsid w:val="6DE30DE0"/>
    <w:rsid w:val="6DE6130A"/>
    <w:rsid w:val="6DE839B9"/>
    <w:rsid w:val="6E09491E"/>
    <w:rsid w:val="6E0D3655"/>
    <w:rsid w:val="6E1A437E"/>
    <w:rsid w:val="6E2B14A0"/>
    <w:rsid w:val="6E3A144E"/>
    <w:rsid w:val="6E5F4465"/>
    <w:rsid w:val="6E8B1663"/>
    <w:rsid w:val="6E8C54DA"/>
    <w:rsid w:val="6EF11E03"/>
    <w:rsid w:val="6EF1241D"/>
    <w:rsid w:val="6EF82916"/>
    <w:rsid w:val="6F0B2DE7"/>
    <w:rsid w:val="6F111C62"/>
    <w:rsid w:val="6F2176E5"/>
    <w:rsid w:val="6F2D79CC"/>
    <w:rsid w:val="6F3A2A5F"/>
    <w:rsid w:val="6F4F7F03"/>
    <w:rsid w:val="6F592303"/>
    <w:rsid w:val="6F5F5B74"/>
    <w:rsid w:val="6F98032D"/>
    <w:rsid w:val="6F9B1C65"/>
    <w:rsid w:val="6FA44937"/>
    <w:rsid w:val="6FE82C9C"/>
    <w:rsid w:val="6FFB146E"/>
    <w:rsid w:val="6FFC3AA6"/>
    <w:rsid w:val="70160742"/>
    <w:rsid w:val="7030610F"/>
    <w:rsid w:val="70612DB4"/>
    <w:rsid w:val="706516C3"/>
    <w:rsid w:val="70896E68"/>
    <w:rsid w:val="708A4844"/>
    <w:rsid w:val="70E05E9D"/>
    <w:rsid w:val="71073061"/>
    <w:rsid w:val="711A201F"/>
    <w:rsid w:val="71396ACC"/>
    <w:rsid w:val="715B60E9"/>
    <w:rsid w:val="716F0EE9"/>
    <w:rsid w:val="7196674D"/>
    <w:rsid w:val="71CD6D08"/>
    <w:rsid w:val="71EA1FED"/>
    <w:rsid w:val="72165C6B"/>
    <w:rsid w:val="722021E3"/>
    <w:rsid w:val="722C6DDA"/>
    <w:rsid w:val="72345748"/>
    <w:rsid w:val="72A64192"/>
    <w:rsid w:val="72B37E1B"/>
    <w:rsid w:val="72E661B1"/>
    <w:rsid w:val="72F90C18"/>
    <w:rsid w:val="730313F6"/>
    <w:rsid w:val="730E4732"/>
    <w:rsid w:val="732A6AD8"/>
    <w:rsid w:val="73370D24"/>
    <w:rsid w:val="73472C84"/>
    <w:rsid w:val="7359268C"/>
    <w:rsid w:val="7366631C"/>
    <w:rsid w:val="736C263C"/>
    <w:rsid w:val="73723640"/>
    <w:rsid w:val="737311F5"/>
    <w:rsid w:val="73761585"/>
    <w:rsid w:val="737711C2"/>
    <w:rsid w:val="739503EB"/>
    <w:rsid w:val="73A05B28"/>
    <w:rsid w:val="73C07D69"/>
    <w:rsid w:val="73DC335B"/>
    <w:rsid w:val="73EF4A19"/>
    <w:rsid w:val="740B60EC"/>
    <w:rsid w:val="744C4A5B"/>
    <w:rsid w:val="74717AE5"/>
    <w:rsid w:val="749E16A8"/>
    <w:rsid w:val="74B42AE4"/>
    <w:rsid w:val="74C54993"/>
    <w:rsid w:val="750A429D"/>
    <w:rsid w:val="75474B47"/>
    <w:rsid w:val="75614792"/>
    <w:rsid w:val="75761866"/>
    <w:rsid w:val="75784473"/>
    <w:rsid w:val="7582466D"/>
    <w:rsid w:val="75B161B3"/>
    <w:rsid w:val="75C055BD"/>
    <w:rsid w:val="75C46B63"/>
    <w:rsid w:val="75DC6C44"/>
    <w:rsid w:val="762770AC"/>
    <w:rsid w:val="762F6A19"/>
    <w:rsid w:val="76341B33"/>
    <w:rsid w:val="766A6A22"/>
    <w:rsid w:val="76736B32"/>
    <w:rsid w:val="768811B6"/>
    <w:rsid w:val="76AF35EE"/>
    <w:rsid w:val="76C27A74"/>
    <w:rsid w:val="76E3765E"/>
    <w:rsid w:val="76F302A9"/>
    <w:rsid w:val="76FC2AFA"/>
    <w:rsid w:val="77527424"/>
    <w:rsid w:val="77653671"/>
    <w:rsid w:val="778546CC"/>
    <w:rsid w:val="778B6B46"/>
    <w:rsid w:val="77A96931"/>
    <w:rsid w:val="77B105D5"/>
    <w:rsid w:val="77B551B3"/>
    <w:rsid w:val="77B56730"/>
    <w:rsid w:val="77B92EBE"/>
    <w:rsid w:val="77BF1E80"/>
    <w:rsid w:val="77C04A8B"/>
    <w:rsid w:val="77D85DB3"/>
    <w:rsid w:val="77EB1B74"/>
    <w:rsid w:val="782A3EA3"/>
    <w:rsid w:val="78A50513"/>
    <w:rsid w:val="78D37FAF"/>
    <w:rsid w:val="78EF7AB5"/>
    <w:rsid w:val="790A4A06"/>
    <w:rsid w:val="790D6849"/>
    <w:rsid w:val="79252148"/>
    <w:rsid w:val="795767E3"/>
    <w:rsid w:val="79586707"/>
    <w:rsid w:val="796518DD"/>
    <w:rsid w:val="79724BEF"/>
    <w:rsid w:val="797264AC"/>
    <w:rsid w:val="799008E5"/>
    <w:rsid w:val="79AA0532"/>
    <w:rsid w:val="79AB2CDA"/>
    <w:rsid w:val="79C370A4"/>
    <w:rsid w:val="79D23A3D"/>
    <w:rsid w:val="79FE1DDD"/>
    <w:rsid w:val="7A075767"/>
    <w:rsid w:val="7A0C15B3"/>
    <w:rsid w:val="7A212062"/>
    <w:rsid w:val="7A2522C9"/>
    <w:rsid w:val="7A282A11"/>
    <w:rsid w:val="7A3A59B8"/>
    <w:rsid w:val="7A5752EE"/>
    <w:rsid w:val="7A5D0F75"/>
    <w:rsid w:val="7A715CD2"/>
    <w:rsid w:val="7A921E9A"/>
    <w:rsid w:val="7ABF2475"/>
    <w:rsid w:val="7AC21562"/>
    <w:rsid w:val="7AD474A4"/>
    <w:rsid w:val="7AD91F5A"/>
    <w:rsid w:val="7AF55544"/>
    <w:rsid w:val="7AFC38DE"/>
    <w:rsid w:val="7B165244"/>
    <w:rsid w:val="7B217A1E"/>
    <w:rsid w:val="7B2965AD"/>
    <w:rsid w:val="7B303E8C"/>
    <w:rsid w:val="7B39121D"/>
    <w:rsid w:val="7B865D50"/>
    <w:rsid w:val="7B87547C"/>
    <w:rsid w:val="7B8D34C3"/>
    <w:rsid w:val="7B971D84"/>
    <w:rsid w:val="7BAB0CB7"/>
    <w:rsid w:val="7BB4028F"/>
    <w:rsid w:val="7BE85BAB"/>
    <w:rsid w:val="7BF32F03"/>
    <w:rsid w:val="7BF50D2C"/>
    <w:rsid w:val="7C066F4E"/>
    <w:rsid w:val="7C1724A5"/>
    <w:rsid w:val="7C241E55"/>
    <w:rsid w:val="7C273CFF"/>
    <w:rsid w:val="7C5C0312"/>
    <w:rsid w:val="7CA54112"/>
    <w:rsid w:val="7CA553D9"/>
    <w:rsid w:val="7CAB27F5"/>
    <w:rsid w:val="7CAF438A"/>
    <w:rsid w:val="7CCE726D"/>
    <w:rsid w:val="7CD71EA3"/>
    <w:rsid w:val="7CE50CE4"/>
    <w:rsid w:val="7CF877E9"/>
    <w:rsid w:val="7D134762"/>
    <w:rsid w:val="7D2E5ABF"/>
    <w:rsid w:val="7D4A45B8"/>
    <w:rsid w:val="7D642BD6"/>
    <w:rsid w:val="7D924F14"/>
    <w:rsid w:val="7E007625"/>
    <w:rsid w:val="7E0737C8"/>
    <w:rsid w:val="7E131C51"/>
    <w:rsid w:val="7E176B90"/>
    <w:rsid w:val="7E2142A2"/>
    <w:rsid w:val="7E240411"/>
    <w:rsid w:val="7E5148A6"/>
    <w:rsid w:val="7E6A046F"/>
    <w:rsid w:val="7E797DE5"/>
    <w:rsid w:val="7E7B0BF2"/>
    <w:rsid w:val="7E8D75B6"/>
    <w:rsid w:val="7E8E672B"/>
    <w:rsid w:val="7EB16167"/>
    <w:rsid w:val="7EF760EE"/>
    <w:rsid w:val="7F193E37"/>
    <w:rsid w:val="7F2536B5"/>
    <w:rsid w:val="7F383117"/>
    <w:rsid w:val="7F485E64"/>
    <w:rsid w:val="7F5A01CA"/>
    <w:rsid w:val="7FA017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link w:val="72"/>
    <w:qFormat/>
    <w:uiPriority w:val="9"/>
    <w:pPr>
      <w:keepNext/>
      <w:keepLines/>
      <w:spacing w:before="340" w:after="330" w:line="576" w:lineRule="auto"/>
      <w:outlineLvl w:val="0"/>
    </w:pPr>
    <w:rPr>
      <w:b/>
      <w:kern w:val="44"/>
      <w:sz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link w:val="71"/>
    <w:semiHidden/>
    <w:unhideWhenUsed/>
    <w:qFormat/>
    <w:uiPriority w:val="9"/>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Body Text First Indent"/>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styleId="8">
    <w:name w:val="annotation subject"/>
    <w:basedOn w:val="9"/>
    <w:next w:val="9"/>
    <w:link w:val="61"/>
    <w:semiHidden/>
    <w:unhideWhenUsed/>
    <w:qFormat/>
    <w:uiPriority w:val="99"/>
    <w:rPr>
      <w:b/>
      <w:bCs/>
    </w:rPr>
  </w:style>
  <w:style w:type="paragraph" w:styleId="9">
    <w:name w:val="annotation text"/>
    <w:basedOn w:val="1"/>
    <w:link w:val="60"/>
    <w:unhideWhenUsed/>
    <w:qFormat/>
    <w:uiPriority w:val="99"/>
  </w:style>
  <w:style w:type="paragraph" w:styleId="10">
    <w:name w:val="toc 7"/>
    <w:basedOn w:val="1"/>
    <w:next w:val="1"/>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11">
    <w:name w:val="Body Text"/>
    <w:basedOn w:val="1"/>
    <w:link w:val="63"/>
    <w:qFormat/>
    <w:uiPriority w:val="1"/>
    <w:pPr>
      <w:spacing w:before="161"/>
      <w:ind w:left="120"/>
    </w:pPr>
    <w:rPr>
      <w:rFonts w:ascii="宋体" w:hAnsi="宋体" w:cs="宋体"/>
      <w:sz w:val="24"/>
      <w:lang w:val="zh-CN" w:bidi="zh-CN"/>
    </w:rPr>
  </w:style>
  <w:style w:type="paragraph" w:styleId="12">
    <w:name w:val="Body Text Indent"/>
    <w:basedOn w:val="1"/>
    <w:qFormat/>
    <w:uiPriority w:val="0"/>
    <w:pPr>
      <w:ind w:left="359" w:leftChars="171" w:firstLine="179" w:firstLineChars="85"/>
    </w:pPr>
    <w:rPr>
      <w:rFonts w:ascii="宋体" w:hAnsi="宋体"/>
      <w:b/>
      <w:bCs/>
      <w:szCs w:val="26"/>
    </w:rPr>
  </w:style>
  <w:style w:type="paragraph" w:styleId="13">
    <w:name w:val="toc 5"/>
    <w:basedOn w:val="1"/>
    <w:next w:val="1"/>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4">
    <w:name w:val="toc 3"/>
    <w:basedOn w:val="1"/>
    <w:next w:val="1"/>
    <w:unhideWhenUsed/>
    <w:qFormat/>
    <w:uiPriority w:val="39"/>
    <w:pPr>
      <w:tabs>
        <w:tab w:val="right" w:leader="dot" w:pos="8296"/>
      </w:tabs>
      <w:ind w:left="838" w:leftChars="381"/>
    </w:pPr>
    <w:rPr>
      <w:szCs w:val="21"/>
    </w:rPr>
  </w:style>
  <w:style w:type="paragraph" w:styleId="15">
    <w:name w:val="Plain Text"/>
    <w:basedOn w:val="1"/>
    <w:link w:val="52"/>
    <w:qFormat/>
    <w:uiPriority w:val="0"/>
    <w:pPr>
      <w:widowControl w:val="0"/>
      <w:adjustRightInd/>
      <w:snapToGrid/>
      <w:jc w:val="both"/>
    </w:pPr>
    <w:rPr>
      <w:rFonts w:ascii="宋体" w:hAnsi="Courier New" w:cs="Times New Roman"/>
      <w:b/>
      <w:kern w:val="2"/>
      <w:szCs w:val="20"/>
    </w:rPr>
  </w:style>
  <w:style w:type="paragraph" w:styleId="16">
    <w:name w:val="toc 8"/>
    <w:basedOn w:val="1"/>
    <w:next w:val="1"/>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7">
    <w:name w:val="Balloon Text"/>
    <w:basedOn w:val="1"/>
    <w:link w:val="55"/>
    <w:semiHidden/>
    <w:unhideWhenUsed/>
    <w:qFormat/>
    <w:uiPriority w:val="99"/>
    <w:rPr>
      <w:sz w:val="18"/>
      <w:szCs w:val="18"/>
    </w:rPr>
  </w:style>
  <w:style w:type="paragraph" w:styleId="18">
    <w:name w:val="footer"/>
    <w:basedOn w:val="1"/>
    <w:link w:val="54"/>
    <w:unhideWhenUsed/>
    <w:qFormat/>
    <w:uiPriority w:val="99"/>
    <w:pPr>
      <w:tabs>
        <w:tab w:val="center" w:pos="4153"/>
        <w:tab w:val="right" w:pos="8306"/>
      </w:tabs>
    </w:pPr>
    <w:rPr>
      <w:sz w:val="18"/>
      <w:szCs w:val="18"/>
    </w:rPr>
  </w:style>
  <w:style w:type="paragraph" w:styleId="19">
    <w:name w:val="header"/>
    <w:basedOn w:val="1"/>
    <w:link w:val="53"/>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tabs>
        <w:tab w:val="right" w:leader="dot" w:pos="8296"/>
      </w:tabs>
      <w:spacing w:after="120"/>
      <w:ind w:left="1320" w:leftChars="600"/>
    </w:pPr>
  </w:style>
  <w:style w:type="paragraph" w:styleId="22">
    <w:name w:val="footnote text"/>
    <w:basedOn w:val="1"/>
    <w:semiHidden/>
    <w:unhideWhenUsed/>
    <w:qFormat/>
    <w:uiPriority w:val="99"/>
    <w:rPr>
      <w:sz w:val="18"/>
    </w:rPr>
  </w:style>
  <w:style w:type="paragraph" w:styleId="23">
    <w:name w:val="toc 6"/>
    <w:basedOn w:val="1"/>
    <w:next w:val="1"/>
    <w:qFormat/>
    <w:uiPriority w:val="39"/>
    <w:pPr>
      <w:ind w:left="1200"/>
    </w:pPr>
    <w:rPr>
      <w:rFonts w:ascii="Calibri" w:cs="Calibri"/>
      <w:sz w:val="18"/>
      <w:szCs w:val="18"/>
    </w:rPr>
  </w:style>
  <w:style w:type="paragraph" w:styleId="24">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5">
    <w:name w:val="toc 9"/>
    <w:basedOn w:val="1"/>
    <w:next w:val="1"/>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6">
    <w:name w:val="Normal (Web)"/>
    <w:basedOn w:val="1"/>
    <w:link w:val="57"/>
    <w:qFormat/>
    <w:uiPriority w:val="0"/>
    <w:pPr>
      <w:widowControl w:val="0"/>
      <w:adjustRightInd/>
      <w:snapToGrid/>
      <w:jc w:val="both"/>
    </w:pPr>
    <w:rPr>
      <w:rFonts w:asciiTheme="minorHAnsi" w:hAnsiTheme="minorHAnsi"/>
      <w:kern w:val="2"/>
      <w:sz w:val="24"/>
      <w:szCs w:val="24"/>
    </w:rPr>
  </w:style>
  <w:style w:type="character" w:styleId="28">
    <w:name w:val="page number"/>
    <w:basedOn w:val="27"/>
    <w:qFormat/>
    <w:uiPriority w:val="0"/>
  </w:style>
  <w:style w:type="character" w:styleId="29">
    <w:name w:val="Emphasis"/>
    <w:basedOn w:val="27"/>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7"/>
    <w:semiHidden/>
    <w:unhideWhenUsed/>
    <w:qFormat/>
    <w:uiPriority w:val="99"/>
    <w:rPr>
      <w:sz w:val="21"/>
      <w:szCs w:val="21"/>
    </w:rPr>
  </w:style>
  <w:style w:type="character" w:styleId="32">
    <w:name w:val="footnote reference"/>
    <w:basedOn w:val="27"/>
    <w:semiHidden/>
    <w:unhideWhenUsed/>
    <w:qFormat/>
    <w:uiPriority w:val="99"/>
    <w:rPr>
      <w:vertAlign w:val="superscript"/>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5">
    <w:name w:val="Body Text First Indent1"/>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36">
    <w:name w:val="样式 正文首行缩进 + 首行缩进:  1 字符"/>
    <w:basedOn w:val="1"/>
    <w:next w:val="1"/>
    <w:qFormat/>
    <w:uiPriority w:val="0"/>
    <w:pPr>
      <w:ind w:firstLine="200" w:firstLineChars="200"/>
    </w:pPr>
    <w:rPr>
      <w:rFonts w:cs="宋体"/>
      <w:szCs w:val="20"/>
    </w:rPr>
  </w:style>
  <w:style w:type="paragraph" w:customStyle="1" w:styleId="37">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38">
    <w:name w:val="标题 2 字符"/>
    <w:basedOn w:val="27"/>
    <w:link w:val="4"/>
    <w:qFormat/>
    <w:uiPriority w:val="9"/>
    <w:rPr>
      <w:rFonts w:asciiTheme="majorHAnsi" w:hAnsiTheme="majorHAnsi" w:eastAsiaTheme="majorEastAsia" w:cstheme="majorBidi"/>
      <w:b/>
      <w:bCs/>
      <w:sz w:val="32"/>
      <w:szCs w:val="32"/>
    </w:rPr>
  </w:style>
  <w:style w:type="character" w:customStyle="1" w:styleId="39">
    <w:name w:val="标题 3 字符"/>
    <w:basedOn w:val="27"/>
    <w:link w:val="5"/>
    <w:qFormat/>
    <w:uiPriority w:val="9"/>
    <w:rPr>
      <w:rFonts w:ascii="Tahoma" w:hAnsi="Tahoma"/>
      <w:b/>
      <w:bCs/>
      <w:sz w:val="32"/>
      <w:szCs w:val="32"/>
    </w:rPr>
  </w:style>
  <w:style w:type="paragraph" w:styleId="40">
    <w:name w:val="List Paragraph"/>
    <w:basedOn w:val="1"/>
    <w:link w:val="62"/>
    <w:qFormat/>
    <w:uiPriority w:val="0"/>
    <w:pPr>
      <w:ind w:firstLine="420" w:firstLineChars="200"/>
    </w:pPr>
  </w:style>
  <w:style w:type="character" w:customStyle="1" w:styleId="41">
    <w:name w:val="标题 4 字符"/>
    <w:basedOn w:val="27"/>
    <w:link w:val="6"/>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7">
    <w:name w:val="标题1"/>
    <w:qFormat/>
    <w:uiPriority w:val="0"/>
    <w:rPr>
      <w:rFonts w:ascii="Times New Roman" w:hAnsi="Times New Roman" w:eastAsia="宋体" w:cs="Times New Roman"/>
      <w:b/>
      <w:kern w:val="0"/>
      <w:sz w:val="24"/>
      <w:szCs w:val="20"/>
      <w:lang w:eastAsia="en-US"/>
    </w:rPr>
  </w:style>
  <w:style w:type="character" w:customStyle="1" w:styleId="48">
    <w:name w:val="标题 3.1 Char"/>
    <w:link w:val="49"/>
    <w:qFormat/>
    <w:uiPriority w:val="0"/>
    <w:rPr>
      <w:rFonts w:ascii="宋体" w:hAnsi="宋体" w:eastAsia="宋体"/>
      <w:b/>
      <w:color w:val="FF0000"/>
      <w:kern w:val="2"/>
      <w:sz w:val="32"/>
    </w:rPr>
  </w:style>
  <w:style w:type="paragraph" w:customStyle="1" w:styleId="49">
    <w:name w:val="标题 3.1"/>
    <w:basedOn w:val="5"/>
    <w:link w:val="48"/>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qFormat/>
    <w:uiPriority w:val="0"/>
    <w:rPr>
      <w:rFonts w:ascii="楷体_GB2312" w:hAnsi="楷体_GB2312" w:eastAsia="仿宋_GB2312"/>
      <w:sz w:val="24"/>
    </w:rPr>
  </w:style>
  <w:style w:type="character" w:customStyle="1" w:styleId="51">
    <w:name w:val="纯文本 Char"/>
    <w:qFormat/>
    <w:uiPriority w:val="0"/>
    <w:rPr>
      <w:rFonts w:ascii="宋体" w:hAnsi="Courier New" w:eastAsia="宋体" w:cs="Times New Roman"/>
      <w:b/>
      <w:kern w:val="2"/>
      <w:sz w:val="21"/>
      <w:szCs w:val="20"/>
    </w:rPr>
  </w:style>
  <w:style w:type="character" w:customStyle="1" w:styleId="52">
    <w:name w:val="纯文本 字符"/>
    <w:basedOn w:val="27"/>
    <w:link w:val="15"/>
    <w:semiHidden/>
    <w:qFormat/>
    <w:uiPriority w:val="99"/>
    <w:rPr>
      <w:rFonts w:ascii="宋体" w:hAnsi="Courier New" w:eastAsia="宋体" w:cs="Courier New"/>
      <w:sz w:val="21"/>
      <w:szCs w:val="21"/>
    </w:rPr>
  </w:style>
  <w:style w:type="character" w:customStyle="1" w:styleId="53">
    <w:name w:val="页眉 字符"/>
    <w:basedOn w:val="27"/>
    <w:link w:val="19"/>
    <w:qFormat/>
    <w:uiPriority w:val="99"/>
    <w:rPr>
      <w:rFonts w:ascii="Tahoma" w:hAnsi="Tahoma"/>
      <w:sz w:val="18"/>
      <w:szCs w:val="18"/>
    </w:rPr>
  </w:style>
  <w:style w:type="character" w:customStyle="1" w:styleId="54">
    <w:name w:val="页脚 字符"/>
    <w:basedOn w:val="27"/>
    <w:link w:val="18"/>
    <w:qFormat/>
    <w:uiPriority w:val="99"/>
    <w:rPr>
      <w:rFonts w:ascii="Tahoma" w:hAnsi="Tahoma"/>
      <w:sz w:val="18"/>
      <w:szCs w:val="18"/>
    </w:rPr>
  </w:style>
  <w:style w:type="character" w:customStyle="1" w:styleId="55">
    <w:name w:val="批注框文本 字符"/>
    <w:basedOn w:val="27"/>
    <w:link w:val="17"/>
    <w:semiHidden/>
    <w:qFormat/>
    <w:uiPriority w:val="99"/>
    <w:rPr>
      <w:rFonts w:ascii="Tahoma" w:hAnsi="Tahoma"/>
      <w:sz w:val="18"/>
      <w:szCs w:val="18"/>
    </w:rPr>
  </w:style>
  <w:style w:type="paragraph" w:customStyle="1" w:styleId="56">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7">
    <w:name w:val="普通(网站) 字符"/>
    <w:link w:val="26"/>
    <w:qFormat/>
    <w:uiPriority w:val="0"/>
    <w:rPr>
      <w:rFonts w:eastAsia="宋体"/>
      <w:kern w:val="2"/>
      <w:sz w:val="24"/>
      <w:szCs w:val="24"/>
    </w:rPr>
  </w:style>
  <w:style w:type="paragraph" w:customStyle="1" w:styleId="58">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qFormat/>
    <w:uiPriority w:val="0"/>
    <w:rPr>
      <w:sz w:val="21"/>
      <w:szCs w:val="21"/>
    </w:rPr>
  </w:style>
  <w:style w:type="character" w:customStyle="1" w:styleId="60">
    <w:name w:val="批注文字 字符"/>
    <w:basedOn w:val="27"/>
    <w:link w:val="9"/>
    <w:qFormat/>
    <w:uiPriority w:val="99"/>
    <w:rPr>
      <w:rFonts w:ascii="Tahoma" w:hAnsi="Tahoma" w:eastAsia="微软雅黑" w:cstheme="minorBidi"/>
      <w:sz w:val="22"/>
      <w:szCs w:val="22"/>
    </w:rPr>
  </w:style>
  <w:style w:type="character" w:customStyle="1" w:styleId="61">
    <w:name w:val="批注主题 字符"/>
    <w:basedOn w:val="60"/>
    <w:link w:val="8"/>
    <w:semiHidden/>
    <w:qFormat/>
    <w:uiPriority w:val="99"/>
    <w:rPr>
      <w:rFonts w:ascii="Tahoma" w:hAnsi="Tahoma" w:eastAsia="微软雅黑" w:cstheme="minorBidi"/>
      <w:b/>
      <w:bCs/>
      <w:sz w:val="22"/>
      <w:szCs w:val="22"/>
    </w:rPr>
  </w:style>
  <w:style w:type="character" w:customStyle="1" w:styleId="62">
    <w:name w:val="列表段落 字符"/>
    <w:link w:val="40"/>
    <w:qFormat/>
    <w:uiPriority w:val="0"/>
    <w:rPr>
      <w:rFonts w:ascii="Tahoma" w:hAnsi="Tahoma" w:eastAsia="微软雅黑" w:cstheme="minorBidi"/>
      <w:sz w:val="22"/>
      <w:szCs w:val="22"/>
    </w:rPr>
  </w:style>
  <w:style w:type="character" w:customStyle="1" w:styleId="63">
    <w:name w:val="正文文本 字符"/>
    <w:basedOn w:val="27"/>
    <w:link w:val="11"/>
    <w:qFormat/>
    <w:uiPriority w:val="1"/>
    <w:rPr>
      <w:rFonts w:ascii="宋体" w:hAnsi="宋体" w:cs="宋体"/>
      <w:sz w:val="24"/>
      <w:szCs w:val="22"/>
      <w:lang w:val="zh-CN" w:bidi="zh-CN"/>
    </w:rPr>
  </w:style>
  <w:style w:type="paragraph" w:customStyle="1" w:styleId="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_Style 1"/>
    <w:basedOn w:val="1"/>
    <w:qFormat/>
    <w:uiPriority w:val="0"/>
    <w:pPr>
      <w:ind w:firstLine="420" w:firstLineChars="200"/>
    </w:pPr>
  </w:style>
  <w:style w:type="paragraph" w:customStyle="1" w:styleId="66">
    <w:name w:val="列出段落2"/>
    <w:basedOn w:val="1"/>
    <w:qFormat/>
    <w:uiPriority w:val="0"/>
    <w:pPr>
      <w:ind w:firstLine="420" w:firstLineChars="200"/>
    </w:pPr>
  </w:style>
  <w:style w:type="paragraph" w:customStyle="1" w:styleId="67">
    <w:name w:val="p0"/>
    <w:basedOn w:val="1"/>
    <w:qFormat/>
    <w:uiPriority w:val="0"/>
    <w:rPr>
      <w:szCs w:val="21"/>
    </w:rPr>
  </w:style>
  <w:style w:type="paragraph" w:customStyle="1" w:styleId="68">
    <w:name w:val="正文文本缩进 21"/>
    <w:basedOn w:val="1"/>
    <w:qFormat/>
    <w:uiPriority w:val="0"/>
    <w:pPr>
      <w:spacing w:line="480" w:lineRule="auto"/>
      <w:ind w:firstLine="540"/>
    </w:pPr>
    <w:rPr>
      <w:rFonts w:ascii="Calibri" w:hAnsi="Calibri"/>
      <w:sz w:val="20"/>
      <w:szCs w:val="20"/>
    </w:rPr>
  </w:style>
  <w:style w:type="paragraph" w:customStyle="1" w:styleId="69">
    <w:name w:val="_Style 2"/>
    <w:basedOn w:val="1"/>
    <w:qFormat/>
    <w:uiPriority w:val="0"/>
    <w:pPr>
      <w:ind w:firstLine="420" w:firstLineChars="200"/>
    </w:pPr>
  </w:style>
  <w:style w:type="paragraph" w:customStyle="1" w:styleId="70">
    <w:name w:val="msolistparagraph"/>
    <w:basedOn w:val="1"/>
    <w:qFormat/>
    <w:uiPriority w:val="0"/>
    <w:pPr>
      <w:ind w:firstLine="420" w:firstLineChars="200"/>
    </w:pPr>
    <w:rPr>
      <w:rFonts w:hint="eastAsia" w:hAnsi="宋体"/>
    </w:rPr>
  </w:style>
  <w:style w:type="character" w:customStyle="1" w:styleId="71">
    <w:name w:val="标题 5 字符"/>
    <w:link w:val="7"/>
    <w:qFormat/>
    <w:uiPriority w:val="0"/>
    <w:rPr>
      <w:b/>
      <w:sz w:val="28"/>
    </w:rPr>
  </w:style>
  <w:style w:type="character" w:customStyle="1" w:styleId="72">
    <w:name w:val="标题 1 字符"/>
    <w:link w:val="3"/>
    <w:qFormat/>
    <w:uiPriority w:val="9"/>
    <w:rPr>
      <w:b/>
      <w:kern w:val="44"/>
      <w:sz w:val="44"/>
    </w:rPr>
  </w:style>
  <w:style w:type="paragraph" w:customStyle="1" w:styleId="73">
    <w:name w:val="修订1"/>
    <w:hidden/>
    <w:semiHidden/>
    <w:qFormat/>
    <w:uiPriority w:val="99"/>
    <w:rPr>
      <w:rFonts w:ascii="Tahoma" w:hAnsi="Tahoma" w:eastAsia="宋体" w:cstheme="minorBidi"/>
      <w:sz w:val="21"/>
      <w:szCs w:val="22"/>
      <w:lang w:val="en-US" w:eastAsia="zh-CN" w:bidi="ar-SA"/>
    </w:rPr>
  </w:style>
  <w:style w:type="paragraph" w:customStyle="1" w:styleId="74">
    <w:name w:val="表格文字"/>
    <w:basedOn w:val="1"/>
    <w:qFormat/>
    <w:uiPriority w:val="0"/>
    <w:pPr>
      <w:adjustRightInd/>
      <w:spacing w:before="25" w:after="25"/>
    </w:pPr>
    <w:rPr>
      <w:rFonts w:ascii="Times New Roman"/>
      <w:bCs/>
      <w:spacing w:val="10"/>
      <w:szCs w:val="20"/>
    </w:rPr>
  </w:style>
  <w:style w:type="paragraph" w:customStyle="1" w:styleId="75">
    <w:name w:val="纯文本1"/>
    <w:basedOn w:val="76"/>
    <w:qFormat/>
    <w:uiPriority w:val="0"/>
    <w:rPr>
      <w:rFonts w:ascii="宋体" w:hAnsi="Courier New"/>
      <w:szCs w:val="20"/>
    </w:rPr>
  </w:style>
  <w:style w:type="paragraph" w:customStyle="1" w:styleId="76">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7">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78">
    <w:name w:val="Table Normal"/>
    <w:semiHidden/>
    <w:unhideWhenUsed/>
    <w:qFormat/>
    <w:uiPriority w:val="2"/>
    <w:tblPr>
      <w:tblLayout w:type="fixed"/>
      <w:tblCellMar>
        <w:top w:w="0" w:type="dxa"/>
        <w:left w:w="0" w:type="dxa"/>
        <w:bottom w:w="0" w:type="dxa"/>
        <w:right w:w="0" w:type="dxa"/>
      </w:tblCellMar>
    </w:tblPr>
  </w:style>
  <w:style w:type="paragraph" w:customStyle="1" w:styleId="79">
    <w:name w:val="Table Paragraph"/>
    <w:basedOn w:val="1"/>
    <w:qFormat/>
    <w:uiPriority w:val="1"/>
  </w:style>
  <w:style w:type="paragraph" w:customStyle="1" w:styleId="80">
    <w:name w:val="正文文本缩进1"/>
    <w:basedOn w:val="76"/>
    <w:qFormat/>
    <w:uiPriority w:val="0"/>
    <w:pPr>
      <w:spacing w:after="120"/>
      <w:ind w:left="420" w:leftChars="200"/>
    </w:pPr>
  </w:style>
  <w:style w:type="paragraph" w:customStyle="1" w:styleId="81">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2">
    <w:name w:val="纯文本2"/>
    <w:basedOn w:val="76"/>
    <w:qFormat/>
    <w:uiPriority w:val="0"/>
    <w:rPr>
      <w:rFonts w:ascii="宋体" w:hAnsi="Courier New"/>
      <w:szCs w:val="20"/>
    </w:rPr>
  </w:style>
  <w:style w:type="character" w:customStyle="1" w:styleId="83">
    <w:name w:val="font141"/>
    <w:qFormat/>
    <w:uiPriority w:val="0"/>
    <w:rPr>
      <w:rFonts w:hint="default" w:ascii="Times New Roman" w:hAnsi="Times New Roman" w:cs="Times New Roman"/>
      <w:color w:val="000000"/>
      <w:sz w:val="18"/>
      <w:szCs w:val="18"/>
      <w:u w:val="none"/>
    </w:rPr>
  </w:style>
  <w:style w:type="character" w:customStyle="1" w:styleId="84">
    <w:name w:val="font71"/>
    <w:qFormat/>
    <w:uiPriority w:val="0"/>
    <w:rPr>
      <w:rFonts w:hint="eastAsia" w:ascii="宋体" w:hAnsi="宋体" w:eastAsia="宋体" w:cs="宋体"/>
      <w:color w:val="000000"/>
      <w:sz w:val="18"/>
      <w:szCs w:val="18"/>
      <w:u w:val="none"/>
    </w:rPr>
  </w:style>
  <w:style w:type="paragraph" w:customStyle="1" w:styleId="85">
    <w:name w:val="正文文本首行缩进1"/>
    <w:next w:val="1"/>
    <w:qFormat/>
    <w:uiPriority w:val="0"/>
    <w:pPr>
      <w:widowControl w:val="0"/>
      <w:spacing w:beforeLines="5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6">
    <w:name w:val="table"/>
    <w:qFormat/>
    <w:uiPriority w:val="0"/>
    <w:pPr>
      <w:adjustRightInd w:val="0"/>
      <w:snapToGrid w:val="0"/>
    </w:pPr>
    <w:rPr>
      <w:rFonts w:hint="default" w:ascii="宋体"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67320</Words>
  <Characters>70824</Characters>
  <Lines>67</Lines>
  <Paragraphs>66</Paragraphs>
  <TotalTime>34</TotalTime>
  <ScaleCrop>false</ScaleCrop>
  <LinksUpToDate>false</LinksUpToDate>
  <CharactersWithSpaces>73184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2022-10-28T09:19:00Z</dcterms:created>
  <dc:creator>MyPC</dc:creator>
  <cp:lastModifiedBy>彬</cp:lastModifiedBy>
  <cp:lastPrinted>2022-12-01T06:09:00Z</cp:lastPrinted>
  <dcterms:modified xsi:type="dcterms:W3CDTF">2025-06-27T09:30:57Z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AC60154F674741D6833D181B1A462136_13</vt:lpwstr>
  </property>
  <property fmtid="{D5CDD505-2E9C-101B-9397-08002B2CF9AE}" pid="4" name="KSOTemplateDocerSaveRecord">
    <vt:lpwstr>eyJoZGlkIjoiMzExODRmOWQwY2JlNzVlNGZlZDM1ZTI4ZTVmZWUxNTAiLCJ1c2VySWQiOiI0MDIxODEzNDYifQ==</vt:lpwstr>
  </property>
</Properties>
</file>