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eastAsia="黑体"/>
          <w:color w:val="auto"/>
          <w:szCs w:val="21"/>
          <w:highlight w:val="none"/>
        </w:rPr>
      </w:pPr>
    </w:p>
    <w:p>
      <w:pPr>
        <w:pStyle w:val="70"/>
        <w:ind w:firstLine="400"/>
        <w:rPr>
          <w:color w:val="auto"/>
          <w:highlight w:val="none"/>
        </w:rPr>
      </w:pPr>
    </w:p>
    <w:p>
      <w:pPr>
        <w:rPr>
          <w:color w:val="auto"/>
          <w:highlight w:val="none"/>
        </w:rPr>
      </w:pPr>
    </w:p>
    <w:p>
      <w:pPr>
        <w:rPr>
          <w:color w:val="auto"/>
          <w:highlight w:val="none"/>
        </w:rPr>
      </w:pPr>
    </w:p>
    <w:p>
      <w:pPr>
        <w:rPr>
          <w:color w:val="auto"/>
          <w:highlight w:val="none"/>
        </w:rPr>
      </w:pPr>
    </w:p>
    <w:p>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竞争性磋商文件</w:t>
      </w:r>
    </w:p>
    <w:p>
      <w:pPr>
        <w:rPr>
          <w:color w:val="auto"/>
          <w:highlight w:val="none"/>
        </w:rPr>
      </w:pPr>
    </w:p>
    <w:p>
      <w:pPr>
        <w:pStyle w:val="2"/>
        <w:rPr>
          <w:color w:val="auto"/>
          <w:highlight w:val="none"/>
        </w:rPr>
      </w:pPr>
    </w:p>
    <w:p>
      <w:pPr>
        <w:rPr>
          <w:color w:val="auto"/>
          <w:highlight w:val="none"/>
        </w:rPr>
      </w:pPr>
    </w:p>
    <w:p>
      <w:pPr>
        <w:pStyle w:val="39"/>
        <w:rPr>
          <w:color w:val="auto"/>
          <w:highlight w:val="none"/>
        </w:rPr>
      </w:pPr>
    </w:p>
    <w:tbl>
      <w:tblPr>
        <w:tblStyle w:val="34"/>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7"/>
        <w:gridCol w:w="6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项目公司专项咨询服务（重新采购）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 w:val="0"/>
                <w:bCs/>
                <w:color w:val="auto"/>
                <w:sz w:val="32"/>
                <w:szCs w:val="24"/>
                <w:highlight w:val="none"/>
                <w:u w:val="single"/>
                <w:lang w:eastAsia="zh-CN"/>
              </w:rPr>
              <w:t>DGNY-ZX-03-001-001（2025）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东莞市新锋管道燃气有限公司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广西同泽工程项目管理股份有限公司</w:t>
            </w:r>
          </w:p>
        </w:tc>
      </w:tr>
    </w:tbl>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w:t>
      </w:r>
      <w:r>
        <w:rPr>
          <w:rFonts w:ascii="黑体" w:hAnsi="黑体" w:eastAsia="黑体" w:cs="黑体"/>
          <w:bCs/>
          <w:color w:val="auto"/>
          <w:sz w:val="32"/>
          <w:szCs w:val="24"/>
          <w:highlight w:val="none"/>
        </w:rPr>
        <w:t>2</w:t>
      </w:r>
      <w:r>
        <w:rPr>
          <w:rFonts w:hint="eastAsia" w:ascii="黑体" w:hAnsi="黑体" w:eastAsia="黑体" w:cs="黑体"/>
          <w:bCs/>
          <w:color w:val="auto"/>
          <w:sz w:val="32"/>
          <w:szCs w:val="24"/>
          <w:highlight w:val="none"/>
          <w:lang w:val="en-US" w:eastAsia="zh-CN"/>
        </w:rPr>
        <w:t>5</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6</w:t>
      </w:r>
      <w:r>
        <w:rPr>
          <w:rFonts w:hint="eastAsia" w:ascii="黑体" w:hAnsi="黑体" w:eastAsia="黑体" w:cs="黑体"/>
          <w:bCs/>
          <w:color w:val="auto"/>
          <w:sz w:val="32"/>
          <w:szCs w:val="24"/>
          <w:highlight w:val="none"/>
        </w:rPr>
        <w:t>月</w:t>
      </w:r>
    </w:p>
    <w:p>
      <w:pPr>
        <w:rPr>
          <w:color w:val="auto"/>
          <w:highlight w:val="none"/>
        </w:rPr>
        <w:sectPr>
          <w:headerReference r:id="rId4" w:type="first"/>
          <w:footerReference r:id="rId6" w:type="first"/>
          <w:headerReference r:id="rId3" w:type="default"/>
          <w:footerReference r:id="rId5" w:type="default"/>
          <w:pgSz w:w="11906" w:h="16838"/>
          <w:pgMar w:top="1440" w:right="1800" w:bottom="1440" w:left="1800" w:header="708" w:footer="708" w:gutter="0"/>
          <w:pgNumType w:start="1"/>
          <w:cols w:space="720" w:num="1"/>
          <w:titlePg/>
          <w:docGrid w:type="lines" w:linePitch="360" w:charSpace="0"/>
        </w:sectPr>
      </w:pPr>
    </w:p>
    <w:p>
      <w:pPr>
        <w:pStyle w:val="24"/>
        <w:ind w:left="0" w:left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目录</w:t>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TOC \o "1-4" \h \z \u </w:instrText>
      </w:r>
      <w:r>
        <w:rPr>
          <w:rFonts w:hint="eastAsia" w:ascii="宋体" w:hAnsi="宋体" w:eastAsia="宋体" w:cs="宋体"/>
          <w:b/>
          <w:bCs/>
          <w:color w:val="auto"/>
          <w:sz w:val="21"/>
          <w:szCs w:val="21"/>
          <w:highlight w:val="none"/>
        </w:rPr>
        <w:fldChar w:fldCharType="separate"/>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_Toc16493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第一部分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_Toc1723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磋商邀请书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_Toc31009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第二部分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_Toc25328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附表一：响应资料表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_Toc28592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附表二：商务技术评分及价格权重表（满分100分）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_Toc28592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_Toc862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第三部分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_Toc4409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第一章 商务需求书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_Toc4409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_Toc26852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第二章 技术需求书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_Toc26852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第四部分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_Toc26616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_Toc5825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 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_Toc19083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 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_Toc27116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 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_Toc10743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4. 磋商费用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_Toc25599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5. 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_Toc2400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6. 关于联合体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_Toc6403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7. 关于分支机构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_Toc15415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8. 踏勘现场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_Toc10222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二、 磋商文件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_Toc16834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9. 磋商文件的组成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10. 磋商文件的澄清或修改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_Toc17865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三、 响应文件的编制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_Toc20975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11. 响应文件的语言及度量衡单位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_Toc14305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12. 响应文件的组成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_Toc28428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13. 响应文件编制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_Toc13811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14. 磋商报价说明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_Toc26043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15. 供应商所提供的服务或货物的证明文件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_Toc11230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16. 磋商有效期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_Toc28720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17. 磋商保证金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_Toc22903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四、 响应文件的递交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_Toc22903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_Toc19356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18. 响应文件的装订，签署，密封和标记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_Toc14638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19. 迟交的响应文件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_Toc31400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20. 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_Toc21784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21. 磋商截止期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_Toc28893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22. 响应文件的补充、修改与撤回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_Toc17728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_Toc5688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23.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_Toc10587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24.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_Toc19582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25. 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_Toc19582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_Toc16735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26.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_Toc11276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27. 商务、技术、价格评审（具体评审项目详见响应资料表）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_Toc9099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28. 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_Toc7213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_Toc7213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_Toc17369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29. 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_Toc19276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30. 发布成交结果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_Toc24575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31. 资格后审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_Toc28018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32. 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_Toc15457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33. 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_Toc7152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七、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_Toc16800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34.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_Toc18218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_Toc18354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35. 磋商文件的解释权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_Toc29654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第六部分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附件－响应文件格式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响应文件目录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_Toc26229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_Toc16913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_Toc17057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附件2.首次报价一览表格式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_Toc18548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.报价明细表格式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_Toc7013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_Toc17541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.响应书格式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_Toc13760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_Toc25838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_Toc25838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_Toc13489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_Toc15281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_Toc22861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_Toc26706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.承诺书格式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_Toc4299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.商务需求条款偏离表格式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_Toc20856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_Toc3453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_Toc8722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_Toc21591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_Toc27437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_Toc25771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.磋商保证金汇入情况说明格式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_Toc10592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.不可撤销履约保函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_Toc17962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.预付款保函（</w:t>
      </w:r>
      <w:r>
        <w:rPr>
          <w:rFonts w:hint="eastAsia" w:ascii="宋体" w:hAnsi="宋体" w:eastAsia="宋体" w:cs="宋体"/>
          <w:color w:val="auto"/>
          <w:sz w:val="21"/>
          <w:szCs w:val="21"/>
          <w:highlight w:val="none"/>
          <w:lang w:eastAsia="zh-CN"/>
        </w:rPr>
        <w:t>本项目不</w:t>
      </w:r>
      <w:r>
        <w:rPr>
          <w:rFonts w:hint="eastAsia" w:ascii="宋体" w:hAnsi="宋体" w:eastAsia="宋体" w:cs="宋体"/>
          <w:color w:val="auto"/>
          <w:sz w:val="21"/>
          <w:szCs w:val="21"/>
          <w:highlight w:val="none"/>
        </w:rPr>
        <w:t>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_Toc29630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_Toc20759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.唱标信封内装（内容务必与响应文件正本一致）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end"/>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4"/>
        <w:spacing w:before="0" w:after="0" w:line="240" w:lineRule="auto"/>
        <w:rPr>
          <w:color w:val="auto"/>
          <w:sz w:val="28"/>
          <w:szCs w:val="28"/>
          <w:highlight w:val="none"/>
        </w:rPr>
      </w:pPr>
      <w:bookmarkStart w:id="0" w:name="_Toc16493"/>
      <w:bookmarkStart w:id="1" w:name="_Toc13339"/>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磋商邀请</w:t>
      </w:r>
      <w:bookmarkEnd w:id="0"/>
      <w:bookmarkEnd w:id="1"/>
    </w:p>
    <w:p>
      <w:pPr>
        <w:pStyle w:val="5"/>
        <w:spacing w:before="0" w:after="0" w:line="360" w:lineRule="auto"/>
        <w:jc w:val="center"/>
        <w:rPr>
          <w:rFonts w:ascii="宋体" w:hAnsi="宋体" w:cs="宋体"/>
          <w:color w:val="auto"/>
          <w:highlight w:val="none"/>
        </w:rPr>
      </w:pPr>
      <w:bookmarkStart w:id="2" w:name="_Toc24991"/>
      <w:bookmarkStart w:id="3" w:name="_Toc1723"/>
      <w:r>
        <w:rPr>
          <w:rFonts w:hint="eastAsia" w:ascii="宋体" w:hAnsi="宋体" w:cs="宋体"/>
          <w:color w:val="auto"/>
          <w:highlight w:val="none"/>
        </w:rPr>
        <w:t>磋商邀请书</w:t>
      </w:r>
      <w:bookmarkEnd w:id="2"/>
      <w:bookmarkEnd w:id="3"/>
    </w:p>
    <w:p>
      <w:pP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广西同泽工程项目管理股份有限公司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东莞市新锋管道燃气有限公司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lang w:eastAsia="zh-CN"/>
        </w:rPr>
        <w:t>项目公司专项咨询服务（重新采购）</w:t>
      </w:r>
      <w:r>
        <w:rPr>
          <w:rFonts w:hint="eastAsia" w:ascii="宋体" w:hAnsi="宋体"/>
          <w:color w:val="auto"/>
          <w:szCs w:val="21"/>
          <w:highlight w:val="none"/>
        </w:rPr>
        <w:t>（项目编号：</w:t>
      </w:r>
      <w:r>
        <w:rPr>
          <w:rFonts w:hint="eastAsia" w:ascii="宋体" w:hAnsi="宋体"/>
          <w:b/>
          <w:bCs/>
          <w:color w:val="auto"/>
          <w:szCs w:val="21"/>
          <w:highlight w:val="none"/>
          <w:lang w:eastAsia="zh-CN"/>
        </w:rPr>
        <w:t>DGNY-ZX-03-001-001（2025）</w:t>
      </w:r>
      <w:r>
        <w:rPr>
          <w:rFonts w:hint="eastAsia" w:ascii="宋体" w:hAnsi="宋体"/>
          <w:color w:val="auto"/>
          <w:szCs w:val="21"/>
          <w:highlight w:val="none"/>
        </w:rPr>
        <w:t>）</w:t>
      </w:r>
      <w:r>
        <w:rPr>
          <w:rFonts w:hint="eastAsia" w:ascii="宋体" w:hAnsi="宋体" w:cs="Times New Roman"/>
          <w:color w:val="auto"/>
          <w:szCs w:val="21"/>
          <w:highlight w:val="none"/>
        </w:rPr>
        <w:t>进行竞争性磋商采购</w:t>
      </w:r>
      <w:r>
        <w:rPr>
          <w:rFonts w:hint="eastAsia" w:ascii="宋体" w:hAnsi="宋体"/>
          <w:color w:val="auto"/>
          <w:szCs w:val="21"/>
          <w:highlight w:val="none"/>
        </w:rPr>
        <w:t>，欢迎符合磋商文件要求的国内供应商参加响应</w:t>
      </w:r>
      <w:r>
        <w:rPr>
          <w:rFonts w:ascii="宋体" w:hAnsi="宋体"/>
          <w:color w:val="auto"/>
          <w:szCs w:val="21"/>
          <w:highlight w:val="none"/>
        </w:rPr>
        <w:t>。有关事项如下：</w:t>
      </w:r>
    </w:p>
    <w:p>
      <w:pPr>
        <w:ind w:firstLine="413" w:firstLineChars="196"/>
        <w:rPr>
          <w:rFonts w:ascii="宋体" w:hAnsi="宋体"/>
          <w:b/>
          <w:color w:val="auto"/>
          <w:szCs w:val="21"/>
          <w:highlight w:val="none"/>
        </w:rPr>
      </w:pPr>
    </w:p>
    <w:p>
      <w:pPr>
        <w:ind w:firstLine="413"/>
        <w:rPr>
          <w:rFonts w:ascii="宋体" w:hAnsi="宋体"/>
          <w:b/>
          <w:color w:val="auto"/>
          <w:szCs w:val="21"/>
          <w:highlight w:val="none"/>
        </w:rPr>
      </w:pPr>
      <w:r>
        <w:rPr>
          <w:rFonts w:hint="eastAsia" w:ascii="宋体" w:hAnsi="宋体"/>
          <w:b/>
          <w:color w:val="auto"/>
          <w:szCs w:val="21"/>
          <w:highlight w:val="none"/>
        </w:rPr>
        <w:t>一、采购项目概况</w:t>
      </w:r>
    </w:p>
    <w:p>
      <w:pP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color w:val="auto"/>
          <w:szCs w:val="21"/>
          <w:highlight w:val="none"/>
          <w:u w:val="single"/>
          <w:lang w:eastAsia="zh-CN"/>
        </w:rPr>
        <w:t>项目公司专项咨询服务（重新采购）</w:t>
      </w:r>
    </w:p>
    <w:p>
      <w:pPr>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w:t>
      </w:r>
      <w:bookmarkStart w:id="4" w:name="OLE_LINK1"/>
      <w:r>
        <w:rPr>
          <w:rFonts w:hint="eastAsia" w:ascii="宋体" w:hAnsi="宋体"/>
          <w:color w:val="auto"/>
          <w:szCs w:val="21"/>
          <w:highlight w:val="none"/>
          <w:u w:val="single"/>
          <w:lang w:val="en-US" w:eastAsia="zh-CN"/>
        </w:rPr>
        <w:t>600,000.00</w:t>
      </w:r>
      <w:bookmarkEnd w:id="4"/>
      <w:r>
        <w:rPr>
          <w:rFonts w:hint="eastAsia" w:ascii="宋体" w:hAnsi="宋体"/>
          <w:color w:val="auto"/>
          <w:szCs w:val="21"/>
          <w:highlight w:val="none"/>
          <w:u w:val="single"/>
        </w:rPr>
        <w:t>元</w:t>
      </w:r>
    </w:p>
    <w:p>
      <w:pPr>
        <w:ind w:firstLine="420" w:firstLineChars="200"/>
        <w:rPr>
          <w:rFonts w:ascii="宋体" w:hAnsi="宋体"/>
          <w:color w:val="auto"/>
          <w:szCs w:val="21"/>
          <w:highlight w:val="none"/>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600,000.00</w:t>
      </w:r>
      <w:r>
        <w:rPr>
          <w:rFonts w:hint="eastAsia" w:ascii="宋体" w:hAnsi="宋体"/>
          <w:color w:val="auto"/>
          <w:szCs w:val="21"/>
          <w:highlight w:val="none"/>
          <w:u w:val="single"/>
        </w:rPr>
        <w:t>元</w:t>
      </w:r>
    </w:p>
    <w:p>
      <w:pPr>
        <w:ind w:firstLine="420" w:firstLineChars="200"/>
        <w:rPr>
          <w:rFonts w:ascii="宋体" w:hAnsi="宋体"/>
          <w:color w:val="auto"/>
          <w:szCs w:val="21"/>
          <w:highlight w:val="none"/>
        </w:rPr>
      </w:pPr>
      <w:r>
        <w:rPr>
          <w:rFonts w:hint="eastAsia" w:ascii="宋体" w:hAnsi="宋体"/>
          <w:color w:val="auto"/>
          <w:szCs w:val="21"/>
          <w:highlight w:val="none"/>
        </w:rPr>
        <w:t>4、项目内容</w:t>
      </w:r>
    </w:p>
    <w:tbl>
      <w:tblPr>
        <w:tblStyle w:val="33"/>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650"/>
        <w:gridCol w:w="1365"/>
        <w:gridCol w:w="3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668"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2650"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1365"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采购服务单位数量</w:t>
            </w:r>
          </w:p>
        </w:tc>
        <w:tc>
          <w:tcPr>
            <w:tcW w:w="3836"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668" w:type="dxa"/>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w:t>
            </w:r>
          </w:p>
        </w:tc>
        <w:tc>
          <w:tcPr>
            <w:tcW w:w="2650"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u w:val="none"/>
                <w:lang w:eastAsia="zh-CN"/>
              </w:rPr>
              <w:t>项目公司专项咨询服务（重新采购）</w:t>
            </w:r>
          </w:p>
        </w:tc>
        <w:tc>
          <w:tcPr>
            <w:tcW w:w="1365"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836" w:type="dxa"/>
            <w:noWrap w:val="0"/>
            <w:vAlign w:val="center"/>
          </w:tcPr>
          <w:p>
            <w:pPr>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服务时间：</w:t>
            </w:r>
            <w:r>
              <w:rPr>
                <w:rFonts w:hint="eastAsia" w:ascii="宋体" w:hAnsi="宋体" w:cs="宋体"/>
                <w:color w:val="auto"/>
                <w:szCs w:val="21"/>
                <w:highlight w:val="none"/>
              </w:rPr>
              <w:t>项目合同签订之日起至项目相关报告</w:t>
            </w:r>
            <w:r>
              <w:rPr>
                <w:rFonts w:hint="eastAsia" w:ascii="宋体" w:hAnsi="宋体" w:cs="宋体"/>
                <w:color w:val="auto"/>
                <w:szCs w:val="21"/>
                <w:highlight w:val="none"/>
                <w:lang w:val="en-US" w:eastAsia="zh-CN"/>
              </w:rPr>
              <w:t>提交采购人</w:t>
            </w:r>
            <w:r>
              <w:rPr>
                <w:rFonts w:hint="eastAsia" w:ascii="宋体" w:hAnsi="宋体" w:cs="宋体"/>
                <w:color w:val="auto"/>
                <w:szCs w:val="21"/>
                <w:highlight w:val="none"/>
              </w:rPr>
              <w:t>并由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确认无误时止</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相关报告提交期限：在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资料提供齐全后10个工作日提交相关报告初稿，相关报告初稿经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确认后10 个工作日提交相关报告定稿。</w:t>
            </w:r>
          </w:p>
        </w:tc>
      </w:tr>
    </w:tbl>
    <w:p>
      <w:pPr>
        <w:ind w:firstLine="420" w:firstLineChars="200"/>
        <w:rPr>
          <w:rFonts w:ascii="宋体" w:hAnsi="宋体"/>
          <w:color w:val="auto"/>
          <w:szCs w:val="21"/>
          <w:highlight w:val="none"/>
        </w:rPr>
      </w:pPr>
      <w:r>
        <w:rPr>
          <w:rFonts w:hint="eastAsia" w:ascii="宋体" w:hAnsi="宋体"/>
          <w:color w:val="auto"/>
          <w:szCs w:val="21"/>
          <w:highlight w:val="none"/>
        </w:rPr>
        <w:t>5、项目需求</w:t>
      </w:r>
    </w:p>
    <w:p>
      <w:pPr>
        <w:ind w:firstLine="420" w:firstLineChars="200"/>
        <w:rPr>
          <w:rFonts w:ascii="宋体" w:hAnsi="宋体"/>
          <w:color w:val="auto"/>
          <w:szCs w:val="21"/>
          <w:highlight w:val="none"/>
        </w:rPr>
      </w:pPr>
      <w:r>
        <w:rPr>
          <w:rFonts w:hint="eastAsia" w:ascii="宋体" w:hAnsi="宋体"/>
          <w:color w:val="auto"/>
          <w:szCs w:val="21"/>
          <w:highlight w:val="none"/>
        </w:rPr>
        <w:t>详细内容请参阅磋商文件第三部分《用户需求书》。</w:t>
      </w:r>
    </w:p>
    <w:p>
      <w:pPr>
        <w:ind w:firstLine="413" w:firstLineChars="196"/>
        <w:rPr>
          <w:rFonts w:ascii="宋体" w:hAnsi="宋体"/>
          <w:b/>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二、供应商资格要求</w:t>
      </w:r>
    </w:p>
    <w:p>
      <w:pPr>
        <w:ind w:firstLine="411" w:firstLineChars="196"/>
        <w:rPr>
          <w:rFonts w:ascii="宋体" w:hAnsi="宋体"/>
          <w:color w:val="auto"/>
          <w:szCs w:val="21"/>
          <w:highlight w:val="none"/>
        </w:rPr>
      </w:pPr>
      <w:r>
        <w:rPr>
          <w:rFonts w:hint="eastAsia" w:ascii="宋体" w:hAnsi="宋体"/>
          <w:color w:val="auto"/>
          <w:szCs w:val="21"/>
          <w:highlight w:val="none"/>
        </w:rPr>
        <w:t>1、一般要求：</w:t>
      </w:r>
    </w:p>
    <w:p>
      <w:pPr>
        <w:ind w:firstLine="420" w:firstLineChars="200"/>
        <w:rPr>
          <w:rFonts w:ascii="宋体" w:hAnsi="宋体"/>
          <w:color w:val="auto"/>
          <w:szCs w:val="21"/>
          <w:highlight w:val="none"/>
        </w:rPr>
      </w:pPr>
      <w:r>
        <w:rPr>
          <w:rFonts w:hint="eastAsia" w:ascii="宋体" w:hAnsi="宋体"/>
          <w:color w:val="auto"/>
          <w:szCs w:val="21"/>
          <w:highlight w:val="none"/>
        </w:rPr>
        <w:t>（1）供应商（若联合体</w:t>
      </w:r>
      <w:r>
        <w:rPr>
          <w:rFonts w:hint="eastAsia" w:ascii="宋体" w:hAnsi="宋体"/>
          <w:color w:val="auto"/>
          <w:szCs w:val="21"/>
          <w:highlight w:val="none"/>
          <w:lang w:val="en-US" w:eastAsia="zh-CN"/>
        </w:rPr>
        <w:t>响应</w:t>
      </w:r>
      <w:r>
        <w:rPr>
          <w:rFonts w:hint="eastAsia" w:ascii="宋体" w:hAnsi="宋体"/>
          <w:color w:val="auto"/>
          <w:szCs w:val="21"/>
          <w:highlight w:val="none"/>
        </w:rPr>
        <w:t>，指联合体各成员）须为在中华人民共和国境内登记注册的具有独立承担民事责任能力的法人或其他组织【提供《营业执照》复印件（加盖公章）或《事业单位法人证书》复印件（加盖公章）或其他主体证书复印件（加盖公章）】。</w:t>
      </w:r>
    </w:p>
    <w:p>
      <w:pP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ind w:firstLine="420" w:firstLineChars="200"/>
        <w:rPr>
          <w:rFonts w:ascii="宋体" w:hAnsi="宋体"/>
          <w:color w:val="auto"/>
          <w:szCs w:val="21"/>
          <w:highlight w:val="none"/>
        </w:rPr>
      </w:pPr>
      <w:r>
        <w:rPr>
          <w:rFonts w:hint="eastAsia" w:ascii="宋体" w:hAnsi="宋体"/>
          <w:color w:val="auto"/>
          <w:szCs w:val="21"/>
          <w:highlight w:val="none"/>
        </w:rPr>
        <w:t>（3）供应商的单位负责人为同一人或者存在直接控股、管理关系的不同供应商，不得参加同一合同项下的采购活动。</w:t>
      </w:r>
    </w:p>
    <w:p>
      <w:pPr>
        <w:ind w:firstLine="420" w:firstLineChars="200"/>
        <w:rPr>
          <w:rFonts w:ascii="宋体" w:hAnsi="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w:t>
      </w:r>
      <w:r>
        <w:rPr>
          <w:rFonts w:hint="eastAsia" w:ascii="宋体" w:hAnsi="宋体"/>
          <w:color w:val="auto"/>
          <w:szCs w:val="21"/>
          <w:highlight w:val="none"/>
          <w:lang w:val="en-US" w:eastAsia="zh-CN"/>
        </w:rPr>
        <w:t>响应</w:t>
      </w:r>
      <w:r>
        <w:rPr>
          <w:rFonts w:hint="eastAsia" w:ascii="宋体" w:hAnsi="宋体"/>
          <w:color w:val="auto"/>
          <w:szCs w:val="21"/>
          <w:highlight w:val="none"/>
        </w:rPr>
        <w:t>截止日当天在“信用中国”网站查询结果为准，如相关失信记录已失效，供应商需提供相关证明资料。</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2、其他要求：</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（1）供应商具有有效期内的会计师事务所执业证书（提供会计师事务所执业证书复印件并加盖公章）。</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（2）供应商具有财政部门出具的资产评估机构备案登记证明（提供相关证明材料复印件并加盖公章）。</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3.本项目允许联合体形式响应，联合体构成不超过2家。 </w:t>
      </w:r>
    </w:p>
    <w:p>
      <w:pPr>
        <w:pStyle w:val="35"/>
        <w:rPr>
          <w:rFonts w:hint="eastAsia"/>
          <w:color w:val="auto"/>
          <w:highlight w:val="none"/>
          <w:lang w:val="en-US" w:eastAsia="zh-CN"/>
        </w:rPr>
      </w:pPr>
    </w:p>
    <w:p>
      <w:pPr>
        <w:ind w:firstLine="413" w:firstLineChars="196"/>
        <w:rPr>
          <w:rFonts w:hint="eastAsia" w:ascii="宋体" w:hAnsi="宋体" w:eastAsia="宋体"/>
          <w:b/>
          <w:color w:val="auto"/>
          <w:szCs w:val="21"/>
          <w:highlight w:val="none"/>
          <w:lang w:val="en-US" w:eastAsia="zh-CN"/>
        </w:rPr>
      </w:pPr>
      <w:r>
        <w:rPr>
          <w:rFonts w:hint="eastAsia" w:ascii="宋体" w:hAnsi="宋体"/>
          <w:b/>
          <w:color w:val="auto"/>
          <w:szCs w:val="21"/>
          <w:highlight w:val="none"/>
        </w:rPr>
        <w:t>三、获取磋商文件方式及要求：</w:t>
      </w:r>
      <w:r>
        <w:rPr>
          <w:rFonts w:hint="eastAsia" w:ascii="宋体" w:hAnsi="宋体"/>
          <w:b/>
          <w:color w:val="auto"/>
          <w:szCs w:val="21"/>
          <w:highlight w:val="none"/>
          <w:lang w:val="en-US" w:eastAsia="zh-CN"/>
        </w:rPr>
        <w:tab/>
      </w:r>
    </w:p>
    <w:p>
      <w:pPr>
        <w:ind w:firstLine="411" w:firstLineChars="196"/>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本项目不进行实名登记报名，拟响应的供应商可于递交响应文件截止时间前自行网上下载磋商文件。磋商文件下载地址：中国招标投标公共服务平台（http://www.cebpubservice.com/）、东莞实业投资控股集团有限公司-招标采购栏目（http://www.dgsy.com.cn/）、广西同泽工程项目管理股份有限公司网（http://www.gxtzfz.cn/）</w:t>
      </w:r>
    </w:p>
    <w:p>
      <w:pPr>
        <w:ind w:firstLine="413" w:firstLineChars="196"/>
        <w:rPr>
          <w:rFonts w:hint="eastAsia" w:ascii="宋体" w:hAnsi="宋体" w:eastAsia="宋体" w:cs="宋体"/>
          <w:b/>
          <w:color w:val="auto"/>
          <w:szCs w:val="21"/>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四、响应文件的递交</w:t>
      </w: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1、递交响应文件时间：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6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23 </w:t>
      </w:r>
      <w:r>
        <w:rPr>
          <w:rFonts w:hint="eastAsia" w:ascii="宋体" w:hAnsi="宋体" w:eastAsia="宋体" w:cs="宋体"/>
          <w:color w:val="auto"/>
          <w:szCs w:val="21"/>
          <w:highlight w:val="none"/>
        </w:rPr>
        <w:t>日（北京时间）</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w:t>
      </w:r>
    </w:p>
    <w:p>
      <w:pPr>
        <w:shd w:val="clea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2、递交响应文件截止及开标时间：</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6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23 </w:t>
      </w:r>
      <w:r>
        <w:rPr>
          <w:rFonts w:hint="eastAsia" w:ascii="宋体" w:hAnsi="宋体" w:eastAsia="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rPr>
        <w:t>（北京时间），所有响应文件应于截止时间之前递交，迟交或以电报、传真形式的响应文件将拒绝接收。</w:t>
      </w:r>
    </w:p>
    <w:p>
      <w:pPr>
        <w:shd w:val="clear"/>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3、开标地点：</w:t>
      </w:r>
      <w:r>
        <w:rPr>
          <w:rFonts w:hint="eastAsia" w:ascii="宋体" w:hAnsi="宋体" w:eastAsia="宋体" w:cs="宋体"/>
          <w:color w:val="auto"/>
          <w:szCs w:val="21"/>
          <w:highlight w:val="none"/>
          <w:u w:val="none"/>
        </w:rPr>
        <w:t>广东省东莞市南城街道胜和路3号胜和广场2栋100</w:t>
      </w:r>
      <w:r>
        <w:rPr>
          <w:rFonts w:hint="eastAsia" w:ascii="宋体" w:hAnsi="宋体" w:eastAsia="宋体" w:cs="宋体"/>
          <w:color w:val="auto"/>
          <w:szCs w:val="21"/>
          <w:highlight w:val="none"/>
          <w:u w:val="none"/>
          <w:lang w:val="en-US" w:eastAsia="zh-CN"/>
        </w:rPr>
        <w:t>7</w:t>
      </w:r>
      <w:r>
        <w:rPr>
          <w:rFonts w:hint="eastAsia" w:ascii="宋体" w:hAnsi="宋体" w:eastAsia="宋体" w:cs="宋体"/>
          <w:color w:val="auto"/>
          <w:szCs w:val="21"/>
          <w:highlight w:val="none"/>
          <w:u w:val="none"/>
        </w:rPr>
        <w:t>室。</w:t>
      </w:r>
    </w:p>
    <w:p>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届时请供应商的法定代表人或其授权代表务必携带有效身份证明出席开标会</w:t>
      </w:r>
      <w:r>
        <w:rPr>
          <w:rFonts w:hint="eastAsia" w:ascii="宋体" w:hAnsi="宋体" w:eastAsia="宋体" w:cs="宋体"/>
          <w:bCs/>
          <w:color w:val="auto"/>
          <w:szCs w:val="21"/>
          <w:highlight w:val="none"/>
        </w:rPr>
        <w:t>。</w:t>
      </w:r>
    </w:p>
    <w:p>
      <w:pPr>
        <w:pStyle w:val="7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5、出现以下情形时，采购代理机构不予接收响应文件：</w:t>
      </w:r>
    </w:p>
    <w:p>
      <w:pPr>
        <w:pStyle w:val="7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7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（2）未按磋商文件要求密封的。</w:t>
      </w:r>
    </w:p>
    <w:p>
      <w:pPr>
        <w:pStyle w:val="70"/>
        <w:ind w:firstLine="400"/>
        <w:rPr>
          <w:color w:val="auto"/>
          <w:highlight w:val="none"/>
        </w:rPr>
      </w:pPr>
    </w:p>
    <w:p>
      <w:pPr>
        <w:pStyle w:val="70"/>
        <w:ind w:firstLine="422"/>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五</w:t>
      </w:r>
      <w:r>
        <w:rPr>
          <w:rFonts w:ascii="宋体" w:hAnsi="宋体" w:eastAsia="宋体" w:cs="Times New Roman"/>
          <w:b/>
          <w:color w:val="auto"/>
          <w:sz w:val="21"/>
          <w:szCs w:val="21"/>
          <w:highlight w:val="none"/>
        </w:rPr>
        <w:t>、发布公告的媒介</w:t>
      </w:r>
    </w:p>
    <w:p>
      <w:pPr>
        <w:pStyle w:val="7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7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中国招标投标公共服务平台（http://www.cebpubservice.com/）、东莞实业投资控股集团有限公司-招标采购栏目（http://www.dgsy.com.cn/）、广西同泽工程项目管理股份有限公司网（http://www.gxtzfz.cn/）</w:t>
      </w:r>
    </w:p>
    <w:p>
      <w:pPr>
        <w:pStyle w:val="70"/>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70"/>
        <w:spacing w:line="360" w:lineRule="auto"/>
        <w:rPr>
          <w:rFonts w:hint="eastAsia" w:ascii="宋体" w:hAnsi="宋体"/>
          <w:b/>
          <w:color w:val="auto"/>
          <w:szCs w:val="21"/>
          <w:highlight w:val="none"/>
        </w:rPr>
      </w:pPr>
      <w:r>
        <w:rPr>
          <w:rFonts w:hint="eastAsia" w:ascii="宋体" w:hAnsi="宋体" w:eastAsia="宋体" w:cs="宋体"/>
          <w:color w:val="auto"/>
          <w:sz w:val="21"/>
          <w:szCs w:val="21"/>
          <w:highlight w:val="none"/>
        </w:rPr>
        <w:t>东莞实业投资控股集团有限公司-招标采购栏目（http://www.dgsy.com.cn/）</w:t>
      </w:r>
      <w:r>
        <w:rPr>
          <w:rFonts w:hint="eastAsia" w:ascii="宋体" w:hAnsi="宋体" w:eastAsia="宋体" w:cs="宋体"/>
          <w:bCs/>
          <w:color w:val="auto"/>
          <w:sz w:val="21"/>
          <w:szCs w:val="21"/>
          <w:highlight w:val="none"/>
        </w:rPr>
        <w:t>、广西同泽工程项目管理股份有限公司网（http://www.gxtzfz.cn/）</w:t>
      </w:r>
      <w:r>
        <w:rPr>
          <w:rFonts w:hint="eastAsia" w:ascii="宋体" w:hAnsi="宋体" w:eastAsia="宋体" w:cs="宋体"/>
          <w:color w:val="auto"/>
          <w:sz w:val="21"/>
          <w:szCs w:val="21"/>
          <w:highlight w:val="none"/>
        </w:rPr>
        <w:t>。</w:t>
      </w:r>
    </w:p>
    <w:p>
      <w:pPr>
        <w:ind w:firstLine="413" w:firstLineChars="196"/>
        <w:rPr>
          <w:rFonts w:hint="eastAsia" w:ascii="宋体" w:hAnsi="宋体"/>
          <w:b/>
          <w:color w:val="auto"/>
          <w:szCs w:val="21"/>
          <w:highlight w:val="none"/>
        </w:rPr>
      </w:pPr>
    </w:p>
    <w:p>
      <w:pPr>
        <w:ind w:firstLine="413" w:firstLineChars="196"/>
        <w:rPr>
          <w:rFonts w:ascii="宋体" w:hAnsi="宋体"/>
          <w:bCs/>
          <w:color w:val="auto"/>
          <w:szCs w:val="21"/>
          <w:highlight w:val="none"/>
        </w:rPr>
      </w:pPr>
      <w:r>
        <w:rPr>
          <w:rFonts w:hint="eastAsia" w:ascii="宋体" w:hAnsi="宋体"/>
          <w:b/>
          <w:color w:val="auto"/>
          <w:szCs w:val="21"/>
          <w:highlight w:val="none"/>
        </w:rPr>
        <w:t>六、采购人及采购代理机构的名称、地址和联系方法：</w:t>
      </w:r>
    </w:p>
    <w:p>
      <w:pPr>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bookmarkStart w:id="5" w:name="OLE_LINK2"/>
      <w:r>
        <w:rPr>
          <w:rFonts w:hint="eastAsia" w:ascii="宋体" w:hAnsi="宋体"/>
          <w:bCs/>
          <w:color w:val="auto"/>
          <w:szCs w:val="21"/>
          <w:highlight w:val="none"/>
          <w:lang w:eastAsia="zh-CN"/>
        </w:rPr>
        <w:t>东莞市新锋管道燃气有限公司</w:t>
      </w:r>
      <w:bookmarkEnd w:id="5"/>
    </w:p>
    <w:p>
      <w:pPr>
        <w:pageBreakBefore w:val="0"/>
        <w:widowControl/>
        <w:kinsoku/>
        <w:overflowPunct/>
        <w:topLinePunct w:val="0"/>
        <w:autoSpaceDE/>
        <w:autoSpaceDN/>
        <w:bidi w:val="0"/>
        <w:spacing w:line="336" w:lineRule="auto"/>
        <w:ind w:firstLine="420" w:firstLineChars="200"/>
        <w:textAlignment w:val="auto"/>
        <w:rPr>
          <w:rFonts w:hint="default" w:ascii="宋体" w:hAnsi="宋体" w:eastAsia="宋体" w:cs="宋体"/>
          <w:bCs/>
          <w:color w:val="auto"/>
          <w:szCs w:val="21"/>
          <w:highlight w:val="none"/>
          <w:lang w:val="en-US"/>
        </w:rPr>
      </w:pPr>
      <w:r>
        <w:rPr>
          <w:rFonts w:hint="eastAsia" w:ascii="宋体" w:hAnsi="宋体"/>
          <w:bCs/>
          <w:color w:val="auto"/>
          <w:szCs w:val="21"/>
          <w:highlight w:val="none"/>
        </w:rPr>
        <w:t>采购人联系人：</w:t>
      </w:r>
      <w:r>
        <w:rPr>
          <w:rFonts w:hint="eastAsia" w:ascii="宋体" w:hAnsi="宋体" w:cs="宋体"/>
          <w:color w:val="auto"/>
          <w:highlight w:val="none"/>
          <w:lang w:val="en-US" w:eastAsia="zh-CN"/>
        </w:rPr>
        <w:t>冯先生</w:t>
      </w:r>
    </w:p>
    <w:p>
      <w:pPr>
        <w:pageBreakBefore w:val="0"/>
        <w:widowControl/>
        <w:kinsoku/>
        <w:overflowPunct/>
        <w:topLinePunct w:val="0"/>
        <w:autoSpaceDE/>
        <w:autoSpaceDN/>
        <w:bidi w:val="0"/>
        <w:spacing w:line="336"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采购人地址：</w:t>
      </w:r>
      <w:r>
        <w:rPr>
          <w:rFonts w:hint="eastAsia" w:ascii="宋体" w:hAnsi="宋体" w:cs="宋体"/>
          <w:bCs/>
          <w:color w:val="auto"/>
          <w:szCs w:val="21"/>
          <w:highlight w:val="none"/>
          <w:lang w:val="en-US" w:eastAsia="zh-CN"/>
        </w:rPr>
        <w:t>广东</w:t>
      </w:r>
      <w:r>
        <w:rPr>
          <w:rFonts w:hint="eastAsia" w:ascii="宋体" w:hAnsi="宋体" w:eastAsia="宋体" w:cs="宋体"/>
          <w:bCs/>
          <w:color w:val="auto"/>
          <w:szCs w:val="21"/>
          <w:highlight w:val="none"/>
          <w:lang w:val="en-US" w:eastAsia="zh-CN"/>
        </w:rPr>
        <w:t>省东莞市松山湖园区新城路5号4栋</w:t>
      </w:r>
    </w:p>
    <w:p>
      <w:pPr>
        <w:pageBreakBefore w:val="0"/>
        <w:widowControl/>
        <w:kinsoku/>
        <w:overflowPunct/>
        <w:topLinePunct w:val="0"/>
        <w:autoSpaceDE/>
        <w:autoSpaceDN/>
        <w:bidi w:val="0"/>
        <w:spacing w:line="336"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采购人联系电话：</w:t>
      </w:r>
      <w:r>
        <w:rPr>
          <w:rFonts w:hint="eastAsia" w:ascii="宋体" w:hAnsi="宋体" w:eastAsia="宋体" w:cs="宋体"/>
          <w:bCs/>
          <w:color w:val="auto"/>
          <w:szCs w:val="21"/>
          <w:highlight w:val="none"/>
          <w:lang w:val="en-US" w:eastAsia="zh-CN"/>
        </w:rPr>
        <w:t>0769-23328000-855</w:t>
      </w:r>
    </w:p>
    <w:p>
      <w:pPr>
        <w:ind w:firstLine="420" w:firstLineChars="200"/>
        <w:rPr>
          <w:rFonts w:ascii="宋体" w:hAnsi="宋体"/>
          <w:bCs/>
          <w:color w:val="auto"/>
          <w:szCs w:val="21"/>
          <w:highlight w:val="none"/>
        </w:rPr>
      </w:pP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采购代理机构名称：</w:t>
      </w:r>
      <w:r>
        <w:rPr>
          <w:rFonts w:hint="eastAsia" w:ascii="宋体" w:hAnsi="宋体" w:cs="宋体"/>
          <w:bCs/>
          <w:color w:val="auto"/>
          <w:szCs w:val="21"/>
          <w:highlight w:val="none"/>
          <w:lang w:eastAsia="zh-CN"/>
        </w:rPr>
        <w:t>广西同泽工程项目管理股份有限公司</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采购代理机构地址：</w:t>
      </w:r>
      <w:r>
        <w:rPr>
          <w:rFonts w:hint="eastAsia" w:ascii="宋体" w:hAnsi="宋体"/>
          <w:color w:val="auto"/>
          <w:szCs w:val="21"/>
          <w:highlight w:val="none"/>
          <w:u w:val="none"/>
        </w:rPr>
        <w:t>广东省东莞市南城街道胜和路3号胜和广场2栋1006室</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采购代理机构联系人：</w:t>
      </w:r>
      <w:r>
        <w:rPr>
          <w:rFonts w:hint="eastAsia" w:ascii="宋体" w:hAnsi="宋体" w:cs="宋体"/>
          <w:bCs/>
          <w:color w:val="auto"/>
          <w:szCs w:val="21"/>
          <w:highlight w:val="none"/>
          <w:lang w:val="en-US" w:eastAsia="zh-CN"/>
        </w:rPr>
        <w:t>张先生</w:t>
      </w:r>
    </w:p>
    <w:p>
      <w:pPr>
        <w:ind w:firstLine="420" w:firstLineChars="200"/>
        <w:rPr>
          <w:rFonts w:hint="default" w:ascii="宋体" w:hAnsi="宋体"/>
          <w:color w:val="auto"/>
          <w:szCs w:val="21"/>
          <w:highlight w:val="none"/>
          <w:lang w:val="en-US"/>
        </w:rPr>
      </w:pPr>
      <w:r>
        <w:rPr>
          <w:rFonts w:hint="eastAsia" w:ascii="宋体" w:hAnsi="宋体"/>
          <w:color w:val="auto"/>
          <w:szCs w:val="21"/>
          <w:highlight w:val="none"/>
        </w:rPr>
        <w:t>采购代理机构联系电话：</w:t>
      </w:r>
      <w:r>
        <w:rPr>
          <w:rFonts w:hint="eastAsia" w:ascii="宋体" w:hAnsi="宋体" w:cs="宋体"/>
          <w:bCs/>
          <w:color w:val="auto"/>
          <w:szCs w:val="21"/>
          <w:highlight w:val="none"/>
        </w:rPr>
        <w:t>0769-</w:t>
      </w:r>
      <w:r>
        <w:rPr>
          <w:rFonts w:hint="eastAsia" w:ascii="宋体" w:hAnsi="宋体" w:cs="宋体"/>
          <w:bCs/>
          <w:color w:val="auto"/>
          <w:szCs w:val="21"/>
          <w:highlight w:val="none"/>
          <w:lang w:val="en-US" w:eastAsia="zh-CN"/>
        </w:rPr>
        <w:t>21688191</w:t>
      </w:r>
    </w:p>
    <w:p>
      <w:pPr>
        <w:ind w:firstLine="420" w:firstLineChars="200"/>
        <w:rPr>
          <w:rFonts w:hint="default" w:eastAsia="宋体"/>
          <w:color w:val="auto"/>
          <w:highlight w:val="none"/>
          <w:lang w:val="en-US" w:eastAsia="zh-CN"/>
        </w:rPr>
      </w:pPr>
      <w:r>
        <w:rPr>
          <w:rFonts w:hint="eastAsia" w:ascii="宋体" w:hAnsi="宋体"/>
          <w:color w:val="auto"/>
          <w:szCs w:val="21"/>
          <w:highlight w:val="none"/>
        </w:rPr>
        <w:t>采购代理机构邮箱：</w:t>
      </w:r>
      <w:r>
        <w:rPr>
          <w:rFonts w:hint="eastAsia" w:ascii="宋体" w:hAnsi="宋体" w:cs="宋体"/>
          <w:bCs/>
          <w:color w:val="auto"/>
          <w:szCs w:val="21"/>
          <w:highlight w:val="none"/>
        </w:rPr>
        <w:t>2195953904</w:t>
      </w:r>
      <w:r>
        <w:rPr>
          <w:rFonts w:hint="eastAsia" w:ascii="宋体" w:hAnsi="宋体" w:cs="宋体"/>
          <w:bCs/>
          <w:color w:val="auto"/>
          <w:szCs w:val="21"/>
          <w:highlight w:val="none"/>
          <w:lang w:val="en-US" w:eastAsia="zh-CN"/>
        </w:rPr>
        <w:t>@qq.com</w:t>
      </w:r>
    </w:p>
    <w:p>
      <w:pPr>
        <w:ind w:firstLine="420" w:firstLineChars="200"/>
        <w:jc w:val="right"/>
        <w:rPr>
          <w:rFonts w:hint="eastAsia" w:ascii="宋体" w:hAnsi="宋体"/>
          <w:bCs/>
          <w:color w:val="auto"/>
          <w:szCs w:val="21"/>
          <w:highlight w:val="none"/>
          <w:lang w:eastAsia="zh-CN"/>
        </w:rPr>
      </w:pPr>
    </w:p>
    <w:p>
      <w:pPr>
        <w:pStyle w:val="2"/>
        <w:rPr>
          <w:rFonts w:hint="eastAsia"/>
          <w:color w:val="auto"/>
          <w:lang w:eastAsia="zh-CN"/>
        </w:rPr>
      </w:pPr>
    </w:p>
    <w:p>
      <w:pPr>
        <w:pStyle w:val="2"/>
        <w:rPr>
          <w:rFonts w:hint="eastAsia"/>
          <w:color w:val="auto"/>
          <w:lang w:eastAsia="zh-CN"/>
        </w:rPr>
      </w:pPr>
    </w:p>
    <w:p>
      <w:pPr>
        <w:ind w:right="752" w:rightChars="358"/>
        <w:jc w:val="right"/>
        <w:rPr>
          <w:color w:val="auto"/>
          <w:highlight w:val="none"/>
        </w:rPr>
      </w:pPr>
      <w:bookmarkStart w:id="291" w:name="_GoBack"/>
      <w:bookmarkEnd w:id="291"/>
    </w:p>
    <w:p>
      <w:pPr>
        <w:ind w:right="752" w:rightChars="358"/>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东莞市新锋管道燃气有限公司</w:t>
      </w:r>
    </w:p>
    <w:p>
      <w:pPr>
        <w:ind w:right="752" w:rightChars="358"/>
        <w:jc w:val="right"/>
        <w:rPr>
          <w:rFonts w:hint="eastAsia" w:ascii="宋体" w:hAnsi="宋体" w:cs="宋体"/>
          <w:color w:val="auto"/>
          <w:szCs w:val="21"/>
          <w:highlight w:val="none"/>
          <w:lang w:eastAsia="zh-CN"/>
        </w:rPr>
      </w:pPr>
    </w:p>
    <w:p>
      <w:pPr>
        <w:ind w:right="752" w:rightChars="358"/>
        <w:jc w:val="right"/>
        <w:rPr>
          <w:rFonts w:hint="eastAsia" w:ascii="宋体" w:hAnsi="宋体" w:cs="宋体"/>
          <w:color w:val="auto"/>
          <w:szCs w:val="21"/>
          <w:highlight w:val="none"/>
          <w:lang w:eastAsia="zh-CN"/>
        </w:rPr>
      </w:pPr>
    </w:p>
    <w:p>
      <w:pPr>
        <w:ind w:right="752" w:rightChars="358"/>
        <w:jc w:val="right"/>
        <w:rPr>
          <w:rFonts w:hint="eastAsia" w:ascii="宋体" w:hAnsi="宋体" w:cs="宋体"/>
          <w:color w:val="auto"/>
          <w:szCs w:val="21"/>
          <w:highlight w:val="none"/>
          <w:lang w:eastAsia="zh-CN"/>
        </w:rPr>
      </w:pPr>
    </w:p>
    <w:p>
      <w:pPr>
        <w:ind w:right="752" w:rightChars="358"/>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广西同泽工程项目管理股份有限公司</w:t>
      </w:r>
    </w:p>
    <w:p>
      <w:pPr>
        <w:ind w:right="752" w:rightChars="358"/>
        <w:jc w:val="right"/>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 xml:space="preserve"> 6 </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lang w:eastAsia="zh-CN"/>
        </w:rPr>
        <w:t>日</w:t>
      </w:r>
      <w:r>
        <w:rPr>
          <w:rFonts w:hint="eastAsia" w:ascii="宋体" w:hAnsi="宋体" w:cs="宋体"/>
          <w:color w:val="auto"/>
          <w:szCs w:val="21"/>
          <w:highlight w:val="none"/>
        </w:rPr>
        <w:t xml:space="preserve"> </w:t>
      </w:r>
    </w:p>
    <w:p>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4"/>
        <w:spacing w:before="0" w:after="0" w:line="240" w:lineRule="auto"/>
        <w:rPr>
          <w:color w:val="auto"/>
          <w:sz w:val="28"/>
          <w:szCs w:val="28"/>
          <w:highlight w:val="none"/>
        </w:rPr>
      </w:pPr>
      <w:bookmarkStart w:id="6" w:name="_Toc31009"/>
      <w:bookmarkStart w:id="7" w:name="_Toc12350"/>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6"/>
      <w:bookmarkEnd w:id="7"/>
    </w:p>
    <w:p>
      <w:pPr>
        <w:pStyle w:val="5"/>
        <w:spacing w:before="0" w:after="0" w:line="240" w:lineRule="auto"/>
        <w:jc w:val="center"/>
        <w:rPr>
          <w:rFonts w:ascii="宋体" w:hAnsi="宋体" w:cs="宋体"/>
          <w:color w:val="auto"/>
          <w:sz w:val="24"/>
          <w:szCs w:val="24"/>
          <w:highlight w:val="none"/>
        </w:rPr>
      </w:pPr>
      <w:bookmarkStart w:id="8" w:name="_Toc25328"/>
      <w:bookmarkStart w:id="9" w:name="_Toc27025"/>
      <w:r>
        <w:rPr>
          <w:rFonts w:hint="eastAsia" w:ascii="宋体" w:hAnsi="宋体" w:cs="宋体"/>
          <w:color w:val="auto"/>
          <w:sz w:val="24"/>
          <w:szCs w:val="24"/>
          <w:highlight w:val="none"/>
        </w:rPr>
        <w:t>附表一：响应资料表</w:t>
      </w:r>
      <w:bookmarkEnd w:id="8"/>
      <w:bookmarkEnd w:id="9"/>
    </w:p>
    <w:tbl>
      <w:tblPr>
        <w:tblStyle w:val="33"/>
        <w:tblW w:w="867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5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1" w:hRule="atLeast"/>
          <w:jc w:val="center"/>
        </w:trPr>
        <w:tc>
          <w:tcPr>
            <w:tcW w:w="878" w:type="dxa"/>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794" w:type="dxa"/>
            <w:gridSpan w:val="2"/>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6"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794" w:type="dxa"/>
            <w:gridSpan w:val="2"/>
            <w:tcBorders>
              <w:tl2br w:val="nil"/>
              <w:tr2bl w:val="nil"/>
            </w:tcBorders>
            <w:noWrap w:val="0"/>
            <w:vAlign w:val="center"/>
          </w:tcPr>
          <w:p>
            <w:pPr>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rPr>
              <w:t>项目最高限价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eastAsia="宋体" w:cs="宋体"/>
                <w:b w:val="0"/>
                <w:bCs w:val="0"/>
                <w:color w:val="auto"/>
                <w:szCs w:val="21"/>
                <w:highlight w:val="none"/>
              </w:rPr>
              <w:t>与项目预算一致。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sym w:font="Wingdings" w:char="00FE"/>
            </w:r>
            <w:r>
              <w:rPr>
                <w:rFonts w:hint="eastAsia" w:ascii="宋体" w:hAnsi="宋体"/>
                <w:b/>
                <w:bCs/>
                <w:color w:val="auto"/>
                <w:szCs w:val="21"/>
                <w:highlight w:val="none"/>
              </w:rPr>
              <w:t>固定总价包干；</w:t>
            </w:r>
          </w:p>
          <w:p>
            <w:pPr>
              <w:rPr>
                <w:rFonts w:ascii="宋体" w:hAnsi="宋体"/>
                <w:b/>
                <w:bCs/>
                <w:color w:val="auto"/>
                <w:szCs w:val="21"/>
                <w:highlight w:val="none"/>
              </w:rPr>
            </w:pPr>
            <w:r>
              <w:rPr>
                <w:rFonts w:hint="eastAsia" w:ascii="宋体" w:hAnsi="宋体"/>
                <w:b/>
                <w:bCs/>
                <w:color w:val="auto"/>
                <w:szCs w:val="21"/>
                <w:highlight w:val="none"/>
              </w:rPr>
              <w:sym w:font="Wingdings" w:char="00A8"/>
            </w:r>
            <w:r>
              <w:rPr>
                <w:rFonts w:hint="eastAsia" w:ascii="宋体" w:hAnsi="宋体"/>
                <w:b/>
                <w:bCs/>
                <w:color w:val="auto"/>
                <w:szCs w:val="21"/>
                <w:highlight w:val="none"/>
              </w:rPr>
              <w:t>固定单价暂定总价包干；</w:t>
            </w:r>
          </w:p>
          <w:p>
            <w:pPr>
              <w:rPr>
                <w:rFonts w:ascii="宋体" w:hAnsi="宋体"/>
                <w:b/>
                <w:bCs/>
                <w:color w:val="auto"/>
                <w:szCs w:val="21"/>
                <w:highlight w:val="none"/>
                <w:u w:val="single"/>
              </w:rPr>
            </w:pPr>
            <w:r>
              <w:rPr>
                <w:rFonts w:hint="eastAsia" w:ascii="宋体" w:hAnsi="宋体"/>
                <w:b/>
                <w:bCs/>
                <w:color w:val="auto"/>
                <w:szCs w:val="21"/>
                <w:highlight w:val="none"/>
              </w:rPr>
              <w:sym w:font="Wingdings" w:char="00A8"/>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p>
          <w:p>
            <w:pPr>
              <w:rPr>
                <w:rFonts w:ascii="宋体" w:hAnsi="宋体"/>
                <w:b/>
                <w:bCs/>
                <w:color w:val="auto"/>
                <w:szCs w:val="21"/>
                <w:highlight w:val="none"/>
              </w:rPr>
            </w:pPr>
            <w:r>
              <w:rPr>
                <w:rFonts w:hint="eastAsia" w:ascii="宋体" w:hAnsi="宋体"/>
                <w:b/>
                <w:bCs/>
                <w:color w:val="auto"/>
                <w:szCs w:val="21"/>
                <w:highlight w:val="none"/>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794" w:type="dxa"/>
            <w:gridSpan w:val="2"/>
            <w:tcBorders>
              <w:tl2br w:val="nil"/>
              <w:tr2bl w:val="nil"/>
            </w:tcBorders>
            <w:noWrap w:val="0"/>
            <w:vAlign w:val="center"/>
          </w:tcPr>
          <w:p>
            <w:pPr>
              <w:rPr>
                <w:rFonts w:hint="eastAsia" w:ascii="宋体" w:hAnsi="宋体" w:eastAsia="宋体"/>
                <w:b/>
                <w:bCs/>
                <w:color w:val="auto"/>
                <w:szCs w:val="21"/>
                <w:highlight w:val="none"/>
                <w:lang w:eastAsia="zh-CN"/>
              </w:rPr>
            </w:pPr>
            <w:r>
              <w:rPr>
                <w:rFonts w:hint="eastAsia" w:ascii="宋体" w:hAnsi="宋体"/>
                <w:b/>
                <w:bCs/>
                <w:color w:val="auto"/>
                <w:szCs w:val="21"/>
                <w:highlight w:val="none"/>
              </w:rPr>
              <w:t>是否接受联合体</w:t>
            </w:r>
            <w:r>
              <w:rPr>
                <w:rFonts w:hint="eastAsia" w:ascii="宋体" w:hAnsi="宋体"/>
                <w:b/>
                <w:bCs/>
                <w:color w:val="auto"/>
                <w:szCs w:val="21"/>
                <w:highlight w:val="none"/>
                <w:lang w:val="en-US" w:eastAsia="zh-CN"/>
              </w:rPr>
              <w:t>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pStyle w:val="60"/>
              <w:ind w:firstLine="0" w:firstLineChars="0"/>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w:t>
            </w:r>
            <w:r>
              <w:rPr>
                <w:rFonts w:hint="eastAsia" w:ascii="宋体" w:hAnsi="宋体"/>
                <w:color w:val="auto"/>
                <w:szCs w:val="21"/>
                <w:highlight w:val="none"/>
              </w:rPr>
              <w:t>联合</w:t>
            </w:r>
            <w:r>
              <w:rPr>
                <w:rFonts w:hint="eastAsia" w:ascii="宋体" w:hAnsi="宋体" w:eastAsia="宋体" w:cs="宋体"/>
                <w:color w:val="auto"/>
                <w:szCs w:val="21"/>
                <w:highlight w:val="none"/>
              </w:rPr>
              <w:t>体</w:t>
            </w:r>
            <w:r>
              <w:rPr>
                <w:rFonts w:hint="eastAsia" w:ascii="宋体" w:hAnsi="宋体" w:eastAsia="宋体" w:cs="宋体"/>
                <w:b w:val="0"/>
                <w:bCs w:val="0"/>
                <w:color w:val="auto"/>
                <w:szCs w:val="21"/>
                <w:highlight w:val="none"/>
                <w:lang w:val="en-US" w:eastAsia="zh-CN"/>
              </w:rPr>
              <w:t>响应</w:t>
            </w:r>
            <w:r>
              <w:rPr>
                <w:rFonts w:hint="eastAsia" w:ascii="宋体" w:hAnsi="宋体" w:eastAsia="宋体" w:cs="宋体"/>
                <w:color w:val="auto"/>
                <w:szCs w:val="21"/>
                <w:highlight w:val="none"/>
              </w:rPr>
              <w:t>的，应满足下列要求：</w:t>
            </w:r>
            <w:r>
              <w:rPr>
                <w:rFonts w:hint="eastAsia" w:ascii="宋体" w:hAnsi="宋体" w:eastAsia="宋体" w:cs="宋体"/>
                <w:color w:val="auto"/>
                <w:szCs w:val="21"/>
                <w:highlight w:val="none"/>
                <w:u w:val="single"/>
              </w:rPr>
              <w:t>须在</w:t>
            </w:r>
            <w:r>
              <w:rPr>
                <w:rFonts w:hint="eastAsia" w:ascii="宋体" w:hAnsi="宋体" w:eastAsia="宋体" w:cs="宋体"/>
                <w:color w:val="auto"/>
                <w:szCs w:val="21"/>
                <w:highlight w:val="none"/>
                <w:u w:val="single"/>
                <w:lang w:val="en-US" w:eastAsia="zh-CN"/>
              </w:rPr>
              <w:t>响应</w:t>
            </w:r>
            <w:r>
              <w:rPr>
                <w:rFonts w:hint="eastAsia" w:ascii="宋体" w:hAnsi="宋体" w:eastAsia="宋体" w:cs="宋体"/>
                <w:color w:val="auto"/>
                <w:szCs w:val="21"/>
                <w:highlight w:val="none"/>
                <w:u w:val="single"/>
              </w:rPr>
              <w:t>文件中提供《联合体共同投标协议书》</w:t>
            </w:r>
            <w:r>
              <w:rPr>
                <w:rFonts w:hint="eastAsia" w:ascii="宋体" w:hAnsi="宋体" w:eastAsia="宋体" w:cs="宋体"/>
                <w:color w:val="auto"/>
                <w:szCs w:val="21"/>
                <w:highlight w:val="none"/>
              </w:rPr>
              <w:t>；</w:t>
            </w:r>
          </w:p>
          <w:p>
            <w:pPr>
              <w:rPr>
                <w:rFonts w:ascii="宋体" w:hAnsi="宋体"/>
                <w:b/>
                <w:bCs/>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color w:val="auto"/>
                <w:szCs w:val="21"/>
                <w:highlight w:val="none"/>
                <w:u w:val="non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Cs/>
                <w:color w:val="auto"/>
                <w:szCs w:val="21"/>
                <w:highlight w:val="none"/>
              </w:rPr>
            </w:pPr>
            <w:r>
              <w:rPr>
                <w:rFonts w:hint="eastAsia" w:ascii="宋体" w:hAnsi="宋体"/>
                <w:bCs/>
                <w:color w:val="auto"/>
                <w:szCs w:val="21"/>
                <w:highlight w:val="none"/>
              </w:rPr>
              <w:sym w:font="Wingdings" w:char="00FE"/>
            </w:r>
            <w:r>
              <w:rPr>
                <w:rFonts w:hint="eastAsia" w:ascii="宋体" w:hAnsi="宋体"/>
                <w:bCs/>
                <w:color w:val="auto"/>
                <w:szCs w:val="21"/>
                <w:highlight w:val="none"/>
              </w:rPr>
              <w:t>不组织。</w:t>
            </w:r>
          </w:p>
          <w:p>
            <w:pPr>
              <w:rPr>
                <w:rFonts w:ascii="宋体" w:hAnsi="宋体"/>
                <w:bCs/>
                <w:color w:val="auto"/>
                <w:szCs w:val="21"/>
                <w:highlight w:val="none"/>
              </w:rPr>
            </w:pPr>
            <w:r>
              <w:rPr>
                <w:rFonts w:hint="eastAsia" w:ascii="宋体" w:hAnsi="宋体"/>
                <w:bCs/>
                <w:color w:val="auto"/>
                <w:szCs w:val="21"/>
                <w:highlight w:val="none"/>
                <w:lang w:eastAsia="zh-CN"/>
              </w:rPr>
              <w:sym w:font="Wingdings" w:char="00A8"/>
            </w: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二、响应文件的编制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b/>
                <w:color w:val="auto"/>
                <w:szCs w:val="21"/>
                <w:highlight w:val="none"/>
              </w:rPr>
              <w:t>磋商</w:t>
            </w:r>
            <w:r>
              <w:rPr>
                <w:rFonts w:ascii="宋体" w:hAnsi="宋体"/>
                <w:b/>
                <w:color w:val="auto"/>
                <w:szCs w:val="21"/>
                <w:highlight w:val="none"/>
              </w:rPr>
              <w:t>的</w:t>
            </w:r>
            <w:r>
              <w:rPr>
                <w:rFonts w:hint="eastAsia" w:ascii="宋体" w:hAnsi="宋体"/>
                <w:b/>
                <w:color w:val="auto"/>
                <w:szCs w:val="21"/>
                <w:highlight w:val="none"/>
              </w:rPr>
              <w:t>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color w:val="auto"/>
                <w:szCs w:val="21"/>
                <w:highlight w:val="none"/>
              </w:rPr>
              <w:t>详见供应商须知。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color w:val="auto"/>
                <w:szCs w:val="21"/>
                <w:highlight w:val="none"/>
              </w:rPr>
              <w:t>（1）磋商保证金金额：人民币</w:t>
            </w:r>
            <w:r>
              <w:rPr>
                <w:rFonts w:hint="eastAsia" w:ascii="宋体" w:hAnsi="宋体"/>
                <w:b/>
                <w:color w:val="auto"/>
                <w:szCs w:val="21"/>
                <w:highlight w:val="none"/>
              </w:rPr>
              <w:t>（大写）</w:t>
            </w:r>
            <w:r>
              <w:rPr>
                <w:rFonts w:hint="eastAsia" w:ascii="宋体" w:hAnsi="宋体"/>
                <w:b/>
                <w:color w:val="auto"/>
                <w:szCs w:val="21"/>
                <w:highlight w:val="none"/>
                <w:u w:val="single"/>
                <w:lang w:val="en-US" w:eastAsia="zh-CN"/>
              </w:rPr>
              <w:t>叁仟元整</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s="宋体"/>
                <w:b/>
                <w:color w:val="auto"/>
                <w:szCs w:val="21"/>
                <w:highlight w:val="none"/>
                <w:u w:val="single"/>
                <w:lang w:val="en-US" w:eastAsia="zh-CN"/>
              </w:rPr>
              <w:t>3</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000.00元</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磋商保证金采用转帐、电汇方式提交，应符合以下要求：采用银行转账、电汇方式提交的，保证金汇入以下磋商保证金专用账户，不接收由以供应商分支机构、私人帐户和其他单位转入的保证金。磋商保证金必须在响应文件递交截止前到账，磋商保证金未按规定时间到达指定账户或提交金额不足的，将被视为无效响应。且在备注或用途中注明本项目的项目编号。</w:t>
            </w:r>
          </w:p>
          <w:p>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磋商保证金专用账户如下：</w:t>
            </w:r>
          </w:p>
          <w:p>
            <w:pPr>
              <w:spacing w:line="360" w:lineRule="auto"/>
              <w:ind w:firstLine="422" w:firstLineChars="200"/>
              <w:rPr>
                <w:rFonts w:hint="eastAsia" w:ascii="宋体" w:eastAsia="宋体" w:cs="宋体"/>
                <w:b/>
                <w:bCs/>
                <w:color w:val="auto"/>
                <w:sz w:val="21"/>
                <w:szCs w:val="20"/>
                <w:highlight w:val="none"/>
                <w:u w:val="single"/>
                <w:lang w:eastAsia="zh-CN"/>
              </w:rPr>
            </w:pPr>
            <w:r>
              <w:rPr>
                <w:rFonts w:hint="eastAsia" w:ascii="宋体" w:cs="宋体"/>
                <w:b/>
                <w:bCs/>
                <w:color w:val="auto"/>
                <w:sz w:val="21"/>
                <w:szCs w:val="20"/>
                <w:highlight w:val="none"/>
                <w:u w:val="none"/>
              </w:rPr>
              <w:t>公司名称：</w:t>
            </w:r>
            <w:r>
              <w:rPr>
                <w:rFonts w:hint="eastAsia" w:ascii="宋体" w:cs="宋体"/>
                <w:b/>
                <w:bCs/>
                <w:color w:val="auto"/>
                <w:sz w:val="21"/>
                <w:szCs w:val="20"/>
                <w:highlight w:val="none"/>
                <w:u w:val="single"/>
                <w:lang w:eastAsia="zh-CN"/>
              </w:rPr>
              <w:t>广西同泽工程项目管理股份有限公司</w:t>
            </w:r>
            <w:r>
              <w:rPr>
                <w:rFonts w:hint="eastAsia" w:ascii="宋体" w:cs="宋体"/>
                <w:b/>
                <w:bCs/>
                <w:color w:val="auto"/>
                <w:sz w:val="21"/>
                <w:szCs w:val="20"/>
                <w:highlight w:val="none"/>
                <w:u w:val="single"/>
                <w:lang w:val="en-US" w:eastAsia="zh-CN"/>
              </w:rPr>
              <w:t>东莞分公司</w:t>
            </w:r>
          </w:p>
          <w:p>
            <w:pPr>
              <w:spacing w:line="360" w:lineRule="auto"/>
              <w:ind w:firstLine="422" w:firstLineChars="200"/>
              <w:rPr>
                <w:rFonts w:hint="eastAsia" w:ascii="宋体" w:cs="宋体"/>
                <w:b/>
                <w:bCs/>
                <w:color w:val="auto"/>
                <w:sz w:val="21"/>
                <w:szCs w:val="20"/>
                <w:highlight w:val="none"/>
                <w:u w:val="single"/>
              </w:rPr>
            </w:pPr>
            <w:r>
              <w:rPr>
                <w:rFonts w:hint="eastAsia" w:ascii="宋体" w:cs="宋体"/>
                <w:b/>
                <w:bCs/>
                <w:color w:val="auto"/>
                <w:sz w:val="21"/>
                <w:szCs w:val="20"/>
                <w:highlight w:val="none"/>
                <w:u w:val="none"/>
              </w:rPr>
              <w:t>开 户 行：</w:t>
            </w:r>
            <w:r>
              <w:rPr>
                <w:rFonts w:hint="eastAsia" w:ascii="宋体" w:cs="宋体"/>
                <w:b/>
                <w:bCs/>
                <w:color w:val="auto"/>
                <w:sz w:val="21"/>
                <w:szCs w:val="20"/>
                <w:highlight w:val="none"/>
                <w:u w:val="single"/>
              </w:rPr>
              <w:t>中国民生银行东莞松山湖支行</w:t>
            </w:r>
          </w:p>
          <w:p>
            <w:pPr>
              <w:tabs>
                <w:tab w:val="left" w:pos="567"/>
              </w:tabs>
              <w:ind w:firstLine="422" w:firstLineChars="200"/>
              <w:jc w:val="both"/>
              <w:rPr>
                <w:rFonts w:hint="eastAsia" w:ascii="宋体" w:cs="宋体"/>
                <w:b/>
                <w:bCs/>
                <w:color w:val="auto"/>
                <w:sz w:val="21"/>
                <w:szCs w:val="20"/>
                <w:highlight w:val="none"/>
                <w:u w:val="single"/>
              </w:rPr>
            </w:pPr>
            <w:r>
              <w:rPr>
                <w:rFonts w:hint="eastAsia" w:ascii="宋体" w:cs="宋体"/>
                <w:b/>
                <w:bCs/>
                <w:color w:val="auto"/>
                <w:sz w:val="21"/>
                <w:szCs w:val="20"/>
                <w:highlight w:val="none"/>
                <w:u w:val="none"/>
              </w:rPr>
              <w:t>帐    号：</w:t>
            </w:r>
            <w:r>
              <w:rPr>
                <w:rFonts w:hint="eastAsia" w:ascii="宋体" w:cs="宋体"/>
                <w:b/>
                <w:bCs/>
                <w:color w:val="auto"/>
                <w:sz w:val="21"/>
                <w:szCs w:val="20"/>
                <w:highlight w:val="none"/>
                <w:u w:val="single"/>
              </w:rPr>
              <w:t xml:space="preserve">641169654 </w:t>
            </w:r>
          </w:p>
          <w:p>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（注：各供应商在转帐或电汇时须在用途栏上备注项目编号，及项目名称，如有字数限制项目名称可简写。）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794" w:type="dxa"/>
            <w:gridSpan w:val="2"/>
            <w:tcBorders>
              <w:tl2br w:val="nil"/>
              <w:tr2bl w:val="nil"/>
            </w:tcBorders>
            <w:noWrap w:val="0"/>
            <w:vAlign w:val="center"/>
          </w:tcPr>
          <w:p>
            <w:pPr>
              <w:jc w:val="both"/>
              <w:rPr>
                <w:rFonts w:ascii="宋体" w:hAnsi="宋体"/>
                <w:b/>
                <w:bCs/>
                <w:color w:val="auto"/>
                <w:szCs w:val="21"/>
                <w:highlight w:val="none"/>
                <w:lang w:val="zh-CN"/>
              </w:rPr>
            </w:pPr>
            <w:r>
              <w:rPr>
                <w:rFonts w:hint="eastAsia" w:ascii="宋体" w:hAnsi="宋体"/>
                <w:b/>
                <w:bCs/>
                <w:color w:val="auto"/>
                <w:szCs w:val="21"/>
                <w:highlight w:val="none"/>
                <w:lang w:val="zh-CN"/>
              </w:rPr>
              <w:t>磋商保证金退还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）未成交的供应商的保证金应当在成交通知书发出后退还，成交</w:t>
            </w:r>
            <w:r>
              <w:rPr>
                <w:rFonts w:hint="eastAsia" w:ascii="宋体" w:hAnsi="宋体"/>
                <w:color w:val="auto"/>
                <w:szCs w:val="21"/>
                <w:highlight w:val="none"/>
              </w:rPr>
              <w:t>的</w:t>
            </w:r>
            <w:r>
              <w:rPr>
                <w:rFonts w:hint="eastAsia" w:ascii="宋体" w:hAnsi="宋体"/>
                <w:color w:val="auto"/>
                <w:szCs w:val="21"/>
                <w:highlight w:val="none"/>
                <w:lang w:val="zh-CN"/>
              </w:rPr>
              <w:t>供应商的保证金应当在采购合同签订后退还。</w:t>
            </w:r>
          </w:p>
          <w:p>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）为方便退还未成交的供应商的保证金，供应商应制作《磋商保证金汇入情况说明》随唱标信封一并递交。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794" w:type="dxa"/>
            <w:gridSpan w:val="2"/>
            <w:tcBorders>
              <w:tl2br w:val="nil"/>
              <w:tr2bl w:val="nil"/>
            </w:tcBorders>
            <w:noWrap w:val="0"/>
            <w:vAlign w:val="center"/>
          </w:tcPr>
          <w:p>
            <w:pPr>
              <w:jc w:val="left"/>
              <w:rPr>
                <w:rFonts w:ascii="宋体" w:hAnsi="宋体"/>
                <w:b/>
                <w:color w:val="auto"/>
                <w:szCs w:val="21"/>
                <w:highlight w:val="none"/>
              </w:rPr>
            </w:pPr>
            <w:r>
              <w:rPr>
                <w:rFonts w:hint="eastAsia" w:ascii="宋体" w:hAnsi="宋体"/>
                <w:b/>
                <w:color w:val="auto"/>
                <w:szCs w:val="21"/>
                <w:highlight w:val="none"/>
              </w:rPr>
              <w:t>供应商应提交以下响应文件（响应文件由唱标信封、价格文件、商务文件、技术文件、电子文档五部分组成；价格文件、商务文件、技术文件分别单独装订成册，电子文档装入唱标信封一同封装；具体编制和封装要求详见第四部分供应商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响应文件类型</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唱标信封</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响应文件正本</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响应文件副本</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sym w:font="Wingdings" w:char="00FE"/>
            </w:r>
            <w:r>
              <w:rPr>
                <w:rFonts w:ascii="宋体" w:hAnsi="宋体"/>
                <w:b/>
                <w:color w:val="auto"/>
                <w:szCs w:val="21"/>
                <w:highlight w:val="none"/>
              </w:rPr>
              <w:t>3</w:t>
            </w:r>
            <w:r>
              <w:rPr>
                <w:rFonts w:hint="eastAsia" w:ascii="宋体" w:hAnsi="宋体"/>
                <w:b/>
                <w:color w:val="auto"/>
                <w:szCs w:val="21"/>
                <w:highlight w:val="none"/>
              </w:rPr>
              <w:t xml:space="preserve">  </w:t>
            </w:r>
            <w:r>
              <w:rPr>
                <w:rFonts w:hint="eastAsia" w:ascii="宋体" w:hAnsi="宋体"/>
                <w:b/>
                <w:color w:val="auto"/>
                <w:szCs w:val="21"/>
                <w:highlight w:val="none"/>
              </w:rPr>
              <w:sym w:font="Wingdings" w:char="00A8"/>
            </w:r>
            <w:r>
              <w:rPr>
                <w:rFonts w:ascii="宋体" w:hAnsi="宋体"/>
                <w:b/>
                <w:color w:val="auto"/>
                <w:szCs w:val="21"/>
                <w:highlight w:val="none"/>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vMerge w:val="restart"/>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电子文档</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vMerge w:val="continue"/>
            <w:tcBorders>
              <w:tl2br w:val="nil"/>
              <w:tr2bl w:val="nil"/>
            </w:tcBorders>
            <w:noWrap w:val="0"/>
            <w:vAlign w:val="center"/>
          </w:tcPr>
          <w:p>
            <w:pPr>
              <w:jc w:val="center"/>
              <w:rPr>
                <w:rFonts w:ascii="宋体" w:hAnsi="宋体"/>
                <w:b/>
                <w:color w:val="auto"/>
                <w:szCs w:val="21"/>
                <w:highlight w:val="none"/>
              </w:rPr>
            </w:pP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cs="Times New Roman"/>
                <w:b/>
                <w:color w:val="auto"/>
                <w:szCs w:val="21"/>
                <w:highlight w:val="none"/>
              </w:rPr>
              <w:t>U盘，须含盖章版PDF响应文件和WORD版响应文件各一版，文字采用WORD文档，计算表格采用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4"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eastAsia="宋体" w:cs="宋体"/>
                <w:b/>
                <w:color w:val="auto"/>
                <w:szCs w:val="21"/>
                <w:highlight w:val="none"/>
                <w:lang w:eastAsia="zh-CN"/>
              </w:rPr>
              <w:t>磋商小组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成员共</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磋商小组由采购人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成员人数为三人或三人以上单数</w:t>
            </w:r>
            <w:r>
              <w:rPr>
                <w:rFonts w:hint="eastAsia" w:ascii="宋体" w:hAnsi="宋体" w:eastAsia="宋体" w:cs="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3"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7794" w:type="dxa"/>
            <w:gridSpan w:val="2"/>
            <w:tcBorders>
              <w:tl2br w:val="nil"/>
              <w:tr2bl w:val="nil"/>
            </w:tcBorders>
            <w:noWrap w:val="0"/>
            <w:vAlign w:val="center"/>
          </w:tcPr>
          <w:p>
            <w:pPr>
              <w:jc w:val="both"/>
              <w:rPr>
                <w:rFonts w:hint="eastAsia" w:ascii="宋体" w:hAnsi="宋体" w:eastAsia="宋体"/>
                <w:b/>
                <w:color w:val="auto"/>
                <w:szCs w:val="21"/>
                <w:highlight w:val="none"/>
                <w:lang w:eastAsia="zh-CN"/>
              </w:rPr>
            </w:pPr>
            <w:r>
              <w:rPr>
                <w:rFonts w:hint="eastAsia" w:ascii="宋体" w:hAnsi="宋体"/>
                <w:b/>
                <w:color w:val="auto"/>
                <w:szCs w:val="21"/>
                <w:highlight w:val="none"/>
              </w:rPr>
              <w:t>履约担保</w:t>
            </w:r>
            <w:r>
              <w:rPr>
                <w:rFonts w:hint="eastAsia"/>
                <w:color w:val="auto"/>
                <w:highlight w:val="none"/>
                <w:lang w:eastAsia="zh-CN"/>
              </w:rPr>
              <w:t>（</w:t>
            </w:r>
            <w:r>
              <w:rPr>
                <w:rFonts w:hint="eastAsia"/>
                <w:color w:val="auto"/>
                <w:highlight w:val="none"/>
                <w:lang w:val="en-US" w:eastAsia="zh-CN"/>
              </w:rPr>
              <w:t>本项目不收取履约保证金</w:t>
            </w:r>
            <w:r>
              <w:rPr>
                <w:rFonts w:hint="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1.履约担保金额为： 合同金额的</w:t>
            </w:r>
            <w:r>
              <w:rPr>
                <w:rFonts w:hint="eastAsia" w:ascii="宋体" w:hAnsi="宋体" w:cs="宋体"/>
                <w:color w:val="auto"/>
                <w:szCs w:val="21"/>
                <w:highlight w:val="none"/>
                <w:u w:val="single"/>
                <w:lang w:val="en-US" w:eastAsia="zh-CN"/>
              </w:rPr>
              <w:t xml:space="preserve">  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2.履约保证金账户信息</w:t>
            </w:r>
            <w:r>
              <w:rPr>
                <w:rFonts w:hint="eastAsia" w:ascii="宋体" w:hAnsi="宋体" w:eastAsia="宋体" w:cs="宋体"/>
                <w:color w:val="auto"/>
                <w:szCs w:val="21"/>
                <w:highlight w:val="none"/>
                <w:lang w:eastAsia="zh-CN"/>
              </w:rPr>
              <w:t>（成交结果公示后待成交单位与采购人协商确认）</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在采购（合同签署）时提交履约担保，履约担保金额不超过成交合同金额的10%，如果</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提交的履约保函的有效期先于合同要求的履约保函有效期到达，</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应在原提交的履约保函有效期满前15天，无条件办理保函延期手续。否则，视为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违约，采购人可在保函到期前将保函金额转为现金存入履约保证金帐户。</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4.履约担保期限从合同签订之日起至项目完工验收合格并结算完毕后，经双方签字 7 天内保持有效。</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的履约担保是以银行保函形式提供的，则该银行保函应：</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文件附件中提供的无条件不可撤销履约保函格式，保函担保期内若项目未能按期竣工，保函必须延期，办理延期手续时在银行方面所产生费用由</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负责。</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（2）履约保证金。可采用电汇、银行汇票等银行转帐方式提交，但不可以采用现金方式提交。</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必须保证履约保证金以</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名称在签订合同前提交至采购人指定账户。</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不能按本</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的规定提交履约保证金的，采购人将有权取消</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资格（采购人可以按照</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提出的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候选人名单排序依次确定其他</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，也可以重新采购），</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保证金不予退还，给采购人造成的损失如果超过</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保证金数额的，还应当对超过部分予以赔偿。</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承担；若工期延误，履约担保时间延长，延长费用由</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承担。</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在合同履行过程中出现项目质量事故、工期拖延、欠付工人工资、欠付材料款等情况，采购人在经核查属实后，有权将履约保函金额转为现金存入履约保证金账户；</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造成采购人损失的，采购人有权立即没收其履约担保，若造成损失超过履约担保的，还应当对超过部分予以赔偿。</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将本项目转让给他人，或者在</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文件中未说明，且未经采购人同意，将</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项目分包给他人的；</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在履行采购合同期间，违反有关法律法规的规定及合同约定的条款，损害了采购人的利益。</w:t>
            </w:r>
          </w:p>
          <w:p>
            <w:pPr>
              <w:jc w:val="both"/>
              <w:rPr>
                <w:rFonts w:ascii="宋体" w:hAnsi="宋体"/>
                <w:color w:val="auto"/>
                <w:szCs w:val="21"/>
                <w:highlight w:val="none"/>
              </w:rPr>
            </w:pPr>
            <w:r>
              <w:rPr>
                <w:rFonts w:hint="eastAsia" w:ascii="宋体" w:hAnsi="宋体" w:eastAsia="宋体" w:cs="宋体"/>
                <w:color w:val="auto"/>
                <w:szCs w:val="21"/>
                <w:highlight w:val="none"/>
              </w:rPr>
              <w:t>（7）在整个项目验收合格后，</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成交服务费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45"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国家计委[计价格[2002]1980号]文和国家发改委[发改价格[2011]534号]文及相关规定</w:t>
            </w:r>
            <w:r>
              <w:rPr>
                <w:rFonts w:hint="eastAsia" w:ascii="宋体" w:hAnsi="宋体" w:eastAsia="宋体" w:cs="宋体"/>
                <w:color w:val="auto"/>
                <w:szCs w:val="21"/>
                <w:highlight w:val="none"/>
                <w:lang w:eastAsia="zh-CN"/>
              </w:rPr>
              <w:t>并下浮</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单位收取，按差额定率累进法计算，以</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通知书中确定的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总金额作为收费的计算</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widowControl w:val="0"/>
              <w:tabs>
                <w:tab w:val="left" w:pos="907"/>
              </w:tabs>
              <w:adjustRightInd/>
              <w:snapToGrid/>
              <w:spacing w:line="360" w:lineRule="exact"/>
              <w:jc w:val="both"/>
              <w:rPr>
                <w:rFonts w:hint="eastAsia" w:ascii="宋体" w:hAnsi="宋体"/>
                <w:color w:val="auto"/>
                <w:szCs w:val="21"/>
                <w:highlight w:val="none"/>
              </w:rPr>
            </w:pPr>
            <w:r>
              <w:rPr>
                <w:rFonts w:hint="eastAsia" w:ascii="宋体" w:hAnsi="宋体" w:eastAsia="宋体" w:cs="宋体"/>
                <w:color w:val="auto"/>
                <w:szCs w:val="21"/>
                <w:highlight w:val="none"/>
              </w:rPr>
              <w:t>（2）本项目</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服务费由</w:t>
            </w:r>
            <w:r>
              <w:rPr>
                <w:rFonts w:hint="eastAsia" w:ascii="宋体" w:hAnsi="宋体" w:eastAsia="宋体" w:cs="宋体"/>
                <w:color w:val="auto"/>
                <w:szCs w:val="21"/>
                <w:highlight w:val="none"/>
                <w:lang w:val="en-US" w:eastAsia="zh-CN"/>
              </w:rPr>
              <w:t>成交方</w:t>
            </w:r>
            <w:r>
              <w:rPr>
                <w:rFonts w:hint="eastAsia" w:ascii="宋体" w:hAnsi="宋体" w:eastAsia="宋体" w:cs="宋体"/>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jc w:val="center"/>
        </w:trPr>
        <w:tc>
          <w:tcPr>
            <w:tcW w:w="8672" w:type="dxa"/>
            <w:gridSpan w:val="3"/>
            <w:tcBorders>
              <w:tl2br w:val="nil"/>
              <w:tr2bl w:val="nil"/>
            </w:tcBorders>
            <w:noWrap w:val="0"/>
            <w:vAlign w:val="center"/>
          </w:tcPr>
          <w:p>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注：本表关于要采购项目的具体资料，是对供应商须知的具体补充和修改，如有矛盾，应以本资料表为准。不满足磋商文件中 “★”条款的响应文件将作无效响应处理。</w:t>
            </w:r>
          </w:p>
        </w:tc>
      </w:tr>
    </w:tbl>
    <w:p>
      <w:pPr>
        <w:jc w:val="center"/>
        <w:rPr>
          <w:color w:val="auto"/>
          <w:highlight w:val="none"/>
        </w:rPr>
      </w:pPr>
      <w:r>
        <w:rPr>
          <w:rFonts w:hint="eastAsia"/>
          <w:color w:val="auto"/>
          <w:highlight w:val="none"/>
        </w:rPr>
        <w:br w:type="page"/>
      </w:r>
    </w:p>
    <w:p>
      <w:pPr>
        <w:pStyle w:val="5"/>
        <w:spacing w:before="0" w:after="0" w:line="240" w:lineRule="auto"/>
        <w:jc w:val="center"/>
        <w:rPr>
          <w:rFonts w:hAnsi="宋体" w:cs="宋体"/>
          <w:color w:val="auto"/>
          <w:sz w:val="21"/>
          <w:szCs w:val="21"/>
          <w:highlight w:val="none"/>
        </w:rPr>
      </w:pPr>
      <w:bookmarkStart w:id="10" w:name="_Toc28592"/>
      <w:bookmarkStart w:id="11" w:name="_Toc3577"/>
      <w:r>
        <w:rPr>
          <w:rFonts w:hint="eastAsia" w:ascii="宋体" w:hAnsi="宋体" w:cs="宋体"/>
          <w:color w:val="auto"/>
          <w:sz w:val="24"/>
          <w:szCs w:val="24"/>
          <w:highlight w:val="none"/>
        </w:rPr>
        <w:t>附表二：商务技术评分及价格权重表（满分100分）</w:t>
      </w:r>
      <w:bookmarkEnd w:id="10"/>
      <w:bookmarkEnd w:id="11"/>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57"/>
        <w:gridCol w:w="919"/>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919"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rPr>
              <w:t>1</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体系</w:t>
            </w:r>
            <w:r>
              <w:rPr>
                <w:rFonts w:hint="eastAsia" w:ascii="宋体" w:hAnsi="宋体" w:eastAsia="宋体" w:cs="宋体"/>
                <w:color w:val="auto"/>
                <w:kern w:val="2"/>
                <w:szCs w:val="21"/>
                <w:highlight w:val="none"/>
                <w:lang w:eastAsia="zh-CN"/>
              </w:rPr>
              <w:t>认证</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6</w:t>
            </w:r>
            <w:r>
              <w:rPr>
                <w:rFonts w:hint="eastAsia" w:ascii="宋体" w:hAnsi="宋体" w:eastAsia="宋体" w:cs="宋体"/>
                <w:b w:val="0"/>
                <w:bCs w:val="0"/>
                <w:color w:val="auto"/>
                <w:kern w:val="2"/>
                <w:szCs w:val="21"/>
                <w:highlight w:val="none"/>
                <w:lang w:val="en-US" w:eastAsia="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供应商</w:t>
            </w:r>
            <w:r>
              <w:rPr>
                <w:rFonts w:hint="eastAsia" w:ascii="宋体" w:hAnsi="宋体" w:eastAsia="宋体" w:cs="宋体"/>
                <w:bCs/>
                <w:color w:val="auto"/>
                <w:sz w:val="21"/>
                <w:szCs w:val="21"/>
                <w:highlight w:val="none"/>
                <w:u w:val="none"/>
              </w:rPr>
              <w:t>具有由国家认证认可监督管理部门批准设立的认证机构颁发</w:t>
            </w:r>
            <w:r>
              <w:rPr>
                <w:rFonts w:hint="eastAsia" w:ascii="宋体" w:hAnsi="宋体" w:cs="宋体"/>
                <w:bCs/>
                <w:color w:val="auto"/>
                <w:sz w:val="21"/>
                <w:szCs w:val="21"/>
                <w:highlight w:val="none"/>
                <w:u w:val="none"/>
                <w:lang w:val="en-US" w:eastAsia="zh-CN"/>
              </w:rPr>
              <w:t>并在</w:t>
            </w:r>
            <w:r>
              <w:rPr>
                <w:rFonts w:hint="eastAsia" w:ascii="宋体" w:hAnsi="宋体" w:eastAsia="宋体" w:cs="宋体"/>
                <w:color w:val="auto"/>
                <w:szCs w:val="21"/>
                <w:highlight w:val="none"/>
                <w:u w:val="none"/>
              </w:rPr>
              <w:t>有效期</w:t>
            </w:r>
            <w:r>
              <w:rPr>
                <w:rFonts w:hint="eastAsia" w:ascii="宋体" w:hAnsi="宋体" w:eastAsia="宋体" w:cs="宋体"/>
                <w:bCs/>
                <w:color w:val="auto"/>
                <w:sz w:val="21"/>
                <w:szCs w:val="21"/>
                <w:highlight w:val="none"/>
                <w:u w:val="none"/>
              </w:rPr>
              <w:t>内</w:t>
            </w:r>
            <w:r>
              <w:rPr>
                <w:rFonts w:hint="eastAsia" w:ascii="宋体" w:hAnsi="宋体" w:cs="宋体"/>
                <w:bCs/>
                <w:color w:val="auto"/>
                <w:sz w:val="21"/>
                <w:szCs w:val="21"/>
                <w:highlight w:val="none"/>
                <w:u w:val="none"/>
                <w:lang w:val="en-US" w:eastAsia="zh-CN"/>
              </w:rPr>
              <w:t>的</w:t>
            </w:r>
            <w:r>
              <w:rPr>
                <w:rFonts w:hint="eastAsia" w:ascii="宋体" w:hAnsi="宋体" w:eastAsia="宋体" w:cs="宋体"/>
                <w:bCs/>
                <w:color w:val="auto"/>
                <w:sz w:val="21"/>
                <w:szCs w:val="21"/>
                <w:highlight w:val="none"/>
                <w:u w:val="none"/>
              </w:rPr>
              <w:t>认证证书：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①质量管理</w:t>
            </w:r>
            <w:r>
              <w:rPr>
                <w:rFonts w:hint="eastAsia" w:ascii="宋体" w:hAnsi="宋体" w:eastAsia="宋体" w:cs="宋体"/>
                <w:color w:val="auto"/>
                <w:szCs w:val="21"/>
                <w:highlight w:val="none"/>
                <w:u w:val="none"/>
              </w:rPr>
              <w:t>体系</w:t>
            </w:r>
            <w:r>
              <w:rPr>
                <w:rFonts w:hint="eastAsia" w:ascii="宋体" w:hAnsi="宋体" w:eastAsia="宋体" w:cs="宋体"/>
                <w:bCs/>
                <w:color w:val="auto"/>
                <w:sz w:val="21"/>
                <w:szCs w:val="21"/>
                <w:highlight w:val="none"/>
                <w:u w:val="none"/>
              </w:rPr>
              <w:t>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②环境管理</w:t>
            </w:r>
            <w:r>
              <w:rPr>
                <w:rFonts w:hint="eastAsia" w:ascii="宋体" w:hAnsi="宋体" w:eastAsia="宋体" w:cs="宋体"/>
                <w:color w:val="auto"/>
                <w:szCs w:val="21"/>
                <w:highlight w:val="none"/>
                <w:u w:val="none"/>
              </w:rPr>
              <w:t>体系</w:t>
            </w:r>
            <w:r>
              <w:rPr>
                <w:rFonts w:hint="eastAsia" w:ascii="宋体" w:hAnsi="宋体" w:eastAsia="宋体" w:cs="宋体"/>
                <w:bCs/>
                <w:color w:val="auto"/>
                <w:sz w:val="21"/>
                <w:szCs w:val="21"/>
                <w:highlight w:val="none"/>
                <w:u w:val="none"/>
              </w:rPr>
              <w:t>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③职业健康安全</w:t>
            </w:r>
            <w:r>
              <w:rPr>
                <w:rFonts w:hint="eastAsia" w:ascii="宋体" w:hAnsi="宋体" w:eastAsia="宋体" w:cs="宋体"/>
                <w:color w:val="auto"/>
                <w:szCs w:val="21"/>
                <w:highlight w:val="none"/>
                <w:u w:val="none"/>
              </w:rPr>
              <w:t>管理</w:t>
            </w:r>
            <w:r>
              <w:rPr>
                <w:rFonts w:hint="eastAsia" w:ascii="宋体" w:hAnsi="宋体" w:eastAsia="宋体" w:cs="宋体"/>
                <w:bCs/>
                <w:color w:val="auto"/>
                <w:sz w:val="21"/>
                <w:szCs w:val="21"/>
                <w:highlight w:val="none"/>
                <w:u w:val="none"/>
              </w:rPr>
              <w:t>体系认证；</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val="0"/>
                <w:bCs/>
                <w:color w:val="auto"/>
                <w:sz w:val="21"/>
                <w:szCs w:val="21"/>
                <w:highlight w:val="none"/>
                <w:u w:val="single"/>
                <w:lang w:val="en-US"/>
              </w:rPr>
            </w:pPr>
            <w:r>
              <w:rPr>
                <w:rFonts w:hint="eastAsia" w:ascii="宋体" w:eastAsia="宋体" w:cs="宋体"/>
                <w:b/>
                <w:bCs w:val="0"/>
                <w:color w:val="auto"/>
                <w:sz w:val="21"/>
                <w:szCs w:val="21"/>
                <w:highlight w:val="none"/>
                <w:u w:val="none"/>
                <w:lang w:val="zh-CN"/>
              </w:rPr>
              <w:t>注：</w:t>
            </w:r>
            <w:r>
              <w:rPr>
                <w:rFonts w:hint="eastAsia" w:ascii="宋体" w:eastAsia="宋体" w:cs="宋体"/>
                <w:b/>
                <w:bCs w:val="0"/>
                <w:color w:val="auto"/>
                <w:sz w:val="21"/>
                <w:szCs w:val="21"/>
                <w:highlight w:val="none"/>
                <w:u w:val="none"/>
                <w:lang w:val="en-US" w:eastAsia="zh-CN"/>
              </w:rPr>
              <w:t>供应商</w:t>
            </w:r>
            <w:r>
              <w:rPr>
                <w:rFonts w:hint="eastAsia" w:ascii="宋体" w:eastAsia="宋体" w:cs="宋体"/>
                <w:b/>
                <w:bCs w:val="0"/>
                <w:color w:val="auto"/>
                <w:sz w:val="21"/>
                <w:szCs w:val="21"/>
                <w:highlight w:val="none"/>
                <w:u w:val="none"/>
              </w:rPr>
              <w:t>每</w:t>
            </w:r>
            <w:r>
              <w:rPr>
                <w:rFonts w:hint="eastAsia" w:ascii="宋体" w:hAnsi="宋体" w:eastAsia="宋体" w:cs="宋体"/>
                <w:b/>
                <w:bCs w:val="0"/>
                <w:color w:val="auto"/>
                <w:sz w:val="21"/>
                <w:szCs w:val="21"/>
                <w:highlight w:val="none"/>
                <w:u w:val="none"/>
              </w:rPr>
              <w:t>提供</w:t>
            </w:r>
            <w:r>
              <w:rPr>
                <w:rFonts w:hint="eastAsia" w:ascii="宋体" w:eastAsia="宋体" w:cs="宋体"/>
                <w:b/>
                <w:bCs w:val="0"/>
                <w:color w:val="auto"/>
                <w:sz w:val="21"/>
                <w:szCs w:val="21"/>
                <w:highlight w:val="none"/>
                <w:u w:val="none"/>
              </w:rPr>
              <w:t>一项得</w:t>
            </w:r>
            <w:r>
              <w:rPr>
                <w:rFonts w:hint="eastAsia" w:ascii="宋体" w:eastAsia="宋体" w:cs="宋体"/>
                <w:b/>
                <w:bCs w:val="0"/>
                <w:color w:val="auto"/>
                <w:sz w:val="21"/>
                <w:szCs w:val="21"/>
                <w:highlight w:val="none"/>
                <w:u w:val="none"/>
                <w:lang w:val="en-US" w:eastAsia="zh-CN"/>
              </w:rPr>
              <w:t>2</w:t>
            </w:r>
            <w:r>
              <w:rPr>
                <w:rFonts w:hint="eastAsia" w:ascii="宋体" w:eastAsia="宋体" w:cs="宋体"/>
                <w:b/>
                <w:bCs w:val="0"/>
                <w:color w:val="auto"/>
                <w:sz w:val="21"/>
                <w:szCs w:val="21"/>
                <w:highlight w:val="none"/>
                <w:u w:val="none"/>
              </w:rPr>
              <w:t>分，本项最高得</w:t>
            </w:r>
            <w:r>
              <w:rPr>
                <w:rFonts w:hint="eastAsia" w:ascii="宋体" w:eastAsia="宋体" w:cs="宋体"/>
                <w:b/>
                <w:bCs w:val="0"/>
                <w:color w:val="auto"/>
                <w:sz w:val="21"/>
                <w:szCs w:val="21"/>
                <w:highlight w:val="none"/>
                <w:u w:val="none"/>
                <w:lang w:val="en-US" w:eastAsia="zh-CN"/>
              </w:rPr>
              <w:t>6</w:t>
            </w:r>
            <w:r>
              <w:rPr>
                <w:rFonts w:hint="eastAsia" w:ascii="宋体" w:eastAsia="宋体" w:cs="宋体"/>
                <w:b/>
                <w:bCs w:val="0"/>
                <w:color w:val="auto"/>
                <w:sz w:val="21"/>
                <w:szCs w:val="21"/>
                <w:highlight w:val="none"/>
                <w:u w:val="none"/>
              </w:rPr>
              <w:t>分</w:t>
            </w:r>
            <w:r>
              <w:rPr>
                <w:rFonts w:hint="eastAsia" w:ascii="宋体" w:eastAsia="宋体" w:cs="宋体"/>
                <w:b/>
                <w:bCs w:val="0"/>
                <w:color w:val="auto"/>
                <w:sz w:val="21"/>
                <w:szCs w:val="21"/>
                <w:highlight w:val="none"/>
                <w:u w:val="none"/>
                <w:lang w:val="en-US" w:eastAsia="zh-CN"/>
              </w:rPr>
              <w:t>,</w:t>
            </w:r>
            <w:r>
              <w:rPr>
                <w:rFonts w:hint="eastAsia" w:ascii="宋体" w:eastAsia="宋体" w:cs="宋体"/>
                <w:b/>
                <w:bCs w:val="0"/>
                <w:color w:val="auto"/>
                <w:sz w:val="21"/>
                <w:szCs w:val="21"/>
                <w:highlight w:val="none"/>
                <w:u w:val="none"/>
                <w:lang w:val="zh-CN"/>
              </w:rPr>
              <w:t>应提供上述有效证书复印件及能显示证书有效状态的全国认证认可信息公共服务平台（http://cx.cnca.cn/）查询结果凭证[凭证界面需显示有“全国认证认可信息公共服务平台”或“认证证书（需显示网址cx.cnca.cn）”]，否则不得分。（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w:t>
            </w:r>
            <w:r>
              <w:rPr>
                <w:rFonts w:hint="eastAsia" w:ascii="宋体" w:eastAsia="宋体" w:cs="宋体"/>
                <w:b/>
                <w:bCs w:val="0"/>
                <w:color w:val="auto"/>
                <w:sz w:val="21"/>
                <w:szCs w:val="21"/>
                <w:highlight w:val="none"/>
                <w:u w:val="none"/>
                <w:lang w:val="en-US" w:eastAsia="zh-CN"/>
              </w:rPr>
              <w:t>由牵头方提供即可得分）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财务状况</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4</w:t>
            </w:r>
            <w:r>
              <w:rPr>
                <w:rFonts w:hint="eastAsia" w:ascii="宋体" w:hAnsi="宋体" w:eastAsia="宋体" w:cs="宋体"/>
                <w:b w:val="0"/>
                <w:bCs w:val="0"/>
                <w:color w:val="auto"/>
                <w:kern w:val="2"/>
                <w:szCs w:val="21"/>
                <w:highlight w:val="none"/>
                <w:lang w:val="en-US" w:eastAsia="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根据各</w:t>
            </w:r>
            <w:r>
              <w:rPr>
                <w:rFonts w:hint="eastAsia" w:ascii="宋体" w:eastAsia="宋体" w:cs="宋体"/>
                <w:bCs/>
                <w:color w:val="auto"/>
                <w:sz w:val="21"/>
                <w:szCs w:val="21"/>
                <w:highlight w:val="none"/>
                <w:u w:val="none"/>
                <w:lang w:val="en-US" w:eastAsia="zh-CN"/>
              </w:rPr>
              <w:t>供应商202</w:t>
            </w:r>
            <w:r>
              <w:rPr>
                <w:rFonts w:hint="eastAsia" w:ascii="宋体" w:cs="宋体"/>
                <w:bCs/>
                <w:color w:val="auto"/>
                <w:sz w:val="21"/>
                <w:szCs w:val="21"/>
                <w:highlight w:val="none"/>
                <w:u w:val="none"/>
                <w:lang w:val="en-US" w:eastAsia="zh-CN"/>
              </w:rPr>
              <w:t>2</w:t>
            </w:r>
            <w:r>
              <w:rPr>
                <w:rFonts w:hint="eastAsia" w:ascii="宋体" w:eastAsia="宋体" w:cs="宋体"/>
                <w:bCs/>
                <w:color w:val="auto"/>
                <w:sz w:val="21"/>
                <w:szCs w:val="21"/>
                <w:highlight w:val="none"/>
                <w:u w:val="none"/>
                <w:lang w:val="zh-CN"/>
              </w:rPr>
              <w:t>年</w:t>
            </w:r>
            <w:r>
              <w:rPr>
                <w:rFonts w:hint="eastAsia" w:ascii="宋体" w:eastAsia="宋体" w:cs="宋体"/>
                <w:bCs/>
                <w:color w:val="auto"/>
                <w:sz w:val="21"/>
                <w:szCs w:val="21"/>
                <w:highlight w:val="none"/>
                <w:u w:val="none"/>
                <w:lang w:val="en-US" w:eastAsia="zh-CN"/>
              </w:rPr>
              <w:t>1月1日</w:t>
            </w:r>
            <w:r>
              <w:rPr>
                <w:rFonts w:hint="eastAsia" w:ascii="宋体" w:eastAsia="宋体" w:cs="宋体"/>
                <w:bCs/>
                <w:color w:val="auto"/>
                <w:sz w:val="21"/>
                <w:szCs w:val="21"/>
                <w:highlight w:val="none"/>
                <w:u w:val="none"/>
                <w:lang w:val="zh-CN"/>
              </w:rPr>
              <w:t>至今的财务状况</w:t>
            </w:r>
            <w:r>
              <w:rPr>
                <w:rFonts w:hint="eastAsia" w:ascii="宋体" w:cs="宋体"/>
                <w:bCs/>
                <w:color w:val="auto"/>
                <w:sz w:val="21"/>
                <w:szCs w:val="21"/>
                <w:highlight w:val="none"/>
                <w:u w:val="none"/>
                <w:lang w:val="zh-CN"/>
              </w:rPr>
              <w:t>（按利润总额）</w:t>
            </w:r>
            <w:r>
              <w:rPr>
                <w:rFonts w:hint="eastAsia" w:ascii="宋体" w:eastAsia="宋体" w:cs="宋体"/>
                <w:bCs/>
                <w:color w:val="auto"/>
                <w:sz w:val="21"/>
                <w:szCs w:val="21"/>
                <w:highlight w:val="none"/>
                <w:u w:val="none"/>
                <w:lang w:val="zh-CN"/>
              </w:rPr>
              <w:t>进行评价，三年盈利得</w:t>
            </w:r>
            <w:r>
              <w:rPr>
                <w:rFonts w:hint="eastAsia" w:ascii="宋体" w:cs="宋体"/>
                <w:bCs/>
                <w:color w:val="auto"/>
                <w:sz w:val="21"/>
                <w:szCs w:val="21"/>
                <w:highlight w:val="none"/>
                <w:u w:val="none"/>
                <w:lang w:val="en-US" w:eastAsia="zh-CN"/>
              </w:rPr>
              <w:t>4</w:t>
            </w:r>
            <w:r>
              <w:rPr>
                <w:rFonts w:hint="eastAsia" w:ascii="宋体" w:eastAsia="宋体" w:cs="宋体"/>
                <w:bCs/>
                <w:color w:val="auto"/>
                <w:sz w:val="21"/>
                <w:szCs w:val="21"/>
                <w:highlight w:val="none"/>
                <w:u w:val="none"/>
                <w:lang w:val="zh-CN"/>
              </w:rPr>
              <w:t>分，两年盈利得</w:t>
            </w:r>
            <w:r>
              <w:rPr>
                <w:rFonts w:hint="eastAsia" w:ascii="宋体" w:cs="宋体"/>
                <w:bCs/>
                <w:color w:val="auto"/>
                <w:sz w:val="21"/>
                <w:szCs w:val="21"/>
                <w:highlight w:val="none"/>
                <w:u w:val="none"/>
                <w:lang w:val="en-US" w:eastAsia="zh-CN"/>
              </w:rPr>
              <w:t>2</w:t>
            </w:r>
            <w:r>
              <w:rPr>
                <w:rFonts w:hint="eastAsia" w:ascii="宋体" w:eastAsia="宋体" w:cs="宋体"/>
                <w:bCs/>
                <w:color w:val="auto"/>
                <w:sz w:val="21"/>
                <w:szCs w:val="21"/>
                <w:highlight w:val="none"/>
                <w:u w:val="none"/>
                <w:lang w:val="zh-CN"/>
              </w:rPr>
              <w:t>分，一年盈利得</w:t>
            </w:r>
            <w:r>
              <w:rPr>
                <w:rFonts w:hint="eastAsia" w:ascii="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分，无盈利不得分。</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eastAsia="宋体" w:cs="宋体"/>
                <w:b/>
                <w:bCs w:val="0"/>
                <w:color w:val="auto"/>
                <w:sz w:val="21"/>
                <w:szCs w:val="21"/>
                <w:highlight w:val="none"/>
                <w:u w:val="none"/>
                <w:lang w:val="zh-CN"/>
              </w:rPr>
            </w:pPr>
            <w:r>
              <w:rPr>
                <w:rFonts w:hint="eastAsia" w:ascii="宋体" w:eastAsia="宋体" w:cs="宋体"/>
                <w:b/>
                <w:bCs w:val="0"/>
                <w:color w:val="auto"/>
                <w:sz w:val="21"/>
                <w:szCs w:val="21"/>
                <w:highlight w:val="none"/>
                <w:u w:val="none"/>
                <w:lang w:val="zh-CN"/>
              </w:rPr>
              <w:t>注：须</w:t>
            </w:r>
            <w:r>
              <w:rPr>
                <w:rFonts w:hint="eastAsia" w:ascii="宋体" w:hAnsi="宋体" w:eastAsia="宋体" w:cs="宋体"/>
                <w:b/>
                <w:bCs w:val="0"/>
                <w:color w:val="auto"/>
                <w:sz w:val="21"/>
                <w:szCs w:val="21"/>
                <w:highlight w:val="none"/>
                <w:u w:val="none"/>
                <w:lang w:val="zh-CN"/>
              </w:rPr>
              <w:t>提供</w:t>
            </w:r>
            <w:r>
              <w:rPr>
                <w:rFonts w:hint="eastAsia" w:ascii="宋体" w:eastAsia="宋体" w:cs="宋体"/>
                <w:b/>
                <w:bCs w:val="0"/>
                <w:color w:val="auto"/>
                <w:sz w:val="21"/>
                <w:szCs w:val="21"/>
                <w:highlight w:val="none"/>
                <w:u w:val="none"/>
                <w:lang w:val="en-US" w:eastAsia="zh-CN"/>
              </w:rPr>
              <w:t>2022年、2023年、2024年经</w:t>
            </w:r>
            <w:r>
              <w:rPr>
                <w:rFonts w:hint="eastAsia" w:ascii="宋体" w:eastAsia="宋体" w:cs="宋体"/>
                <w:b/>
                <w:bCs w:val="0"/>
                <w:color w:val="auto"/>
                <w:sz w:val="21"/>
                <w:szCs w:val="21"/>
                <w:highlight w:val="none"/>
                <w:u w:val="none"/>
              </w:rPr>
              <w:t>会计师事务所审计的</w:t>
            </w:r>
            <w:r>
              <w:rPr>
                <w:rFonts w:hint="eastAsia" w:ascii="宋体" w:eastAsia="宋体" w:cs="宋体"/>
                <w:b/>
                <w:bCs w:val="0"/>
                <w:color w:val="auto"/>
                <w:sz w:val="21"/>
                <w:szCs w:val="21"/>
                <w:highlight w:val="none"/>
                <w:u w:val="none"/>
                <w:lang w:eastAsia="zh-CN"/>
              </w:rPr>
              <w:t>完整的</w:t>
            </w:r>
            <w:r>
              <w:rPr>
                <w:rFonts w:hint="eastAsia" w:ascii="宋体" w:eastAsia="宋体" w:cs="宋体"/>
                <w:b/>
                <w:bCs w:val="0"/>
                <w:color w:val="auto"/>
                <w:sz w:val="21"/>
                <w:szCs w:val="21"/>
                <w:highlight w:val="none"/>
                <w:u w:val="none"/>
              </w:rPr>
              <w:t>财务报</w:t>
            </w:r>
            <w:r>
              <w:rPr>
                <w:rFonts w:hint="eastAsia" w:ascii="宋体" w:eastAsia="宋体" w:cs="宋体"/>
                <w:b/>
                <w:bCs w:val="0"/>
                <w:color w:val="auto"/>
                <w:sz w:val="21"/>
                <w:szCs w:val="21"/>
                <w:highlight w:val="none"/>
                <w:u w:val="none"/>
                <w:lang w:val="en-US" w:eastAsia="zh-CN"/>
              </w:rPr>
              <w:t>告</w:t>
            </w:r>
            <w:r>
              <w:rPr>
                <w:rFonts w:hint="eastAsia" w:ascii="宋体" w:eastAsia="宋体" w:cs="宋体"/>
                <w:b/>
                <w:bCs w:val="0"/>
                <w:color w:val="auto"/>
                <w:sz w:val="21"/>
                <w:szCs w:val="21"/>
                <w:highlight w:val="none"/>
                <w:u w:val="none"/>
              </w:rPr>
              <w:t>复印件</w:t>
            </w:r>
            <w:r>
              <w:rPr>
                <w:rFonts w:hint="eastAsia" w:ascii="宋体" w:eastAsia="宋体" w:cs="宋体"/>
                <w:b/>
                <w:bCs w:val="0"/>
                <w:color w:val="auto"/>
                <w:sz w:val="21"/>
                <w:szCs w:val="21"/>
                <w:highlight w:val="none"/>
                <w:u w:val="none"/>
                <w:lang w:val="en-US" w:eastAsia="zh-CN"/>
              </w:rPr>
              <w:t>并</w:t>
            </w:r>
            <w:r>
              <w:rPr>
                <w:rFonts w:hint="eastAsia" w:ascii="宋体" w:eastAsia="宋体" w:cs="宋体"/>
                <w:b/>
                <w:bCs w:val="0"/>
                <w:color w:val="auto"/>
                <w:sz w:val="21"/>
                <w:szCs w:val="21"/>
                <w:highlight w:val="none"/>
                <w:u w:val="none"/>
              </w:rPr>
              <w:t>加盖</w:t>
            </w:r>
            <w:r>
              <w:rPr>
                <w:rFonts w:hint="eastAsia" w:ascii="宋体" w:eastAsia="宋体" w:cs="宋体"/>
                <w:b/>
                <w:bCs w:val="0"/>
                <w:color w:val="auto"/>
                <w:sz w:val="21"/>
                <w:szCs w:val="21"/>
                <w:highlight w:val="none"/>
                <w:u w:val="none"/>
                <w:lang w:val="en-US" w:eastAsia="zh-CN"/>
              </w:rPr>
              <w:t>供应商</w:t>
            </w:r>
            <w:r>
              <w:rPr>
                <w:rFonts w:hint="eastAsia" w:ascii="宋体" w:eastAsia="宋体" w:cs="宋体"/>
                <w:b/>
                <w:bCs w:val="0"/>
                <w:color w:val="auto"/>
                <w:sz w:val="21"/>
                <w:szCs w:val="21"/>
                <w:highlight w:val="none"/>
                <w:u w:val="none"/>
              </w:rPr>
              <w:t>公章</w:t>
            </w:r>
            <w:r>
              <w:rPr>
                <w:rFonts w:hint="eastAsia" w:ascii="宋体" w:eastAsia="宋体" w:cs="宋体"/>
                <w:b/>
                <w:bCs w:val="0"/>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w:t>
            </w:r>
            <w:r>
              <w:rPr>
                <w:rFonts w:hint="eastAsia" w:ascii="宋体" w:eastAsia="宋体" w:cs="宋体"/>
                <w:b/>
                <w:bCs w:val="0"/>
                <w:color w:val="auto"/>
                <w:sz w:val="21"/>
                <w:szCs w:val="21"/>
                <w:highlight w:val="none"/>
                <w:u w:val="none"/>
                <w:lang w:val="en-US" w:eastAsia="zh-CN"/>
              </w:rPr>
              <w:t>由牵头方提供即可得分）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8"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同类</w:t>
            </w:r>
            <w:r>
              <w:rPr>
                <w:rFonts w:hint="eastAsia" w:ascii="宋体" w:hAnsi="宋体" w:eastAsia="宋体" w:cs="宋体"/>
                <w:color w:val="auto"/>
                <w:kern w:val="2"/>
                <w:szCs w:val="21"/>
                <w:highlight w:val="none"/>
              </w:rPr>
              <w:t>业绩</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1</w:t>
            </w:r>
            <w:r>
              <w:rPr>
                <w:rFonts w:hint="eastAsia" w:ascii="宋体" w:hAnsi="宋体" w:cs="宋体"/>
                <w:b w:val="0"/>
                <w:bCs w:val="0"/>
                <w:color w:val="auto"/>
                <w:kern w:val="2"/>
                <w:szCs w:val="21"/>
                <w:highlight w:val="none"/>
                <w:lang w:val="en-US" w:eastAsia="zh-CN"/>
              </w:rPr>
              <w:t>2</w:t>
            </w:r>
            <w:r>
              <w:rPr>
                <w:rFonts w:hint="eastAsia" w:ascii="宋体" w:hAnsi="宋体" w:eastAsia="宋体" w:cs="宋体"/>
                <w:b w:val="0"/>
                <w:bCs w:val="0"/>
                <w:color w:val="auto"/>
                <w:kern w:val="2"/>
                <w:szCs w:val="21"/>
                <w:highlight w:val="none"/>
                <w:lang w:val="en-US" w:eastAsia="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rPr>
              <w:t>供应商自20</w:t>
            </w:r>
            <w:r>
              <w:rPr>
                <w:rFonts w:hint="eastAsia" w:ascii="宋体" w:hAnsi="宋体" w:eastAsia="宋体" w:cs="宋体"/>
                <w:b w:val="0"/>
                <w:bCs/>
                <w:color w:val="auto"/>
                <w:sz w:val="21"/>
                <w:szCs w:val="21"/>
                <w:highlight w:val="none"/>
                <w:u w:val="none"/>
                <w:lang w:val="en-US" w:eastAsia="zh-CN"/>
              </w:rPr>
              <w:t>2</w:t>
            </w:r>
            <w:r>
              <w:rPr>
                <w:rFonts w:hint="eastAsia" w:ascii="宋体" w:eastAsia="宋体" w:cs="宋体"/>
                <w:b w:val="0"/>
                <w:bCs/>
                <w:color w:val="auto"/>
                <w:sz w:val="21"/>
                <w:szCs w:val="21"/>
                <w:highlight w:val="none"/>
                <w:u w:val="none"/>
                <w:lang w:val="en-US" w:eastAsia="zh-CN"/>
              </w:rPr>
              <w:t>2</w:t>
            </w:r>
            <w:r>
              <w:rPr>
                <w:rFonts w:hint="eastAsia" w:ascii="宋体" w:hAnsi="宋体" w:eastAsia="宋体" w:cs="宋体"/>
                <w:b w:val="0"/>
                <w:bCs/>
                <w:color w:val="auto"/>
                <w:sz w:val="21"/>
                <w:szCs w:val="21"/>
                <w:highlight w:val="none"/>
                <w:u w:val="none"/>
              </w:rPr>
              <w:t>年</w:t>
            </w:r>
            <w:r>
              <w:rPr>
                <w:rFonts w:hint="eastAsia" w:ascii="宋体" w:hAnsi="宋体" w:eastAsia="宋体" w:cs="宋体"/>
                <w:b w:val="0"/>
                <w:bCs/>
                <w:color w:val="auto"/>
                <w:sz w:val="21"/>
                <w:szCs w:val="21"/>
                <w:highlight w:val="none"/>
                <w:u w:val="none"/>
                <w:lang w:val="en-US" w:eastAsia="zh-CN"/>
              </w:rPr>
              <w:t>1</w:t>
            </w:r>
            <w:r>
              <w:rPr>
                <w:rFonts w:hint="eastAsia" w:ascii="宋体" w:hAnsi="宋体" w:eastAsia="宋体" w:cs="宋体"/>
                <w:b w:val="0"/>
                <w:bCs/>
                <w:color w:val="auto"/>
                <w:sz w:val="21"/>
                <w:szCs w:val="21"/>
                <w:highlight w:val="none"/>
                <w:u w:val="none"/>
              </w:rPr>
              <w:t>月1日至</w:t>
            </w:r>
            <w:r>
              <w:rPr>
                <w:rFonts w:hint="eastAsia" w:ascii="宋体" w:hAnsi="宋体" w:cs="宋体"/>
                <w:b w:val="0"/>
                <w:bCs/>
                <w:color w:val="auto"/>
                <w:sz w:val="21"/>
                <w:szCs w:val="21"/>
                <w:highlight w:val="none"/>
                <w:u w:val="none"/>
                <w:lang w:val="en-US" w:eastAsia="zh-CN"/>
              </w:rPr>
              <w:t>响应</w:t>
            </w:r>
            <w:r>
              <w:rPr>
                <w:rFonts w:hint="eastAsia" w:ascii="宋体" w:hAnsi="宋体" w:eastAsia="宋体" w:cs="宋体"/>
                <w:b w:val="0"/>
                <w:bCs/>
                <w:color w:val="auto"/>
                <w:sz w:val="21"/>
                <w:szCs w:val="21"/>
                <w:highlight w:val="none"/>
                <w:u w:val="none"/>
              </w:rPr>
              <w:t>截止</w:t>
            </w:r>
            <w:r>
              <w:rPr>
                <w:rFonts w:hint="eastAsia" w:ascii="宋体" w:hAnsi="宋体" w:eastAsia="宋体" w:cs="宋体"/>
                <w:bCs/>
                <w:color w:val="auto"/>
                <w:sz w:val="21"/>
                <w:szCs w:val="21"/>
                <w:highlight w:val="none"/>
                <w:u w:val="none"/>
                <w:lang w:val="zh-CN" w:eastAsia="zh-CN"/>
              </w:rPr>
              <w:t>日前</w:t>
            </w:r>
            <w:r>
              <w:rPr>
                <w:rFonts w:hint="eastAsia" w:ascii="宋体" w:hAnsi="宋体" w:eastAsia="宋体" w:cs="宋体"/>
                <w:b w:val="0"/>
                <w:bCs/>
                <w:color w:val="auto"/>
                <w:sz w:val="21"/>
                <w:szCs w:val="21"/>
                <w:highlight w:val="none"/>
                <w:u w:val="none"/>
              </w:rPr>
              <w:t>（以签订合同时间为准）</w:t>
            </w:r>
            <w:r>
              <w:rPr>
                <w:rFonts w:hint="eastAsia" w:ascii="宋体" w:hAnsi="宋体" w:cs="宋体"/>
                <w:b w:val="0"/>
                <w:bCs/>
                <w:color w:val="auto"/>
                <w:sz w:val="21"/>
                <w:szCs w:val="21"/>
                <w:highlight w:val="none"/>
                <w:u w:val="none"/>
                <w:lang w:val="en-US" w:eastAsia="zh-CN"/>
              </w:rPr>
              <w:t>的同类业绩：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rPr>
              <w:t>①</w:t>
            </w:r>
            <w:r>
              <w:rPr>
                <w:rFonts w:hint="eastAsia" w:ascii="宋体" w:hAnsi="宋体" w:cs="宋体"/>
                <w:bCs/>
                <w:color w:val="auto"/>
                <w:sz w:val="21"/>
                <w:szCs w:val="21"/>
                <w:highlight w:val="none"/>
                <w:u w:val="none"/>
                <w:lang w:val="en-US" w:eastAsia="zh-CN"/>
              </w:rPr>
              <w:t>提供</w:t>
            </w:r>
            <w:r>
              <w:rPr>
                <w:rFonts w:hint="eastAsia" w:ascii="宋体" w:hAnsi="宋体" w:eastAsia="宋体" w:cs="宋体"/>
                <w:bCs/>
                <w:color w:val="auto"/>
                <w:sz w:val="21"/>
                <w:szCs w:val="21"/>
                <w:highlight w:val="none"/>
                <w:u w:val="none"/>
              </w:rPr>
              <w:t>投资合规分析评估</w:t>
            </w:r>
            <w:r>
              <w:rPr>
                <w:rFonts w:hint="eastAsia" w:ascii="宋体" w:hAnsi="宋体" w:cs="宋体"/>
                <w:bCs/>
                <w:color w:val="auto"/>
                <w:sz w:val="21"/>
                <w:szCs w:val="21"/>
                <w:highlight w:val="none"/>
                <w:u w:val="none"/>
                <w:lang w:val="en-US" w:eastAsia="zh-CN"/>
              </w:rPr>
              <w:t>类项目业绩，每个得2分，最高得4分；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②</w:t>
            </w:r>
            <w:r>
              <w:rPr>
                <w:rFonts w:hint="eastAsia" w:ascii="宋体" w:hAnsi="宋体" w:cs="宋体"/>
                <w:bCs/>
                <w:color w:val="auto"/>
                <w:sz w:val="21"/>
                <w:szCs w:val="21"/>
                <w:highlight w:val="none"/>
                <w:u w:val="none"/>
                <w:lang w:val="en-US" w:eastAsia="zh-CN"/>
              </w:rPr>
              <w:t>提供</w:t>
            </w:r>
            <w:r>
              <w:rPr>
                <w:rFonts w:hint="eastAsia" w:ascii="宋体" w:hAnsi="宋体" w:eastAsia="宋体" w:cs="宋体"/>
                <w:bCs/>
                <w:color w:val="auto"/>
                <w:sz w:val="21"/>
                <w:szCs w:val="21"/>
                <w:highlight w:val="none"/>
                <w:u w:val="none"/>
              </w:rPr>
              <w:t>国有企业常规财务报表审计或专项审计</w:t>
            </w:r>
            <w:r>
              <w:rPr>
                <w:rFonts w:hint="eastAsia" w:ascii="宋体" w:hAnsi="宋体" w:cs="宋体"/>
                <w:bCs/>
                <w:color w:val="auto"/>
                <w:sz w:val="21"/>
                <w:szCs w:val="21"/>
                <w:highlight w:val="none"/>
                <w:u w:val="none"/>
                <w:lang w:val="en-US" w:eastAsia="zh-CN"/>
              </w:rPr>
              <w:t>类项目业绩</w:t>
            </w:r>
            <w:r>
              <w:rPr>
                <w:rFonts w:hint="eastAsia" w:ascii="宋体" w:hAnsi="宋体" w:cs="宋体"/>
                <w:bCs/>
                <w:color w:val="auto"/>
                <w:sz w:val="21"/>
                <w:szCs w:val="21"/>
                <w:highlight w:val="none"/>
                <w:u w:val="none"/>
                <w:lang w:eastAsia="zh-CN"/>
              </w:rPr>
              <w:t>，</w:t>
            </w:r>
            <w:r>
              <w:rPr>
                <w:rFonts w:hint="eastAsia" w:ascii="宋体" w:hAnsi="宋体" w:cs="宋体"/>
                <w:bCs/>
                <w:color w:val="auto"/>
                <w:sz w:val="21"/>
                <w:szCs w:val="21"/>
                <w:highlight w:val="none"/>
                <w:u w:val="none"/>
                <w:lang w:val="en-US" w:eastAsia="zh-CN"/>
              </w:rPr>
              <w:t>每个得2分，最高得4分；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Cs/>
                <w:color w:val="auto"/>
                <w:sz w:val="21"/>
                <w:szCs w:val="21"/>
                <w:highlight w:val="none"/>
                <w:u w:val="none"/>
              </w:rPr>
              <w:t>③</w:t>
            </w:r>
            <w:r>
              <w:rPr>
                <w:rFonts w:hint="eastAsia" w:ascii="宋体" w:hAnsi="宋体" w:cs="宋体"/>
                <w:bCs/>
                <w:color w:val="auto"/>
                <w:sz w:val="21"/>
                <w:szCs w:val="21"/>
                <w:highlight w:val="none"/>
                <w:u w:val="none"/>
                <w:lang w:val="en-US" w:eastAsia="zh-CN"/>
              </w:rPr>
              <w:t>提供</w:t>
            </w:r>
            <w:r>
              <w:rPr>
                <w:rFonts w:hint="eastAsia" w:ascii="宋体" w:hAnsi="宋体" w:eastAsia="宋体" w:cs="宋体"/>
                <w:bCs/>
                <w:color w:val="auto"/>
                <w:sz w:val="21"/>
                <w:szCs w:val="21"/>
                <w:highlight w:val="none"/>
                <w:u w:val="none"/>
              </w:rPr>
              <w:t>国有资产评估</w:t>
            </w:r>
            <w:r>
              <w:rPr>
                <w:rFonts w:hint="eastAsia" w:ascii="宋体" w:hAnsi="宋体" w:cs="宋体"/>
                <w:bCs/>
                <w:color w:val="auto"/>
                <w:sz w:val="21"/>
                <w:szCs w:val="21"/>
                <w:highlight w:val="none"/>
                <w:u w:val="none"/>
                <w:lang w:val="en-US" w:eastAsia="zh-CN"/>
              </w:rPr>
              <w:t>类</w:t>
            </w:r>
            <w:r>
              <w:rPr>
                <w:rFonts w:hint="eastAsia" w:ascii="宋体" w:hAnsi="宋体" w:eastAsia="宋体" w:cs="宋体"/>
                <w:bCs/>
                <w:color w:val="auto"/>
                <w:sz w:val="21"/>
                <w:szCs w:val="21"/>
                <w:highlight w:val="none"/>
                <w:u w:val="none"/>
              </w:rPr>
              <w:t>项目</w:t>
            </w:r>
            <w:r>
              <w:rPr>
                <w:rFonts w:hint="eastAsia" w:ascii="宋体" w:hAnsi="宋体" w:cs="宋体"/>
                <w:bCs/>
                <w:color w:val="auto"/>
                <w:sz w:val="21"/>
                <w:szCs w:val="21"/>
                <w:highlight w:val="none"/>
                <w:u w:val="none"/>
                <w:lang w:val="en-US" w:eastAsia="zh-CN"/>
              </w:rPr>
              <w:t>业绩</w:t>
            </w:r>
            <w:r>
              <w:rPr>
                <w:rFonts w:hint="eastAsia" w:ascii="宋体" w:hAnsi="宋体" w:eastAsia="宋体" w:cs="宋体"/>
                <w:b w:val="0"/>
                <w:bCs/>
                <w:color w:val="auto"/>
                <w:sz w:val="21"/>
                <w:szCs w:val="21"/>
                <w:highlight w:val="none"/>
                <w:u w:val="none"/>
              </w:rPr>
              <w:t>，每个得</w:t>
            </w:r>
            <w:r>
              <w:rPr>
                <w:rFonts w:hint="eastAsia" w:ascii="宋体" w:eastAsia="宋体" w:cs="宋体"/>
                <w:b w:val="0"/>
                <w:bCs/>
                <w:color w:val="auto"/>
                <w:sz w:val="21"/>
                <w:szCs w:val="21"/>
                <w:highlight w:val="none"/>
                <w:u w:val="none"/>
                <w:lang w:val="en-US" w:eastAsia="zh-CN"/>
              </w:rPr>
              <w:t>2</w:t>
            </w:r>
            <w:r>
              <w:rPr>
                <w:rFonts w:hint="eastAsia" w:ascii="宋体" w:hAnsi="宋体" w:eastAsia="宋体" w:cs="宋体"/>
                <w:b w:val="0"/>
                <w:bCs/>
                <w:color w:val="auto"/>
                <w:sz w:val="21"/>
                <w:szCs w:val="21"/>
                <w:highlight w:val="none"/>
                <w:u w:val="none"/>
              </w:rPr>
              <w:t>分，最高得</w:t>
            </w:r>
            <w:r>
              <w:rPr>
                <w:rFonts w:hint="eastAsia" w:ascii="宋体" w:cs="宋体"/>
                <w:b w:val="0"/>
                <w:bCs/>
                <w:color w:val="auto"/>
                <w:sz w:val="21"/>
                <w:szCs w:val="21"/>
                <w:highlight w:val="none"/>
                <w:u w:val="none"/>
                <w:lang w:val="en-US" w:eastAsia="zh-CN"/>
              </w:rPr>
              <w:t>4</w:t>
            </w:r>
            <w:r>
              <w:rPr>
                <w:rFonts w:hint="eastAsia" w:ascii="宋体" w:hAnsi="宋体" w:eastAsia="宋体" w:cs="宋体"/>
                <w:b w:val="0"/>
                <w:bCs/>
                <w:color w:val="auto"/>
                <w:sz w:val="21"/>
                <w:szCs w:val="21"/>
                <w:highlight w:val="none"/>
                <w:u w:val="none"/>
              </w:rPr>
              <w:t>分。</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eastAsia="宋体" w:cs="宋体"/>
                <w:b/>
                <w:color w:val="auto"/>
                <w:sz w:val="21"/>
                <w:szCs w:val="21"/>
                <w:highlight w:val="none"/>
                <w:u w:val="none"/>
                <w:lang w:val="zh-CN"/>
              </w:rPr>
            </w:pPr>
            <w:r>
              <w:rPr>
                <w:rFonts w:hint="eastAsia" w:ascii="宋体" w:hAnsi="宋体" w:eastAsia="宋体" w:cs="宋体"/>
                <w:b/>
                <w:bCs w:val="0"/>
                <w:color w:val="auto"/>
                <w:sz w:val="21"/>
                <w:szCs w:val="21"/>
                <w:highlight w:val="none"/>
                <w:u w:val="none"/>
              </w:rPr>
              <w:t>注：须同时提供以下证明材料加盖供应商公章：1)合同主要页复印件；2）与</w:t>
            </w:r>
            <w:r>
              <w:rPr>
                <w:rFonts w:hint="eastAsia" w:ascii="宋体" w:hAnsi="宋体" w:eastAsia="宋体" w:cs="宋体"/>
                <w:b/>
                <w:bCs w:val="0"/>
                <w:color w:val="auto"/>
                <w:sz w:val="21"/>
                <w:szCs w:val="21"/>
                <w:highlight w:val="none"/>
                <w:u w:val="none"/>
                <w:lang w:val="zh-CN"/>
              </w:rPr>
              <w:t>项目</w:t>
            </w:r>
            <w:r>
              <w:rPr>
                <w:rFonts w:hint="eastAsia" w:ascii="宋体" w:hAnsi="宋体" w:eastAsia="宋体" w:cs="宋体"/>
                <w:b/>
                <w:bCs w:val="0"/>
                <w:color w:val="auto"/>
                <w:sz w:val="21"/>
                <w:szCs w:val="21"/>
                <w:highlight w:val="none"/>
                <w:u w:val="none"/>
              </w:rPr>
              <w:t>相关的任意一期发票材料（张数不限）</w:t>
            </w:r>
            <w:r>
              <w:rPr>
                <w:rFonts w:hint="eastAsia" w:ascii="宋体" w:eastAsia="宋体" w:cs="宋体"/>
                <w:b/>
                <w:bCs w:val="0"/>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，联合体任意一方提供即可得分</w:t>
            </w:r>
            <w:r>
              <w:rPr>
                <w:rFonts w:hint="eastAsia" w:ascii="宋体" w:eastAsia="宋体" w:cs="宋体"/>
                <w:b/>
                <w:bCs w:val="0"/>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拟投入本</w:t>
            </w:r>
            <w:r>
              <w:rPr>
                <w:rFonts w:hint="eastAsia" w:ascii="宋体" w:hAnsi="宋体" w:eastAsia="宋体" w:cs="宋体"/>
                <w:color w:val="auto"/>
                <w:kern w:val="2"/>
                <w:szCs w:val="21"/>
                <w:highlight w:val="none"/>
                <w:lang w:val="en-US" w:eastAsia="zh-CN"/>
              </w:rPr>
              <w:t>项目团队</w:t>
            </w:r>
            <w:r>
              <w:rPr>
                <w:rFonts w:hint="eastAsia" w:ascii="宋体" w:hAnsi="宋体" w:eastAsia="宋体" w:cs="宋体"/>
                <w:color w:val="auto"/>
                <w:kern w:val="2"/>
                <w:szCs w:val="21"/>
                <w:highlight w:val="none"/>
              </w:rPr>
              <w:t>情况</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zh-CN"/>
              </w:rPr>
            </w:pPr>
            <w:r>
              <w:rPr>
                <w:rFonts w:hint="eastAsia" w:ascii="宋体" w:hAnsi="宋体" w:cs="宋体"/>
                <w:b w:val="0"/>
                <w:bCs w:val="0"/>
                <w:color w:val="auto"/>
                <w:kern w:val="2"/>
                <w:szCs w:val="21"/>
                <w:highlight w:val="none"/>
                <w:lang w:val="en-US" w:eastAsia="zh-CN"/>
              </w:rPr>
              <w:t>8</w:t>
            </w:r>
            <w:r>
              <w:rPr>
                <w:rFonts w:hint="eastAsia" w:ascii="宋体" w:hAnsi="宋体" w:eastAsia="宋体" w:cs="宋体"/>
                <w:b w:val="0"/>
                <w:bCs w:val="0"/>
                <w:color w:val="auto"/>
                <w:kern w:val="2"/>
                <w:szCs w:val="21"/>
                <w:highlight w:val="none"/>
                <w:lang w:val="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供应商配备</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1"/>
                <w:szCs w:val="21"/>
                <w:highlight w:val="none"/>
                <w:u w:val="none"/>
                <w:lang w:val="en-US" w:eastAsia="zh-CN"/>
              </w:rPr>
              <w:t>团队</w:t>
            </w:r>
            <w:r>
              <w:rPr>
                <w:rFonts w:hint="eastAsia" w:ascii="宋体" w:hAnsi="宋体" w:eastAsia="宋体" w:cs="宋体"/>
                <w:color w:val="auto"/>
                <w:sz w:val="22"/>
                <w:szCs w:val="22"/>
                <w:highlight w:val="none"/>
                <w:lang w:val="en-US" w:eastAsia="zh-CN"/>
              </w:rPr>
              <w:t>人员</w:t>
            </w:r>
            <w:r>
              <w:rPr>
                <w:rFonts w:hint="eastAsia" w:ascii="宋体" w:hAnsi="宋体" w:cs="宋体"/>
                <w:color w:val="auto"/>
                <w:sz w:val="22"/>
                <w:szCs w:val="22"/>
                <w:highlight w:val="none"/>
                <w:lang w:val="en-US" w:eastAsia="zh-CN"/>
              </w:rPr>
              <w:t>在满足用户需求书服务团队要求的基础上【</w:t>
            </w:r>
            <w:r>
              <w:rPr>
                <w:rFonts w:hint="eastAsia" w:ascii="宋体" w:hAnsi="宋体" w:eastAsia="宋体" w:cs="宋体"/>
                <w:color w:val="auto"/>
                <w:sz w:val="21"/>
                <w:szCs w:val="21"/>
                <w:highlight w:val="none"/>
                <w:lang w:val="en-US" w:eastAsia="zh-CN"/>
              </w:rPr>
              <w:t>服务团队不少于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w:t>
            </w:r>
            <w:r>
              <w:rPr>
                <w:rFonts w:hint="eastAsia" w:ascii="宋体" w:hAnsi="宋体" w:cs="宋体"/>
                <w:color w:val="auto"/>
                <w:sz w:val="21"/>
                <w:szCs w:val="21"/>
                <w:highlight w:val="none"/>
                <w:lang w:val="en-US" w:eastAsia="zh-CN"/>
              </w:rPr>
              <w:t>；</w:t>
            </w:r>
            <w:r>
              <w:rPr>
                <w:rFonts w:hint="eastAsia" w:ascii="宋体" w:hAnsi="宋体" w:cs="宋体"/>
                <w:color w:val="auto"/>
                <w:sz w:val="22"/>
                <w:szCs w:val="22"/>
                <w:highlight w:val="none"/>
                <w:lang w:val="en-US" w:eastAsia="zh-CN"/>
              </w:rPr>
              <w:t>项目负责人具有注册会计师证书或资产评估师证书，执业经验10年以上（以取得证书之日起算）；其他组员要求2人具有注册会计师证书、2人具有资产评估师证书】：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bCs/>
                <w:color w:val="auto"/>
                <w:sz w:val="21"/>
                <w:szCs w:val="21"/>
                <w:highlight w:val="none"/>
                <w:u w:val="none"/>
              </w:rPr>
              <w:t>①</w:t>
            </w:r>
            <w:r>
              <w:rPr>
                <w:rFonts w:hint="eastAsia" w:ascii="宋体" w:hAnsi="宋体" w:eastAsia="宋体" w:cs="宋体"/>
                <w:color w:val="auto"/>
                <w:sz w:val="22"/>
                <w:szCs w:val="22"/>
                <w:highlight w:val="none"/>
                <w:lang w:val="en-US" w:eastAsia="zh-CN"/>
              </w:rPr>
              <w:t>每增加1</w:t>
            </w:r>
            <w:r>
              <w:rPr>
                <w:rFonts w:hint="eastAsia" w:ascii="宋体" w:hAnsi="宋体" w:cs="宋体"/>
                <w:color w:val="auto"/>
                <w:sz w:val="22"/>
                <w:szCs w:val="22"/>
                <w:highlight w:val="none"/>
                <w:lang w:val="en-US" w:eastAsia="zh-CN"/>
              </w:rPr>
              <w:t>名注册会计师人员得2分，最高得4分；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bCs/>
                <w:color w:val="auto"/>
                <w:sz w:val="21"/>
                <w:szCs w:val="21"/>
                <w:highlight w:val="none"/>
                <w:u w:val="none"/>
              </w:rPr>
              <w:t>②</w:t>
            </w:r>
            <w:r>
              <w:rPr>
                <w:rFonts w:hint="eastAsia" w:ascii="宋体" w:hAnsi="宋体" w:eastAsia="宋体" w:cs="宋体"/>
                <w:color w:val="auto"/>
                <w:sz w:val="22"/>
                <w:szCs w:val="22"/>
                <w:highlight w:val="none"/>
                <w:lang w:val="en-US" w:eastAsia="zh-CN"/>
              </w:rPr>
              <w:t>每增加1</w:t>
            </w:r>
            <w:r>
              <w:rPr>
                <w:rFonts w:hint="eastAsia" w:ascii="宋体" w:hAnsi="宋体" w:cs="宋体"/>
                <w:color w:val="auto"/>
                <w:sz w:val="22"/>
                <w:szCs w:val="22"/>
                <w:highlight w:val="none"/>
                <w:lang w:val="en-US" w:eastAsia="zh-CN"/>
              </w:rPr>
              <w:t>名资产评估师人员得2分，最高得4分；</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 w:val="21"/>
                <w:szCs w:val="21"/>
                <w:highlight w:val="none"/>
                <w:u w:val="single"/>
                <w:lang w:eastAsia="zh-CN"/>
              </w:rPr>
            </w:pPr>
            <w:r>
              <w:rPr>
                <w:rFonts w:hint="eastAsia" w:ascii="宋体" w:hAnsi="宋体" w:eastAsia="宋体" w:cs="宋体"/>
                <w:b/>
                <w:bCs w:val="0"/>
                <w:color w:val="auto"/>
                <w:sz w:val="21"/>
                <w:szCs w:val="21"/>
                <w:highlight w:val="none"/>
                <w:u w:val="none"/>
              </w:rPr>
              <w:t>注：以上人员不得重复得分；须提供有效的相关证书复印件加盖</w:t>
            </w:r>
            <w:r>
              <w:rPr>
                <w:rFonts w:hint="eastAsia" w:ascii="宋体" w:eastAsia="宋体" w:cs="宋体"/>
                <w:b/>
                <w:bCs w:val="0"/>
                <w:color w:val="auto"/>
                <w:sz w:val="21"/>
                <w:szCs w:val="21"/>
                <w:highlight w:val="none"/>
                <w:u w:val="none"/>
                <w:lang w:val="en-US" w:eastAsia="zh-CN"/>
              </w:rPr>
              <w:t>供应商</w:t>
            </w:r>
            <w:r>
              <w:rPr>
                <w:rFonts w:hint="eastAsia" w:ascii="宋体" w:hAnsi="宋体" w:eastAsia="宋体" w:cs="宋体"/>
                <w:b/>
                <w:bCs w:val="0"/>
                <w:color w:val="auto"/>
                <w:sz w:val="21"/>
                <w:szCs w:val="21"/>
                <w:highlight w:val="none"/>
                <w:u w:val="none"/>
              </w:rPr>
              <w:t>公章</w:t>
            </w:r>
            <w:r>
              <w:rPr>
                <w:rFonts w:hint="eastAsia" w:ascii="宋体" w:hAnsi="宋体" w:eastAsia="宋体" w:cs="宋体"/>
                <w:b/>
                <w:bCs w:val="0"/>
                <w:color w:val="auto"/>
                <w:sz w:val="21"/>
                <w:szCs w:val="21"/>
                <w:highlight w:val="none"/>
                <w:u w:val="none"/>
                <w:lang w:eastAsia="zh-CN"/>
              </w:rPr>
              <w:t>，</w:t>
            </w:r>
            <w:r>
              <w:rPr>
                <w:rFonts w:hint="eastAsia" w:ascii="宋体" w:hAnsi="宋体" w:eastAsia="宋体" w:cs="宋体"/>
                <w:b/>
                <w:bCs w:val="0"/>
                <w:color w:val="auto"/>
                <w:sz w:val="21"/>
                <w:szCs w:val="21"/>
                <w:highlight w:val="none"/>
                <w:u w:val="none"/>
              </w:rPr>
              <w:t xml:space="preserve"> 并提供社保部门出具的</w:t>
            </w:r>
            <w:r>
              <w:rPr>
                <w:rFonts w:hint="eastAsia" w:ascii="宋体" w:hAnsi="宋体" w:eastAsia="宋体" w:cs="宋体"/>
                <w:b/>
                <w:bCs w:val="0"/>
                <w:color w:val="auto"/>
                <w:sz w:val="21"/>
                <w:szCs w:val="21"/>
                <w:highlight w:val="none"/>
                <w:u w:val="none"/>
                <w:lang w:val="en-US" w:eastAsia="zh-CN"/>
              </w:rPr>
              <w:t>供应商</w:t>
            </w:r>
            <w:r>
              <w:rPr>
                <w:rFonts w:hint="eastAsia" w:ascii="宋体" w:hAnsi="宋体" w:eastAsia="宋体" w:cs="宋体"/>
                <w:b/>
                <w:bCs w:val="0"/>
                <w:color w:val="auto"/>
                <w:sz w:val="21"/>
                <w:szCs w:val="21"/>
                <w:highlight w:val="none"/>
                <w:u w:val="none"/>
              </w:rPr>
              <w:t>为其购买的近六个月年内任意一个月的社会保险证明材料加盖</w:t>
            </w:r>
            <w:r>
              <w:rPr>
                <w:rFonts w:hint="eastAsia" w:ascii="宋体" w:hAnsi="宋体" w:eastAsia="宋体" w:cs="宋体"/>
                <w:b/>
                <w:bCs w:val="0"/>
                <w:color w:val="auto"/>
                <w:sz w:val="21"/>
                <w:szCs w:val="21"/>
                <w:highlight w:val="none"/>
                <w:u w:val="none"/>
                <w:lang w:val="en-US" w:eastAsia="zh-CN"/>
              </w:rPr>
              <w:t>供应商</w:t>
            </w:r>
            <w:r>
              <w:rPr>
                <w:rFonts w:hint="eastAsia" w:ascii="宋体" w:hAnsi="宋体" w:eastAsia="宋体" w:cs="宋体"/>
                <w:b/>
                <w:bCs w:val="0"/>
                <w:color w:val="auto"/>
                <w:sz w:val="21"/>
                <w:szCs w:val="21"/>
                <w:highlight w:val="none"/>
                <w:u w:val="none"/>
              </w:rPr>
              <w:t>公章，否则不得分</w:t>
            </w:r>
            <w:r>
              <w:rPr>
                <w:rFonts w:hint="eastAsia" w:ascii="宋体" w:eastAsia="宋体" w:cs="宋体"/>
                <w:b/>
                <w:bCs w:val="0"/>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，联合体任意一方提供即可得分</w:t>
            </w:r>
            <w:r>
              <w:rPr>
                <w:rFonts w:hint="eastAsia" w:ascii="宋体" w:eastAsia="宋体" w:cs="宋体"/>
                <w:b/>
                <w:bCs w:val="0"/>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对本项目的理解</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根据各</w:t>
            </w:r>
            <w:r>
              <w:rPr>
                <w:rFonts w:hint="eastAsia" w:ascii="宋体" w:hAnsi="宋体" w:cs="宋体"/>
                <w:color w:val="auto"/>
                <w:szCs w:val="21"/>
                <w:highlight w:val="none"/>
                <w:u w:val="none"/>
                <w:lang w:eastAsia="zh-CN"/>
              </w:rPr>
              <w:t>供应商</w:t>
            </w:r>
            <w:r>
              <w:rPr>
                <w:rFonts w:hint="eastAsia" w:ascii="宋体" w:hAnsi="宋体" w:cs="宋体"/>
                <w:color w:val="auto"/>
                <w:szCs w:val="21"/>
                <w:highlight w:val="none"/>
                <w:u w:val="none"/>
                <w:lang w:val="en-US" w:eastAsia="zh-CN"/>
              </w:rPr>
              <w:t>针</w:t>
            </w:r>
            <w:r>
              <w:rPr>
                <w:color w:val="auto"/>
                <w:highlight w:val="none"/>
              </w:rPr>
              <w:t>对本项目要求的熟悉和理解程度</w:t>
            </w:r>
            <w:r>
              <w:rPr>
                <w:rFonts w:hint="eastAsia"/>
                <w:color w:val="auto"/>
                <w:highlight w:val="none"/>
                <w:lang w:eastAsia="zh-CN"/>
              </w:rPr>
              <w:t>、</w:t>
            </w:r>
            <w:r>
              <w:rPr>
                <w:color w:val="auto"/>
                <w:highlight w:val="none"/>
              </w:rPr>
              <w:t>对重点和难点问题提出针对性和建设性解决方案</w:t>
            </w:r>
            <w:r>
              <w:rPr>
                <w:rFonts w:hint="eastAsia" w:ascii="宋体" w:hAnsi="宋体" w:eastAsia="宋体" w:cs="宋体"/>
                <w:color w:val="auto"/>
                <w:szCs w:val="21"/>
                <w:highlight w:val="none"/>
                <w:u w:val="none"/>
              </w:rPr>
              <w:t>进行</w:t>
            </w:r>
            <w:r>
              <w:rPr>
                <w:rFonts w:hint="eastAsia" w:ascii="宋体" w:hAnsi="宋体" w:eastAsia="宋体" w:cs="宋体"/>
                <w:color w:val="auto"/>
                <w:szCs w:val="21"/>
                <w:highlight w:val="none"/>
                <w:u w:val="none"/>
                <w:lang w:eastAsia="zh-CN"/>
              </w:rPr>
              <w:t>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rFonts w:hint="eastAsia" w:ascii="宋体" w:hAnsi="宋体" w:eastAsia="宋体" w:cs="宋体"/>
                <w:color w:val="auto"/>
                <w:szCs w:val="21"/>
                <w:highlight w:val="none"/>
                <w:u w:val="none"/>
              </w:rPr>
              <w:t>对本项目理解透彻，工作要点理解清晰准确，</w:t>
            </w:r>
            <w:r>
              <w:rPr>
                <w:color w:val="auto"/>
                <w:highlight w:val="none"/>
              </w:rPr>
              <w:t>解决方案</w:t>
            </w:r>
            <w:r>
              <w:rPr>
                <w:rFonts w:hint="eastAsia" w:ascii="宋体" w:hAnsi="宋体" w:eastAsia="宋体" w:cs="宋体"/>
                <w:color w:val="auto"/>
                <w:szCs w:val="21"/>
                <w:highlight w:val="none"/>
                <w:u w:val="none"/>
              </w:rPr>
              <w:t>具有系统性及可操作性得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rFonts w:hint="eastAsia" w:ascii="宋体" w:hAnsi="宋体" w:eastAsia="宋体" w:cs="宋体"/>
                <w:color w:val="auto"/>
                <w:szCs w:val="21"/>
                <w:highlight w:val="none"/>
                <w:u w:val="none"/>
              </w:rPr>
              <w:t>对本项目理解较为透彻，工作要求理解较为清晰准确，</w:t>
            </w:r>
            <w:r>
              <w:rPr>
                <w:color w:val="auto"/>
                <w:highlight w:val="none"/>
              </w:rPr>
              <w:t>解决方案</w:t>
            </w:r>
            <w:r>
              <w:rPr>
                <w:rFonts w:hint="eastAsia" w:ascii="宋体" w:hAnsi="宋体" w:eastAsia="宋体" w:cs="宋体"/>
                <w:color w:val="auto"/>
                <w:szCs w:val="21"/>
                <w:highlight w:val="none"/>
                <w:u w:val="none"/>
              </w:rPr>
              <w:t>可操作性行较强得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③</w:t>
            </w:r>
            <w:r>
              <w:rPr>
                <w:rFonts w:hint="eastAsia" w:ascii="宋体" w:hAnsi="宋体" w:eastAsia="宋体" w:cs="宋体"/>
                <w:color w:val="auto"/>
                <w:szCs w:val="21"/>
                <w:highlight w:val="none"/>
                <w:u w:val="none"/>
                <w:lang w:val="en-US" w:eastAsia="zh-CN"/>
              </w:rPr>
              <w:t>对本项目理解一般</w:t>
            </w:r>
            <w:r>
              <w:rPr>
                <w:rFonts w:hint="eastAsia" w:ascii="宋体" w:hAnsi="宋体" w:eastAsia="宋体" w:cs="宋体"/>
                <w:color w:val="auto"/>
                <w:szCs w:val="21"/>
                <w:highlight w:val="none"/>
                <w:u w:val="none"/>
              </w:rPr>
              <w:t>，工作要求理解</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清晰准确，</w:t>
            </w:r>
            <w:r>
              <w:rPr>
                <w:color w:val="auto"/>
                <w:highlight w:val="none"/>
              </w:rPr>
              <w:t>解决方案</w:t>
            </w:r>
            <w:r>
              <w:rPr>
                <w:rFonts w:hint="eastAsia" w:ascii="宋体" w:hAnsi="宋体" w:eastAsia="宋体" w:cs="宋体"/>
                <w:color w:val="auto"/>
                <w:szCs w:val="21"/>
                <w:highlight w:val="none"/>
                <w:u w:val="none"/>
              </w:rPr>
              <w:t>可操作性行</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rFonts w:hint="eastAsia" w:ascii="宋体" w:hAnsi="宋体" w:eastAsia="宋体" w:cs="宋体"/>
                <w:color w:val="auto"/>
                <w:szCs w:val="21"/>
                <w:highlight w:val="none"/>
                <w:u w:val="none"/>
              </w:rPr>
              <w:t>对本项目理解不够透彻，工作要求理解不够清晰准确，</w:t>
            </w:r>
            <w:r>
              <w:rPr>
                <w:color w:val="auto"/>
                <w:highlight w:val="none"/>
              </w:rPr>
              <w:t>解决方案</w:t>
            </w:r>
            <w:r>
              <w:rPr>
                <w:rFonts w:hint="eastAsia" w:ascii="宋体" w:hAnsi="宋体" w:eastAsia="宋体" w:cs="宋体"/>
                <w:color w:val="auto"/>
                <w:szCs w:val="21"/>
                <w:highlight w:val="none"/>
                <w:u w:val="none"/>
              </w:rPr>
              <w:t>操作性不强得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2</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color w:val="auto"/>
                <w:highlight w:val="none"/>
              </w:rPr>
              <w:t>整体</w:t>
            </w:r>
            <w:r>
              <w:rPr>
                <w:rFonts w:hint="eastAsia" w:ascii="宋体" w:hAnsi="宋体" w:eastAsia="宋体" w:cs="宋体"/>
                <w:color w:val="auto"/>
                <w:kern w:val="2"/>
                <w:szCs w:val="21"/>
                <w:highlight w:val="none"/>
              </w:rPr>
              <w:t>服务方案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color w:val="auto"/>
                <w:highlight w:val="none"/>
              </w:rPr>
              <w:t>根据</w:t>
            </w:r>
            <w:r>
              <w:rPr>
                <w:rFonts w:hint="eastAsia" w:ascii="宋体" w:hAnsi="宋体" w:eastAsia="宋体" w:cs="宋体"/>
                <w:color w:val="auto"/>
                <w:szCs w:val="21"/>
                <w:highlight w:val="none"/>
                <w:u w:val="none"/>
              </w:rPr>
              <w:t>各</w:t>
            </w:r>
            <w:r>
              <w:rPr>
                <w:rFonts w:hint="eastAsia" w:ascii="宋体" w:hAnsi="宋体" w:cs="宋体"/>
                <w:color w:val="auto"/>
                <w:szCs w:val="21"/>
                <w:highlight w:val="none"/>
                <w:u w:val="none"/>
                <w:lang w:eastAsia="zh-CN"/>
              </w:rPr>
              <w:t>供应商</w:t>
            </w:r>
            <w:r>
              <w:rPr>
                <w:rFonts w:hint="eastAsia" w:ascii="宋体" w:hAnsi="宋体" w:cs="宋体"/>
                <w:color w:val="auto"/>
                <w:szCs w:val="21"/>
                <w:highlight w:val="none"/>
                <w:u w:val="none"/>
                <w:lang w:val="en-US" w:eastAsia="zh-CN"/>
              </w:rPr>
              <w:t>针</w:t>
            </w:r>
            <w:r>
              <w:rPr>
                <w:color w:val="auto"/>
                <w:highlight w:val="none"/>
              </w:rPr>
              <w:t>对本项目实际情况提供整体服务方案</w:t>
            </w:r>
            <w:r>
              <w:rPr>
                <w:rFonts w:hint="eastAsia"/>
                <w:color w:val="auto"/>
                <w:highlight w:val="none"/>
                <w:lang w:eastAsia="zh-CN"/>
              </w:rPr>
              <w:t>（</w:t>
            </w:r>
            <w:r>
              <w:rPr>
                <w:color w:val="auto"/>
                <w:highlight w:val="none"/>
              </w:rPr>
              <w:t>包括但不限于对工作内容、工作标准、保障措施、整体要求、性质和特点的响应情况等）进行评审：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方案完善，工作流程科学、可操作性强得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方案较为完善，工作流程较为科学、可操作性较强得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③</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方案一般，工作流程一般、可操作性基本可行得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方案不够完善，工作流程不够科学，可操作性不强得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3</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color w:val="auto"/>
                <w:highlight w:val="none"/>
              </w:rPr>
              <w:t xml:space="preserve">项目质量措施保证  </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color w:val="auto"/>
                <w:highlight w:val="none"/>
              </w:rPr>
              <w:t>根据</w:t>
            </w:r>
            <w:r>
              <w:rPr>
                <w:rFonts w:hint="eastAsia" w:ascii="宋体" w:hAnsi="宋体" w:eastAsia="宋体" w:cs="宋体"/>
                <w:color w:val="auto"/>
                <w:szCs w:val="21"/>
                <w:highlight w:val="none"/>
                <w:u w:val="none"/>
              </w:rPr>
              <w:t>各</w:t>
            </w:r>
            <w:r>
              <w:rPr>
                <w:rFonts w:hint="eastAsia" w:ascii="宋体" w:hAnsi="宋体" w:cs="宋体"/>
                <w:color w:val="auto"/>
                <w:szCs w:val="21"/>
                <w:highlight w:val="none"/>
                <w:u w:val="none"/>
                <w:lang w:eastAsia="zh-CN"/>
              </w:rPr>
              <w:t>供应商</w:t>
            </w:r>
            <w:r>
              <w:rPr>
                <w:color w:val="auto"/>
                <w:highlight w:val="none"/>
              </w:rPr>
              <w:t>提供的质量措施保证方案</w:t>
            </w:r>
            <w:r>
              <w:rPr>
                <w:rFonts w:hint="eastAsia"/>
                <w:color w:val="auto"/>
                <w:highlight w:val="none"/>
                <w:lang w:eastAsia="zh-CN"/>
              </w:rPr>
              <w:t>（</w:t>
            </w:r>
            <w:r>
              <w:rPr>
                <w:color w:val="auto"/>
                <w:highlight w:val="none"/>
              </w:rPr>
              <w:t>包括但不限于质量目标</w:t>
            </w:r>
            <w:r>
              <w:rPr>
                <w:rFonts w:hint="eastAsia"/>
                <w:color w:val="auto"/>
                <w:highlight w:val="none"/>
                <w:lang w:eastAsia="zh-CN"/>
              </w:rPr>
              <w:t>、</w:t>
            </w:r>
            <w:r>
              <w:rPr>
                <w:color w:val="auto"/>
                <w:highlight w:val="none"/>
              </w:rPr>
              <w:t>质量保证措施</w:t>
            </w:r>
            <w:r>
              <w:rPr>
                <w:rFonts w:hint="eastAsia"/>
                <w:color w:val="auto"/>
                <w:highlight w:val="none"/>
                <w:lang w:eastAsia="zh-CN"/>
              </w:rPr>
              <w:t>、</w:t>
            </w:r>
            <w:r>
              <w:rPr>
                <w:color w:val="auto"/>
                <w:highlight w:val="none"/>
              </w:rPr>
              <w:t>质量承诺等）进行评审：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① 质量保证措施内容完整清晰，质量目标非常明确、质量保证完整可行，有明确的质量承诺，得</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lang w:eastAsia="zh-CN"/>
              </w:rPr>
              <w:t xml:space="preserve">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②</w:t>
            </w:r>
            <w:r>
              <w:rPr>
                <w:rFonts w:hint="eastAsia" w:ascii="宋体" w:hAnsi="宋体" w:cs="宋体"/>
                <w:color w:val="auto"/>
                <w:szCs w:val="21"/>
                <w:highlight w:val="none"/>
                <w:u w:val="none"/>
                <w:lang w:eastAsia="zh-CN"/>
              </w:rPr>
              <w:t>质量保证措施</w:t>
            </w:r>
            <w:r>
              <w:rPr>
                <w:rFonts w:hint="eastAsia" w:ascii="宋体" w:hAnsi="宋体" w:cs="宋体"/>
                <w:color w:val="auto"/>
                <w:szCs w:val="21"/>
                <w:highlight w:val="none"/>
                <w:u w:val="none"/>
                <w:lang w:val="en-US" w:eastAsia="zh-CN"/>
              </w:rPr>
              <w:t>内容较完整，</w:t>
            </w:r>
            <w:r>
              <w:rPr>
                <w:rFonts w:hint="eastAsia" w:ascii="宋体" w:hAnsi="宋体" w:cs="宋体"/>
                <w:color w:val="auto"/>
                <w:szCs w:val="21"/>
                <w:highlight w:val="none"/>
                <w:u w:val="none"/>
                <w:lang w:eastAsia="zh-CN"/>
              </w:rPr>
              <w:t>质量目标</w:t>
            </w:r>
            <w:r>
              <w:rPr>
                <w:rFonts w:hint="eastAsia" w:ascii="宋体" w:hAnsi="宋体" w:cs="宋体"/>
                <w:color w:val="auto"/>
                <w:szCs w:val="21"/>
                <w:highlight w:val="none"/>
                <w:u w:val="none"/>
                <w:lang w:val="en-US" w:eastAsia="zh-CN"/>
              </w:rPr>
              <w:t>较明确</w:t>
            </w:r>
            <w:r>
              <w:rPr>
                <w:rFonts w:hint="eastAsia" w:ascii="宋体" w:hAnsi="宋体" w:cs="宋体"/>
                <w:color w:val="auto"/>
                <w:szCs w:val="21"/>
                <w:highlight w:val="none"/>
                <w:u w:val="none"/>
                <w:lang w:eastAsia="zh-CN"/>
              </w:rPr>
              <w:t>、质量保证基本可行，</w:t>
            </w:r>
            <w:r>
              <w:rPr>
                <w:rFonts w:hint="eastAsia" w:ascii="宋体" w:hAnsi="宋体" w:cs="宋体"/>
                <w:color w:val="auto"/>
                <w:szCs w:val="21"/>
                <w:highlight w:val="none"/>
                <w:u w:val="none"/>
                <w:lang w:val="en-US" w:eastAsia="zh-CN"/>
              </w:rPr>
              <w:t>提供</w:t>
            </w:r>
            <w:r>
              <w:rPr>
                <w:rFonts w:hint="eastAsia" w:ascii="宋体" w:hAnsi="宋体" w:cs="宋体"/>
                <w:color w:val="auto"/>
                <w:szCs w:val="21"/>
                <w:highlight w:val="none"/>
                <w:u w:val="none"/>
                <w:lang w:eastAsia="zh-CN"/>
              </w:rPr>
              <w:t>质量承诺，得</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质量保证措施</w:t>
            </w:r>
            <w:r>
              <w:rPr>
                <w:rFonts w:hint="eastAsia" w:ascii="宋体" w:hAnsi="宋体" w:cs="宋体"/>
                <w:color w:val="auto"/>
                <w:szCs w:val="21"/>
                <w:highlight w:val="none"/>
                <w:u w:val="none"/>
                <w:lang w:val="en-US" w:eastAsia="zh-CN"/>
              </w:rPr>
              <w:t>一般，</w:t>
            </w:r>
            <w:r>
              <w:rPr>
                <w:rFonts w:hint="eastAsia" w:ascii="宋体" w:hAnsi="宋体" w:cs="宋体"/>
                <w:color w:val="auto"/>
                <w:szCs w:val="21"/>
                <w:highlight w:val="none"/>
                <w:u w:val="none"/>
                <w:lang w:eastAsia="zh-CN"/>
              </w:rPr>
              <w:t>质量目标基本有体现、质量保证基本可行，</w:t>
            </w:r>
            <w:r>
              <w:rPr>
                <w:rFonts w:hint="eastAsia" w:ascii="宋体" w:hAnsi="宋体" w:cs="宋体"/>
                <w:color w:val="auto"/>
                <w:szCs w:val="21"/>
                <w:highlight w:val="none"/>
                <w:u w:val="none"/>
                <w:lang w:val="en-US" w:eastAsia="zh-CN"/>
              </w:rPr>
              <w:t>提供基本的</w:t>
            </w:r>
            <w:r>
              <w:rPr>
                <w:rFonts w:hint="eastAsia" w:ascii="宋体" w:hAnsi="宋体" w:cs="宋体"/>
                <w:color w:val="auto"/>
                <w:szCs w:val="21"/>
                <w:highlight w:val="none"/>
                <w:u w:val="none"/>
                <w:lang w:eastAsia="zh-CN"/>
              </w:rPr>
              <w:t>质量承诺，得</w:t>
            </w:r>
            <w:r>
              <w:rPr>
                <w:rFonts w:hint="eastAsia" w:ascii="宋体" w:hAnsi="宋体" w:cs="宋体"/>
                <w:color w:val="auto"/>
                <w:szCs w:val="21"/>
                <w:highlight w:val="none"/>
                <w:u w:val="none"/>
                <w:lang w:val="en-US" w:eastAsia="zh-CN"/>
              </w:rPr>
              <w:t>4</w:t>
            </w:r>
            <w:r>
              <w:rPr>
                <w:rFonts w:hint="eastAsia" w:ascii="宋体" w:hAnsi="宋体" w:cs="宋体"/>
                <w:color w:val="auto"/>
                <w:szCs w:val="21"/>
                <w:highlight w:val="none"/>
                <w:u w:val="none"/>
                <w:lang w:eastAsia="zh-CN"/>
              </w:rPr>
              <w:t xml:space="preserve">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质量保证措施内容不完整不清晰，质量目标不明确、质量保证一般，质量承诺不明确，得</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lang w:eastAsia="zh-CN"/>
              </w:rPr>
              <w:t>分</w:t>
            </w:r>
            <w:r>
              <w:rPr>
                <w:rFonts w:hint="eastAsia" w:ascii="宋体" w:hAnsi="宋体" w:eastAsia="宋体" w:cs="宋体"/>
                <w:color w:val="auto"/>
                <w:szCs w:val="21"/>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val="en-US" w:eastAsia="zh-CN"/>
              </w:rPr>
              <w:t>4</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进度计划</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根据各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提供的</w:t>
            </w:r>
            <w:r>
              <w:rPr>
                <w:rFonts w:hint="eastAsia" w:ascii="宋体" w:hAnsi="宋体" w:eastAsia="宋体" w:cs="宋体"/>
                <w:color w:val="auto"/>
                <w:kern w:val="2"/>
                <w:szCs w:val="21"/>
                <w:highlight w:val="none"/>
              </w:rPr>
              <w:t>进度计划</w:t>
            </w:r>
            <w:r>
              <w:rPr>
                <w:rFonts w:hint="eastAsia" w:ascii="宋体" w:hAnsi="宋体" w:cs="宋体"/>
                <w:color w:val="auto"/>
                <w:kern w:val="2"/>
                <w:szCs w:val="21"/>
                <w:highlight w:val="none"/>
                <w:lang w:val="en-US" w:eastAsia="zh-CN"/>
              </w:rPr>
              <w:t>方案</w:t>
            </w:r>
            <w:r>
              <w:rPr>
                <w:rFonts w:hint="eastAsia" w:ascii="宋体" w:hAnsi="宋体" w:eastAsia="宋体" w:cs="宋体"/>
                <w:color w:val="auto"/>
                <w:szCs w:val="21"/>
                <w:highlight w:val="none"/>
                <w:u w:val="none"/>
              </w:rPr>
              <w:t>（包括</w:t>
            </w:r>
            <w:r>
              <w:rPr>
                <w:rFonts w:hint="eastAsia" w:ascii="宋体" w:hAnsi="宋体" w:eastAsia="宋体" w:cs="宋体"/>
                <w:color w:val="auto"/>
                <w:szCs w:val="21"/>
                <w:highlight w:val="none"/>
                <w:u w:val="none"/>
                <w:lang w:val="en-US" w:eastAsia="zh-CN"/>
              </w:rPr>
              <w:t>但不限于</w:t>
            </w:r>
            <w:r>
              <w:rPr>
                <w:color w:val="auto"/>
                <w:highlight w:val="none"/>
              </w:rPr>
              <w:t>项目实施规划、项目实施计划、</w:t>
            </w:r>
            <w:r>
              <w:rPr>
                <w:rFonts w:hint="eastAsia" w:ascii="宋体" w:hAnsi="宋体" w:eastAsia="宋体" w:cs="宋体"/>
                <w:color w:val="auto"/>
                <w:szCs w:val="21"/>
                <w:highlight w:val="none"/>
                <w:u w:val="none"/>
              </w:rPr>
              <w:t>服务人员配备</w:t>
            </w:r>
            <w:r>
              <w:rPr>
                <w:rFonts w:hint="eastAsia" w:ascii="宋体" w:hAnsi="宋体" w:cs="宋体"/>
                <w:color w:val="auto"/>
                <w:szCs w:val="21"/>
                <w:highlight w:val="none"/>
                <w:u w:val="none"/>
                <w:lang w:val="en-US" w:eastAsia="zh-CN"/>
              </w:rPr>
              <w:t>情况、</w:t>
            </w:r>
            <w:r>
              <w:rPr>
                <w:rFonts w:hint="eastAsia"/>
                <w:color w:val="auto"/>
                <w:highlight w:val="none"/>
                <w:lang w:val="en-US" w:eastAsia="zh-CN"/>
              </w:rPr>
              <w:t>编制成果</w:t>
            </w:r>
            <w:r>
              <w:rPr>
                <w:color w:val="auto"/>
                <w:highlight w:val="none"/>
              </w:rPr>
              <w:t>要求</w:t>
            </w:r>
            <w:r>
              <w:rPr>
                <w:rFonts w:hint="eastAsia"/>
                <w:color w:val="auto"/>
                <w:highlight w:val="none"/>
                <w:lang w:eastAsia="zh-CN"/>
              </w:rPr>
              <w:t>、</w:t>
            </w:r>
            <w:r>
              <w:rPr>
                <w:color w:val="auto"/>
                <w:highlight w:val="none"/>
              </w:rPr>
              <w:t>验收计划</w:t>
            </w:r>
            <w:r>
              <w:rPr>
                <w:rFonts w:hint="eastAsia" w:ascii="宋体" w:hAnsi="宋体" w:cs="宋体"/>
                <w:color w:val="auto"/>
                <w:szCs w:val="21"/>
                <w:highlight w:val="none"/>
                <w:u w:val="none"/>
                <w:lang w:val="en-US" w:eastAsia="zh-CN"/>
              </w:rPr>
              <w:t>等</w:t>
            </w:r>
            <w:r>
              <w:rPr>
                <w:rFonts w:hint="eastAsia" w:ascii="宋体" w:hAnsi="宋体" w:eastAsia="宋体" w:cs="宋体"/>
                <w:color w:val="auto"/>
                <w:szCs w:val="21"/>
                <w:highlight w:val="none"/>
                <w:u w:val="none"/>
              </w:rPr>
              <w:t>）进行</w:t>
            </w:r>
            <w:r>
              <w:rPr>
                <w:rFonts w:hint="eastAsia" w:ascii="宋体" w:hAnsi="宋体" w:eastAsia="宋体" w:cs="宋体"/>
                <w:color w:val="auto"/>
                <w:szCs w:val="21"/>
                <w:highlight w:val="none"/>
                <w:u w:val="none"/>
                <w:lang w:eastAsia="zh-CN"/>
              </w:rPr>
              <w:t>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rFonts w:hint="eastAsia" w:ascii="宋体" w:hAnsi="宋体" w:eastAsia="宋体" w:cs="宋体"/>
                <w:color w:val="auto"/>
                <w:szCs w:val="21"/>
                <w:highlight w:val="none"/>
                <w:u w:val="none"/>
              </w:rPr>
              <w:t>对本项目进度计划详细可行、合理，进度保证措施完善得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rFonts w:hint="eastAsia" w:ascii="宋体" w:hAnsi="宋体" w:eastAsia="宋体" w:cs="宋体"/>
                <w:color w:val="auto"/>
                <w:szCs w:val="21"/>
                <w:highlight w:val="none"/>
                <w:u w:val="none"/>
              </w:rPr>
              <w:t>对本项目进度计划较为详细，进度保证措施较为完善得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③</w:t>
            </w:r>
            <w:r>
              <w:rPr>
                <w:rFonts w:hint="eastAsia" w:ascii="宋体" w:hAnsi="宋体" w:eastAsia="宋体" w:cs="宋体"/>
                <w:color w:val="auto"/>
                <w:szCs w:val="21"/>
                <w:highlight w:val="none"/>
                <w:u w:val="none"/>
              </w:rPr>
              <w:t>对本项目进度计划一般，进度保证措施基本可行得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rFonts w:hint="eastAsia" w:ascii="宋体" w:hAnsi="宋体" w:eastAsia="宋体" w:cs="宋体"/>
                <w:color w:val="auto"/>
                <w:szCs w:val="21"/>
                <w:highlight w:val="none"/>
                <w:u w:val="none"/>
              </w:rPr>
              <w:t>对本项目进度计划不够详细，进度保证措施不够完善得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5</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后续服务</w:t>
            </w:r>
            <w:r>
              <w:rPr>
                <w:rFonts w:hint="eastAsia" w:ascii="宋体" w:hAnsi="宋体" w:cs="宋体"/>
                <w:color w:val="auto"/>
                <w:kern w:val="2"/>
                <w:szCs w:val="21"/>
                <w:highlight w:val="none"/>
                <w:lang w:val="en-US" w:eastAsia="zh-CN"/>
              </w:rPr>
              <w:t>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根据各</w:t>
            </w:r>
            <w:r>
              <w:rPr>
                <w:rFonts w:hint="eastAsia" w:ascii="宋体" w:hAnsi="宋体" w:eastAsia="宋体" w:cs="宋体"/>
                <w:color w:val="auto"/>
                <w:szCs w:val="21"/>
                <w:highlight w:val="none"/>
                <w:u w:val="none"/>
                <w:lang w:eastAsia="zh-CN"/>
              </w:rPr>
              <w:t>供应商</w:t>
            </w:r>
            <w:r>
              <w:rPr>
                <w:rFonts w:hint="eastAsia" w:ascii="宋体" w:hAnsi="宋体" w:eastAsia="宋体" w:cs="宋体"/>
                <w:color w:val="auto"/>
                <w:szCs w:val="21"/>
                <w:highlight w:val="none"/>
                <w:u w:val="none"/>
              </w:rPr>
              <w:t>提供的</w:t>
            </w:r>
            <w:r>
              <w:rPr>
                <w:rFonts w:hint="eastAsia" w:ascii="宋体" w:hAnsi="宋体" w:eastAsia="宋体" w:cs="宋体"/>
                <w:color w:val="auto"/>
                <w:kern w:val="2"/>
                <w:szCs w:val="21"/>
                <w:highlight w:val="none"/>
              </w:rPr>
              <w:t>后续服务</w:t>
            </w:r>
            <w:r>
              <w:rPr>
                <w:rFonts w:hint="eastAsia" w:ascii="宋体" w:hAnsi="宋体" w:cs="宋体"/>
                <w:color w:val="auto"/>
                <w:kern w:val="2"/>
                <w:szCs w:val="21"/>
                <w:highlight w:val="none"/>
                <w:lang w:val="en-US" w:eastAsia="zh-CN"/>
              </w:rPr>
              <w:t>方案</w:t>
            </w:r>
            <w:r>
              <w:rPr>
                <w:rFonts w:hint="eastAsia" w:ascii="宋体" w:hAnsi="宋体" w:eastAsia="宋体" w:cs="宋体"/>
                <w:color w:val="auto"/>
                <w:szCs w:val="21"/>
                <w:highlight w:val="none"/>
                <w:u w:val="none"/>
              </w:rPr>
              <w:t>（包括</w:t>
            </w:r>
            <w:r>
              <w:rPr>
                <w:rFonts w:hint="eastAsia" w:ascii="宋体" w:hAnsi="宋体" w:eastAsia="宋体" w:cs="宋体"/>
                <w:color w:val="auto"/>
                <w:szCs w:val="21"/>
                <w:highlight w:val="none"/>
                <w:u w:val="none"/>
                <w:lang w:val="en-US" w:eastAsia="zh-CN"/>
              </w:rPr>
              <w:t>但不限于</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人员配备、</w:t>
            </w:r>
            <w:r>
              <w:rPr>
                <w:rFonts w:hint="eastAsia" w:ascii="宋体" w:hAnsi="宋体" w:eastAsia="宋体" w:cs="宋体"/>
                <w:color w:val="auto"/>
                <w:szCs w:val="21"/>
                <w:highlight w:val="none"/>
                <w:u w:val="none"/>
              </w:rPr>
              <w:t>上会汇报</w:t>
            </w:r>
            <w:r>
              <w:rPr>
                <w:rFonts w:hint="eastAsia" w:ascii="宋体" w:hAnsi="宋体" w:cs="宋体"/>
                <w:color w:val="auto"/>
                <w:szCs w:val="21"/>
                <w:highlight w:val="none"/>
                <w:u w:val="none"/>
                <w:lang w:eastAsia="zh-CN"/>
              </w:rPr>
              <w:t>、</w:t>
            </w:r>
            <w:r>
              <w:rPr>
                <w:color w:val="auto"/>
                <w:highlight w:val="none"/>
              </w:rPr>
              <w:t>应急处理</w:t>
            </w:r>
            <w:r>
              <w:rPr>
                <w:rFonts w:hint="eastAsia"/>
                <w:color w:val="auto"/>
                <w:highlight w:val="none"/>
                <w:lang w:val="en-US" w:eastAsia="zh-CN"/>
              </w:rPr>
              <w:t>方案、</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w:t>
            </w:r>
            <w:r>
              <w:rPr>
                <w:rFonts w:hint="eastAsia" w:ascii="宋体" w:hAnsi="宋体" w:cs="宋体"/>
                <w:color w:val="auto"/>
                <w:szCs w:val="21"/>
                <w:highlight w:val="none"/>
                <w:u w:val="none"/>
                <w:lang w:val="en-US" w:eastAsia="zh-CN"/>
              </w:rPr>
              <w:t>等</w:t>
            </w:r>
            <w:r>
              <w:rPr>
                <w:rFonts w:hint="eastAsia" w:ascii="宋体" w:hAnsi="宋体" w:eastAsia="宋体" w:cs="宋体"/>
                <w:color w:val="auto"/>
                <w:szCs w:val="21"/>
                <w:highlight w:val="none"/>
                <w:u w:val="none"/>
              </w:rPr>
              <w:t>）进行</w:t>
            </w:r>
            <w:r>
              <w:rPr>
                <w:rFonts w:hint="eastAsia" w:ascii="宋体" w:hAnsi="宋体" w:eastAsia="宋体" w:cs="宋体"/>
                <w:color w:val="auto"/>
                <w:szCs w:val="21"/>
                <w:highlight w:val="none"/>
                <w:u w:val="none"/>
                <w:lang w:eastAsia="zh-CN"/>
              </w:rPr>
              <w:t>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rFonts w:hint="eastAsia" w:ascii="宋体" w:hAnsi="宋体" w:eastAsia="宋体" w:cs="宋体"/>
                <w:color w:val="auto"/>
                <w:szCs w:val="21"/>
                <w:highlight w:val="none"/>
                <w:u w:val="none"/>
              </w:rPr>
              <w:t>后续服务人员配备齐全、经验丰富，配合上会汇报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服务等工作措施合理、具体可行、可操作性强得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rFonts w:hint="eastAsia" w:ascii="宋体" w:hAnsi="宋体" w:eastAsia="宋体" w:cs="宋体"/>
                <w:color w:val="auto"/>
                <w:szCs w:val="21"/>
                <w:highlight w:val="none"/>
                <w:u w:val="none"/>
              </w:rPr>
              <w:t>后续服务人员配备齐全，配合上会汇报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服务等工作的措施较合理可行得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rPr>
              <w:t>③</w:t>
            </w:r>
            <w:r>
              <w:rPr>
                <w:rFonts w:hint="eastAsia" w:ascii="宋体" w:hAnsi="宋体" w:eastAsia="宋体" w:cs="宋体"/>
                <w:color w:val="auto"/>
                <w:szCs w:val="21"/>
                <w:highlight w:val="none"/>
                <w:u w:val="none"/>
              </w:rPr>
              <w:t>后续服务人员配备</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服务等工作的措施</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rFonts w:hint="eastAsia" w:ascii="宋体" w:hAnsi="宋体" w:eastAsia="宋体" w:cs="宋体"/>
                <w:color w:val="auto"/>
                <w:szCs w:val="21"/>
                <w:highlight w:val="none"/>
                <w:u w:val="none"/>
              </w:rPr>
              <w:t>后续服务人员配备不足，配合上会汇报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服务等工作的措施合理性和可行性不足得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line="360" w:lineRule="auto"/>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widowControl w:val="0"/>
              <w:tabs>
                <w:tab w:val="left" w:pos="907"/>
              </w:tabs>
              <w:adjustRightInd/>
              <w:snapToGrid/>
              <w:spacing w:line="360" w:lineRule="auto"/>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pPr>
              <w:widowControl w:val="0"/>
              <w:tabs>
                <w:tab w:val="left" w:pos="907"/>
              </w:tabs>
              <w:adjustRightInd/>
              <w:snapToGrid/>
              <w:spacing w:line="360" w:lineRule="auto"/>
              <w:ind w:firstLine="422" w:firstLineChars="20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（2）供应商根据以上评分要求提供的响应材料因模糊不清导致</w:t>
            </w:r>
            <w:r>
              <w:rPr>
                <w:rFonts w:hint="eastAsia" w:ascii="宋体" w:hAnsi="宋体" w:cs="宋体"/>
                <w:b/>
                <w:color w:val="auto"/>
                <w:szCs w:val="21"/>
                <w:highlight w:val="none"/>
                <w:lang w:eastAsia="zh-CN"/>
              </w:rPr>
              <w:t>磋商小组</w:t>
            </w:r>
            <w:r>
              <w:rPr>
                <w:rFonts w:hint="eastAsia" w:ascii="宋体" w:hAnsi="宋体" w:eastAsia="宋体" w:cs="宋体"/>
                <w:b/>
                <w:color w:val="auto"/>
                <w:szCs w:val="21"/>
                <w:highlight w:val="none"/>
              </w:rPr>
              <w:t>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w:t>
            </w:r>
            <w:r>
              <w:rPr>
                <w:rFonts w:hint="eastAsia" w:ascii="宋体" w:eastAsia="宋体" w:cs="宋体"/>
                <w:b/>
                <w:bCs/>
                <w:color w:val="auto"/>
                <w:sz w:val="21"/>
                <w:szCs w:val="21"/>
                <w:highlight w:val="none"/>
                <w:u w:val="none"/>
                <w:lang w:val="en-US" w:eastAsia="zh-CN"/>
              </w:rPr>
              <w:t>20</w:t>
            </w:r>
            <w:r>
              <w:rPr>
                <w:rFonts w:hint="eastAsia" w:ascii="宋体" w:hAnsi="宋体" w:eastAsia="宋体" w:cs="宋体"/>
                <w:b/>
                <w:bCs/>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磋商总价</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2</w:t>
            </w:r>
            <w:r>
              <w:rPr>
                <w:rFonts w:hint="eastAsia" w:ascii="宋体" w:hAnsi="宋体" w:eastAsia="宋体" w:cs="宋体"/>
                <w:color w:val="auto"/>
                <w:kern w:val="2"/>
                <w:szCs w:val="21"/>
                <w:highlight w:val="none"/>
                <w:lang w:val="en-US" w:eastAsia="zh-CN"/>
              </w:rPr>
              <w:t>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ind w:firstLine="420" w:firstLineChars="200"/>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价格分计算方法：满足磋商文件要求且响应价格最低的</w:t>
            </w:r>
            <w:r>
              <w:rPr>
                <w:rFonts w:hint="eastAsia" w:ascii="宋体" w:hAnsi="宋体" w:eastAsia="宋体" w:cs="宋体"/>
                <w:color w:val="auto"/>
                <w:kern w:val="2"/>
                <w:szCs w:val="21"/>
                <w:highlight w:val="none"/>
                <w:lang w:val="en-US" w:eastAsia="zh-CN"/>
              </w:rPr>
              <w:t>含税</w:t>
            </w:r>
            <w:r>
              <w:rPr>
                <w:rFonts w:hint="eastAsia" w:ascii="宋体" w:hAnsi="宋体" w:eastAsia="宋体" w:cs="宋体"/>
                <w:color w:val="auto"/>
                <w:kern w:val="2"/>
                <w:szCs w:val="21"/>
                <w:highlight w:val="none"/>
                <w:lang w:val="zh-CN"/>
              </w:rPr>
              <w:t>磋商报价为评标基准价，其价格分为满分。其他供应商的价格分统一按照下列公式计算：</w:t>
            </w:r>
          </w:p>
          <w:p>
            <w:pPr>
              <w:widowControl w:val="0"/>
              <w:adjustRightInd/>
              <w:snapToGrid/>
              <w:spacing w:line="360" w:lineRule="auto"/>
              <w:ind w:firstLine="420" w:firstLineChars="200"/>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val="zh-CN"/>
              </w:rPr>
              <w:t>磋商报价得分=(磋商基准价／最后磋商报价)×价格权</w:t>
            </w:r>
            <w:r>
              <w:rPr>
                <w:rFonts w:hint="eastAsia" w:ascii="宋体" w:hAnsi="宋体" w:eastAsia="宋体" w:cs="宋体"/>
                <w:color w:val="auto"/>
                <w:kern w:val="2"/>
                <w:szCs w:val="21"/>
                <w:highlight w:val="none"/>
              </w:rPr>
              <w:t>重</w:t>
            </w:r>
            <w:r>
              <w:rPr>
                <w:rFonts w:hint="eastAsia" w:ascii="宋体" w:hAnsi="宋体" w:cs="宋体"/>
                <w:color w:val="auto"/>
                <w:kern w:val="2"/>
                <w:szCs w:val="21"/>
                <w:highlight w:val="none"/>
                <w:lang w:eastAsia="zh-CN"/>
              </w:rPr>
              <w:t>。</w:t>
            </w:r>
          </w:p>
        </w:tc>
      </w:tr>
    </w:tbl>
    <w:p>
      <w:pPr>
        <w:ind w:firstLine="420" w:firstLineChars="200"/>
        <w:rPr>
          <w:color w:val="auto"/>
          <w:highlight w:val="none"/>
        </w:rPr>
      </w:pPr>
      <w:r>
        <w:rPr>
          <w:rFonts w:hint="eastAsia"/>
          <w:color w:val="auto"/>
          <w:highlight w:val="none"/>
        </w:rPr>
        <w:br w:type="page"/>
      </w:r>
    </w:p>
    <w:p>
      <w:pPr>
        <w:pStyle w:val="4"/>
        <w:spacing w:before="0" w:after="0" w:line="240" w:lineRule="auto"/>
        <w:rPr>
          <w:color w:val="auto"/>
          <w:sz w:val="36"/>
          <w:szCs w:val="36"/>
          <w:highlight w:val="none"/>
        </w:rPr>
      </w:pPr>
      <w:bookmarkStart w:id="12" w:name="_Toc12233"/>
      <w:bookmarkStart w:id="13" w:name="_Toc862"/>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12"/>
      <w:bookmarkEnd w:id="13"/>
    </w:p>
    <w:p>
      <w:pPr>
        <w:pStyle w:val="5"/>
        <w:spacing w:before="0" w:after="0" w:line="360" w:lineRule="auto"/>
        <w:jc w:val="center"/>
        <w:rPr>
          <w:rFonts w:ascii="宋体" w:hAnsi="宋体"/>
          <w:color w:val="auto"/>
          <w:highlight w:val="none"/>
        </w:rPr>
      </w:pPr>
      <w:bookmarkStart w:id="14" w:name="_Toc1593"/>
      <w:bookmarkStart w:id="15" w:name="_Toc23727"/>
      <w:bookmarkStart w:id="16" w:name="_Toc4409"/>
      <w:bookmarkStart w:id="17" w:name="_Toc308786492"/>
      <w:bookmarkStart w:id="18" w:name="_Toc31278"/>
      <w:bookmarkStart w:id="19" w:name="_Toc13112"/>
      <w:bookmarkStart w:id="20" w:name="_Toc14462"/>
      <w:bookmarkStart w:id="21" w:name="_Toc24679"/>
      <w:r>
        <w:rPr>
          <w:rFonts w:hint="eastAsia" w:ascii="宋体" w:hAnsi="宋体"/>
          <w:color w:val="auto"/>
          <w:highlight w:val="none"/>
        </w:rPr>
        <w:t>第一章 商务需求书</w:t>
      </w:r>
      <w:bookmarkEnd w:id="14"/>
      <w:bookmarkEnd w:id="15"/>
      <w:bookmarkEnd w:id="16"/>
    </w:p>
    <w:tbl>
      <w:tblPr>
        <w:tblStyle w:val="33"/>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352"/>
        <w:gridCol w:w="6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1"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条款名称</w:t>
            </w:r>
          </w:p>
        </w:tc>
        <w:tc>
          <w:tcPr>
            <w:tcW w:w="6453" w:type="dxa"/>
            <w:noWrap w:val="0"/>
            <w:vAlign w:val="center"/>
          </w:tcPr>
          <w:p>
            <w:pPr>
              <w:widowControl w:val="0"/>
              <w:adjustRightInd/>
              <w:snapToGrid/>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1"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合格供应商</w:t>
            </w:r>
          </w:p>
        </w:tc>
        <w:tc>
          <w:tcPr>
            <w:tcW w:w="6453" w:type="dxa"/>
            <w:noWrap w:val="0"/>
            <w:vAlign w:val="center"/>
          </w:tcPr>
          <w:p>
            <w:pPr>
              <w:widowControl w:val="0"/>
              <w:adjustRightInd/>
              <w:snapToGrid/>
              <w:spacing w:line="360" w:lineRule="auto"/>
              <w:jc w:val="left"/>
              <w:rPr>
                <w:rFonts w:ascii="宋体" w:hAnsi="宋体" w:cs="宋体"/>
                <w:bCs/>
                <w:color w:val="auto"/>
                <w:kern w:val="44"/>
                <w:szCs w:val="21"/>
                <w:highlight w:val="none"/>
              </w:rPr>
            </w:pPr>
            <w:r>
              <w:rPr>
                <w:rFonts w:hint="eastAsia" w:ascii="宋体" w:hAnsi="宋体" w:cs="宋体"/>
                <w:color w:val="auto"/>
                <w:szCs w:val="21"/>
                <w:highlight w:val="none"/>
              </w:rPr>
              <w:t>详见“第一部分 磋商邀请”中“二、供应商资格要求”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服务期</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服务时间：</w:t>
            </w:r>
            <w:r>
              <w:rPr>
                <w:rFonts w:hint="eastAsia" w:ascii="宋体" w:hAnsi="宋体" w:cs="宋体"/>
                <w:color w:val="auto"/>
                <w:szCs w:val="21"/>
                <w:highlight w:val="none"/>
              </w:rPr>
              <w:t>项目合同签订之日起至项目相关报告</w:t>
            </w:r>
            <w:r>
              <w:rPr>
                <w:rFonts w:hint="eastAsia" w:ascii="宋体" w:hAnsi="宋体" w:cs="宋体"/>
                <w:color w:val="auto"/>
                <w:szCs w:val="21"/>
                <w:highlight w:val="none"/>
                <w:lang w:val="en-US" w:eastAsia="zh-CN"/>
              </w:rPr>
              <w:t>提交采购人</w:t>
            </w:r>
            <w:r>
              <w:rPr>
                <w:rFonts w:hint="eastAsia" w:ascii="宋体" w:hAnsi="宋体" w:cs="宋体"/>
                <w:color w:val="auto"/>
                <w:szCs w:val="21"/>
                <w:highlight w:val="none"/>
              </w:rPr>
              <w:t>并由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确认无误时止</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相关报告提交期限：在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资料提供齐全后10个工作日提交相关报告初稿，相关报告初稿经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确认后10个工作日提交相关报告定稿。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32"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p>
        </w:tc>
        <w:tc>
          <w:tcPr>
            <w:tcW w:w="1352" w:type="dxa"/>
            <w:noWrap w:val="0"/>
            <w:vAlign w:val="center"/>
          </w:tcPr>
          <w:p>
            <w:pPr>
              <w:widowControl w:val="0"/>
              <w:adjustRightInd/>
              <w:snapToGrid/>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453" w:type="dxa"/>
            <w:noWrap w:val="0"/>
            <w:vAlign w:val="center"/>
          </w:tcPr>
          <w:p>
            <w:pPr>
              <w:widowControl w:val="0"/>
              <w:adjustRightInd/>
              <w:snapToGrid/>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(1)签订服务合同之日起</w:t>
            </w:r>
            <w:r>
              <w:rPr>
                <w:rFonts w:hint="eastAsia" w:ascii="宋体" w:hAnsi="宋体" w:cs="宋体"/>
                <w:color w:val="auto"/>
                <w:szCs w:val="21"/>
                <w:highlight w:val="none"/>
                <w:lang w:val="en-US" w:eastAsia="zh-CN"/>
              </w:rPr>
              <w:t>5</w:t>
            </w:r>
            <w:r>
              <w:rPr>
                <w:rFonts w:hint="default" w:ascii="宋体" w:hAnsi="宋体" w:cs="宋体"/>
                <w:color w:val="auto"/>
                <w:szCs w:val="21"/>
                <w:highlight w:val="none"/>
              </w:rPr>
              <w:t>个工作日内支付合同金额的</w:t>
            </w:r>
            <w:r>
              <w:rPr>
                <w:rFonts w:hint="eastAsia" w:ascii="宋体" w:hAnsi="宋体" w:cs="宋体"/>
                <w:color w:val="auto"/>
                <w:szCs w:val="21"/>
                <w:highlight w:val="none"/>
                <w:lang w:val="en-US" w:eastAsia="zh-CN"/>
              </w:rPr>
              <w:t>2</w:t>
            </w:r>
            <w:r>
              <w:rPr>
                <w:rFonts w:hint="default" w:ascii="宋体" w:hAnsi="宋体" w:cs="宋体"/>
                <w:color w:val="auto"/>
                <w:szCs w:val="21"/>
                <w:highlight w:val="none"/>
              </w:rPr>
              <w:t>0%</w:t>
            </w:r>
            <w:r>
              <w:rPr>
                <w:rFonts w:hint="eastAsia" w:ascii="宋体" w:hAnsi="宋体" w:cs="宋体"/>
                <w:color w:val="auto"/>
                <w:szCs w:val="21"/>
                <w:highlight w:val="none"/>
                <w:lang w:eastAsia="zh-CN"/>
              </w:rPr>
              <w:t>；</w:t>
            </w:r>
          </w:p>
          <w:p>
            <w:pPr>
              <w:widowControl w:val="0"/>
              <w:adjustRightInd/>
              <w:snapToGrid/>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出具相关报告初稿之日起5个工作日内支付相应报告分项金额（以供应商最终报价明细表所列示分项金额为准）的30%，具体为：</w:t>
            </w:r>
          </w:p>
          <w:p>
            <w:pPr>
              <w:widowControl w:val="0"/>
              <w:adjustRightInd/>
              <w:snapToGrid/>
              <w:spacing w:line="36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1）项目全过程咨询服务（含出具项目投资合规分析评估报告）。出具项目投资合规分析评估报告初稿之日起5个工作日内支付相应报告分项金额30%。</w:t>
            </w:r>
          </w:p>
          <w:p>
            <w:pPr>
              <w:widowControl w:val="0"/>
              <w:adjustRightInd/>
              <w:snapToGrid/>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2）项目公司净资产审计报告。出具项目公司净资产审计报告初稿之日起5个工作日内支付相应报告分项金额30%。</w:t>
            </w:r>
          </w:p>
          <w:p>
            <w:pPr>
              <w:widowControl w:val="0"/>
              <w:adjustRightInd/>
              <w:snapToGrid/>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3）项目公司股权价值整体评估报告。出具项目公司股权价值整体评估报告初稿之日起5个工作日内支付相应报告分项金额30%。</w:t>
            </w:r>
          </w:p>
          <w:p>
            <w:pPr>
              <w:widowControl w:val="0"/>
              <w:adjustRightInd/>
              <w:snapToGrid/>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(3)出具相关报告定稿并由采购人确认无误之日起5个工作日内支付相应报告分项金额（以供应商最终报价明细表所列示分项金额为准）的50%，具体为：</w:t>
            </w:r>
          </w:p>
          <w:p>
            <w:pPr>
              <w:widowControl w:val="0"/>
              <w:adjustRightInd/>
              <w:snapToGrid/>
              <w:spacing w:line="36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1）项目全过程咨询服务（含出具项目投资合规分析评估报告）。出具项目投资合规分析评估报告定稿并由采购人确认无误之日起5个工作日内支付相应报告分项金额50%。</w:t>
            </w:r>
          </w:p>
          <w:p>
            <w:pPr>
              <w:widowControl w:val="0"/>
              <w:adjustRightInd/>
              <w:snapToGrid/>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2）项目公司净资产审计报告。出具项目公司净资产审计报告定稿并由采购人确认无误之日起5个工作日内支付相应报告分项金额50%。</w:t>
            </w:r>
          </w:p>
          <w:p>
            <w:pPr>
              <w:widowControl w:val="0"/>
              <w:adjustRightInd/>
              <w:snapToGrid/>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3）项目公司股权价值整体评估报告。出具项目公司股权价值整体评估报告定稿并由采购人确认无误之日起5个工作日内支付相应报告分项金额50%。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4"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项目地点</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eastAsia="宋体" w:cs="宋体"/>
                <w:color w:val="auto"/>
                <w:kern w:val="2"/>
                <w:szCs w:val="21"/>
                <w:highlight w:val="none"/>
              </w:rPr>
              <w:t>指定</w:t>
            </w:r>
            <w:r>
              <w:rPr>
                <w:rFonts w:hint="eastAsia" w:ascii="宋体" w:hAnsi="宋体" w:cs="宋体"/>
                <w:color w:val="auto"/>
                <w:szCs w:val="21"/>
                <w:highlight w:val="none"/>
              </w:rPr>
              <w:t>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报价要求</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磋商报价应包括本次采购所有服务内容的费用，包括但不限于人工、材料、成本、利润、措施费、税费以及合同实施过程中的不可预见费用等全部费用。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6</w:t>
            </w:r>
          </w:p>
        </w:tc>
        <w:tc>
          <w:tcPr>
            <w:tcW w:w="1352" w:type="dxa"/>
            <w:noWrap w:val="0"/>
            <w:vAlign w:val="center"/>
          </w:tcPr>
          <w:p>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验收要求</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szCs w:val="21"/>
                <w:highlight w:val="none"/>
                <w:lang w:eastAsia="zh-CN"/>
              </w:rPr>
            </w:pPr>
            <w:r>
              <w:rPr>
                <w:rFonts w:hint="eastAsia"/>
                <w:color w:val="auto"/>
                <w:highlight w:val="none"/>
              </w:rPr>
              <w:t>符合国家法律法规及</w:t>
            </w:r>
            <w:r>
              <w:rPr>
                <w:rFonts w:hint="eastAsia"/>
                <w:color w:val="auto"/>
                <w:highlight w:val="none"/>
                <w:lang w:val="en-US" w:eastAsia="zh-CN"/>
              </w:rPr>
              <w:t>采购人</w:t>
            </w:r>
            <w:r>
              <w:rPr>
                <w:rFonts w:hint="eastAsia"/>
                <w:color w:val="auto"/>
                <w:highlight w:val="none"/>
              </w:rPr>
              <w:t>要求</w:t>
            </w:r>
            <w:r>
              <w:rPr>
                <w:rFonts w:hint="eastAsia" w:ascii="宋体" w:hAnsi="宋体" w:cs="宋体"/>
                <w:color w:val="auto"/>
                <w:szCs w:val="21"/>
                <w:highlight w:val="none"/>
              </w:rPr>
              <w:t>，并履行法定要求的备案程序</w:t>
            </w:r>
            <w:r>
              <w:rPr>
                <w:rFonts w:hint="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7</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磋商有效期</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8</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合同条款</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供应商实质响应合同各条款。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9</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其他</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w:t>
            </w:r>
          </w:p>
        </w:tc>
      </w:tr>
    </w:tbl>
    <w:p>
      <w:pPr>
        <w:rPr>
          <w:color w:val="auto"/>
          <w:highlight w:val="none"/>
        </w:rPr>
      </w:pPr>
    </w:p>
    <w:p>
      <w:pPr>
        <w:adjustRightInd/>
        <w:snapToGrid/>
        <w:spacing w:line="240" w:lineRule="auto"/>
        <w:rPr>
          <w:rFonts w:ascii="宋体" w:hAnsi="宋体"/>
          <w:color w:val="auto"/>
          <w:highlight w:val="none"/>
        </w:rPr>
      </w:pPr>
      <w:bookmarkStart w:id="22" w:name="_Toc19316"/>
    </w:p>
    <w:p>
      <w:pPr>
        <w:pStyle w:val="5"/>
        <w:spacing w:before="0" w:after="0" w:line="360" w:lineRule="auto"/>
        <w:jc w:val="center"/>
        <w:rPr>
          <w:rFonts w:hint="eastAsia" w:ascii="宋体" w:hAnsi="宋体" w:eastAsia="宋体" w:cs="宋体"/>
          <w:color w:val="auto"/>
          <w:highlight w:val="none"/>
        </w:rPr>
      </w:pPr>
      <w:bookmarkStart w:id="23" w:name="_Toc8365"/>
      <w:r>
        <w:rPr>
          <w:rFonts w:hint="eastAsia" w:ascii="宋体" w:hAnsi="宋体"/>
          <w:color w:val="auto"/>
          <w:highlight w:val="none"/>
        </w:rPr>
        <w:br w:type="page"/>
      </w:r>
      <w:bookmarkStart w:id="24" w:name="_Toc26852"/>
      <w:r>
        <w:rPr>
          <w:rFonts w:hint="eastAsia" w:ascii="宋体" w:hAnsi="宋体" w:eastAsia="宋体" w:cs="宋体"/>
          <w:color w:val="auto"/>
          <w:highlight w:val="none"/>
        </w:rPr>
        <w:t>第二章 技术需求书</w:t>
      </w:r>
      <w:bookmarkEnd w:id="22"/>
      <w:bookmarkEnd w:id="23"/>
      <w:bookmarkEnd w:id="24"/>
    </w:p>
    <w:bookmarkEnd w:id="17"/>
    <w:p>
      <w:pPr>
        <w:widowControl w:val="0"/>
        <w:autoSpaceDE w:val="0"/>
        <w:autoSpaceDN w:val="0"/>
        <w:snapToGrid/>
        <w:spacing w:before="50" w:after="50" w:line="400" w:lineRule="exact"/>
        <w:rPr>
          <w:rFonts w:hint="eastAsia"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val="en-US" w:eastAsia="zh-CN"/>
        </w:rPr>
        <w:t>总则</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1.本技术需求书用于“</w:t>
      </w:r>
      <w:r>
        <w:rPr>
          <w:rFonts w:hint="eastAsia" w:ascii="宋体" w:hAnsi="宋体" w:cs="宋体"/>
          <w:b w:val="0"/>
          <w:bCs/>
          <w:color w:val="auto"/>
          <w:sz w:val="21"/>
          <w:szCs w:val="21"/>
          <w:highlight w:val="none"/>
          <w:lang w:val="en-US" w:eastAsia="zh-CN"/>
        </w:rPr>
        <w:t>项目公司专项咨询服务（重新采购）</w:t>
      </w:r>
      <w:r>
        <w:rPr>
          <w:rFonts w:hint="eastAsia" w:ascii="宋体" w:hAnsi="宋体" w:eastAsia="宋体" w:cs="宋体"/>
          <w:b w:val="0"/>
          <w:bCs/>
          <w:color w:val="auto"/>
          <w:sz w:val="21"/>
          <w:szCs w:val="21"/>
          <w:highlight w:val="none"/>
          <w:lang w:val="en-US" w:eastAsia="zh-CN"/>
        </w:rPr>
        <w:t>”项目，内容包括项目概况、服务内容、服务质量、服务期限和费用预算等方面的要求。</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2.本技术需求书提出了最低限度的要求，并未对一切项目细节做出规定，也未充分引述有关标准和规范的条文，响应人应保证提供符合本技术规范书和最新法律法规、审计准则、评估准则等相关规定的服务。</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响应人没有以书面形式对本技术需求书的条文提出异议，采购人可认为响应人提供的服务应完全满足技术规范书的要求，如果有异议，应以书面形式明确提出，在征得采购人同意后，可对有关文件进行修改，如采购人不同意修改，仍以采购人意见为准。</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4.在签订合同之后，采购人保留对本技术需求书提出的补充要求和修改的权利，响应人应承诺予以配合，如提出修改，具体项目和条件由双方商定。</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5.本技术规范书经双方认可后作为服务合同的附件，与合同正文具有同等效力。</w:t>
      </w:r>
    </w:p>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w:t>
      </w:r>
      <w:r>
        <w:rPr>
          <w:rFonts w:hint="eastAsia" w:ascii="宋体" w:hAnsi="宋体" w:cs="宋体"/>
          <w:b/>
          <w:color w:val="auto"/>
          <w:sz w:val="21"/>
          <w:szCs w:val="21"/>
          <w:highlight w:val="none"/>
          <w:lang w:val="en-US" w:eastAsia="zh-CN"/>
        </w:rPr>
        <w:t>概况</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bookmarkStart w:id="25" w:name="_Toc72425374"/>
      <w:bookmarkStart w:id="26" w:name="_Toc76376681"/>
      <w:bookmarkStart w:id="27" w:name="_Toc388902631"/>
      <w:r>
        <w:rPr>
          <w:rFonts w:hint="eastAsia" w:asciiTheme="minorEastAsia" w:hAnsiTheme="minorEastAsia" w:eastAsiaTheme="minorEastAsia" w:cstheme="minorEastAsia"/>
          <w:color w:val="auto"/>
          <w:sz w:val="21"/>
          <w:szCs w:val="21"/>
          <w:highlight w:val="none"/>
          <w:lang w:val="en-US" w:eastAsia="zh-CN"/>
        </w:rPr>
        <w:t>项目公司系由全资国企</w:t>
      </w:r>
      <w:r>
        <w:rPr>
          <w:rFonts w:hint="eastAsia" w:ascii="宋体" w:hAnsi="宋体" w:eastAsia="宋体" w:cs="宋体"/>
          <w:b w:val="0"/>
          <w:bCs/>
          <w:color w:val="auto"/>
          <w:sz w:val="21"/>
          <w:szCs w:val="21"/>
          <w:highlight w:val="none"/>
          <w:lang w:val="en-US" w:eastAsia="zh-CN"/>
        </w:rPr>
        <w:t>投资</w:t>
      </w:r>
      <w:r>
        <w:rPr>
          <w:rFonts w:hint="eastAsia" w:asciiTheme="minorEastAsia" w:hAnsiTheme="minorEastAsia" w:eastAsiaTheme="minorEastAsia" w:cstheme="minorEastAsia"/>
          <w:color w:val="auto"/>
          <w:sz w:val="21"/>
          <w:szCs w:val="21"/>
          <w:highlight w:val="none"/>
          <w:lang w:val="en-US" w:eastAsia="zh-CN"/>
        </w:rPr>
        <w:t>管理的项目，项目公司目前主营业务包括房地产投资、股权投资等。</w:t>
      </w:r>
    </w:p>
    <w:p>
      <w:pPr>
        <w:widowControl w:val="0"/>
        <w:autoSpaceDE w:val="0"/>
        <w:autoSpaceDN w:val="0"/>
        <w:snapToGrid/>
        <w:spacing w:before="50" w:after="50" w:line="40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宋体" w:hAnsi="宋体" w:cs="宋体"/>
          <w:b/>
          <w:bCs w:val="0"/>
          <w:color w:val="auto"/>
          <w:kern w:val="0"/>
          <w:sz w:val="21"/>
          <w:szCs w:val="21"/>
          <w:highlight w:val="none"/>
          <w:lang w:val="en-US" w:eastAsia="zh-CN" w:bidi="ar-SA"/>
        </w:rPr>
        <w:t>三</w:t>
      </w:r>
      <w:r>
        <w:rPr>
          <w:rFonts w:hint="eastAsia" w:ascii="宋体" w:hAnsi="宋体" w:eastAsia="宋体" w:cs="宋体"/>
          <w:b/>
          <w:bCs w:val="0"/>
          <w:color w:val="auto"/>
          <w:kern w:val="0"/>
          <w:sz w:val="21"/>
          <w:szCs w:val="21"/>
          <w:highlight w:val="none"/>
          <w:lang w:val="en-US" w:eastAsia="zh-CN" w:bidi="ar-SA"/>
        </w:rPr>
        <w:t>、</w:t>
      </w:r>
      <w:r>
        <w:rPr>
          <w:rFonts w:hint="eastAsia" w:ascii="宋体" w:hAnsi="宋体" w:cs="宋体"/>
          <w:b/>
          <w:bCs w:val="0"/>
          <w:color w:val="auto"/>
          <w:kern w:val="0"/>
          <w:sz w:val="21"/>
          <w:szCs w:val="21"/>
          <w:highlight w:val="none"/>
          <w:lang w:val="en-US" w:eastAsia="zh-CN" w:bidi="ar-SA"/>
        </w:rPr>
        <w:t>服务</w:t>
      </w:r>
      <w:r>
        <w:rPr>
          <w:rFonts w:hint="eastAsia" w:ascii="宋体" w:hAnsi="宋体" w:eastAsia="宋体" w:cs="宋体"/>
          <w:b/>
          <w:bCs w:val="0"/>
          <w:color w:val="auto"/>
          <w:kern w:val="0"/>
          <w:sz w:val="21"/>
          <w:szCs w:val="21"/>
          <w:highlight w:val="none"/>
          <w:lang w:val="en-US" w:eastAsia="zh-CN" w:bidi="ar-SA"/>
        </w:rPr>
        <w:t>内容</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1.梳理、完善项目投资决策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投后管理的文件</w:t>
      </w:r>
    </w:p>
    <w:p>
      <w:pPr>
        <w:widowControl w:val="0"/>
        <w:autoSpaceDE/>
        <w:autoSpaceDN/>
        <w:adjustRightInd/>
        <w:snapToGrid/>
        <w:spacing w:before="0"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国有企业对外投资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管理的各项法律法规</w:t>
      </w:r>
      <w:r>
        <w:rPr>
          <w:rFonts w:hint="eastAsia" w:ascii="宋体" w:hAnsi="宋体" w:cs="宋体"/>
          <w:color w:val="auto"/>
          <w:sz w:val="21"/>
          <w:szCs w:val="21"/>
          <w:highlight w:val="none"/>
          <w:lang w:val="en-US" w:eastAsia="zh-CN"/>
        </w:rPr>
        <w:t>以及管理制度和采购人的</w:t>
      </w:r>
      <w:r>
        <w:rPr>
          <w:rFonts w:hint="eastAsia" w:ascii="宋体" w:hAnsi="宋体" w:eastAsia="宋体" w:cs="宋体"/>
          <w:color w:val="auto"/>
          <w:sz w:val="21"/>
          <w:szCs w:val="21"/>
          <w:highlight w:val="none"/>
          <w:lang w:val="en-US" w:eastAsia="zh-CN"/>
        </w:rPr>
        <w:t>要求，全面梳理、完善</w:t>
      </w:r>
      <w:r>
        <w:rPr>
          <w:rFonts w:hint="eastAsia" w:ascii="宋体" w:hAnsi="宋体" w:cs="宋体"/>
          <w:color w:val="auto"/>
          <w:sz w:val="21"/>
          <w:szCs w:val="21"/>
          <w:highlight w:val="none"/>
          <w:lang w:val="en-US" w:eastAsia="zh-CN"/>
        </w:rPr>
        <w:t>本</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投资决策、投后</w:t>
      </w:r>
      <w:r>
        <w:rPr>
          <w:rFonts w:hint="eastAsia" w:ascii="宋体" w:hAnsi="宋体" w:eastAsia="宋体" w:cs="宋体"/>
          <w:b w:val="0"/>
          <w:bCs/>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的</w:t>
      </w:r>
      <w:r>
        <w:rPr>
          <w:rFonts w:hint="eastAsia" w:ascii="宋体" w:hAnsi="宋体" w:cs="宋体"/>
          <w:b w:val="0"/>
          <w:bCs/>
          <w:color w:val="auto"/>
          <w:kern w:val="10"/>
          <w:sz w:val="21"/>
          <w:szCs w:val="21"/>
          <w:highlight w:val="none"/>
          <w:lang w:val="en-US" w:eastAsia="zh-CN" w:bidi="ar-SA"/>
        </w:rPr>
        <w:t>全部</w:t>
      </w:r>
      <w:r>
        <w:rPr>
          <w:rFonts w:hint="eastAsia" w:ascii="宋体" w:hAnsi="宋体" w:eastAsia="宋体" w:cs="宋体"/>
          <w:color w:val="auto"/>
          <w:sz w:val="21"/>
          <w:szCs w:val="21"/>
          <w:highlight w:val="none"/>
          <w:lang w:val="en-US" w:eastAsia="zh-CN"/>
        </w:rPr>
        <w:t>文件，确保项目投资决策、</w:t>
      </w:r>
      <w:r>
        <w:rPr>
          <w:rFonts w:hint="eastAsia" w:ascii="宋体" w:hAnsi="宋体" w:cs="宋体"/>
          <w:color w:val="auto"/>
          <w:sz w:val="21"/>
          <w:szCs w:val="21"/>
          <w:highlight w:val="none"/>
          <w:lang w:val="en-US" w:eastAsia="zh-CN"/>
        </w:rPr>
        <w:t>投后管理</w:t>
      </w:r>
      <w:r>
        <w:rPr>
          <w:rFonts w:hint="eastAsia" w:ascii="宋体" w:hAnsi="宋体" w:eastAsia="宋体" w:cs="宋体"/>
          <w:color w:val="auto"/>
          <w:sz w:val="21"/>
          <w:szCs w:val="21"/>
          <w:highlight w:val="none"/>
          <w:lang w:val="en-US" w:eastAsia="zh-CN"/>
        </w:rPr>
        <w:t>满足各项法规和监管要求。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审核资产负债及股东权益情况</w:t>
      </w:r>
    </w:p>
    <w:p>
      <w:pPr>
        <w:widowControl w:val="0"/>
        <w:autoSpaceDE/>
        <w:autoSpaceDN/>
        <w:adjustRightInd/>
        <w:snapToGrid/>
        <w:spacing w:before="0" w:after="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采购人确定的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，对项目公司的</w:t>
      </w:r>
      <w:r>
        <w:rPr>
          <w:rFonts w:hint="eastAsia" w:ascii="宋体" w:hAnsi="宋体" w:eastAsia="宋体" w:cs="宋体"/>
          <w:color w:val="auto"/>
          <w:sz w:val="21"/>
          <w:szCs w:val="21"/>
          <w:highlight w:val="none"/>
          <w:lang w:val="en-US" w:eastAsia="zh-CN"/>
        </w:rPr>
        <w:t>各项资产、负债、股东权益情况进行审计，重点审计项目公司各项资产的可</w:t>
      </w:r>
      <w:r>
        <w:rPr>
          <w:rFonts w:hint="eastAsia" w:ascii="宋体" w:hAnsi="宋体" w:eastAsia="宋体" w:cs="宋体"/>
          <w:b w:val="0"/>
          <w:bCs/>
          <w:color w:val="auto"/>
          <w:sz w:val="21"/>
          <w:szCs w:val="21"/>
          <w:highlight w:val="none"/>
          <w:lang w:val="en-US" w:eastAsia="zh-CN"/>
        </w:rPr>
        <w:t>回收</w:t>
      </w:r>
      <w:r>
        <w:rPr>
          <w:rFonts w:hint="eastAsia" w:ascii="宋体" w:hAnsi="宋体" w:eastAsia="宋体" w:cs="宋体"/>
          <w:color w:val="auto"/>
          <w:sz w:val="21"/>
          <w:szCs w:val="21"/>
          <w:highlight w:val="none"/>
          <w:lang w:val="en-US" w:eastAsia="zh-CN"/>
        </w:rPr>
        <w:t>、受限及处置的具体情况，核实项目公司各项负债的性质、期限、利息及设置的增信措施等情况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，对项目公司出具净资产审计报告。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评估</w:t>
      </w:r>
      <w:r>
        <w:rPr>
          <w:rFonts w:hint="eastAsia" w:ascii="宋体" w:hAnsi="宋体" w:eastAsia="宋体" w:cs="宋体"/>
          <w:b/>
          <w:bCs/>
          <w:color w:val="auto"/>
          <w:sz w:val="21"/>
          <w:szCs w:val="21"/>
          <w:highlight w:val="none"/>
          <w:lang w:val="en-US" w:eastAsia="zh-CN"/>
        </w:rPr>
        <w:t>项目公司公司整体</w:t>
      </w:r>
      <w:r>
        <w:rPr>
          <w:rFonts w:hint="eastAsia" w:ascii="宋体" w:hAnsi="宋体" w:cs="宋体"/>
          <w:b/>
          <w:bCs/>
          <w:color w:val="auto"/>
          <w:sz w:val="21"/>
          <w:szCs w:val="21"/>
          <w:highlight w:val="none"/>
          <w:lang w:val="en-US" w:eastAsia="zh-CN"/>
        </w:rPr>
        <w:t>价值</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4.规划项目交易条件、交易方案和交易路径</w:t>
      </w:r>
    </w:p>
    <w:p>
      <w:pPr>
        <w:widowControl w:val="0"/>
        <w:autoSpaceDE/>
        <w:autoSpaceDN/>
        <w:adjustRightInd/>
        <w:snapToGrid/>
        <w:spacing w:before="0"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根据项目的审计和评估结果，协助</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设计规划承债式交易条件、交易方案，协助</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与产权交易</w:t>
      </w:r>
      <w:r>
        <w:rPr>
          <w:rFonts w:hint="eastAsia" w:asciiTheme="minorEastAsia" w:hAnsiTheme="minorEastAsia" w:eastAsiaTheme="minorEastAsia" w:cstheme="minorEastAsia"/>
          <w:color w:val="auto"/>
          <w:sz w:val="21"/>
          <w:szCs w:val="21"/>
          <w:highlight w:val="none"/>
          <w:lang w:val="en-US" w:eastAsia="zh-CN"/>
        </w:rPr>
        <w:t>中心</w:t>
      </w:r>
      <w:r>
        <w:rPr>
          <w:rFonts w:hint="eastAsia" w:ascii="宋体" w:hAnsi="宋体" w:eastAsia="宋体" w:cs="宋体"/>
          <w:b w:val="0"/>
          <w:bCs/>
          <w:color w:val="auto"/>
          <w:kern w:val="10"/>
          <w:sz w:val="21"/>
          <w:szCs w:val="21"/>
          <w:highlight w:val="none"/>
          <w:lang w:val="en-US" w:eastAsia="zh-CN" w:bidi="ar-SA"/>
        </w:rPr>
        <w:t>对接</w:t>
      </w:r>
      <w:r>
        <w:rPr>
          <w:rFonts w:hint="eastAsia" w:ascii="宋体" w:hAnsi="宋体" w:eastAsia="宋体" w:cs="宋体"/>
          <w:color w:val="auto"/>
          <w:sz w:val="21"/>
          <w:szCs w:val="21"/>
          <w:highlight w:val="none"/>
          <w:lang w:val="en-US" w:eastAsia="zh-CN"/>
        </w:rPr>
        <w:t>，合理规划项目挂牌交易方案，根据交易结果协助</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完成交易实施路径，确保各项</w:t>
      </w:r>
      <w:r>
        <w:rPr>
          <w:rFonts w:hint="eastAsia" w:ascii="宋体" w:hAnsi="宋体" w:cs="宋体"/>
          <w:color w:val="auto"/>
          <w:sz w:val="21"/>
          <w:szCs w:val="21"/>
          <w:highlight w:val="none"/>
          <w:lang w:val="en-US" w:eastAsia="zh-CN"/>
        </w:rPr>
        <w:t>法律</w:t>
      </w:r>
      <w:r>
        <w:rPr>
          <w:rFonts w:hint="eastAsia" w:ascii="宋体" w:hAnsi="宋体" w:eastAsia="宋体" w:cs="宋体"/>
          <w:color w:val="auto"/>
          <w:sz w:val="21"/>
          <w:szCs w:val="21"/>
          <w:highlight w:val="none"/>
          <w:lang w:val="en-US" w:eastAsia="zh-CN"/>
        </w:rPr>
        <w:t>法规要求，保障</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正当权益。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5.项目处置完成后，出具项目整体投资的效益评价和合规性评估报告</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lang w:val="en-US" w:eastAsia="zh-CN"/>
        </w:rPr>
        <w:t>针对</w:t>
      </w:r>
      <w:r>
        <w:rPr>
          <w:rFonts w:hint="eastAsia" w:ascii="宋体" w:hAnsi="宋体" w:eastAsia="宋体" w:cs="宋体"/>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lang w:val="en-US" w:eastAsia="zh-CN"/>
        </w:rPr>
        <w:t>投资</w:t>
      </w:r>
      <w:r>
        <w:rPr>
          <w:rFonts w:hint="eastAsia" w:ascii="宋体" w:hAnsi="宋体" w:eastAsia="宋体" w:cs="宋体"/>
          <w:color w:val="auto"/>
          <w:sz w:val="21"/>
          <w:szCs w:val="21"/>
          <w:highlight w:val="none"/>
          <w:lang w:val="en-US" w:eastAsia="zh-CN"/>
        </w:rPr>
        <w:t>全过程出具整体性的合规分析评估报告，以论证项目投资、管理、处置全过程符合相关法规要求，客观评价项目整体</w:t>
      </w:r>
      <w:r>
        <w:rPr>
          <w:rFonts w:hint="eastAsia" w:ascii="宋体" w:hAnsi="宋体" w:eastAsia="宋体" w:cs="宋体"/>
          <w:b w:val="0"/>
          <w:bCs/>
          <w:color w:val="auto"/>
          <w:sz w:val="21"/>
          <w:szCs w:val="21"/>
          <w:highlight w:val="none"/>
          <w:lang w:val="en-US" w:eastAsia="zh-CN"/>
        </w:rPr>
        <w:t>投资</w:t>
      </w:r>
      <w:r>
        <w:rPr>
          <w:rFonts w:hint="eastAsia" w:ascii="宋体" w:hAnsi="宋体" w:eastAsia="宋体" w:cs="宋体"/>
          <w:color w:val="auto"/>
          <w:sz w:val="21"/>
          <w:szCs w:val="21"/>
          <w:highlight w:val="none"/>
          <w:lang w:val="en-US" w:eastAsia="zh-CN"/>
        </w:rPr>
        <w:t>效益</w:t>
      </w:r>
      <w:r>
        <w:rPr>
          <w:rFonts w:hint="eastAsia" w:asciiTheme="minorEastAsia" w:hAnsiTheme="minorEastAsia" w:eastAsiaTheme="minorEastAsia" w:cstheme="minorEastAsia"/>
          <w:color w:val="auto"/>
          <w:sz w:val="21"/>
          <w:szCs w:val="21"/>
          <w:highlight w:val="none"/>
        </w:rPr>
        <w:t>。</w:t>
      </w:r>
    </w:p>
    <w:bookmarkEnd w:id="25"/>
    <w:bookmarkEnd w:id="26"/>
    <w:bookmarkEnd w:id="27"/>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四、服务质量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响应人须保证按照相关要求遵守职业道德规范，恪守独立、客观、公正的原则，确保其履行职责所需要的专业胜任能力，以应有的职业谨慎态度执行审核、评估业务。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响应人应当在实施必要的审计、评估程序后，以经过核实的证据为依据，分析、评价审核结论，形成审计、评估意见，出具审计、评估报告。保证审计、评估报告的真实性、准确性、合法性。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响应人可在审计、评估过程中合理分配工作量和工作时间，必须保证在合同规定的时间内认真负责地完成合同范围内的服务工作并出具合格的报告。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对响应人</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lang w:val="en-US" w:eastAsia="zh-CN"/>
        </w:rPr>
        <w:t>必须配备经验丰富、数量足够的专业人员，确保审计</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r>
        <w:rPr>
          <w:rFonts w:hint="eastAsia" w:ascii="宋体" w:hAnsi="宋体" w:cs="宋体"/>
          <w:color w:val="auto"/>
          <w:sz w:val="21"/>
          <w:szCs w:val="21"/>
          <w:highlight w:val="none"/>
          <w:lang w:val="en-US" w:eastAsia="zh-CN"/>
        </w:rPr>
        <w:t>服务人员</w:t>
      </w:r>
      <w:r>
        <w:rPr>
          <w:rFonts w:hint="eastAsia" w:ascii="宋体" w:hAnsi="宋体" w:eastAsia="宋体" w:cs="宋体"/>
          <w:color w:val="auto"/>
          <w:sz w:val="21"/>
          <w:szCs w:val="21"/>
          <w:highlight w:val="none"/>
          <w:lang w:val="en-US" w:eastAsia="zh-CN"/>
        </w:rPr>
        <w:t>需要熟悉国有企业合规管理要求</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房地产行业、投融资等</w:t>
      </w:r>
      <w:r>
        <w:rPr>
          <w:rFonts w:hint="eastAsia" w:ascii="宋体" w:hAnsi="宋体" w:eastAsia="宋体" w:cs="宋体"/>
          <w:b w:val="0"/>
          <w:bCs/>
          <w:color w:val="auto"/>
          <w:kern w:val="10"/>
          <w:sz w:val="21"/>
          <w:szCs w:val="21"/>
          <w:highlight w:val="none"/>
          <w:lang w:val="en-US" w:eastAsia="zh-CN" w:bidi="ar-SA"/>
        </w:rPr>
        <w:t>领域</w:t>
      </w:r>
      <w:r>
        <w:rPr>
          <w:rFonts w:hint="eastAsia" w:ascii="宋体" w:hAnsi="宋体" w:cs="宋体"/>
          <w:b w:val="0"/>
          <w:bCs/>
          <w:color w:val="auto"/>
          <w:kern w:val="10"/>
          <w:sz w:val="21"/>
          <w:szCs w:val="21"/>
          <w:highlight w:val="none"/>
          <w:lang w:val="en-US" w:eastAsia="zh-CN" w:bidi="ar-SA"/>
        </w:rPr>
        <w:t>专业知识。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服务团队要求为资深会计师、税务师、评估师等不少于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人组成</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其中项目负责人要求具有注册会计师证书</w:t>
      </w:r>
      <w:r>
        <w:rPr>
          <w:rFonts w:hint="eastAsia" w:ascii="宋体" w:hAnsi="宋体" w:cs="宋体"/>
          <w:color w:val="auto"/>
          <w:sz w:val="21"/>
          <w:szCs w:val="21"/>
          <w:highlight w:val="none"/>
          <w:lang w:val="en-US" w:eastAsia="zh-CN"/>
        </w:rPr>
        <w:t>或</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，执业经验10年以上，其他组员要求至少2人具有注册会计师证书、2人具有资产评估师证书。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kern w:val="0"/>
          <w:sz w:val="21"/>
          <w:szCs w:val="21"/>
          <w:highlight w:val="none"/>
          <w:lang w:val="en-US" w:eastAsia="zh-CN"/>
        </w:rPr>
        <w:t>期限</w:t>
      </w:r>
    </w:p>
    <w:p>
      <w:pPr>
        <w:pStyle w:val="35"/>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项目合同签订之日起至项目相关报告</w:t>
      </w:r>
      <w:r>
        <w:rPr>
          <w:rFonts w:hint="eastAsia" w:ascii="宋体" w:hAnsi="宋体" w:eastAsia="宋体" w:cs="宋体"/>
          <w:color w:val="auto"/>
          <w:kern w:val="0"/>
          <w:szCs w:val="21"/>
          <w:highlight w:val="none"/>
          <w:lang w:val="en-US" w:eastAsia="zh-CN"/>
        </w:rPr>
        <w:t>提交采购人</w:t>
      </w:r>
      <w:r>
        <w:rPr>
          <w:rFonts w:hint="eastAsia" w:ascii="宋体" w:hAnsi="宋体" w:eastAsia="宋体" w:cs="宋体"/>
          <w:color w:val="auto"/>
          <w:kern w:val="0"/>
          <w:szCs w:val="21"/>
          <w:highlight w:val="none"/>
        </w:rPr>
        <w:t>并由</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确认无误时止</w:t>
      </w:r>
      <w:r>
        <w:rPr>
          <w:rFonts w:hint="eastAsia" w:ascii="宋体" w:hAnsi="宋体" w:eastAsia="宋体" w:cs="宋体"/>
          <w:color w:val="auto"/>
          <w:kern w:val="0"/>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sz w:val="21"/>
          <w:szCs w:val="21"/>
          <w:highlight w:val="none"/>
          <w:lang w:val="en-US" w:eastAsia="zh-CN"/>
        </w:rPr>
        <w:t>费用预算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项目预算为60万元，具体明细如下：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b w:val="0"/>
          <w:bCs/>
          <w:color w:val="auto"/>
          <w:kern w:val="10"/>
          <w:sz w:val="21"/>
          <w:szCs w:val="21"/>
          <w:highlight w:val="none"/>
          <w:lang w:val="en-US" w:eastAsia="zh-CN" w:bidi="ar-SA"/>
        </w:rPr>
        <w:t>全过程</w:t>
      </w:r>
      <w:r>
        <w:rPr>
          <w:rFonts w:hint="eastAsia" w:ascii="宋体" w:hAnsi="宋体" w:eastAsia="宋体" w:cs="宋体"/>
          <w:color w:val="auto"/>
          <w:sz w:val="21"/>
          <w:szCs w:val="21"/>
          <w:highlight w:val="none"/>
          <w:lang w:val="en-US" w:eastAsia="zh-CN"/>
        </w:rPr>
        <w:t>咨询服务费：</w:t>
      </w:r>
      <w:r>
        <w:rPr>
          <w:rFonts w:hint="eastAsia" w:ascii="宋体" w:hAnsi="宋体"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20万元（含出具项目投资合规分析评估报告）；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项目公司净资产审计报告：</w:t>
      </w:r>
      <w:r>
        <w:rPr>
          <w:rFonts w:hint="eastAsia" w:ascii="宋体" w:hAnsi="宋体"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15万元；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项目公司股权价值整体评估报告</w:t>
      </w:r>
      <w:r>
        <w:rPr>
          <w:rFonts w:hint="eastAsia" w:ascii="宋体" w:hAnsi="宋体"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25万元。</w:t>
      </w:r>
    </w:p>
    <w:p>
      <w:pPr>
        <w:spacing w:line="360" w:lineRule="auto"/>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ind w:firstLine="420" w:firstLineChars="200"/>
        <w:rPr>
          <w:rFonts w:ascii="宋体" w:hAnsi="宋体" w:cs="Times New Roman"/>
          <w:color w:val="auto"/>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18"/>
    <w:bookmarkEnd w:id="19"/>
    <w:bookmarkEnd w:id="20"/>
    <w:bookmarkEnd w:id="21"/>
    <w:p>
      <w:pPr>
        <w:pStyle w:val="4"/>
        <w:spacing w:before="0" w:after="0" w:line="240" w:lineRule="auto"/>
        <w:rPr>
          <w:color w:val="auto"/>
          <w:sz w:val="24"/>
          <w:szCs w:val="24"/>
          <w:highlight w:val="none"/>
        </w:rPr>
      </w:pPr>
      <w:bookmarkStart w:id="28" w:name="_Toc12173"/>
      <w:bookmarkStart w:id="29" w:name="_Toc2653"/>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供应商须知</w:t>
      </w:r>
      <w:bookmarkEnd w:id="28"/>
      <w:bookmarkEnd w:id="29"/>
    </w:p>
    <w:p>
      <w:pPr>
        <w:pStyle w:val="5"/>
        <w:numPr>
          <w:ilvl w:val="0"/>
          <w:numId w:val="2"/>
        </w:numPr>
        <w:spacing w:before="0" w:after="0" w:line="480" w:lineRule="auto"/>
        <w:jc w:val="center"/>
        <w:rPr>
          <w:rFonts w:ascii="宋体" w:hAnsi="宋体"/>
          <w:color w:val="auto"/>
          <w:highlight w:val="none"/>
        </w:rPr>
      </w:pPr>
      <w:bookmarkStart w:id="30" w:name="_Toc26616"/>
      <w:bookmarkStart w:id="31" w:name="_Toc399"/>
      <w:r>
        <w:rPr>
          <w:rFonts w:hint="eastAsia" w:ascii="宋体" w:hAnsi="宋体"/>
          <w:color w:val="auto"/>
          <w:highlight w:val="none"/>
        </w:rPr>
        <w:t>说明</w:t>
      </w:r>
      <w:bookmarkEnd w:id="30"/>
      <w:bookmarkEnd w:id="31"/>
    </w:p>
    <w:p>
      <w:pPr>
        <w:pStyle w:val="6"/>
        <w:widowControl w:val="0"/>
        <w:numPr>
          <w:ilvl w:val="0"/>
          <w:numId w:val="3"/>
        </w:numPr>
        <w:overflowPunct w:val="0"/>
        <w:rPr>
          <w:rFonts w:ascii="宋体" w:hAnsi="宋体" w:cs="宋体"/>
          <w:color w:val="auto"/>
          <w:sz w:val="21"/>
          <w:szCs w:val="21"/>
          <w:highlight w:val="none"/>
        </w:rPr>
      </w:pPr>
      <w:bookmarkStart w:id="32" w:name="_Toc3534"/>
      <w:bookmarkStart w:id="33" w:name="_Toc8725"/>
      <w:bookmarkStart w:id="34" w:name="_Toc5825"/>
      <w:r>
        <w:rPr>
          <w:rFonts w:hint="eastAsia" w:ascii="宋体" w:hAnsi="宋体" w:cs="宋体"/>
          <w:color w:val="auto"/>
          <w:sz w:val="21"/>
          <w:szCs w:val="21"/>
          <w:highlight w:val="none"/>
        </w:rPr>
        <w:t>适用范围</w:t>
      </w:r>
      <w:bookmarkEnd w:id="32"/>
      <w:bookmarkEnd w:id="33"/>
      <w:bookmarkEnd w:id="34"/>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35" w:name="_Toc1427"/>
      <w:bookmarkStart w:id="36" w:name="_Toc303084246"/>
      <w:bookmarkStart w:id="37" w:name="_Toc1530"/>
      <w:bookmarkStart w:id="38" w:name="_Toc298847174"/>
      <w:bookmarkStart w:id="39" w:name="_Toc20286"/>
      <w:bookmarkStart w:id="40" w:name="_Toc19083"/>
      <w:bookmarkStart w:id="41" w:name="_Toc382049092"/>
      <w:r>
        <w:rPr>
          <w:rFonts w:hint="eastAsia" w:ascii="宋体" w:hAnsi="宋体" w:cs="宋体"/>
          <w:color w:val="auto"/>
          <w:sz w:val="21"/>
          <w:szCs w:val="21"/>
          <w:highlight w:val="none"/>
        </w:rPr>
        <w:t>定义</w:t>
      </w:r>
      <w:bookmarkEnd w:id="35"/>
      <w:bookmarkEnd w:id="36"/>
      <w:bookmarkEnd w:id="37"/>
      <w:bookmarkEnd w:id="38"/>
      <w:bookmarkEnd w:id="39"/>
      <w:bookmarkEnd w:id="40"/>
      <w:bookmarkEnd w:id="41"/>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采购人：见磋商邀请书。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供应商：响应采购并且符合磋商文件规定资格条件和参加磋商竞争的法人、其他组织或者自然人。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成交人：指经</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评审推荐、采购人确认的获得本项目成交资格的供应商。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采购代理机构：见磋商邀请书。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是依据相关规定组建的专门负责本次采购其</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工作的临时性机构。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供应商如在响应文件中使用“投标专用章”，应提供法定代表人签字或加盖公章说明该“投标专用章”与法人公章具备同等效力的证明文件，且投标当天应携带相关原件到现场，以供核查。因响应文件未提供相关手续复印件和无法核查投标专用章的真实性而导致的后果由供应商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42" w:name="_Toc12759"/>
      <w:bookmarkStart w:id="43" w:name="_Toc11624"/>
      <w:bookmarkStart w:id="44" w:name="_Toc27116"/>
      <w:r>
        <w:rPr>
          <w:rFonts w:hint="eastAsia" w:ascii="宋体" w:hAnsi="宋体" w:cs="宋体"/>
          <w:color w:val="auto"/>
          <w:sz w:val="21"/>
          <w:szCs w:val="21"/>
          <w:highlight w:val="none"/>
        </w:rPr>
        <w:t>货物和服务</w:t>
      </w:r>
      <w:bookmarkEnd w:id="42"/>
      <w:bookmarkEnd w:id="43"/>
      <w:bookmarkEnd w:id="44"/>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45" w:name="_Toc10743"/>
      <w:bookmarkStart w:id="46" w:name="_Toc15719"/>
      <w:bookmarkStart w:id="47" w:name="_Toc30467"/>
      <w:r>
        <w:rPr>
          <w:rFonts w:hint="eastAsia" w:ascii="宋体" w:hAnsi="宋体" w:cs="宋体"/>
          <w:color w:val="auto"/>
          <w:sz w:val="21"/>
          <w:szCs w:val="21"/>
          <w:highlight w:val="none"/>
        </w:rPr>
        <w:t>磋商费用</w:t>
      </w:r>
      <w:bookmarkEnd w:id="45"/>
      <w:bookmarkEnd w:id="46"/>
      <w:bookmarkEnd w:id="47"/>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供应商应承担所有与编写响应文件和参加磋商有关的自身的所有费用，不论磋商的结果如何，采购代理机构和采购人在任何情况下均无义务和责任承担这些费用。</w:t>
      </w:r>
    </w:p>
    <w:p>
      <w:pPr>
        <w:widowControl w:val="0"/>
        <w:adjustRightInd/>
        <w:snapToGrid/>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48" w:name="_Toc7946"/>
      <w:bookmarkStart w:id="49" w:name="_Toc25599"/>
      <w:bookmarkStart w:id="50" w:name="_Toc6180"/>
      <w:r>
        <w:rPr>
          <w:rFonts w:hint="eastAsia" w:ascii="宋体" w:hAnsi="宋体" w:cs="宋体"/>
          <w:color w:val="auto"/>
          <w:sz w:val="21"/>
          <w:szCs w:val="21"/>
          <w:highlight w:val="none"/>
        </w:rPr>
        <w:t>知识产权</w:t>
      </w:r>
      <w:bookmarkEnd w:id="48"/>
      <w:bookmarkEnd w:id="49"/>
      <w:bookmarkEnd w:id="50"/>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供应商如欲在项目实施过程中采用自有知识成果，需在响应文件中声明，并提供相关知识产权证明文件。使用该知识成果后，供应商需提供开发接口和开发手册等技术文档。</w:t>
      </w:r>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51" w:name="_Toc32767"/>
      <w:bookmarkStart w:id="52" w:name="_Toc2352"/>
      <w:bookmarkStart w:id="53" w:name="_Toc2400"/>
      <w:r>
        <w:rPr>
          <w:rFonts w:hint="eastAsia" w:ascii="宋体" w:hAnsi="宋体" w:cs="宋体"/>
          <w:color w:val="auto"/>
          <w:sz w:val="21"/>
          <w:szCs w:val="21"/>
          <w:highlight w:val="none"/>
        </w:rPr>
        <w:t>关于联合体</w:t>
      </w:r>
      <w:bookmarkEnd w:id="51"/>
      <w:bookmarkEnd w:id="52"/>
      <w:r>
        <w:rPr>
          <w:rFonts w:hint="eastAsia" w:ascii="宋体" w:hAnsi="宋体" w:cs="宋体"/>
          <w:color w:val="auto"/>
          <w:sz w:val="21"/>
          <w:szCs w:val="21"/>
          <w:highlight w:val="none"/>
          <w:lang w:val="en-US" w:eastAsia="zh-CN"/>
        </w:rPr>
        <w:t>响应</w:t>
      </w:r>
      <w:bookmarkEnd w:id="53"/>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对接受联合体</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的项目：两个以上的自然人、法人或者其他组织可以组成一个联合体，以一个供应商的身份共同参加采购活动。</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以联合体形式参与项目的供应商在领购磋商文件时，应提供所有联合体组成成员的营业执照复印件，并加盖各联合体组成成员的公章。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磋商文件对供应商资格条件有规定的，联合体各方均应当具备规定的相应资格条件。由同一专业的单位组成的联合体，按照资质等级较低的单位确定资质等级。</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响应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除联合体协议明确授权盖章单位外，联合体投标时响应文件中所有要求盖章的地方均须加盖联合体所有组成成员的公章，否则该处盖章无效。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协议约定的各方承担的工作和相应责任，确定一方打分，不累加打分；评审标准不明确或难以明确以哪一方计算评分情况时，则按</w:t>
      </w:r>
      <w:r>
        <w:rPr>
          <w:rFonts w:hint="eastAsia" w:ascii="宋体" w:hAnsi="宋体" w:cs="宋体"/>
          <w:color w:val="auto"/>
          <w:szCs w:val="21"/>
          <w:highlight w:val="none"/>
          <w:lang w:val="en-US" w:eastAsia="zh-CN"/>
        </w:rPr>
        <w:t>牵头</w:t>
      </w:r>
      <w:r>
        <w:rPr>
          <w:rFonts w:hint="eastAsia" w:ascii="宋体" w:hAnsi="宋体" w:cs="宋体"/>
          <w:color w:val="auto"/>
          <w:szCs w:val="21"/>
          <w:highlight w:val="none"/>
        </w:rPr>
        <w:t>方情况评分。</w:t>
      </w:r>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54" w:name="_Toc21230"/>
      <w:bookmarkStart w:id="55" w:name="_Toc3572"/>
      <w:bookmarkStart w:id="56" w:name="_Toc6403"/>
      <w:r>
        <w:rPr>
          <w:rFonts w:hint="eastAsia" w:ascii="宋体" w:hAnsi="宋体" w:cs="宋体"/>
          <w:color w:val="auto"/>
          <w:sz w:val="21"/>
          <w:szCs w:val="21"/>
          <w:highlight w:val="none"/>
        </w:rPr>
        <w:t>关于分支机构</w:t>
      </w:r>
      <w:bookmarkEnd w:id="54"/>
      <w:bookmarkEnd w:id="55"/>
      <w:r>
        <w:rPr>
          <w:rFonts w:hint="eastAsia" w:ascii="宋体" w:hAnsi="宋体" w:cs="宋体"/>
          <w:color w:val="auto"/>
          <w:sz w:val="21"/>
          <w:szCs w:val="21"/>
          <w:highlight w:val="none"/>
          <w:lang w:val="en-US" w:eastAsia="zh-CN"/>
        </w:rPr>
        <w:t>响应</w:t>
      </w:r>
      <w:bookmarkEnd w:id="56"/>
    </w:p>
    <w:p>
      <w:pPr>
        <w:pStyle w:val="60"/>
        <w:widowControl w:val="0"/>
        <w:adjustRightInd/>
        <w:snapToGrid/>
        <w:ind w:left="425" w:hanging="425" w:firstLineChars="0"/>
        <w:jc w:val="both"/>
        <w:rPr>
          <w:rFonts w:ascii="宋体" w:hAnsi="宋体" w:cs="宋体"/>
          <w:vanish/>
          <w:color w:val="auto"/>
          <w:szCs w:val="21"/>
          <w:highlight w:val="none"/>
        </w:rPr>
      </w:pPr>
      <w:bookmarkStart w:id="57" w:name="EB389f116341dd4693875bc7987e7327f3"/>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w:t>
      </w:r>
      <w:r>
        <w:rPr>
          <w:rFonts w:hint="eastAsia" w:ascii="宋体" w:hAnsi="宋体" w:cs="宋体"/>
          <w:color w:val="auto"/>
          <w:sz w:val="21"/>
          <w:szCs w:val="21"/>
          <w:highlight w:val="none"/>
          <w:lang w:val="en-US" w:eastAsia="zh-CN"/>
        </w:rPr>
        <w:t>响应</w:t>
      </w:r>
      <w:r>
        <w:rPr>
          <w:rFonts w:hint="eastAsia" w:ascii="宋体" w:hAnsi="宋体" w:cs="宋体"/>
          <w:color w:val="auto"/>
          <w:szCs w:val="21"/>
          <w:highlight w:val="none"/>
        </w:rPr>
        <w:t>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57"/>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58" w:name="_Toc13802"/>
      <w:bookmarkStart w:id="59" w:name="_Toc15415"/>
      <w:r>
        <w:rPr>
          <w:rFonts w:hint="eastAsia" w:ascii="宋体" w:hAnsi="宋体" w:cs="宋体"/>
          <w:color w:val="auto"/>
          <w:sz w:val="21"/>
          <w:szCs w:val="21"/>
          <w:highlight w:val="none"/>
        </w:rPr>
        <w:t>踏勘现场</w:t>
      </w:r>
      <w:bookmarkEnd w:id="58"/>
      <w:bookmarkEnd w:id="59"/>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《响应资料表》规定组织踏勘现场的，采购人按《响应资料表》规定的时间、地点组织响应人踏勘项目现场；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60" w:name="_Toc526"/>
      <w:bookmarkStart w:id="61" w:name="_Toc10222"/>
      <w:r>
        <w:rPr>
          <w:rFonts w:hint="eastAsia" w:ascii="宋体" w:hAnsi="宋体" w:cs="宋体"/>
          <w:color w:val="auto"/>
          <w:highlight w:val="none"/>
        </w:rPr>
        <w:t>磋商文件</w:t>
      </w:r>
      <w:bookmarkEnd w:id="60"/>
      <w:bookmarkEnd w:id="61"/>
    </w:p>
    <w:p>
      <w:pPr>
        <w:pStyle w:val="6"/>
        <w:widowControl w:val="0"/>
        <w:numPr>
          <w:ilvl w:val="0"/>
          <w:numId w:val="3"/>
        </w:numPr>
        <w:overflowPunct w:val="0"/>
        <w:rPr>
          <w:rFonts w:ascii="宋体" w:hAnsi="宋体" w:cs="宋体"/>
          <w:color w:val="auto"/>
          <w:sz w:val="21"/>
          <w:szCs w:val="21"/>
          <w:highlight w:val="none"/>
        </w:rPr>
      </w:pPr>
      <w:bookmarkStart w:id="62" w:name="_Toc12776"/>
      <w:bookmarkStart w:id="63" w:name="_Toc16834"/>
      <w:bookmarkStart w:id="64" w:name="_Toc10638"/>
      <w:r>
        <w:rPr>
          <w:rFonts w:hint="eastAsia" w:ascii="宋体" w:hAnsi="宋体" w:cs="宋体"/>
          <w:color w:val="auto"/>
          <w:sz w:val="21"/>
          <w:szCs w:val="21"/>
          <w:highlight w:val="none"/>
        </w:rPr>
        <w:t>磋商文件的组成</w:t>
      </w:r>
      <w:bookmarkEnd w:id="62"/>
      <w:bookmarkEnd w:id="63"/>
      <w:bookmarkEnd w:id="64"/>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磋商文件包括：</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（1）磋商邀请书；</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（2）响应资料表；</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（3）用户需求书；</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（4）供应商须知；</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（6）响应文件格式；</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65" w:name="_Toc1677"/>
      <w:bookmarkStart w:id="66" w:name="_Toc21392"/>
      <w:bookmarkStart w:id="67" w:name="_Toc17939"/>
      <w:r>
        <w:rPr>
          <w:rFonts w:hint="eastAsia" w:ascii="宋体" w:hAnsi="宋体" w:cs="宋体"/>
          <w:color w:val="auto"/>
          <w:sz w:val="21"/>
          <w:szCs w:val="21"/>
          <w:highlight w:val="none"/>
        </w:rPr>
        <w:t>磋商文件的澄清或修改</w:t>
      </w:r>
      <w:bookmarkEnd w:id="65"/>
      <w:bookmarkEnd w:id="66"/>
      <w:bookmarkEnd w:id="67"/>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磋商文件、资格预审文件、磋商邀请书进行必要的澄清或者修改。澄清或者修改的内容为磋商文件、资格预审文件、磋商邀请书的组成部分，具有约束作用。当磋商文件、磋商文件的澄清或修改等在同一内容的表述上不一致时，以最后发出的书面文件及公告为准。</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采购期间，供应商有义务上网查看，公告一经上网发布，即视为送达。因供应商未及时上网查看而造成的所有后果，由供应商自行承担。</w:t>
      </w:r>
    </w:p>
    <w:p>
      <w:pPr>
        <w:widowControl w:val="0"/>
        <w:adjustRightInd/>
        <w:snapToGrid/>
        <w:ind w:left="567"/>
        <w:jc w:val="both"/>
        <w:rPr>
          <w:rFonts w:ascii="宋体" w:hAnsi="宋体" w:cs="宋体"/>
          <w:color w:val="auto"/>
          <w:szCs w:val="21"/>
          <w:highlight w:val="none"/>
        </w:rPr>
      </w:pPr>
    </w:p>
    <w:p>
      <w:pPr>
        <w:pStyle w:val="5"/>
        <w:numPr>
          <w:ilvl w:val="0"/>
          <w:numId w:val="2"/>
        </w:numPr>
        <w:spacing w:before="0" w:after="0" w:line="360" w:lineRule="auto"/>
        <w:jc w:val="center"/>
        <w:rPr>
          <w:rFonts w:ascii="宋体" w:hAnsi="宋体" w:cs="宋体"/>
          <w:color w:val="auto"/>
          <w:highlight w:val="none"/>
        </w:rPr>
      </w:pPr>
      <w:bookmarkStart w:id="68" w:name="_Toc17542"/>
      <w:bookmarkStart w:id="69" w:name="_Toc12343"/>
      <w:bookmarkStart w:id="70" w:name="_Toc17865"/>
      <w:r>
        <w:rPr>
          <w:rFonts w:hint="eastAsia" w:ascii="宋体" w:hAnsi="宋体" w:cs="宋体"/>
          <w:color w:val="auto"/>
          <w:highlight w:val="none"/>
        </w:rPr>
        <w:t>响应文件的编制</w:t>
      </w:r>
      <w:bookmarkEnd w:id="68"/>
      <w:bookmarkEnd w:id="69"/>
      <w:bookmarkEnd w:id="70"/>
    </w:p>
    <w:p>
      <w:pPr>
        <w:pStyle w:val="6"/>
        <w:widowControl w:val="0"/>
        <w:numPr>
          <w:ilvl w:val="0"/>
          <w:numId w:val="3"/>
        </w:numPr>
        <w:overflowPunct w:val="0"/>
        <w:rPr>
          <w:rFonts w:ascii="宋体" w:hAnsi="宋体" w:cs="宋体"/>
          <w:color w:val="auto"/>
          <w:sz w:val="21"/>
          <w:szCs w:val="21"/>
          <w:highlight w:val="none"/>
        </w:rPr>
      </w:pPr>
      <w:bookmarkStart w:id="71" w:name="_Toc22019"/>
      <w:bookmarkStart w:id="72" w:name="_Toc16938"/>
      <w:bookmarkStart w:id="73" w:name="_Toc20975"/>
      <w:r>
        <w:rPr>
          <w:rFonts w:hint="eastAsia" w:ascii="宋体" w:hAnsi="宋体" w:cs="宋体"/>
          <w:color w:val="auto"/>
          <w:sz w:val="21"/>
          <w:szCs w:val="21"/>
          <w:highlight w:val="none"/>
        </w:rPr>
        <w:t>响应文件的语言及度量衡单位</w:t>
      </w:r>
      <w:bookmarkEnd w:id="71"/>
      <w:bookmarkEnd w:id="72"/>
      <w:bookmarkEnd w:id="73"/>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供应商提交的响应文件以及供应商与采购代理机构就有关投标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的所有来往函件均应使用简体中文书写。供应商提交的支持资料和已印刷的文献可以用另一种语言，但相应内容应附有中文翻译本（中文译本应由翻译机构盖章或者翻译人员签名确认，否则按无效处理），在解释响应文件的修改内容时以中文翻译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除非磋商文件在技术规格中另有规定，供应商在响应文件中及其与采购代理机构和采购人所有往来文件中的所有计量单位均应采用中华人民共和国法定计量单位。</w:t>
      </w:r>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74" w:name="_Toc14305"/>
      <w:bookmarkStart w:id="75" w:name="_Toc510"/>
      <w:bookmarkStart w:id="76" w:name="_Toc11466"/>
      <w:bookmarkStart w:id="77" w:name="_Toc382049103"/>
      <w:bookmarkStart w:id="78" w:name="_Toc303084256"/>
      <w:bookmarkStart w:id="79" w:name="_Toc307934854"/>
      <w:bookmarkStart w:id="80" w:name="_Toc28866"/>
      <w:r>
        <w:rPr>
          <w:rFonts w:hint="eastAsia" w:ascii="宋体" w:hAnsi="宋体" w:cs="宋体"/>
          <w:color w:val="auto"/>
          <w:sz w:val="21"/>
          <w:szCs w:val="21"/>
          <w:highlight w:val="none"/>
        </w:rPr>
        <w:t>响应文件的组成</w:t>
      </w:r>
      <w:bookmarkEnd w:id="74"/>
      <w:bookmarkEnd w:id="75"/>
      <w:bookmarkEnd w:id="76"/>
      <w:bookmarkEnd w:id="77"/>
      <w:bookmarkEnd w:id="78"/>
      <w:bookmarkEnd w:id="79"/>
      <w:bookmarkEnd w:id="80"/>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包括但不限于磋商文件附件格式中要求提供的表格。</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上述文件须按顺序装订成册，并编制响应文件目录。除上述文件资料外供应商还须按供应商须知的要求制作“唱标信封”。“唱标信封”作为响应文件的一部分，但须单独密封。</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81" w:name="_Toc2024"/>
      <w:bookmarkStart w:id="82" w:name="_Toc755"/>
      <w:bookmarkStart w:id="83" w:name="_Toc28428"/>
      <w:r>
        <w:rPr>
          <w:rFonts w:hint="eastAsia" w:ascii="宋体" w:hAnsi="宋体" w:cs="宋体"/>
          <w:color w:val="auto"/>
          <w:sz w:val="21"/>
          <w:szCs w:val="21"/>
          <w:highlight w:val="none"/>
        </w:rPr>
        <w:t>响应文件编制</w:t>
      </w:r>
      <w:bookmarkEnd w:id="81"/>
      <w:bookmarkEnd w:id="82"/>
      <w:bookmarkEnd w:id="83"/>
    </w:p>
    <w:p>
      <w:pPr>
        <w:pStyle w:val="60"/>
        <w:widowControl w:val="0"/>
        <w:numPr>
          <w:ilvl w:val="0"/>
          <w:numId w:val="4"/>
        </w:numPr>
        <w:adjustRightInd/>
        <w:snapToGrid/>
        <w:ind w:firstLineChars="0"/>
        <w:jc w:val="both"/>
        <w:rPr>
          <w:rFonts w:ascii="宋体" w:hAnsi="宋体" w:cs="宋体"/>
          <w:vanish/>
          <w:color w:val="auto"/>
          <w:szCs w:val="21"/>
          <w:highlight w:val="none"/>
        </w:rPr>
      </w:pPr>
      <w:bookmarkStart w:id="84" w:name="_Toc303084258"/>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按磋商文件的规定以及附件要求的内容和格式完整地填写（表格可以按同样格式扩展）和提供资料，供应商必须对响应文件所提供的全部材料的真实性承担法律责任，并无条件接受采购人或采购代理机构对其中任何资料进行核实的要求。</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因响应文件编制存在歧义对供应商产生负面影响的，供应商自行承担后果。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响应单位名称与供应商公章不一致，若响应单位名称已进行变更，应在响应文件中提供相应的证明材料并加盖公章，否则响应文件无效。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响应文件密封、标记及内容与本项目采购信息不符，导致无法分辨所投项目为本项目的，响应文件无效。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供应商须客观撰写供应商简介（格式自理，并提供相关证明）以及所投的产品或服务说明。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响应文件若出现以下内容，经</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认定有可能间接影响评审秩序，作废标处理。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响应文件内出现无官方证明文件的行业地域排名或使用“国家级”、“最高级”、“最佳”等用语字眼的。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响应文件内出现恶意诋毁、贬低其他生产经营者的商品或者服务的内容。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有下列情形之一的，视为供应商串通投标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，其投标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无效：</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事宜；</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（4）不同供应商的响应文件异常一致或者磋商报价呈规律性差异；</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（6）不同供应商的磋商保证金从同一单位或者个人的账户转出。</w:t>
      </w:r>
    </w:p>
    <w:bookmarkEnd w:id="84"/>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85" w:name="_Toc13811"/>
      <w:bookmarkStart w:id="86" w:name="_Toc5892"/>
      <w:bookmarkStart w:id="87" w:name="_Toc6154"/>
      <w:r>
        <w:rPr>
          <w:rFonts w:hint="eastAsia" w:ascii="宋体" w:hAnsi="宋体" w:cs="宋体"/>
          <w:color w:val="auto"/>
          <w:sz w:val="21"/>
          <w:szCs w:val="21"/>
          <w:highlight w:val="none"/>
        </w:rPr>
        <w:t>磋商报价说明</w:t>
      </w:r>
      <w:bookmarkEnd w:id="85"/>
      <w:bookmarkEnd w:id="86"/>
      <w:bookmarkEnd w:id="87"/>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本次采购，供应商应按用户需求中的要求进行磋商报价，少报无效。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供应商所提供的货物或服务均以人民币（或相关费率）报价。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磋商报价应包含完成本次采购所有服务内容的费用，包含各种税务费及合同实施过程中的全部费用和售后服务费等。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应当将其作为无效响应处理。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成交后开出的所有发票必须与成交人的名称一致。</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88" w:name="_Toc3027"/>
      <w:bookmarkStart w:id="89" w:name="_Toc17669"/>
      <w:bookmarkStart w:id="90" w:name="_Toc26043"/>
      <w:r>
        <w:rPr>
          <w:rFonts w:hint="eastAsia" w:ascii="宋体" w:hAnsi="宋体" w:cs="宋体"/>
          <w:color w:val="auto"/>
          <w:sz w:val="21"/>
          <w:szCs w:val="21"/>
          <w:highlight w:val="none"/>
        </w:rPr>
        <w:t>供应商所提供的服务或货物的证明文件</w:t>
      </w:r>
      <w:bookmarkEnd w:id="88"/>
      <w:bookmarkEnd w:id="89"/>
      <w:bookmarkEnd w:id="90"/>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bookmarkStart w:id="91" w:name="_Hlt107925668"/>
      <w:bookmarkEnd w:id="91"/>
      <w:bookmarkStart w:id="92" w:name="_Hlt107925638"/>
      <w:bookmarkEnd w:id="9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磋商文件第三部分《用户需求书》中规定的要求进行详细应答和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有下列情形之一的，视为供应商弄虚作假，其响应无效：</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使用通过受让或者租借等方式获取的资格、资质证书响应的，属于以他人名义响应。</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供应商有下列情形之一的，属于以其他方式弄虚作假的行为：</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（1）使用伪造、变造的许可证件；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（2）提供虚假的财务状况或者业绩；</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（3）提供虚假的项目负责人或者主要技术人员简历、劳动关系证明；</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（4）提供虚假的信用状况；</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（5）其他弄虚作假的行为。</w:t>
      </w:r>
    </w:p>
    <w:p>
      <w:pPr>
        <w:pStyle w:val="35"/>
        <w:rPr>
          <w:rFonts w:hint="eastAsia"/>
          <w:color w:val="auto"/>
          <w:highlight w:val="none"/>
          <w:lang w:val="en-US" w:eastAsia="zh-CN"/>
        </w:rPr>
      </w:pPr>
    </w:p>
    <w:p>
      <w:pPr>
        <w:pStyle w:val="6"/>
        <w:widowControl w:val="0"/>
        <w:numPr>
          <w:ilvl w:val="0"/>
          <w:numId w:val="3"/>
        </w:numPr>
        <w:overflowPunct w:val="0"/>
        <w:rPr>
          <w:rFonts w:ascii="宋体" w:hAnsi="宋体" w:cs="宋体"/>
          <w:color w:val="auto"/>
          <w:sz w:val="21"/>
          <w:szCs w:val="21"/>
          <w:highlight w:val="none"/>
        </w:rPr>
      </w:pPr>
      <w:bookmarkStart w:id="93" w:name="_Toc11230"/>
      <w:bookmarkStart w:id="94" w:name="_Toc8324"/>
      <w:bookmarkStart w:id="95" w:name="_Toc30956"/>
      <w:r>
        <w:rPr>
          <w:rFonts w:hint="eastAsia" w:ascii="宋体" w:hAnsi="宋体" w:cs="宋体"/>
          <w:color w:val="auto"/>
          <w:sz w:val="21"/>
          <w:szCs w:val="21"/>
          <w:highlight w:val="none"/>
        </w:rPr>
        <w:t>磋商有效期</w:t>
      </w:r>
      <w:bookmarkEnd w:id="93"/>
      <w:bookmarkEnd w:id="94"/>
      <w:bookmarkEnd w:id="95"/>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响应文件应根据供应商须知的规定在磋商截止日后的90天内保持有效。</w:t>
      </w:r>
    </w:p>
    <w:p>
      <w:pPr>
        <w:widowControl w:val="0"/>
        <w:adjustRightInd/>
        <w:snapToGrid/>
        <w:ind w:left="567"/>
        <w:jc w:val="both"/>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96" w:name="_Toc28720"/>
      <w:bookmarkStart w:id="97" w:name="_Toc12582"/>
      <w:bookmarkStart w:id="98" w:name="_Toc31043"/>
      <w:r>
        <w:rPr>
          <w:rFonts w:hint="eastAsia" w:ascii="宋体" w:hAnsi="宋体" w:cs="宋体"/>
          <w:color w:val="auto"/>
          <w:sz w:val="21"/>
          <w:szCs w:val="21"/>
          <w:highlight w:val="none"/>
        </w:rPr>
        <w:t>磋商保证金</w:t>
      </w:r>
      <w:bookmarkEnd w:id="96"/>
      <w:bookmarkEnd w:id="97"/>
      <w:bookmarkEnd w:id="98"/>
    </w:p>
    <w:p>
      <w:pPr>
        <w:pStyle w:val="60"/>
        <w:widowControl w:val="0"/>
        <w:numPr>
          <w:ilvl w:val="0"/>
          <w:numId w:val="4"/>
        </w:numPr>
        <w:adjustRightInd/>
        <w:snapToGrid/>
        <w:ind w:firstLineChars="0"/>
        <w:jc w:val="both"/>
        <w:rPr>
          <w:rFonts w:ascii="宋体" w:hAnsi="宋体" w:cs="宋体"/>
          <w:vanish/>
          <w:color w:val="auto"/>
          <w:szCs w:val="21"/>
          <w:highlight w:val="none"/>
        </w:rPr>
      </w:pPr>
      <w:bookmarkStart w:id="99" w:name="_Ref179619405"/>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供应商应在响应文件递交截止前提交相应的磋商保证金，并作为其响应的一部分。</w:t>
      </w:r>
      <w:bookmarkEnd w:id="99"/>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磋商保证金是为了保护采购代理机构和采购人免遭因供应商的行为而蒙受的损失。采购代理机构和采购人在因供应商的行为受到损害时可根据本须知（17.7）的规定没收供应商的磋商保证金。</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采用转账、电汇方式方式提交，应符合以下要求：采用银行转账、电汇方式提交的，保证金汇入《响应资料表》中磋商保证金专用账户，不接收由以供应商分支机构、私人账户和其他单位转入的保证金。磋商保证金必须在响应文件递交截止前到账，磋商保证金未按规定时间到达指定账户或提交金额不足的，将被视为无效响应。且在备注或用途中注明本项目的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凡没有根据本须知（17.1和17.3）的规定随附有效的磋商保证金的，将被视为非响应性投标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予以拒绝。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磋商保证金有效期应当与磋商有效期一致。采购人如果按照磋商文件另外规定延长了响应文件有效期，则投标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担保的有效期也相应延长。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成交人在签订采购合同并按磋商文件第（33）条规定提交履约担保金后，携带退保证金声明函、磋商保证金汇款单复印件（加盖公章）和合同正本到采购人处办理磋商保证金（无息）退回手续。</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下列任何情况发生时，磋商保证金将不予退还：</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（1）供应商在磋商文件中规定的磋商有效期内撤回其响应文件；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（2）成交人无正当理由不与采购人订立合同，在签订合同时向采购人提出附加条件，或者不按照磋商文件要求提交履约保证金的；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（3）成交人将本项目转让给他人，或者在响应文件中未说明，且未经采购人同意，将成交项目分包给他人的；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（4）供应商提供虚假响应文件或虚假补充文件的。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在成交通知书发出后，未成交供应商的磋商保证金，由采购代理</w:t>
      </w:r>
      <w:r>
        <w:rPr>
          <w:rFonts w:ascii="宋体" w:hAnsi="宋体" w:cs="宋体"/>
          <w:color w:val="auto"/>
          <w:szCs w:val="21"/>
          <w:highlight w:val="none"/>
        </w:rPr>
        <w:t>机构</w:t>
      </w:r>
      <w:r>
        <w:rPr>
          <w:rFonts w:hint="eastAsia" w:ascii="宋体" w:hAnsi="宋体" w:cs="宋体"/>
          <w:color w:val="auto"/>
          <w:szCs w:val="21"/>
          <w:highlight w:val="none"/>
        </w:rPr>
        <w:t>自行返还至供应商的原转出账户。</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00" w:name="_Toc30352"/>
      <w:bookmarkStart w:id="101" w:name="_Toc25289"/>
      <w:bookmarkStart w:id="102" w:name="_Toc22903"/>
      <w:r>
        <w:rPr>
          <w:rFonts w:hint="eastAsia" w:ascii="宋体" w:hAnsi="宋体" w:cs="宋体"/>
          <w:color w:val="auto"/>
          <w:highlight w:val="none"/>
        </w:rPr>
        <w:t>响应文件的递交</w:t>
      </w:r>
      <w:bookmarkEnd w:id="100"/>
      <w:bookmarkEnd w:id="101"/>
      <w:bookmarkEnd w:id="102"/>
    </w:p>
    <w:p>
      <w:pPr>
        <w:pStyle w:val="6"/>
        <w:widowControl w:val="0"/>
        <w:numPr>
          <w:ilvl w:val="0"/>
          <w:numId w:val="3"/>
        </w:numPr>
        <w:overflowPunct w:val="0"/>
        <w:rPr>
          <w:rFonts w:ascii="宋体" w:hAnsi="宋体" w:cs="宋体"/>
          <w:color w:val="auto"/>
          <w:sz w:val="21"/>
          <w:szCs w:val="21"/>
          <w:highlight w:val="none"/>
        </w:rPr>
      </w:pPr>
      <w:bookmarkStart w:id="103" w:name="_Toc25157"/>
      <w:bookmarkStart w:id="104" w:name="_Toc24997"/>
      <w:bookmarkStart w:id="105" w:name="_Toc382049111"/>
      <w:bookmarkStart w:id="106" w:name="_Toc303084264"/>
      <w:bookmarkStart w:id="107" w:name="_Toc19356"/>
      <w:bookmarkStart w:id="108" w:name="_Toc24150"/>
      <w:r>
        <w:rPr>
          <w:rFonts w:hint="eastAsia" w:ascii="宋体" w:hAnsi="宋体" w:cs="宋体"/>
          <w:color w:val="auto"/>
          <w:sz w:val="21"/>
          <w:szCs w:val="21"/>
          <w:highlight w:val="none"/>
        </w:rPr>
        <w:t>响应文件的装订，签署，密封和标记</w:t>
      </w:r>
      <w:bookmarkEnd w:id="103"/>
      <w:bookmarkEnd w:id="104"/>
      <w:bookmarkEnd w:id="105"/>
      <w:bookmarkEnd w:id="106"/>
      <w:bookmarkEnd w:id="107"/>
      <w:bookmarkEnd w:id="108"/>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olor w:val="auto"/>
          <w:szCs w:val="21"/>
          <w:highlight w:val="none"/>
        </w:rPr>
        <w:t>供应商应按《响应料表》的份数准备价格文件、商务文件、技术文件、唱标信封和电子文件（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），每一份响应文件均需编上页次，装订成册（不允许使用活页夹，否则由此产生的风险由供应商自行承担）。所有响应文件必须封入密封完好的信封或包装，封口加盖公章</w:t>
      </w:r>
      <w:r>
        <w:rPr>
          <w:rFonts w:hint="eastAsia" w:ascii="宋体" w:hAnsi="宋体" w:cs="宋体"/>
          <w:color w:val="auto"/>
          <w:szCs w:val="21"/>
          <w:highlight w:val="none"/>
        </w:rPr>
        <w:t>。</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正本均须用不褪色墨水书写或打印。响应文件的副本可采用响应文件的正本复印件，每套响应文件应当标明“正本”、“副本”的字样。响应文件的【正本】及所有【副本】的封面及骑缝均须加盖供应商公章（文件每页盖章等同于盖骑缝章）。若正本与副本不符，以正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联合体响应文件的【正本】及【副本】的封面及骑缝均须加盖所有联合体组成成员的公章。（文件每页盖章等同于盖骑缝章）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电子文件内容包括：由供应商自行制作的与正本文件一致的所有文件。电子文件由光盘或U盘储存，并注明供应商名称及项目名称、采购项目编号，随响应文件一同密封提交。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除供应商对错误处修改外，全套响应文件应无涂改或行间插字和增删。如有修改，修改处须由法定代表人或其正式授权代表在旁边签字及盖章。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供应商应将响应文件进行非透明的封装，以防止响应文件内容的泄露。采购代理机构将拒绝接收采用透明包装进行密封的响应文件。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密封破损导致响应文件内容直接或间接泄露的响应文件，采购代理机构将拒绝接收。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供应商应将开标一览表和授权委托书单独密封提交，并在信封上标明“唱标信封”字样。唱标信封内还须包括并不限于：磋商保证金支付凭证银行汇款底单（复印件加盖公章，原件随身携带，以备查核）和磋商保证金汇入情况说明（加盖公章）。供应商的法定代表人参加磋商时，须开具法定代表人证明书，按上述要求与开标一览表一并密封提交。“唱标信封”份数及签章等要求与响应文件正本相同（1份）。</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未单独提交唱标信封的供应商响应文件不进行唱标，响应文件作无效处理。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收件人：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响应单位名称：</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项目名称：</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项目采购项目编号：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采购代理机构对所有响应文件的误投或提前启封概不负责。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供应商同时参加几个包磋商时必须按磋商文件要求按包号分别制作响应文件，分别密封递交。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传真、电传的响应文件将被拒绝。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递交的响应文件中所提供的通讯方式应保持联络畅通，因联系不上而导致的所有后果由供应商自行承担。</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09" w:name="_Toc25895"/>
      <w:bookmarkStart w:id="110" w:name="_Toc14638"/>
      <w:bookmarkStart w:id="111" w:name="_Toc31895"/>
      <w:r>
        <w:rPr>
          <w:rFonts w:hint="eastAsia" w:ascii="宋体" w:hAnsi="宋体" w:cs="宋体"/>
          <w:color w:val="auto"/>
          <w:sz w:val="21"/>
          <w:szCs w:val="21"/>
          <w:highlight w:val="none"/>
        </w:rPr>
        <w:t>迟交的响应文件</w:t>
      </w:r>
      <w:bookmarkEnd w:id="109"/>
      <w:bookmarkEnd w:id="110"/>
      <w:bookmarkEnd w:id="111"/>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供应商在磋商截止时间之后提交的响应文件，采购代理机构将拒绝接收。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12" w:name="_Toc31400"/>
      <w:bookmarkStart w:id="113" w:name="_Toc9143"/>
      <w:bookmarkStart w:id="114" w:name="_Toc15491"/>
      <w:r>
        <w:rPr>
          <w:rFonts w:hint="eastAsia" w:ascii="宋体" w:hAnsi="宋体" w:cs="宋体"/>
          <w:color w:val="auto"/>
          <w:sz w:val="21"/>
          <w:szCs w:val="21"/>
          <w:highlight w:val="none"/>
        </w:rPr>
        <w:t>投标样品（如需提交）</w:t>
      </w:r>
      <w:bookmarkEnd w:id="112"/>
      <w:bookmarkEnd w:id="113"/>
      <w:bookmarkEnd w:id="114"/>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如有必要，采购代理机构可以要求供应商提供本服务项目涉及的部分设备或产品样品，供应商在磋商时应提交《样品清单》。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为方便评标，供应商在提供样品时，应在所提供的样品表面显著位置标注供应商的名称、包号、样品名称、磋商文件规定的服务或货物编号。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样品作为响应文件的一部分，除非另有说明，成交单位的样品将作为履约验收标准的参考不再退还，未成交单位须在成交公告发布后五个工作日内，前往采购代理机构领取投标样品，逾期不领，采购代理机构将不承担样品的保管责任，由此引发的样品丢失、毁损，采购代理机构不予负责。</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15" w:name="_Toc9777"/>
      <w:bookmarkStart w:id="116" w:name="_Toc1161"/>
      <w:bookmarkStart w:id="117" w:name="_Toc303084265"/>
      <w:bookmarkStart w:id="118" w:name="_Toc1712"/>
      <w:bookmarkStart w:id="119" w:name="_Toc21784"/>
      <w:bookmarkStart w:id="120" w:name="_Toc382049112"/>
      <w:r>
        <w:rPr>
          <w:rFonts w:hint="eastAsia" w:ascii="宋体" w:hAnsi="宋体" w:cs="宋体"/>
          <w:color w:val="auto"/>
          <w:sz w:val="21"/>
          <w:szCs w:val="21"/>
          <w:highlight w:val="none"/>
        </w:rPr>
        <w:t>磋商截止期</w:t>
      </w:r>
      <w:bookmarkEnd w:id="115"/>
      <w:bookmarkEnd w:id="116"/>
      <w:bookmarkEnd w:id="117"/>
      <w:bookmarkEnd w:id="118"/>
      <w:bookmarkEnd w:id="119"/>
      <w:bookmarkEnd w:id="120"/>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供应商应在磋商文件规定的截止日期和时间内，将响应文件送达到指定地点。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采购代理机构可按本须知规定以澄清或修改通知的方式，酌情延长递交响应文件的截止时间。在此情况下，供应商的所有权利和义务以及供应商受制约的截止时间，均以延长后新的磋商截止时间为准。</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21" w:name="_Toc14284"/>
      <w:bookmarkStart w:id="122" w:name="_Toc28893"/>
      <w:bookmarkStart w:id="123" w:name="_Toc31417"/>
      <w:r>
        <w:rPr>
          <w:rFonts w:hint="eastAsia" w:ascii="宋体" w:hAnsi="宋体" w:cs="宋体"/>
          <w:color w:val="auto"/>
          <w:sz w:val="21"/>
          <w:szCs w:val="21"/>
          <w:highlight w:val="none"/>
        </w:rPr>
        <w:t>响应文件的补充、修改与撤回</w:t>
      </w:r>
      <w:bookmarkEnd w:id="121"/>
      <w:bookmarkEnd w:id="122"/>
      <w:bookmarkEnd w:id="123"/>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供应商在提交响应文件截止时间前，可以对所提交的响应文件进行补充、修改或撤回，并以纸质版形式通知采购代理机构。在提交响应文件截止时间之后，供应商不得对其响应文件做出任何的补充和修改。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供应商对响应文件的补充、修改的内容应当按磋商文件要求的签署、盖章、密封后，作为响应文件的组成部分。并按照磋商文件规定密封和标记的要求提交，并在响应文件密封袋上标明“补充、修改”字样。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响应文件一经递交不予退还。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在提交响应文件截止时间至磋商有效期满之前，供应商不得撤回其响应文件，否则其磋商保证金将不予退还。</w:t>
      </w:r>
    </w:p>
    <w:p>
      <w:pPr>
        <w:pStyle w:val="2"/>
        <w:rPr>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24" w:name="_Toc17728"/>
      <w:bookmarkStart w:id="125" w:name="_Toc21490"/>
      <w:bookmarkStart w:id="126" w:name="_Toc7410"/>
      <w:r>
        <w:rPr>
          <w:rFonts w:hint="eastAsia" w:ascii="宋体" w:hAnsi="宋体" w:cs="宋体"/>
          <w:color w:val="auto"/>
          <w:highlight w:val="none"/>
        </w:rPr>
        <w:t>开标与评标</w:t>
      </w:r>
      <w:bookmarkEnd w:id="124"/>
      <w:bookmarkEnd w:id="125"/>
      <w:bookmarkEnd w:id="126"/>
    </w:p>
    <w:p>
      <w:pPr>
        <w:pStyle w:val="6"/>
        <w:widowControl w:val="0"/>
        <w:numPr>
          <w:ilvl w:val="0"/>
          <w:numId w:val="3"/>
        </w:numPr>
        <w:overflowPunct w:val="0"/>
        <w:rPr>
          <w:rFonts w:ascii="宋体" w:hAnsi="宋体" w:cs="宋体"/>
          <w:color w:val="auto"/>
          <w:sz w:val="21"/>
          <w:szCs w:val="21"/>
          <w:highlight w:val="none"/>
        </w:rPr>
      </w:pPr>
      <w:bookmarkStart w:id="127" w:name="_Toc5598"/>
      <w:bookmarkStart w:id="128" w:name="_Toc31671"/>
      <w:bookmarkStart w:id="129" w:name="_Toc5688"/>
      <w:r>
        <w:rPr>
          <w:rFonts w:hint="eastAsia" w:ascii="宋体" w:hAnsi="宋体" w:cs="宋体"/>
          <w:color w:val="auto"/>
          <w:sz w:val="21"/>
          <w:szCs w:val="21"/>
          <w:highlight w:val="none"/>
        </w:rPr>
        <w:t>开标</w:t>
      </w:r>
      <w:bookmarkEnd w:id="127"/>
      <w:bookmarkEnd w:id="128"/>
      <w:bookmarkEnd w:id="129"/>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采购代理机构按本磋商文件所规定的时间和地点公开开标，并邀请所有供应商代表参加。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开标会由采购代理机构主持，供应商的法定代表人或其授权代表携带有效身份证明准时参加开标会并签名报到。</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开标时，由供应商或者其推选的代表检查响应文件的密封情况；经确认无误后，由采购人或者采购代理机构工作人员当众拆封，宣布供应商名称、供应商的首次报价和磋商文件规定的需要宣布的其他内容；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代表对开标过程和开标记录有异议，以及认为采购人、采购代理机构相关工作人员有需要回避的情形的，应当场提出询问或者回避申请。开标现场未提出异议的视为认同开标结果。开标结束后，供应商对开标过程和开标记录不得再提出异议。</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供应商未参加开标的，视同认可开标结果。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合格供应商不足3家的，不得开标；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开标过程应当由采购人或者采购代理机构负责记录，由参加开标的各供应商代表和相关工作人员签字确认。</w:t>
      </w:r>
    </w:p>
    <w:p>
      <w:pPr>
        <w:widowControl w:val="0"/>
        <w:adjustRightInd/>
        <w:snapToGrid/>
        <w:ind w:left="567"/>
        <w:jc w:val="both"/>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0" w:name="_Toc9326"/>
      <w:bookmarkStart w:id="131" w:name="_Toc10587"/>
      <w:bookmarkStart w:id="132" w:name="_Toc3528"/>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及评标方法</w:t>
      </w:r>
      <w:bookmarkEnd w:id="130"/>
      <w:bookmarkEnd w:id="131"/>
      <w:bookmarkEnd w:id="132"/>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依法组成</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由采购人和有关技术、经济等方面的专家组成，成员人数为三人或三人以上单数，其中技术、经济等方面的专家不少于成员总数的三分之二，并负责评标工作。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定标原则：在最大限度满足磋商文件实质性要求前提下，按照磋商文件规定的各项评价因素进行量化打分，以评标总得分最高的供应商作为成交候选人或成交人。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对响应文件的评审内容，分为商务评议、技术评议和价格评议。评审流程包括符合性检查、澄清问题、比较与评价、推荐成交候选人或确定成交人、编写评标报告等步骤。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在评标期间，</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可要求供应商对其响应文件进行澄清，但不得寻求、提供或允许对磋商价格等实质性内容做任何更改。有关澄清的要求和答复均应以纸质版形式提交，如供应商拒绝</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要求对其响应文件进行澄清的要求，所造成的后果由供应商自行承担。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和采购人在评审过程中有权核对响应文件中相关材料的原件，供应商在接到通知后应在</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规定的时间内提交原件核查。</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3" w:name="_Toc19582"/>
      <w:bookmarkStart w:id="134" w:name="_Toc4198"/>
      <w:bookmarkStart w:id="135" w:name="_Toc30071"/>
      <w:r>
        <w:rPr>
          <w:rFonts w:hint="eastAsia" w:ascii="宋体" w:hAnsi="宋体" w:cs="宋体"/>
          <w:color w:val="auto"/>
          <w:sz w:val="21"/>
          <w:szCs w:val="21"/>
          <w:highlight w:val="none"/>
        </w:rPr>
        <w:t>评审原则及评标过程的保密</w:t>
      </w:r>
      <w:bookmarkEnd w:id="133"/>
      <w:bookmarkEnd w:id="134"/>
      <w:bookmarkEnd w:id="135"/>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将依据磋商文件的规定，遵循“公开、公平、公正、择优、信用”的原则进行评审工作。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从开标到签订合同，凡与审查、澄清、评审和响应有关的资料以及定标意见相关的事项，均不得向供应商及与评标无关的其他人透露。</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6" w:name="_Toc16735"/>
      <w:bookmarkStart w:id="137" w:name="_Toc24354"/>
      <w:r>
        <w:rPr>
          <w:rFonts w:hint="eastAsia" w:ascii="宋体" w:hAnsi="宋体" w:cs="宋体"/>
          <w:color w:val="auto"/>
          <w:sz w:val="21"/>
          <w:szCs w:val="21"/>
          <w:highlight w:val="none"/>
        </w:rPr>
        <w:t>评标程序</w:t>
      </w:r>
      <w:bookmarkEnd w:id="136"/>
      <w:bookmarkEnd w:id="137"/>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根据《资格性、符合性审查表》将依法对供应商进行资格性、符合性审查。供应商必须严格按照《资格性、符合性审查表》的评审内容的要求如实提供证明材料并应加盖供应商公章，对缺漏或不符合项将直接导致无效响应。合格供应商不足3家的，不得评标。未通过资格性、符合性审查的供应商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olor w:val="auto"/>
                <w:szCs w:val="21"/>
                <w:highlight w:val="none"/>
              </w:rPr>
              <w:t>供应商（若联合体</w:t>
            </w:r>
            <w:r>
              <w:rPr>
                <w:rFonts w:hint="eastAsia" w:ascii="宋体" w:hAnsi="宋体"/>
                <w:color w:val="auto"/>
                <w:szCs w:val="21"/>
                <w:highlight w:val="none"/>
                <w:lang w:val="en-US" w:eastAsia="zh-CN"/>
              </w:rPr>
              <w:t>响应</w:t>
            </w:r>
            <w:r>
              <w:rPr>
                <w:rFonts w:hint="eastAsia" w:ascii="宋体" w:hAnsi="宋体"/>
                <w:color w:val="auto"/>
                <w:szCs w:val="21"/>
                <w:highlight w:val="none"/>
              </w:rPr>
              <w:t>，指联合体各成员）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olor w:val="auto"/>
                <w:szCs w:val="21"/>
                <w:highlight w:val="none"/>
              </w:rPr>
              <w:t>参加采购活动前三年内，在经营活动中没有重大违法记录（须提供书面声明）</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供应商的单位负责人为同一人或者存在直接控股、管理关系的不同供应商，不得参加同一合同项下的采购活动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或政府采购严重违法失信行为”记录名单。以代理机构于投标截止日当天在“信用中国”网站查询结果为准，如相关失信记录已失效，供应商需提供相关证明资料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）符合</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资格要求中其他要求（如有）。（提供《附件9.相关资质证明文件》中对应证明文件。）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供应商按照磋商文件要求提交磋商保证金；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响应文件按照磋商文件要求签署盖章；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磋商总价未超出采购预算或最高限价；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法律、法规和招标文件规定的其他无效情形。</w:t>
            </w:r>
          </w:p>
        </w:tc>
      </w:tr>
    </w:tbl>
    <w:p>
      <w:pPr>
        <w:widowControl w:val="0"/>
        <w:tabs>
          <w:tab w:val="left" w:pos="567"/>
        </w:tabs>
        <w:adjustRightInd/>
        <w:rPr>
          <w:rFonts w:ascii="宋体" w:hAnsi="宋体"/>
          <w:color w:val="auto"/>
          <w:szCs w:val="21"/>
          <w:highlight w:val="none"/>
        </w:rPr>
      </w:pPr>
      <w:r>
        <w:rPr>
          <w:rFonts w:hint="eastAsia" w:ascii="宋体" w:hAnsi="宋体"/>
          <w:color w:val="auto"/>
          <w:szCs w:val="21"/>
          <w:highlight w:val="none"/>
        </w:rPr>
        <w:t>以上资格性、符合性审查中带有不合格分项的响应文件，将作无效标处理。经</w:t>
      </w:r>
      <w:r>
        <w:rPr>
          <w:rFonts w:hint="eastAsia" w:ascii="宋体" w:hAnsi="宋体"/>
          <w:color w:val="auto"/>
          <w:szCs w:val="21"/>
          <w:highlight w:val="none"/>
          <w:lang w:eastAsia="zh-CN"/>
        </w:rPr>
        <w:t>磋商小组</w:t>
      </w:r>
      <w:r>
        <w:rPr>
          <w:rFonts w:hint="eastAsia" w:ascii="宋体" w:hAnsi="宋体"/>
          <w:color w:val="auto"/>
          <w:szCs w:val="21"/>
          <w:highlight w:val="none"/>
        </w:rPr>
        <w:t>确认的无效响应文件，采购人和采购代理机构将予以拒绝，并且不允许通过修正或撤消其不符合要求的差异，使之成为具有符合性的响应文件。经</w:t>
      </w:r>
      <w:r>
        <w:rPr>
          <w:rFonts w:hint="eastAsia" w:ascii="宋体" w:hAnsi="宋体"/>
          <w:color w:val="auto"/>
          <w:szCs w:val="21"/>
          <w:highlight w:val="none"/>
          <w:lang w:eastAsia="zh-CN"/>
        </w:rPr>
        <w:t>磋商小组</w:t>
      </w:r>
      <w:r>
        <w:rPr>
          <w:rFonts w:hint="eastAsia" w:ascii="宋体" w:hAnsi="宋体"/>
          <w:color w:val="auto"/>
          <w:szCs w:val="21"/>
          <w:highlight w:val="none"/>
        </w:rPr>
        <w:t>资格性、符合性审查确认具有有效响应文件的响应供应商不足三家时将重新组织采购。</w:t>
      </w:r>
    </w:p>
    <w:p>
      <w:pPr>
        <w:widowControl w:val="0"/>
        <w:overflowPunct w:val="0"/>
        <w:ind w:left="567"/>
        <w:rPr>
          <w:rFonts w:ascii="宋体" w:hAnsi="宋体"/>
          <w:color w:val="auto"/>
          <w:szCs w:val="21"/>
          <w:highlight w:val="none"/>
        </w:rPr>
      </w:pPr>
    </w:p>
    <w:p>
      <w:pPr>
        <w:widowControl w:val="0"/>
        <w:numPr>
          <w:ilvl w:val="1"/>
          <w:numId w:val="3"/>
        </w:numPr>
        <w:overflowPunct w:val="0"/>
        <w:rPr>
          <w:rFonts w:ascii="宋体" w:hAnsi="宋体"/>
          <w:color w:val="auto"/>
          <w:szCs w:val="21"/>
          <w:highlight w:val="none"/>
        </w:rPr>
      </w:pPr>
      <w:r>
        <w:rPr>
          <w:rFonts w:hint="eastAsia" w:ascii="宋体" w:hAnsi="宋体" w:cs="宋体"/>
          <w:b/>
          <w:bCs/>
          <w:color w:val="auto"/>
          <w:szCs w:val="21"/>
          <w:highlight w:val="none"/>
        </w:rPr>
        <w:t>磋商</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widowControl w:val="0"/>
        <w:numPr>
          <w:ilvl w:val="2"/>
          <w:numId w:val="3"/>
        </w:numPr>
        <w:tabs>
          <w:tab w:val="left" w:pos="794"/>
        </w:tabs>
        <w:adjustRightInd/>
        <w:rPr>
          <w:rFonts w:ascii="宋体" w:hAnsi="宋体" w:cs="宋体"/>
          <w:color w:val="auto"/>
          <w:szCs w:val="21"/>
          <w:highlight w:val="none"/>
        </w:rPr>
      </w:pPr>
      <w:r>
        <w:rPr>
          <w:rFonts w:hint="eastAsia" w:ascii="宋体" w:hAnsi="宋体" w:cs="宋体"/>
          <w:snapToGrid w:val="0"/>
          <w:color w:val="auto"/>
          <w:szCs w:val="21"/>
          <w:highlight w:val="none"/>
        </w:rPr>
        <w:t>磋商结束后，磋商小组应当要求所有实质性响应的供应商在规定时间内提交最后报价</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rPr>
        <w:t>后一轮报价不得高于前一轮报价</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rPr>
        <w:t>提交最后报价的供应商少于3家</w:t>
      </w:r>
      <w:r>
        <w:rPr>
          <w:rFonts w:hint="eastAsia" w:ascii="宋体" w:hAnsi="宋体" w:cs="宋体"/>
          <w:color w:val="auto"/>
          <w:szCs w:val="21"/>
          <w:highlight w:val="none"/>
        </w:rPr>
        <w:t>时</w:t>
      </w:r>
      <w:r>
        <w:rPr>
          <w:rFonts w:ascii="宋体" w:hAnsi="宋体" w:cs="宋体"/>
          <w:color w:val="auto"/>
          <w:szCs w:val="21"/>
          <w:highlight w:val="none"/>
        </w:rPr>
        <w:t>将重新组织采购</w:t>
      </w:r>
      <w:r>
        <w:rPr>
          <w:rFonts w:hint="eastAsia" w:ascii="宋体" w:hAnsi="宋体" w:cs="宋体"/>
          <w:color w:val="auto"/>
          <w:szCs w:val="21"/>
          <w:highlight w:val="none"/>
        </w:rPr>
        <w:t>。</w:t>
      </w:r>
    </w:p>
    <w:p>
      <w:pPr>
        <w:widowControl w:val="0"/>
        <w:tabs>
          <w:tab w:val="left" w:pos="794"/>
        </w:tabs>
        <w:adjustRightInd/>
        <w:rPr>
          <w:rFonts w:ascii="宋体" w:hAnsi="宋体"/>
          <w:color w:val="auto"/>
          <w:highlight w:val="none"/>
        </w:rPr>
      </w:pP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响应文件报价出现前后不一致的，</w:t>
      </w:r>
      <w:r>
        <w:rPr>
          <w:rFonts w:hint="eastAsia" w:ascii="宋体" w:hAnsi="宋体" w:cs="宋体"/>
          <w:b/>
          <w:bCs/>
          <w:color w:val="auto"/>
          <w:szCs w:val="21"/>
          <w:highlight w:val="none"/>
          <w:lang w:eastAsia="zh-CN"/>
        </w:rPr>
        <w:t>磋商小组</w:t>
      </w:r>
      <w:r>
        <w:rPr>
          <w:rFonts w:hint="eastAsia" w:ascii="宋体" w:hAnsi="宋体" w:cs="宋体"/>
          <w:b/>
          <w:bCs/>
          <w:color w:val="auto"/>
          <w:szCs w:val="21"/>
          <w:highlight w:val="none"/>
        </w:rPr>
        <w:t>按照下列规定修正：</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响应文件中开标一览表（报价表）内容与响应文件中相应内容不一致的，以开标一览表（报价表）为准；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大写金额和小写金额不一致的，以大写金额为准；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单价金额小数点或者百分比有明显错位的，以开标一览表的总价为准，并修改单价；</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总价金额与按单价汇总金额不一致的，以单价金额计算结果为准。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同时出现两种以上不一致的，按照前款规定的顺序修正。修正后的报价按照经供应商确认后产生约束力，供应商不确认的，其响应无效。</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 xml:space="preserve">26.3  </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认为供应商的报价明显低于其他通过符合性审查供应商的报价，有可能影响产品质量或者不能诚信履约的，应当要求其在评标现场合理的时间内提供书面说明（以现场通知时间为准），必要时提交相关证明材料；供应商不能证明其报价合理性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应当将其作为无效响应处理。</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对于响应文件中不构成实质性偏差的不正规、不一致或不规则，</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可以接受，但这种接受不能损害或影响任何供应商的相对排序。</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要审查每份响应文件是否实质上响应了磋商文件的要求。实质上响应的响应文件应该是与磋商文件要求的全部主要条款（加“★”号）、条件和规格相符，没有重大偏离的响应。对关键条文的偏离、保留或反对，例如关于磋商保证金、合同条款的重大偏离将被认为是实质上的偏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决定响应文件的响应性只根据响应文件本身的内容，而不寻求外部的证据。</w:t>
      </w:r>
    </w:p>
    <w:p>
      <w:pPr>
        <w:pStyle w:val="2"/>
        <w:rPr>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8" w:name="_Toc21241"/>
      <w:bookmarkStart w:id="139" w:name="_Toc4799"/>
      <w:bookmarkStart w:id="140" w:name="_Toc11276"/>
      <w:r>
        <w:rPr>
          <w:rFonts w:hint="eastAsia" w:ascii="宋体" w:hAnsi="宋体" w:cs="宋体"/>
          <w:color w:val="auto"/>
          <w:sz w:val="21"/>
          <w:szCs w:val="21"/>
          <w:highlight w:val="none"/>
        </w:rPr>
        <w:t>商务、技术、价格评审（具体评审项目详见响应资料表）</w:t>
      </w:r>
      <w:bookmarkEnd w:id="138"/>
      <w:bookmarkEnd w:id="139"/>
      <w:bookmarkEnd w:id="140"/>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磋商文件中要求供应商提供的相关资质证书证明材料因国家政策变动导致新旧证书名称不一致，旧证书未取消且新旧证书具有同等效力的，供应商提供新证书与提供在有效期内的旧证书给予同等认可。 </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对通过资格性、符合性审查的响应文件进行详细评审。</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每一响应文件进行详细的商务评审、技术评审。按照评审程序的规定和依据评分标准，各位评委就每个供应商的技术、商务状况及其对磋商文件要求的响应情况进行评议和比较，评出其技术评分和商务评分。根据磋商文件规定评出得分，将价格得分、商务得分、技术得分相加得出最终评标得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w:t>
      </w:r>
      <w:r>
        <w:rPr>
          <w:rFonts w:hint="eastAsia" w:ascii="宋体" w:hAnsi="宋体"/>
          <w:color w:val="auto"/>
          <w:szCs w:val="21"/>
          <w:highlight w:val="none"/>
          <w:lang w:eastAsia="zh-CN"/>
        </w:rPr>
        <w:t>磋商小组</w:t>
      </w:r>
      <w:r>
        <w:rPr>
          <w:rFonts w:hint="eastAsia" w:ascii="宋体" w:hAnsi="宋体"/>
          <w:color w:val="auto"/>
          <w:szCs w:val="21"/>
          <w:highlight w:val="none"/>
        </w:rPr>
        <w:t>进行投票，得票多的排名在先。当第一轮投票结果为供应商得票数相同时，再次进行投票，如此类推，直到能确定排序次序为止</w:t>
      </w:r>
      <w:r>
        <w:rPr>
          <w:rFonts w:hint="eastAsia" w:ascii="宋体" w:hAnsi="宋体" w:cs="宋体"/>
          <w:color w:val="auto"/>
          <w:szCs w:val="21"/>
          <w:highlight w:val="none"/>
        </w:rPr>
        <w:t>。</w:t>
      </w:r>
    </w:p>
    <w:p>
      <w:pPr>
        <w:widowControl w:val="0"/>
        <w:tabs>
          <w:tab w:val="left" w:pos="907"/>
        </w:tabs>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141" w:name="_Toc316375620"/>
      <w:bookmarkStart w:id="142" w:name="_Toc382049120"/>
      <w:bookmarkStart w:id="143" w:name="_Toc20319"/>
      <w:bookmarkStart w:id="144" w:name="_Toc9099"/>
      <w:bookmarkStart w:id="145" w:name="_Toc21663"/>
      <w:bookmarkStart w:id="146" w:name="_Toc20328"/>
      <w:r>
        <w:rPr>
          <w:rFonts w:hint="eastAsia" w:ascii="宋体" w:hAnsi="宋体" w:cs="宋体"/>
          <w:color w:val="auto"/>
          <w:sz w:val="21"/>
          <w:szCs w:val="21"/>
          <w:highlight w:val="none"/>
        </w:rPr>
        <w:t>纪律和保密</w:t>
      </w:r>
      <w:bookmarkEnd w:id="141"/>
      <w:r>
        <w:rPr>
          <w:rFonts w:hint="eastAsia" w:ascii="宋体" w:hAnsi="宋体" w:cs="宋体"/>
          <w:color w:val="auto"/>
          <w:sz w:val="21"/>
          <w:szCs w:val="21"/>
          <w:highlight w:val="none"/>
        </w:rPr>
        <w:t>事项</w:t>
      </w:r>
      <w:bookmarkEnd w:id="142"/>
      <w:bookmarkEnd w:id="143"/>
      <w:bookmarkEnd w:id="144"/>
      <w:bookmarkEnd w:id="145"/>
      <w:bookmarkEnd w:id="146"/>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从开标之日起至授予合同期间，在响应文件的审查、澄清、比较和评价阶段，供应商试图对</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和采购代理机构施加任何影响或对采购人的比较及授予合同的决定产生影响，都可能导致其响应文件被拒绝。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供应商不得串通作弊，以不正当的手段妨碍、排挤其他供应商，扰乱采购市场，破坏公平竞争原则。否则将按相关法律规定严肃处理。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获得本磋商文件的供应商，应对文件进行保密，不得用作本次投标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以外的任何用途。开标后，供应商应归还磋商文件中要求保密的文件和资料。</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47" w:name="_Toc21283"/>
      <w:bookmarkStart w:id="148" w:name="_Toc1109"/>
      <w:bookmarkStart w:id="149" w:name="_Toc7213"/>
      <w:r>
        <w:rPr>
          <w:rFonts w:hint="eastAsia" w:ascii="宋体" w:hAnsi="宋体" w:cs="宋体"/>
          <w:color w:val="auto"/>
          <w:highlight w:val="none"/>
        </w:rPr>
        <w:t>授予合同</w:t>
      </w:r>
      <w:bookmarkEnd w:id="147"/>
      <w:bookmarkEnd w:id="148"/>
      <w:bookmarkEnd w:id="149"/>
    </w:p>
    <w:p>
      <w:pPr>
        <w:pStyle w:val="6"/>
        <w:widowControl w:val="0"/>
        <w:numPr>
          <w:ilvl w:val="0"/>
          <w:numId w:val="3"/>
        </w:numPr>
        <w:overflowPunct w:val="0"/>
        <w:rPr>
          <w:rFonts w:ascii="宋体" w:hAnsi="宋体" w:cs="宋体"/>
          <w:color w:val="auto"/>
          <w:sz w:val="21"/>
          <w:szCs w:val="21"/>
          <w:highlight w:val="none"/>
        </w:rPr>
      </w:pPr>
      <w:bookmarkStart w:id="150" w:name="_Toc22623"/>
      <w:bookmarkStart w:id="151" w:name="_Toc508284011"/>
      <w:bookmarkStart w:id="152" w:name="_Toc17369"/>
      <w:bookmarkStart w:id="153" w:name="_Toc6881"/>
      <w:r>
        <w:rPr>
          <w:rFonts w:hint="eastAsia" w:ascii="宋体" w:hAnsi="宋体" w:cs="宋体"/>
          <w:color w:val="auto"/>
          <w:sz w:val="21"/>
          <w:szCs w:val="21"/>
          <w:highlight w:val="none"/>
        </w:rPr>
        <w:t>合同授予标准</w:t>
      </w:r>
      <w:bookmarkEnd w:id="150"/>
      <w:bookmarkEnd w:id="151"/>
      <w:bookmarkEnd w:id="152"/>
      <w:bookmarkEnd w:id="153"/>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的评审结果，采购人按照评审报告推荐的成交候选人中按顺序依法确定成交人。</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54" w:name="_Toc508284013"/>
      <w:bookmarkStart w:id="155" w:name="_Toc19276"/>
      <w:bookmarkStart w:id="156" w:name="_Toc20661"/>
      <w:bookmarkStart w:id="157" w:name="_Toc10545"/>
      <w:r>
        <w:rPr>
          <w:rFonts w:hint="eastAsia" w:ascii="宋体" w:hAnsi="宋体" w:cs="宋体"/>
          <w:color w:val="auto"/>
          <w:sz w:val="21"/>
          <w:szCs w:val="21"/>
          <w:highlight w:val="none"/>
        </w:rPr>
        <w:t>发布成交结果</w:t>
      </w:r>
      <w:bookmarkEnd w:id="154"/>
      <w:bookmarkEnd w:id="155"/>
      <w:bookmarkEnd w:id="156"/>
      <w:bookmarkEnd w:id="157"/>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提出评标书面报告和推荐成交意见报采购人确认后，采购代理机构将在指定的信息发布媒体上发布公告。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成交公告期限为3个日历日。</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《成交通知书》是合同的一个组成部分，《成交通知书》对采购人和成交人均具有同等法律效力。</w:t>
      </w:r>
    </w:p>
    <w:p>
      <w:pPr>
        <w:widowControl w:val="0"/>
        <w:tabs>
          <w:tab w:val="left" w:pos="907"/>
        </w:tabs>
        <w:adjustRightInd/>
        <w:snapToGrid/>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158" w:name="_Toc24575"/>
      <w:bookmarkStart w:id="159" w:name="_Toc13697"/>
      <w:bookmarkStart w:id="160" w:name="_Toc11420"/>
      <w:r>
        <w:rPr>
          <w:rFonts w:hint="eastAsia" w:ascii="宋体" w:hAnsi="宋体" w:cs="宋体"/>
          <w:color w:val="auto"/>
          <w:sz w:val="21"/>
          <w:szCs w:val="21"/>
          <w:highlight w:val="none"/>
        </w:rPr>
        <w:t>资格后审</w:t>
      </w:r>
      <w:bookmarkEnd w:id="158"/>
      <w:bookmarkEnd w:id="159"/>
      <w:bookmarkEnd w:id="160"/>
    </w:p>
    <w:p>
      <w:pPr>
        <w:pStyle w:val="60"/>
        <w:widowControl w:val="0"/>
        <w:numPr>
          <w:ilvl w:val="0"/>
          <w:numId w:val="4"/>
        </w:numP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采购人将有权根据本文件中的要求，对评委会推荐的成交候选人进行资格后审。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成交候选人须无条件配合资格后审，否则采购人有权取消其成交资格，且磋商保证金可不予退还。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响应文件中提供的资质证明文件、业绩等重要证明文件的原件进行核对，综合考察成交人的履约能力。如采购人要求还须提供业绩证明的其他材料,成交候选人须配合提供。如授权其分支机构进行项目实施或提供售后服务的，亦应提供其与分支机构关系的法律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如发现成交候选人以他人名义响应或者以其他方式弄虚作假，骗取成交的，采购人有权取消其成交资格，且磋商保证金可不予退还；给采购人造成损失的，应依法承担赔偿责任。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成交候选人是否具备履行合同的能力，包括但不限于对其规模、人员、场地、生产能力、供货能力等方面的核实或现场考察。如果审查通过，采购人将把合同授予该成交人；如果审查没有通过，采购人有权取消其成交资格，且磋商保证金可不予退还，并依次审查下一名成交候选人是否具备履行合同的能力或重新采购。</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61" w:name="_Toc11248"/>
      <w:bookmarkStart w:id="162" w:name="_Toc28018"/>
      <w:bookmarkStart w:id="163" w:name="_Toc27302"/>
      <w:r>
        <w:rPr>
          <w:rFonts w:hint="eastAsia" w:ascii="宋体" w:hAnsi="宋体" w:cs="宋体"/>
          <w:color w:val="auto"/>
          <w:sz w:val="21"/>
          <w:szCs w:val="21"/>
          <w:highlight w:val="none"/>
        </w:rPr>
        <w:t>合同的签订与履行</w:t>
      </w:r>
      <w:bookmarkEnd w:id="161"/>
      <w:bookmarkEnd w:id="162"/>
      <w:bookmarkEnd w:id="163"/>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应当自采购人发出成交通知书之日起30日内，按照磋商文件和成交人响应文件的规定，与采购人签订书面合同，否则采购人有权取消其成交资格。所签订的合同不得对磋商文件确定的事项和成交人响应文件作实质性修改。在合同签订时，应注意合同中约定的工期开始时间不得早于合同签订时间。</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采购人与成交人应当根据合同的约定依法履行合同义务。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评审结束当天至合同履行结束，若因不可抗力的因素（如国家出台新法律法规等）造成供应商资质的变动，供应商应以纸质版形式通知采购人。若资质变动导致成交人不再具备履行合同资质要求，采购人有权中止合同。</w:t>
      </w:r>
    </w:p>
    <w:p>
      <w:pPr>
        <w:widowControl w:val="0"/>
        <w:tabs>
          <w:tab w:val="left" w:pos="907"/>
        </w:tabs>
        <w:adjustRightInd/>
        <w:snapToGrid/>
        <w:jc w:val="both"/>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64" w:name="_Toc29009"/>
      <w:bookmarkStart w:id="165" w:name="_Toc303084277"/>
      <w:bookmarkStart w:id="166" w:name="_Toc382049124"/>
      <w:bookmarkStart w:id="167" w:name="_Toc6617"/>
      <w:bookmarkStart w:id="168" w:name="_Toc29472"/>
      <w:bookmarkStart w:id="169" w:name="_Toc15457"/>
      <w:r>
        <w:rPr>
          <w:rFonts w:hint="eastAsia" w:ascii="宋体" w:hAnsi="宋体" w:cs="宋体"/>
          <w:color w:val="auto"/>
          <w:sz w:val="21"/>
          <w:szCs w:val="21"/>
          <w:highlight w:val="none"/>
        </w:rPr>
        <w:t>履约</w:t>
      </w:r>
      <w:bookmarkEnd w:id="164"/>
      <w:bookmarkEnd w:id="165"/>
      <w:bookmarkEnd w:id="166"/>
      <w:r>
        <w:rPr>
          <w:rFonts w:hint="eastAsia" w:ascii="宋体" w:hAnsi="宋体" w:cs="宋体"/>
          <w:color w:val="auto"/>
          <w:sz w:val="21"/>
          <w:szCs w:val="21"/>
          <w:highlight w:val="none"/>
        </w:rPr>
        <w:t>担保</w:t>
      </w:r>
      <w:bookmarkEnd w:id="167"/>
      <w:bookmarkEnd w:id="168"/>
      <w:bookmarkEnd w:id="169"/>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本项目不收取履约保证金）</w:t>
      </w:r>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成交人在采购（合同签署）</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提交履约担保，履约担保金额</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成交合同金额的</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如果成交人提交的履约保函的有效期先于合同要求的履约保函有效期到达，成交人应在原提交的履约保函有效期满前15天，无条件办理保函延期手续。否则，视成交人违约，采购人可在保函到期前将保函金额转为现金存入履约保证金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（1）履约保函。如果成交人的履约担保是以银行保函形式提供的，则该银行保函应：</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②保函的格式参考磋商文件附件中提供的无条件不可撤销履约保函格式，保函担保期内若项目未能按期竣工，保函必须延期，办理延期手续时在银行方面所产生费用由成交人负责。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成交价的10%。成交人人必须保证履约保证金以成交人的名称在（合同约定的日期）前提交至采购人指定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若成交人不能按本采购文件（33.1至33.3）的规定提交履约保证金的，采购人将有权取消成交人的成交资格（采购人可以按照</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提出的成交候选人名单排序依次确定其他成交候选人为成交人，也可以重新采购），磋商保证金不予退还，给采购人造成的损失如果超过磋商保证金数额的，还应当对超过部分予以赔偿。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为取得履约担保所需的费用，由成交人承担；若工期延误，履约担保时间延长，延长费用由成交人承担。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（1）成交人将本项目转让给他人，或者在响应文件中未说明，且未经采购人同意，将成交项目分包给他人的；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（2）成交人在履行采购合同期间，违反有关法律法规的规定及合同约定的条款，损害了采购人的利益。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在整个项目验收合格后成交人向采购人提交退回履约担保的申请，采购人办理履约担保退还手续。</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70" w:name="_Toc21814"/>
      <w:bookmarkStart w:id="171" w:name="_Toc12798"/>
      <w:bookmarkStart w:id="172" w:name="_Toc7152"/>
      <w:r>
        <w:rPr>
          <w:rFonts w:hint="eastAsia" w:ascii="宋体" w:hAnsi="宋体" w:cs="宋体"/>
          <w:color w:val="auto"/>
          <w:highlight w:val="none"/>
        </w:rPr>
        <w:t>异议</w:t>
      </w:r>
      <w:bookmarkEnd w:id="170"/>
      <w:bookmarkEnd w:id="171"/>
      <w:bookmarkEnd w:id="172"/>
    </w:p>
    <w:p>
      <w:pPr>
        <w:pStyle w:val="6"/>
        <w:widowControl w:val="0"/>
        <w:numPr>
          <w:ilvl w:val="0"/>
          <w:numId w:val="3"/>
        </w:numPr>
        <w:overflowPunct w:val="0"/>
        <w:rPr>
          <w:rFonts w:ascii="宋体" w:hAnsi="宋体" w:cs="宋体"/>
          <w:color w:val="auto"/>
          <w:sz w:val="21"/>
          <w:szCs w:val="21"/>
          <w:highlight w:val="none"/>
        </w:rPr>
      </w:pPr>
      <w:bookmarkStart w:id="173" w:name="_Toc30449"/>
      <w:bookmarkStart w:id="174" w:name="_Toc9791"/>
      <w:bookmarkStart w:id="175" w:name="_Toc16800"/>
      <w:r>
        <w:rPr>
          <w:rFonts w:hint="eastAsia" w:ascii="宋体" w:hAnsi="宋体" w:cs="宋体"/>
          <w:color w:val="auto"/>
          <w:sz w:val="21"/>
          <w:szCs w:val="21"/>
          <w:highlight w:val="none"/>
        </w:rPr>
        <w:t>异议</w:t>
      </w:r>
      <w:bookmarkEnd w:id="173"/>
      <w:bookmarkEnd w:id="174"/>
      <w:bookmarkEnd w:id="175"/>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磋商文件的异议</w:t>
      </w:r>
      <w:r>
        <w:rPr>
          <w:rFonts w:hint="eastAsia" w:ascii="宋体" w:hAnsi="宋体" w:cs="宋体"/>
          <w:color w:val="auto"/>
          <w:szCs w:val="21"/>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bCs/>
          <w:color w:val="auto"/>
          <w:kern w:val="2"/>
          <w:szCs w:val="21"/>
          <w:highlight w:val="none"/>
          <w:lang w:val="zh-CN"/>
        </w:rPr>
        <w:t>供应商或者其他利害关系人对磋商文件有异议的，应当在磋商截止时间10日前</w:t>
      </w:r>
      <w:r>
        <w:rPr>
          <w:rFonts w:hint="eastAsia" w:ascii="宋体" w:hAnsi="宋体" w:cs="宋体"/>
          <w:color w:val="auto"/>
          <w:kern w:val="2"/>
          <w:szCs w:val="21"/>
          <w:highlight w:val="none"/>
          <w:lang w:val="zh-CN"/>
        </w:rPr>
        <w:t>以书面形式向采购代理机构提出，并将材料原件送达采购代理机构，逾期则视为对磋商文件所有内容无异议。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书面材料必须加盖供应商法人公章，并注明联系人、联系电话、联系地址。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供应商或者其他利害关系人对评标结果有异议的，应当在成交候选人公示期间向采购代理机构以书面的形式提出，并将完整的异议书面材料原件送达采购代理机构，逾期则视为对评标结果无异议。超出提交异议截止时间而提出的任何疑问，采购代理机构可不予答复。</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w:t>
      </w:r>
      <w:r>
        <w:rPr>
          <w:rFonts w:hint="eastAsia" w:ascii="宋体" w:hAnsi="宋体" w:cs="宋体"/>
          <w:color w:val="auto"/>
          <w:szCs w:val="21"/>
          <w:highlight w:val="none"/>
          <w:lang w:val="zh-CN"/>
        </w:rPr>
        <w:t>公章</w:t>
      </w:r>
      <w:r>
        <w:rPr>
          <w:rFonts w:hint="eastAsia" w:ascii="宋体" w:hAnsi="宋体" w:cs="宋体"/>
          <w:color w:val="auto"/>
          <w:kern w:val="2"/>
          <w:szCs w:val="21"/>
          <w:highlight w:val="none"/>
          <w:lang w:val="zh-CN"/>
        </w:rPr>
        <w:t>，并注明联系人、联系电话、联系地址）、授权提交异议的法定代表人授权书原件、反映异议人主体资格的营业执照复印件（加盖法人公章）、以及合法来源的证据证明材料。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以联合体形式参加采购活动的，其异议应当由组成联合体的所有供应商共同提出。</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76" w:name="_Toc10480"/>
      <w:bookmarkStart w:id="177" w:name="_Toc18965"/>
      <w:bookmarkStart w:id="178" w:name="_Toc18218"/>
      <w:r>
        <w:rPr>
          <w:rFonts w:hint="eastAsia" w:ascii="宋体" w:hAnsi="宋体" w:cs="宋体"/>
          <w:color w:val="auto"/>
          <w:highlight w:val="none"/>
        </w:rPr>
        <w:t>其他</w:t>
      </w:r>
      <w:bookmarkEnd w:id="176"/>
      <w:bookmarkEnd w:id="177"/>
      <w:bookmarkEnd w:id="178"/>
    </w:p>
    <w:p>
      <w:pPr>
        <w:pStyle w:val="6"/>
        <w:widowControl w:val="0"/>
        <w:numPr>
          <w:ilvl w:val="0"/>
          <w:numId w:val="3"/>
        </w:numPr>
        <w:overflowPunct w:val="0"/>
        <w:rPr>
          <w:rFonts w:ascii="宋体" w:hAnsi="宋体" w:cs="宋体"/>
          <w:color w:val="auto"/>
          <w:sz w:val="21"/>
          <w:szCs w:val="21"/>
          <w:highlight w:val="none"/>
        </w:rPr>
      </w:pPr>
      <w:bookmarkStart w:id="179" w:name="_Toc18354"/>
      <w:bookmarkStart w:id="180" w:name="_Toc9374"/>
      <w:bookmarkStart w:id="181" w:name="_Toc1587"/>
      <w:r>
        <w:rPr>
          <w:rFonts w:hint="eastAsia" w:ascii="宋体" w:hAnsi="宋体" w:cs="宋体"/>
          <w:color w:val="auto"/>
          <w:sz w:val="21"/>
          <w:szCs w:val="21"/>
          <w:highlight w:val="none"/>
        </w:rPr>
        <w:t>磋商文件的解释权</w:t>
      </w:r>
      <w:bookmarkEnd w:id="179"/>
      <w:bookmarkEnd w:id="180"/>
      <w:bookmarkEnd w:id="181"/>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本磋商文件是根据国家有关法律、法规以及采购管理有关规定和参照国际惯例编制，解释权属本采购代理机构。</w:t>
      </w:r>
    </w:p>
    <w:p>
      <w:pPr>
        <w:widowControl w:val="0"/>
        <w:numPr>
          <w:ilvl w:val="0"/>
          <w:numId w:val="0"/>
        </w:numPr>
        <w:tabs>
          <w:tab w:val="left" w:pos="907"/>
        </w:tabs>
        <w:adjustRightInd/>
        <w:snapToGrid/>
        <w:spacing w:line="360" w:lineRule="exact"/>
        <w:ind w:leftChars="0"/>
        <w:jc w:val="both"/>
        <w:rPr>
          <w:rFonts w:ascii="宋体" w:hAnsi="宋体"/>
          <w:color w:val="auto"/>
          <w:szCs w:val="21"/>
          <w:highlight w:val="none"/>
        </w:rPr>
      </w:pPr>
      <w:r>
        <w:rPr>
          <w:rFonts w:hint="eastAsia" w:ascii="宋体" w:hAnsi="宋体"/>
          <w:color w:val="auto"/>
          <w:szCs w:val="21"/>
          <w:highlight w:val="none"/>
        </w:rPr>
        <w:br w:type="page"/>
      </w:r>
    </w:p>
    <w:p>
      <w:pPr>
        <w:pStyle w:val="4"/>
        <w:spacing w:before="0" w:after="0" w:line="240" w:lineRule="auto"/>
        <w:rPr>
          <w:color w:val="auto"/>
          <w:sz w:val="28"/>
          <w:szCs w:val="28"/>
          <w:highlight w:val="none"/>
        </w:rPr>
      </w:pPr>
      <w:bookmarkStart w:id="182" w:name="_Toc29654"/>
      <w:bookmarkStart w:id="183" w:name="_Toc6"/>
      <w:r>
        <w:rPr>
          <w:rFonts w:hint="eastAsia"/>
          <w:color w:val="auto"/>
          <w:sz w:val="28"/>
          <w:szCs w:val="28"/>
          <w:highlight w:val="none"/>
        </w:rPr>
        <w:t>第五部分 合同条款格式</w:t>
      </w:r>
      <w:bookmarkEnd w:id="182"/>
      <w:bookmarkEnd w:id="183"/>
      <w:bookmarkStart w:id="184" w:name="_Toc15636"/>
    </w:p>
    <w:bookmarkEnd w:id="184"/>
    <w:p>
      <w:pPr>
        <w:rPr>
          <w:color w:val="auto"/>
          <w:highlight w:val="none"/>
          <w:lang w:bidi="zh-CN"/>
        </w:rPr>
      </w:pPr>
      <w:bookmarkStart w:id="185" w:name="_Hlt109815959"/>
      <w:bookmarkEnd w:id="185"/>
    </w:p>
    <w:p>
      <w:pPr>
        <w:outlineLvl w:val="9"/>
        <w:rPr>
          <w:rFonts w:ascii="宋体" w:hAnsi="宋体"/>
          <w:b w:val="0"/>
          <w:bCs w:val="0"/>
          <w:color w:val="auto"/>
          <w:sz w:val="21"/>
          <w:szCs w:val="21"/>
          <w:highlight w:val="none"/>
        </w:rPr>
      </w:pPr>
      <w:bookmarkStart w:id="186" w:name="_Toc131351142"/>
      <w:bookmarkStart w:id="187" w:name="_Toc14376"/>
      <w:bookmarkStart w:id="188" w:name="_Toc9367"/>
      <w:r>
        <w:rPr>
          <w:rFonts w:hint="eastAsia" w:ascii="宋体" w:hAnsi="宋体" w:cs="宋体"/>
          <w:b w:val="0"/>
          <w:bCs w:val="0"/>
          <w:color w:val="auto"/>
          <w:sz w:val="21"/>
          <w:szCs w:val="21"/>
          <w:highlight w:val="none"/>
        </w:rPr>
        <w:t>注：本合同条款仅供参考，甲乙</w:t>
      </w:r>
      <w:r>
        <w:rPr>
          <w:rFonts w:hint="eastAsia" w:ascii="宋体" w:hAnsi="宋体" w:cs="宋体"/>
          <w:b w:val="0"/>
          <w:bCs w:val="0"/>
          <w:color w:val="auto"/>
          <w:sz w:val="21"/>
          <w:szCs w:val="21"/>
          <w:highlight w:val="none"/>
          <w:lang w:eastAsia="zh-CN"/>
        </w:rPr>
        <w:t>双</w:t>
      </w:r>
      <w:r>
        <w:rPr>
          <w:rFonts w:hint="eastAsia" w:ascii="宋体" w:hAnsi="宋体" w:cs="宋体"/>
          <w:b w:val="0"/>
          <w:bCs w:val="0"/>
          <w:color w:val="auto"/>
          <w:sz w:val="21"/>
          <w:szCs w:val="21"/>
          <w:highlight w:val="none"/>
        </w:rPr>
        <w:t>方可根据实际情况进行补充。</w:t>
      </w:r>
      <w:bookmarkEnd w:id="186"/>
      <w:bookmarkEnd w:id="187"/>
      <w:bookmarkEnd w:id="188"/>
    </w:p>
    <w:p>
      <w:pPr>
        <w:jc w:val="center"/>
        <w:rPr>
          <w:rFonts w:hAnsi="宋体" w:cs="宋体"/>
          <w:b/>
          <w:color w:val="auto"/>
          <w:szCs w:val="21"/>
          <w:highlight w:val="none"/>
        </w:rPr>
      </w:pPr>
    </w:p>
    <w:p>
      <w:pPr>
        <w:jc w:val="center"/>
        <w:rPr>
          <w:rFonts w:eastAsia="黑体"/>
          <w:color w:val="auto"/>
          <w:sz w:val="28"/>
          <w:szCs w:val="44"/>
          <w:highlight w:val="none"/>
        </w:rPr>
      </w:pPr>
      <w:bookmarkStart w:id="189" w:name="_Toc20386"/>
    </w:p>
    <w:p>
      <w:pPr>
        <w:spacing w:before="156" w:beforeLines="50" w:after="156" w:afterLines="50" w:line="360" w:lineRule="auto"/>
        <w:ind w:firstLine="6160" w:firstLineChars="2800"/>
        <w:contextualSpacing/>
        <w:jc w:val="both"/>
        <w:rPr>
          <w:rFonts w:ascii="宋体" w:hAnsi="宋体"/>
          <w:color w:val="auto"/>
          <w:highlight w:val="none"/>
        </w:rPr>
      </w:pPr>
      <w:r>
        <w:rPr>
          <w:rFonts w:hint="eastAsia" w:ascii="宋体" w:hAnsi="宋体" w:cs="宋体"/>
          <w:color w:val="auto"/>
          <w:sz w:val="22"/>
          <w:szCs w:val="22"/>
          <w:highlight w:val="none"/>
          <w:lang w:bidi="ar"/>
        </w:rPr>
        <w:t xml:space="preserve">合同编号：    </w:t>
      </w: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lang w:eastAsia="zh-CN"/>
        </w:rPr>
      </w:pP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Ansi="宋体"/>
          <w:b/>
          <w:color w:val="auto"/>
          <w:kern w:val="2"/>
          <w:sz w:val="48"/>
          <w:szCs w:val="40"/>
          <w:highlight w:val="none"/>
        </w:rPr>
      </w:pPr>
      <w:r>
        <w:rPr>
          <w:rFonts w:hint="eastAsia" w:hAnsi="宋体"/>
          <w:b/>
          <w:color w:val="auto"/>
          <w:kern w:val="2"/>
          <w:sz w:val="48"/>
          <w:szCs w:val="40"/>
          <w:highlight w:val="none"/>
          <w:lang w:eastAsia="zh-CN"/>
        </w:rPr>
        <w:t>项目公司专项咨询服务（重新采购）</w:t>
      </w:r>
      <w:r>
        <w:rPr>
          <w:rFonts w:hint="eastAsia" w:hAnsi="宋体"/>
          <w:b/>
          <w:color w:val="auto"/>
          <w:kern w:val="2"/>
          <w:sz w:val="48"/>
          <w:szCs w:val="40"/>
          <w:highlight w:val="none"/>
          <w:lang w:eastAsia="zh-CN"/>
        </w:rPr>
        <w:br w:type="textWrapping"/>
      </w:r>
      <w:r>
        <w:rPr>
          <w:rFonts w:hint="eastAsia" w:hAnsi="宋体"/>
          <w:b/>
          <w:color w:val="auto"/>
          <w:kern w:val="2"/>
          <w:sz w:val="48"/>
          <w:szCs w:val="40"/>
          <w:highlight w:val="none"/>
        </w:rPr>
        <w:t>合同</w:t>
      </w: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4"/>
          <w:highlight w:val="none"/>
          <w:u w:val="single"/>
          <w:lang w:val="en-US" w:eastAsia="zh-CN"/>
        </w:rPr>
        <w:t>项目公司专项咨询服务（重新采购）</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委托方（甲方）：</w:t>
      </w:r>
      <w:r>
        <w:rPr>
          <w:rFonts w:hint="eastAsia" w:ascii="宋体" w:hAnsi="宋体" w:cs="宋体"/>
          <w:color w:val="auto"/>
          <w:sz w:val="24"/>
          <w:szCs w:val="24"/>
          <w:highlight w:val="none"/>
          <w:u w:val="single"/>
          <w:lang w:val="en-US" w:eastAsia="zh-CN"/>
        </w:rPr>
        <w:t>东莞市新锋管道燃气有限公司</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承接人（乙方）： （</w:t>
      </w:r>
      <w:r>
        <w:rPr>
          <w:rFonts w:hint="eastAsia" w:ascii="宋体" w:hAnsi="宋体" w:cs="宋体"/>
          <w:color w:val="auto"/>
          <w:sz w:val="24"/>
          <w:szCs w:val="24"/>
          <w:highlight w:val="none"/>
          <w:lang w:val="en-US" w:eastAsia="zh-CN"/>
        </w:rPr>
        <w:t>牵头方</w:t>
      </w:r>
      <w:r>
        <w:rPr>
          <w:rFonts w:hint="eastAsia" w:ascii="宋体" w:hAnsi="宋体" w:eastAsia="宋体" w:cs="宋体"/>
          <w:color w:val="auto"/>
          <w:sz w:val="24"/>
          <w:szCs w:val="24"/>
          <w:highlight w:val="none"/>
        </w:rPr>
        <w:t>)（盖章）XX有限公司</w:t>
      </w: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成员方</w:t>
      </w:r>
      <w:r>
        <w:rPr>
          <w:rFonts w:hint="eastAsia" w:ascii="宋体" w:hAnsi="宋体" w:eastAsia="宋体" w:cs="宋体"/>
          <w:color w:val="auto"/>
          <w:sz w:val="24"/>
          <w:szCs w:val="24"/>
          <w:highlight w:val="none"/>
        </w:rPr>
        <w:t>)（盖章）XX有限公司</w:t>
      </w: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9"/>
        <w:spacing w:line="400" w:lineRule="exact"/>
        <w:ind w:firstLine="420" w:firstLineChars="200"/>
        <w:outlineLvl w:val="9"/>
        <w:rPr>
          <w:rFonts w:hAnsi="宋体" w:cs="宋体"/>
          <w:bCs/>
          <w:color w:val="auto"/>
          <w:sz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委托方(甲方)：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东莞市新锋管道燃气有限公司</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ind w:left="210" w:leftChars="100"/>
        <w:rPr>
          <w:rFonts w:hint="eastAsia" w:asciiTheme="minorEastAsia" w:hAnsiTheme="minorEastAsia" w:eastAsiaTheme="minorEastAsia" w:cstheme="minorEastAsia"/>
          <w:color w:val="auto"/>
          <w:sz w:val="21"/>
          <w:szCs w:val="21"/>
          <w:highlight w:val="none"/>
          <w:u w:val="single"/>
        </w:rPr>
      </w:pPr>
    </w:p>
    <w:p>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承接方：（牵头方)</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法定代表人：（牵头方)</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联系地址：（牵头方)</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w:t>
      </w:r>
      <w:r>
        <w:rPr>
          <w:rFonts w:hint="eastAsia" w:asciiTheme="minorEastAsia" w:hAnsiTheme="minorEastAsia" w:eastAsiaTheme="minorEastAsia" w:cstheme="minorEastAsia"/>
          <w:color w:val="auto"/>
          <w:sz w:val="21"/>
          <w:szCs w:val="21"/>
          <w:highlight w:val="none"/>
          <w:lang w:val="en-US" w:eastAsia="zh-CN"/>
        </w:rPr>
        <w:t>成员</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lang w:val="en-US" w:eastAsia="zh-CN"/>
        </w:rPr>
        <w:t>成员</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lang w:val="en-US" w:eastAsia="zh-CN"/>
        </w:rPr>
        <w:t>成员</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u w:val="single"/>
        </w:rPr>
        <w:t xml:space="preserve">                               </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p>
      <w:pPr>
        <w:numPr>
          <w:ilvl w:val="255"/>
          <w:numId w:val="0"/>
        </w:numPr>
        <w:spacing w:line="36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宋体" w:hAnsi="宋体" w:eastAsia="宋体" w:cs="宋体"/>
          <w:color w:val="auto"/>
          <w:sz w:val="21"/>
          <w:szCs w:val="21"/>
          <w:highlight w:val="none"/>
        </w:rPr>
        <w:t>经甲乙双方协商一致，确定由乙方作为</w:t>
      </w:r>
      <w:bookmarkStart w:id="190" w:name="项目名称"/>
      <w:r>
        <w:rPr>
          <w:rFonts w:hint="eastAsia" w:ascii="宋体" w:hAnsi="宋体" w:cs="宋体"/>
          <w:color w:val="auto"/>
          <w:sz w:val="21"/>
          <w:szCs w:val="21"/>
          <w:highlight w:val="none"/>
          <w:u w:val="single"/>
          <w:lang w:eastAsia="zh-CN"/>
        </w:rPr>
        <w:t>项目公司专项咨询服务（重新采购）</w:t>
      </w:r>
      <w:r>
        <w:rPr>
          <w:rFonts w:hint="eastAsia" w:ascii="宋体" w:hAnsi="宋体" w:eastAsia="宋体" w:cs="宋体"/>
          <w:color w:val="auto"/>
          <w:sz w:val="21"/>
          <w:szCs w:val="21"/>
          <w:highlight w:val="none"/>
        </w:rPr>
        <w:t>项目</w:t>
      </w:r>
      <w:bookmarkEnd w:id="190"/>
      <w:r>
        <w:rPr>
          <w:rFonts w:hint="eastAsia" w:ascii="宋体" w:hAnsi="宋体" w:eastAsia="宋体" w:cs="宋体"/>
          <w:color w:val="auto"/>
          <w:sz w:val="21"/>
          <w:szCs w:val="21"/>
          <w:highlight w:val="none"/>
        </w:rPr>
        <w:t>的承包单位,为明确双方的权利、义务，保质、保量、按期完成工程任务，双方根据《中华人民共和国民法典》等法律法规，签订本合同</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第一条 项目概况</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项目公司系由全资国企投资管理的项目，项目公司目前主营业务包括房地产投资、股权投资等。</w:t>
      </w:r>
    </w:p>
    <w:p>
      <w:pPr>
        <w:numPr>
          <w:ilvl w:val="255"/>
          <w:numId w:val="0"/>
        </w:num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第二条 服务</w:t>
      </w:r>
      <w:r>
        <w:rPr>
          <w:rFonts w:hint="eastAsia" w:asciiTheme="minorEastAsia" w:hAnsiTheme="minorEastAsia" w:eastAsiaTheme="minorEastAsia" w:cstheme="minorEastAsia"/>
          <w:b/>
          <w:bCs/>
          <w:color w:val="auto"/>
          <w:sz w:val="21"/>
          <w:szCs w:val="21"/>
          <w:highlight w:val="none"/>
        </w:rPr>
        <w:t xml:space="preserve">内容   </w:t>
      </w: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1.梳理、完善项目投资决策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投后管理的文件</w:t>
      </w:r>
    </w:p>
    <w:p>
      <w:pPr>
        <w:keepNext w:val="0"/>
        <w:keepLines w:val="0"/>
        <w:pageBreakBefore w:val="0"/>
        <w:widowControl/>
        <w:numPr>
          <w:ilvl w:val="255"/>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国有企业对外投资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管理的各项法律法规</w:t>
      </w:r>
      <w:r>
        <w:rPr>
          <w:rFonts w:hint="eastAsia" w:ascii="宋体" w:hAnsi="宋体" w:cs="宋体"/>
          <w:color w:val="auto"/>
          <w:sz w:val="21"/>
          <w:szCs w:val="21"/>
          <w:highlight w:val="none"/>
          <w:lang w:val="en-US" w:eastAsia="zh-CN"/>
        </w:rPr>
        <w:t>以及管理制度和甲方的</w:t>
      </w:r>
      <w:r>
        <w:rPr>
          <w:rFonts w:hint="eastAsia" w:ascii="宋体" w:hAnsi="宋体" w:eastAsia="宋体" w:cs="宋体"/>
          <w:color w:val="auto"/>
          <w:sz w:val="21"/>
          <w:szCs w:val="21"/>
          <w:highlight w:val="none"/>
          <w:lang w:val="en-US" w:eastAsia="zh-CN"/>
        </w:rPr>
        <w:t>要求，全面梳理、完善</w:t>
      </w:r>
      <w:r>
        <w:rPr>
          <w:rFonts w:hint="eastAsia" w:ascii="宋体" w:hAnsi="宋体" w:cs="宋体"/>
          <w:color w:val="auto"/>
          <w:sz w:val="21"/>
          <w:szCs w:val="21"/>
          <w:highlight w:val="none"/>
          <w:lang w:val="en-US" w:eastAsia="zh-CN"/>
        </w:rPr>
        <w:t>本</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投资决策、投后管理的</w:t>
      </w:r>
      <w:r>
        <w:rPr>
          <w:rFonts w:hint="eastAsia" w:ascii="宋体" w:hAnsi="宋体" w:cs="宋体"/>
          <w:b w:val="0"/>
          <w:bCs/>
          <w:color w:val="auto"/>
          <w:kern w:val="10"/>
          <w:sz w:val="21"/>
          <w:szCs w:val="21"/>
          <w:highlight w:val="none"/>
          <w:lang w:val="en-US" w:eastAsia="zh-CN" w:bidi="ar-SA"/>
        </w:rPr>
        <w:t>全部</w:t>
      </w:r>
      <w:r>
        <w:rPr>
          <w:rFonts w:hint="eastAsia" w:ascii="宋体" w:hAnsi="宋体" w:eastAsia="宋体" w:cs="宋体"/>
          <w:color w:val="auto"/>
          <w:sz w:val="21"/>
          <w:szCs w:val="21"/>
          <w:highlight w:val="none"/>
          <w:lang w:val="en-US" w:eastAsia="zh-CN"/>
        </w:rPr>
        <w:t>文件，确保项目投资决策、</w:t>
      </w:r>
      <w:r>
        <w:rPr>
          <w:rFonts w:hint="eastAsia" w:ascii="宋体" w:hAnsi="宋体" w:cs="宋体"/>
          <w:color w:val="auto"/>
          <w:sz w:val="21"/>
          <w:szCs w:val="21"/>
          <w:highlight w:val="none"/>
          <w:lang w:val="en-US" w:eastAsia="zh-CN"/>
        </w:rPr>
        <w:t>投后管理</w:t>
      </w:r>
      <w:r>
        <w:rPr>
          <w:rFonts w:hint="eastAsia" w:ascii="宋体" w:hAnsi="宋体" w:eastAsia="宋体" w:cs="宋体"/>
          <w:color w:val="auto"/>
          <w:sz w:val="21"/>
          <w:szCs w:val="21"/>
          <w:highlight w:val="none"/>
          <w:lang w:val="en-US" w:eastAsia="zh-CN"/>
        </w:rPr>
        <w:t>满足各项法规和监管要求。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审核资产负债及股东权益情况</w:t>
      </w:r>
    </w:p>
    <w:p>
      <w:pPr>
        <w:numPr>
          <w:ilvl w:val="255"/>
          <w:numId w:val="0"/>
        </w:num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甲方确定的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，对项目公司的</w:t>
      </w:r>
      <w:r>
        <w:rPr>
          <w:rFonts w:hint="eastAsia" w:ascii="宋体" w:hAnsi="宋体" w:eastAsia="宋体" w:cs="宋体"/>
          <w:color w:val="auto"/>
          <w:sz w:val="21"/>
          <w:szCs w:val="21"/>
          <w:highlight w:val="none"/>
          <w:lang w:val="en-US" w:eastAsia="zh-CN"/>
        </w:rPr>
        <w:t>各项资产、负债、股东权益情况进行审计，重点审计项目公司各项资产的可回收、受限及处置的具体情况，核实项目公司各项负债的性质、期限、利息及设置的增信措施等情况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，对项目公司出具净资产审计报告。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评估</w:t>
      </w:r>
      <w:r>
        <w:rPr>
          <w:rFonts w:hint="eastAsia" w:ascii="宋体" w:hAnsi="宋体" w:eastAsia="宋体" w:cs="宋体"/>
          <w:b/>
          <w:bCs/>
          <w:color w:val="auto"/>
          <w:sz w:val="21"/>
          <w:szCs w:val="21"/>
          <w:highlight w:val="none"/>
          <w:lang w:val="en-US" w:eastAsia="zh-CN"/>
        </w:rPr>
        <w:t>项目公司公司整体</w:t>
      </w:r>
      <w:r>
        <w:rPr>
          <w:rFonts w:hint="eastAsia" w:ascii="宋体" w:hAnsi="宋体" w:cs="宋体"/>
          <w:b/>
          <w:bCs/>
          <w:color w:val="auto"/>
          <w:sz w:val="21"/>
          <w:szCs w:val="21"/>
          <w:highlight w:val="none"/>
          <w:lang w:val="en-US" w:eastAsia="zh-CN"/>
        </w:rPr>
        <w:t>价值</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4.规划项目交易条件、交易方案和交易路径</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根据项目的审计和评估结果，协助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设计规划承债式交易条件、交易方案，协助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与产权交易</w:t>
      </w:r>
      <w:r>
        <w:rPr>
          <w:rFonts w:hint="eastAsia" w:asciiTheme="minorEastAsia" w:hAnsiTheme="minorEastAsia" w:eastAsiaTheme="minorEastAsia" w:cstheme="minorEastAsia"/>
          <w:color w:val="auto"/>
          <w:sz w:val="21"/>
          <w:szCs w:val="21"/>
          <w:highlight w:val="none"/>
          <w:lang w:val="en-US" w:eastAsia="zh-CN"/>
        </w:rPr>
        <w:t>中心</w:t>
      </w:r>
      <w:r>
        <w:rPr>
          <w:rFonts w:hint="eastAsia" w:ascii="宋体" w:hAnsi="宋体" w:eastAsia="宋体" w:cs="宋体"/>
          <w:b w:val="0"/>
          <w:bCs/>
          <w:color w:val="auto"/>
          <w:kern w:val="10"/>
          <w:sz w:val="21"/>
          <w:szCs w:val="21"/>
          <w:highlight w:val="none"/>
          <w:lang w:val="en-US" w:eastAsia="zh-CN" w:bidi="ar-SA"/>
        </w:rPr>
        <w:t>对接</w:t>
      </w:r>
      <w:r>
        <w:rPr>
          <w:rFonts w:hint="eastAsia" w:ascii="宋体" w:hAnsi="宋体" w:eastAsia="宋体" w:cs="宋体"/>
          <w:color w:val="auto"/>
          <w:sz w:val="21"/>
          <w:szCs w:val="21"/>
          <w:highlight w:val="none"/>
          <w:lang w:val="en-US" w:eastAsia="zh-CN"/>
        </w:rPr>
        <w:t>，合理规划项目挂牌交易方案，根据交易结果协助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完成交易实施路径，确保各项</w:t>
      </w:r>
      <w:r>
        <w:rPr>
          <w:rFonts w:hint="eastAsia" w:ascii="宋体" w:hAnsi="宋体" w:cs="宋体"/>
          <w:color w:val="auto"/>
          <w:sz w:val="21"/>
          <w:szCs w:val="21"/>
          <w:highlight w:val="none"/>
          <w:lang w:val="en-US" w:eastAsia="zh-CN"/>
        </w:rPr>
        <w:t>法律</w:t>
      </w:r>
      <w:r>
        <w:rPr>
          <w:rFonts w:hint="eastAsia" w:ascii="宋体" w:hAnsi="宋体" w:eastAsia="宋体" w:cs="宋体"/>
          <w:color w:val="auto"/>
          <w:sz w:val="21"/>
          <w:szCs w:val="21"/>
          <w:highlight w:val="none"/>
          <w:lang w:val="en-US" w:eastAsia="zh-CN"/>
        </w:rPr>
        <w:t>法规要求，保障</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正当权益。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5.项目处置完成后，出具项目整体投资的效益评价和合规性评估报告</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lang w:val="en-US" w:eastAsia="zh-CN"/>
        </w:rPr>
        <w:t>针对</w:t>
      </w:r>
      <w:r>
        <w:rPr>
          <w:rFonts w:hint="eastAsia" w:ascii="宋体" w:hAnsi="宋体" w:eastAsia="宋体" w:cs="宋体"/>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lang w:val="en-US" w:eastAsia="zh-CN"/>
        </w:rPr>
        <w:t>投资</w:t>
      </w:r>
      <w:r>
        <w:rPr>
          <w:rFonts w:hint="eastAsia" w:ascii="宋体" w:hAnsi="宋体" w:eastAsia="宋体" w:cs="宋体"/>
          <w:color w:val="auto"/>
          <w:sz w:val="21"/>
          <w:szCs w:val="21"/>
          <w:highlight w:val="none"/>
          <w:lang w:val="en-US" w:eastAsia="zh-CN"/>
        </w:rPr>
        <w:t>全过程出具整体性的合规分析评估报告，以论证项目投资、管理、处置全过程符合相关法规要求，客观评价项目整体投资效益</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第三条  </w:t>
      </w:r>
      <w:r>
        <w:rPr>
          <w:rFonts w:hint="eastAsia" w:ascii="宋体" w:hAnsi="宋体" w:cs="宋体"/>
          <w:b/>
          <w:bCs/>
          <w:color w:val="auto"/>
          <w:sz w:val="21"/>
          <w:szCs w:val="21"/>
          <w:highlight w:val="none"/>
          <w:lang w:val="en-US" w:eastAsia="zh-CN"/>
        </w:rPr>
        <w:t>服务质量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pPr>
        <w:numPr>
          <w:ilvl w:val="255"/>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乙方须保证按照相关要求遵守职业道德规范，恪守独立、客观、公正的原则，确保其履行职责所需要的专业胜任能力，以应有的职业谨慎态度执行审核、评估业务。</w:t>
      </w:r>
    </w:p>
    <w:p>
      <w:pPr>
        <w:numPr>
          <w:ilvl w:val="255"/>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乙方应当在实施必要的审计、评估程序后，以经过核实的证据为依据，分析、评价审核结论，形成审计、评估意见，出具审计、评估报告。保证审计、评估报告的真实性、准确性、合法性。</w:t>
      </w:r>
    </w:p>
    <w:p>
      <w:pPr>
        <w:numPr>
          <w:ilvl w:val="255"/>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乙方可在审计、评估过程中合理分配工作量和工作时间，必须保证在合同规定的时间内认真负责地完成合同</w:t>
      </w:r>
      <w:r>
        <w:rPr>
          <w:rFonts w:hint="eastAsia" w:asciiTheme="minorEastAsia" w:hAnsiTheme="minorEastAsia" w:eastAsiaTheme="minorEastAsia" w:cstheme="minorEastAsia"/>
          <w:color w:val="auto"/>
          <w:sz w:val="21"/>
          <w:szCs w:val="21"/>
          <w:highlight w:val="none"/>
          <w:lang w:val="en-US" w:eastAsia="zh-CN"/>
        </w:rPr>
        <w:t>范围</w:t>
      </w:r>
      <w:r>
        <w:rPr>
          <w:rFonts w:hint="eastAsia" w:ascii="宋体" w:hAnsi="宋体" w:eastAsia="宋体" w:cs="宋体"/>
          <w:b w:val="0"/>
          <w:bCs w:val="0"/>
          <w:color w:val="auto"/>
          <w:sz w:val="21"/>
          <w:szCs w:val="21"/>
          <w:highlight w:val="none"/>
          <w:lang w:val="en-US" w:eastAsia="zh-CN"/>
        </w:rPr>
        <w:t>内的服务工作并出具合格的报告。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pPr>
        <w:numPr>
          <w:ilvl w:val="255"/>
          <w:numId w:val="0"/>
        </w:numPr>
        <w:spacing w:line="360" w:lineRule="auto"/>
        <w:ind w:firstLine="420" w:firstLineChars="200"/>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对乙方</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必须配备经验丰富、数量足够的专业人员，确保审计</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宋体" w:hAnsi="宋体" w:cs="宋体"/>
          <w:color w:val="auto"/>
          <w:sz w:val="21"/>
          <w:szCs w:val="21"/>
          <w:highlight w:val="none"/>
          <w:lang w:val="en-US" w:eastAsia="zh-CN"/>
        </w:rPr>
        <w:t>人员</w:t>
      </w:r>
      <w:r>
        <w:rPr>
          <w:rFonts w:hint="eastAsia" w:ascii="宋体" w:hAnsi="宋体" w:eastAsia="宋体" w:cs="宋体"/>
          <w:color w:val="auto"/>
          <w:sz w:val="21"/>
          <w:szCs w:val="21"/>
          <w:highlight w:val="none"/>
          <w:lang w:val="en-US" w:eastAsia="zh-CN"/>
        </w:rPr>
        <w:t>需要熟悉国有企业合规管理要求</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房地产行业、投融资等</w:t>
      </w:r>
      <w:r>
        <w:rPr>
          <w:rFonts w:hint="eastAsia" w:ascii="宋体" w:hAnsi="宋体" w:eastAsia="宋体" w:cs="宋体"/>
          <w:b w:val="0"/>
          <w:bCs/>
          <w:color w:val="auto"/>
          <w:kern w:val="10"/>
          <w:sz w:val="21"/>
          <w:szCs w:val="21"/>
          <w:highlight w:val="none"/>
          <w:lang w:val="en-US" w:eastAsia="zh-CN" w:bidi="ar-SA"/>
        </w:rPr>
        <w:t>领域</w:t>
      </w:r>
      <w:r>
        <w:rPr>
          <w:rFonts w:hint="eastAsia" w:ascii="宋体" w:hAnsi="宋体" w:cs="宋体"/>
          <w:b w:val="0"/>
          <w:bCs/>
          <w:color w:val="auto"/>
          <w:kern w:val="10"/>
          <w:sz w:val="21"/>
          <w:szCs w:val="21"/>
          <w:highlight w:val="none"/>
          <w:lang w:val="en-US" w:eastAsia="zh-CN" w:bidi="ar-SA"/>
        </w:rPr>
        <w:t>专业知识。</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服务团队要求为资深会计师、税务师、评估师等不少于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人组成</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其中项目负责人要求具有注册会计师证书</w:t>
      </w:r>
      <w:r>
        <w:rPr>
          <w:rFonts w:hint="eastAsia" w:ascii="宋体" w:hAnsi="宋体" w:cs="宋体"/>
          <w:color w:val="auto"/>
          <w:sz w:val="21"/>
          <w:szCs w:val="21"/>
          <w:highlight w:val="none"/>
          <w:lang w:val="en-US" w:eastAsia="zh-CN"/>
        </w:rPr>
        <w:t>或</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，执业经验10年以上，其他组员要求至少2人具有注册会计师、2人具有资产评估师证书</w:t>
      </w:r>
      <w:r>
        <w:rPr>
          <w:rFonts w:hint="eastAsia" w:asciiTheme="minorEastAsia" w:hAnsiTheme="minorEastAsia" w:eastAsiaTheme="minorEastAsia" w:cstheme="minorEastAsia"/>
          <w:color w:val="auto"/>
          <w:sz w:val="21"/>
          <w:szCs w:val="21"/>
          <w:highlight w:val="none"/>
          <w:lang w:val="en-US" w:eastAsia="zh-CN"/>
        </w:rPr>
        <w:t>。</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第四条  合同价格及其支付方式</w:t>
      </w:r>
    </w:p>
    <w:p>
      <w:p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1.合同金额：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本合同（含税）总价款为</w:t>
      </w:r>
      <w:r>
        <w:rPr>
          <w:rFonts w:hint="eastAsia" w:asciiTheme="minorEastAsia" w:hAnsiTheme="minorEastAsia" w:eastAsiaTheme="minorEastAsia" w:cstheme="minorEastAsia"/>
          <w:color w:val="auto"/>
          <w:sz w:val="21"/>
          <w:szCs w:val="21"/>
          <w:highlight w:val="none"/>
          <w:u w:val="single"/>
          <w:lang w:val="en-US" w:eastAsia="zh-CN"/>
        </w:rPr>
        <w:t>￥    元</w:t>
      </w:r>
      <w:r>
        <w:rPr>
          <w:rFonts w:hint="eastAsia" w:asciiTheme="minorEastAsia" w:hAnsiTheme="minorEastAsia" w:eastAsiaTheme="minorEastAsia" w:cstheme="minorEastAsia"/>
          <w:color w:val="auto"/>
          <w:sz w:val="21"/>
          <w:szCs w:val="21"/>
          <w:highlight w:val="none"/>
          <w:lang w:val="en-US" w:eastAsia="zh-CN"/>
        </w:rPr>
        <w:t>（大写人民币：</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，其中：增值税率 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，税金金额￥</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，不含税合同总价款为￥</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sz w:val="21"/>
          <w:szCs w:val="21"/>
          <w:highlight w:val="none"/>
          <w:lang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(1)签订服务合同之日起</w:t>
      </w:r>
      <w:r>
        <w:rPr>
          <w:rFonts w:hint="eastAsia" w:asciiTheme="minorEastAsia" w:hAnsiTheme="minorEastAsia" w:eastAsiaTheme="minorEastAsia" w:cstheme="minorEastAsia"/>
          <w:color w:val="auto"/>
          <w:sz w:val="21"/>
          <w:szCs w:val="21"/>
          <w:highlight w:val="none"/>
          <w:lang w:val="en-US" w:eastAsia="zh-CN"/>
        </w:rPr>
        <w:t>5</w:t>
      </w:r>
      <w:r>
        <w:rPr>
          <w:rFonts w:hint="default" w:asciiTheme="minorEastAsia" w:hAnsiTheme="minorEastAsia" w:eastAsiaTheme="minorEastAsia" w:cstheme="minorEastAsia"/>
          <w:color w:val="auto"/>
          <w:sz w:val="21"/>
          <w:szCs w:val="21"/>
          <w:highlight w:val="none"/>
        </w:rPr>
        <w:t>个工作日内支付合同金额的</w:t>
      </w: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出具相关报告初稿之日起5个工作日内支付合同金额的30%；</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出具相关报告定稿并</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w:t>
      </w:r>
      <w:r>
        <w:rPr>
          <w:rFonts w:hint="eastAsia" w:asciiTheme="minorEastAsia" w:hAnsiTheme="minorEastAsia" w:eastAsiaTheme="minorEastAsia" w:cstheme="minorEastAsia"/>
          <w:color w:val="auto"/>
          <w:sz w:val="21"/>
          <w:szCs w:val="21"/>
          <w:highlight w:val="none"/>
          <w:lang w:val="en-US" w:eastAsia="zh-CN"/>
        </w:rPr>
        <w:t>之日起5个工作日内支付合同金额的50%</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3、甲</w:t>
      </w:r>
      <w:r>
        <w:rPr>
          <w:rFonts w:hint="eastAsia" w:asciiTheme="minorEastAsia" w:hAnsiTheme="minorEastAsia" w:eastAsiaTheme="minorEastAsia" w:cstheme="minorEastAsia"/>
          <w:color w:val="auto"/>
          <w:sz w:val="21"/>
          <w:szCs w:val="21"/>
          <w:highlight w:val="none"/>
        </w:rPr>
        <w:t xml:space="preserve">方开票信息如下：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公司名称：</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税号：</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rPr>
        <w:t>款项，</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采用公对公银行转账方式</w:t>
      </w:r>
      <w:r>
        <w:rPr>
          <w:rFonts w:hint="eastAsia" w:asciiTheme="minorEastAsia" w:hAnsiTheme="minorEastAsia" w:eastAsiaTheme="minorEastAsia" w:cstheme="minorEastAsia"/>
          <w:color w:val="auto"/>
          <w:sz w:val="21"/>
          <w:szCs w:val="21"/>
          <w:highlight w:val="none"/>
          <w:lang w:val="en-US" w:eastAsia="zh-CN"/>
        </w:rPr>
        <w:t>分别</w:t>
      </w:r>
      <w:r>
        <w:rPr>
          <w:rFonts w:hint="eastAsia" w:asciiTheme="minorEastAsia" w:hAnsiTheme="minorEastAsia" w:eastAsiaTheme="minorEastAsia" w:cstheme="minorEastAsia"/>
          <w:color w:val="auto"/>
          <w:sz w:val="21"/>
          <w:szCs w:val="21"/>
          <w:highlight w:val="none"/>
        </w:rPr>
        <w:t>付至乙方以下账户：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乙</w:t>
      </w:r>
      <w:r>
        <w:rPr>
          <w:rFonts w:hint="eastAsia" w:asciiTheme="minorEastAsia" w:hAnsiTheme="minorEastAsia" w:eastAsiaTheme="minorEastAsia" w:cstheme="minorEastAsia"/>
          <w:color w:val="auto"/>
          <w:sz w:val="21"/>
          <w:szCs w:val="21"/>
          <w:highlight w:val="none"/>
        </w:rPr>
        <w:t>方银行账户信息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账户名称：</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银行</w:t>
      </w: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rPr>
          <w:rFonts w:hint="default" w:ascii="宋体" w:hAnsi="宋体" w:eastAsia="宋体" w:cs="宋体"/>
          <w:b/>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第五条  </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服务期</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z w:val="21"/>
          <w:szCs w:val="21"/>
          <w:highlight w:val="none"/>
          <w:lang w:val="en-US" w:eastAsia="zh-CN"/>
        </w:rPr>
        <w:t>服务期：</w:t>
      </w:r>
      <w:r>
        <w:rPr>
          <w:rFonts w:hint="eastAsia" w:asciiTheme="minorEastAsia" w:hAnsiTheme="minorEastAsia" w:eastAsiaTheme="minorEastAsia" w:cstheme="minorEastAsia"/>
          <w:color w:val="auto"/>
          <w:sz w:val="21"/>
          <w:szCs w:val="21"/>
          <w:highlight w:val="none"/>
        </w:rPr>
        <w:t>项目合同签订之日起至项目相关报告</w:t>
      </w:r>
      <w:r>
        <w:rPr>
          <w:rFonts w:hint="eastAsia" w:asciiTheme="minorEastAsia" w:hAnsiTheme="minorEastAsia" w:eastAsiaTheme="minorEastAsia" w:cstheme="minorEastAsia"/>
          <w:color w:val="auto"/>
          <w:sz w:val="21"/>
          <w:szCs w:val="21"/>
          <w:highlight w:val="none"/>
          <w:lang w:val="en-US" w:eastAsia="zh-CN"/>
        </w:rPr>
        <w:t>提交甲方</w:t>
      </w:r>
      <w:r>
        <w:rPr>
          <w:rFonts w:hint="eastAsia" w:asciiTheme="minorEastAsia" w:hAnsiTheme="minorEastAsia" w:eastAsiaTheme="minorEastAsia" w:cstheme="minorEastAsia"/>
          <w:color w:val="auto"/>
          <w:sz w:val="21"/>
          <w:szCs w:val="21"/>
          <w:highlight w:val="none"/>
        </w:rPr>
        <w:t>并由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确认无误时止。</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2.相关报告提交期限：依据本合同的有关规定，在甲方资料提供齐全后10个工作日提交相关报告初稿。相关报告初稿经甲方确认后10个工作日提交相关报告定稿。</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3.相关报告提交方式：乙方按约定以快递/送达甲方住所的方式向甲方提交正式报告书一式五份。</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第六条  甲方的权利与义务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执行本项目磋商文件及技术方案关于项目计划、职责、管理要求等规定内容。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1.甲方有权在项目实施过程中对乙方的进度执行情况进行监督、检查和指导。有权要求乙方提交工作月报。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当甲方发现乙方人员不按合同及采购需求书约定履行职责，甲方有权要求 乙方更换项目人员，直到终止合同并要求乙方承担相应的赔偿责任。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3.本合同成果的知识产权含著作权、申请专利权和专利权及所有权等权利归甲方所有。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(二)甲方义务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1.甲方派出业务人员配合乙方完成采购需求书所规定的内容及成果。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甲方授权龙翠芬作为联系代表，负责与乙方联系。若更换联系代表，应当提前通知乙方。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甲方按本合同约定支付合同款。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组织项目成果的审查和验收。</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第七条  乙方的权利与义务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(一)乙方权利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1.乙方有权按本合同约定获得合同款。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2.乙方有权对项目实施工作中出现的管理和协调问题提出具体的意见和解决建议。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甲方授权乙方行使的其他职权。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本合同成果的知识产权归甲方所有。经甲方同意乙方有权使用。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乙方应按相关文件要求投入合格的、充足的人员进行项目工作，提供所承担本合同工作的全部作业环境，包括设备、工具、交通及伙食等。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2.乙方委派的项目人员，必须能够适应合同及项目采购需求书规定的工作。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3.在本合同期内，乙方必须在按相关文件承诺投入相关专业人员。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保持人员的稳定，不得随意调换，确有原因乙方调换项目成员，须以书面形式的要求更换不能按照合同规定履行工作的人员，并经甲方同意后方可调换。即使甲方要求或同意更换的人员，其代替人员应具有同等或更高级的资质并得到甲方的认可。由于更换人员引起的费用由乙方承担。</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5.负责收集、整理项目管理所需全部档案、资料，适时提供给甲方。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6.与本项目有关的所有上级单位的审计工作，乙方单位必须无条件配合。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保证充足的人员完成本合同规定的工作及按时发放相关人员的法定工资和福利待遇，严格落实安全生产相关法律法规要求，包括但不限于要求特种作业人员持证上岗、开展安全生产培训、佩戴个人防护装备、遵循相关安全操作规程等等。同时，乙方必须给本项目的施工人员购买意外险。因履行本合同过程中发生的工伤事故、劳动纠纷、安全事故以及其它可能涉及的法律纠纷（例如森林火灾事故等）均由乙方负责解决、承担全部费用和责任，如给第三人或甲方造成损害的，均由乙方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8.乙方应按照甲方的整改要求进行整改并及时更换项目人员。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9.乙方有义务保证项目数据的准确性、有效性、真实性和可追溯。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乙方不得向他人转让合同服务内容，也不得将合同服务内容支解后分别向他人转让。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11、乙方保证合同项下提供的设备不侵犯任何第三方的专利、商标或版权。否则，乙方须承担对第三方的专利或版权的侵权责任并承担因此而发生的所有费用。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第八条  甲方违约责任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本合同项下甲方要求乙方支付违约金和损失的，有权同时要求乙方支付各种直接和预</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期利益的损失的，有权同时要求乙方支付诉讼费、律师费、公证费、公告费、差旅费等实现债权的全部费用。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第九条  乙方违约责任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1.合同签订后，如乙方无法定或约定理由擅自中途停止或解除合同，乙方</w:t>
      </w:r>
      <w:r>
        <w:rPr>
          <w:rFonts w:hint="eastAsia" w:asciiTheme="minorEastAsia" w:hAnsiTheme="minorEastAsia" w:eastAsiaTheme="minorEastAsia" w:cstheme="minorEastAsia"/>
          <w:color w:val="auto"/>
          <w:sz w:val="21"/>
          <w:szCs w:val="21"/>
          <w:highlight w:val="none"/>
          <w:lang w:val="en-US" w:eastAsia="zh-CN"/>
        </w:rPr>
        <w:t>应退还甲方已支付款项，并</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支付</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作为违约金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2.如乙方未按合同要求提交书面反馈成果及交付审查成果的，每逾期1日，应按合同金额3‰的标准向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方支付违约金。</w:t>
      </w:r>
      <w:r>
        <w:rPr>
          <w:rFonts w:hint="eastAsia" w:asciiTheme="minorEastAsia" w:hAnsiTheme="minorEastAsia" w:eastAsiaTheme="minorEastAsia" w:cstheme="minorEastAsia"/>
          <w:color w:val="auto"/>
          <w:sz w:val="21"/>
          <w:szCs w:val="21"/>
          <w:highlight w:val="none"/>
          <w:lang w:val="en-US" w:eastAsia="zh-CN"/>
        </w:rPr>
        <w:t>逾期超过15天的，甲方有权单方解除本合同并要求乙方按</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r>
        <w:rPr>
          <w:rFonts w:hint="eastAsia" w:asciiTheme="minorEastAsia" w:hAnsiTheme="minorEastAsia" w:eastAsiaTheme="minorEastAsia" w:cstheme="minorEastAsia"/>
          <w:color w:val="auto"/>
          <w:sz w:val="21"/>
          <w:szCs w:val="21"/>
          <w:highlight w:val="none"/>
        </w:rPr>
        <w:t>但因不可抗力或甲方原因造成的工程拖期，乙方不承担赔偿责任。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3.如因乙方的技术原因导致乙方提供审查成果不满足本合同约定的，乙方应负责无偿给予采取补救措施，以达到本合同约定的要求。</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4.对于甲方提供的技术资料以及属于甲方</w:t>
      </w:r>
      <w:r>
        <w:rPr>
          <w:rFonts w:hint="eastAsia" w:asciiTheme="minorEastAsia" w:hAnsiTheme="minorEastAsia" w:eastAsiaTheme="minorEastAsia" w:cstheme="minorEastAsia"/>
          <w:color w:val="auto"/>
          <w:sz w:val="21"/>
          <w:szCs w:val="21"/>
          <w:highlight w:val="none"/>
          <w:lang w:val="en-US" w:eastAsia="zh-CN"/>
        </w:rPr>
        <w:t>所</w:t>
      </w:r>
      <w:r>
        <w:rPr>
          <w:rFonts w:hint="eastAsia" w:asciiTheme="minorEastAsia" w:hAnsiTheme="minorEastAsia" w:eastAsiaTheme="minorEastAsia" w:cstheme="minorEastAsia"/>
          <w:color w:val="auto"/>
          <w:sz w:val="21"/>
          <w:szCs w:val="21"/>
          <w:highlight w:val="none"/>
        </w:rPr>
        <w:t>有的成果，乙方有保密义务，保密期限为永久，</w:t>
      </w:r>
      <w:r>
        <w:rPr>
          <w:rFonts w:hint="eastAsia" w:asciiTheme="minorEastAsia" w:hAnsiTheme="minorEastAsia" w:eastAsiaTheme="minorEastAsia" w:cstheme="minorEastAsia"/>
          <w:color w:val="auto"/>
          <w:sz w:val="21"/>
          <w:szCs w:val="21"/>
          <w:highlight w:val="none"/>
          <w:lang w:val="en-US" w:eastAsia="zh-CN"/>
        </w:rPr>
        <w:t>不因本合同的解除或终止而失效，乙方</w:t>
      </w:r>
      <w:r>
        <w:rPr>
          <w:rFonts w:hint="eastAsia" w:asciiTheme="minorEastAsia" w:hAnsiTheme="minorEastAsia" w:eastAsiaTheme="minorEastAsia" w:cstheme="minorEastAsia"/>
          <w:color w:val="auto"/>
          <w:sz w:val="21"/>
          <w:szCs w:val="21"/>
          <w:highlight w:val="none"/>
        </w:rPr>
        <w:t>不得向本合同以外的其他人转让或披露，否则，乙方向甲方按本合同金额的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5、如乙方违约的，甲方除有权要求乙方承担违约责任外，还有权要求乙方支付维权成本，包括但不限于诉讼/仲裁费、调查取证费/公证费/鉴定费、律师费、保全费、担保费、差旅费等维权费用及其他合理费用。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6、因乙方原因所产生的违约金、赔偿或其他应付费用，甲方有权从乙方提供的履约担保金额或甲方应支付的合同价款中直接扣除。</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第十条  知识产权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甲方提交给乙方使用的素材与资料，其知识产权仍归甲方所有。除为本合同目的而使用之外，乙方不得复制、使用及提供给第三方。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乙方向甲方提交的工作成果的全部知识产权均归甲方所有；甲方有权自行决定发表、修改、使用等，相关收益归甲方所有。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第十一条  不可抗力</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不可抗力的确认</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不可抗力是指甲乙双方在订立合同时不可预见，在履行合同过程中不可避免发生并不能克服的自然灾害、政策的调整和社会性突发事件，如地震、海啸、瘟疫、水灾、骚乱、暴动、战争等。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不可抗力的通知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合同一方当事人遇到不可抗力事件，使其履行合同义务受到阻碍时，应立即通知合同另一方当事人，书面说明不可抗力和受阻碍的详细情况，并提供必要的证明。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不可抗力后果及其处理</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（1）合同一方延迟履行，在延迟履行期间发生不可抗力的，不免除其责任。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（2）不可抗力发生后，合同双方均应采取措施尽量避免和减少损失的扩大，任何一方没有采取有效措施导致损失扩大的，应对扩大的损失承担责任。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（3）合同一方因不可抗力不能履行合同的，应当及时通知对方解除合同。双方根据乙方实际完成工作量据实结算合同费用。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第十二条  争端的解决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本合同发生争议，双方当事人应及时协商解决；经双方协商无法解决的争议，双方同意按照以下第</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val="en-US" w:eastAsia="zh-Hans"/>
        </w:rPr>
        <w:t>种</w:t>
      </w:r>
      <w:r>
        <w:rPr>
          <w:rFonts w:hint="eastAsia" w:asciiTheme="minorEastAsia" w:hAnsiTheme="minorEastAsia" w:eastAsiaTheme="minorEastAsia" w:cstheme="minorEastAsia"/>
          <w:color w:val="auto"/>
          <w:sz w:val="21"/>
          <w:szCs w:val="21"/>
          <w:highlight w:val="none"/>
          <w:lang w:val="en-US" w:eastAsia="zh-Hans"/>
        </w:rPr>
        <w:t>方式解决：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（1）凡因本合同引起的或与本合同有关的任何争议，均提交项目所在地有管辖权的人民法院裁决。</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（2）凡因本合同引起的或与本合同有关的任何争议，双方同意提交【东莞】仲裁委员会进行仲裁。仲裁裁决是终局的，对双方均有约束力。</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Hans" w:bidi="ar-SA"/>
        </w:rPr>
      </w:pPr>
      <w:r>
        <w:rPr>
          <w:rFonts w:hint="eastAsia" w:asciiTheme="minorEastAsia" w:hAnsiTheme="minorEastAsia" w:eastAsiaTheme="minorEastAsia" w:cstheme="minorEastAsia"/>
          <w:b/>
          <w:bCs/>
          <w:color w:val="auto"/>
          <w:kern w:val="2"/>
          <w:sz w:val="21"/>
          <w:szCs w:val="21"/>
          <w:highlight w:val="none"/>
          <w:lang w:val="en-US" w:eastAsia="zh-Hans" w:bidi="ar-SA"/>
        </w:rPr>
        <w:t>第十</w:t>
      </w:r>
      <w:r>
        <w:rPr>
          <w:rFonts w:hint="eastAsia" w:asciiTheme="minorEastAsia" w:hAnsiTheme="minorEastAsia" w:eastAsiaTheme="minorEastAsia" w:cstheme="minorEastAsia"/>
          <w:b/>
          <w:bCs/>
          <w:color w:val="auto"/>
          <w:kern w:val="2"/>
          <w:sz w:val="21"/>
          <w:szCs w:val="21"/>
          <w:highlight w:val="none"/>
          <w:lang w:val="en-US" w:eastAsia="zh-CN" w:bidi="ar-SA"/>
        </w:rPr>
        <w:t>三</w:t>
      </w:r>
      <w:r>
        <w:rPr>
          <w:rFonts w:hint="eastAsia" w:asciiTheme="minorEastAsia" w:hAnsiTheme="minorEastAsia" w:eastAsiaTheme="minorEastAsia" w:cstheme="minorEastAsia"/>
          <w:b/>
          <w:bCs/>
          <w:color w:val="auto"/>
          <w:kern w:val="2"/>
          <w:sz w:val="21"/>
          <w:szCs w:val="21"/>
          <w:highlight w:val="none"/>
          <w:lang w:val="en-US" w:eastAsia="zh-Hans" w:bidi="ar-SA"/>
        </w:rPr>
        <w:t>条 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双方各自指定履行本合同的联系人，一方资料、文件之交接及意见之传达、接收均通过联系人进行。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甲方指定联系人：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姓    名：____________________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通讯地址：____________________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甲方单位咨询电话：</w:t>
      </w:r>
      <w:r>
        <w:rPr>
          <w:rFonts w:hint="eastAsia" w:asciiTheme="minorEastAsia" w:hAnsiTheme="minorEastAsia" w:eastAsiaTheme="minorEastAsia" w:cstheme="minorEastAsia"/>
          <w:color w:val="auto"/>
          <w:sz w:val="21"/>
          <w:szCs w:val="21"/>
          <w:highlight w:val="none"/>
          <w:lang w:val="en-US" w:eastAsia="zh-Hans"/>
        </w:rPr>
        <w:t xml:space="preserve">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乙方指定联系人：____________________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姓    名：_______________</w:t>
      </w:r>
      <w:r>
        <w:rPr>
          <w:rFonts w:hint="eastAsia" w:asciiTheme="minorEastAsia" w:hAnsiTheme="minorEastAsia" w:eastAsiaTheme="minorEastAsia" w:cstheme="minorEastAsia"/>
          <w:color w:val="auto"/>
          <w:sz w:val="21"/>
          <w:szCs w:val="21"/>
          <w:highlight w:val="none"/>
          <w:lang w:val="en-US" w:eastAsia="zh-CN"/>
        </w:rPr>
        <w:t>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通讯地址：_____________________</w:t>
      </w:r>
    </w:p>
    <w:p>
      <w:pPr>
        <w:numPr>
          <w:ilvl w:val="255"/>
          <w:numId w:val="0"/>
        </w:numPr>
        <w:spacing w:line="360" w:lineRule="auto"/>
        <w:ind w:firstLine="0" w:firstLineChars="0"/>
        <w:rPr>
          <w:rFonts w:hint="eastAsia" w:asciiTheme="minorEastAsia" w:hAnsiTheme="minorEastAsia" w:eastAsiaTheme="minorEastAsia" w:cstheme="minorEastAsia"/>
          <w:b/>
          <w:bCs/>
          <w:color w:val="auto"/>
          <w:sz w:val="21"/>
          <w:szCs w:val="21"/>
          <w:highlight w:val="none"/>
          <w:lang w:val="en-US" w:eastAsia="zh-Hans"/>
        </w:rPr>
      </w:pPr>
      <w:r>
        <w:rPr>
          <w:rFonts w:hint="eastAsia" w:asciiTheme="minorEastAsia" w:hAnsiTheme="minorEastAsia" w:eastAsiaTheme="minorEastAsia" w:cstheme="minorEastAsia"/>
          <w:b/>
          <w:bCs/>
          <w:color w:val="auto"/>
          <w:sz w:val="21"/>
          <w:szCs w:val="21"/>
          <w:highlight w:val="none"/>
          <w:lang w:val="en-US" w:eastAsia="zh-Hans"/>
        </w:rPr>
        <w:t>第</w:t>
      </w:r>
      <w:r>
        <w:rPr>
          <w:rFonts w:hint="eastAsia" w:asciiTheme="minorEastAsia" w:hAnsiTheme="minorEastAsia" w:eastAsiaTheme="minorEastAsia" w:cstheme="minorEastAsia"/>
          <w:b/>
          <w:bCs/>
          <w:color w:val="auto"/>
          <w:sz w:val="21"/>
          <w:szCs w:val="21"/>
          <w:highlight w:val="none"/>
          <w:lang w:val="en-US" w:eastAsia="zh-CN"/>
        </w:rPr>
        <w:t>十四</w:t>
      </w:r>
      <w:r>
        <w:rPr>
          <w:rFonts w:hint="eastAsia" w:asciiTheme="minorEastAsia" w:hAnsiTheme="minorEastAsia" w:eastAsiaTheme="minorEastAsia" w:cstheme="minorEastAsia"/>
          <w:b/>
          <w:bCs/>
          <w:color w:val="auto"/>
          <w:sz w:val="21"/>
          <w:szCs w:val="21"/>
          <w:highlight w:val="none"/>
          <w:lang w:val="en-US" w:eastAsia="zh-Hans"/>
        </w:rPr>
        <w:t>条 其他</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 xml:space="preserve"> 本合同正文与下列附件共同构成本合同双方协商达成一致的全部内容：</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附件1</w:t>
      </w:r>
      <w:r>
        <w:rPr>
          <w:rFonts w:hint="eastAsia" w:asciiTheme="minorEastAsia" w:hAnsiTheme="minorEastAsia" w:eastAsiaTheme="minorEastAsia" w:cstheme="minorEastAsia"/>
          <w:color w:val="auto"/>
          <w:sz w:val="21"/>
          <w:szCs w:val="21"/>
          <w:highlight w:val="none"/>
          <w:lang w:val="en-US" w:eastAsia="zh-CN"/>
        </w:rPr>
        <w:t>：阳光合作协议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附件2：</w:t>
      </w:r>
      <w:r>
        <w:rPr>
          <w:rFonts w:hint="eastAsia" w:asciiTheme="minorEastAsia" w:hAnsiTheme="minorEastAsia" w:eastAsiaTheme="minorEastAsia" w:cstheme="minorEastAsia"/>
          <w:color w:val="auto"/>
          <w:sz w:val="21"/>
          <w:szCs w:val="21"/>
          <w:highlight w:val="none"/>
        </w:rPr>
        <w:t>中标通知书</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：响应文件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：采购文件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附件5：履约担保证明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附件6：最终报价表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 xml:space="preserve"> 本合同未尽事宜，经双方平等友好协商一致，可签订补充协议。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本合同自双方有权代表签字、单位盖章后生效。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Hans"/>
        </w:rPr>
        <w:t>本合同一式【</w:t>
      </w:r>
      <w:r>
        <w:rPr>
          <w:rFonts w:hint="eastAsia" w:asciiTheme="minorEastAsia" w:hAnsiTheme="minorEastAsia" w:eastAsiaTheme="minorEastAsia" w:cstheme="minorEastAsia"/>
          <w:color w:val="auto"/>
          <w:sz w:val="21"/>
          <w:szCs w:val="21"/>
          <w:highlight w:val="none"/>
          <w:lang w:val="en-US" w:eastAsia="zh-CN"/>
        </w:rPr>
        <w:t xml:space="preserve"> 肆 </w:t>
      </w:r>
      <w:r>
        <w:rPr>
          <w:rFonts w:hint="eastAsia" w:asciiTheme="minorEastAsia" w:hAnsiTheme="minorEastAsia" w:eastAsiaTheme="minorEastAsia" w:cstheme="minorEastAsia"/>
          <w:color w:val="auto"/>
          <w:sz w:val="21"/>
          <w:szCs w:val="21"/>
          <w:highlight w:val="none"/>
          <w:lang w:val="en-US" w:eastAsia="zh-Hans"/>
        </w:rPr>
        <w:t>】份，甲方执【</w:t>
      </w:r>
      <w:r>
        <w:rPr>
          <w:rFonts w:hint="eastAsia" w:asciiTheme="minorEastAsia" w:hAnsiTheme="minorEastAsia" w:eastAsiaTheme="minorEastAsia" w:cstheme="minorEastAsia"/>
          <w:color w:val="auto"/>
          <w:sz w:val="21"/>
          <w:szCs w:val="21"/>
          <w:highlight w:val="none"/>
          <w:lang w:val="en-US" w:eastAsia="zh-CN"/>
        </w:rPr>
        <w:t xml:space="preserve"> 贰 </w:t>
      </w:r>
      <w:r>
        <w:rPr>
          <w:rFonts w:hint="eastAsia" w:asciiTheme="minorEastAsia" w:hAnsiTheme="minorEastAsia" w:eastAsiaTheme="minorEastAsia" w:cstheme="minorEastAsia"/>
          <w:color w:val="auto"/>
          <w:sz w:val="21"/>
          <w:szCs w:val="21"/>
          <w:highlight w:val="none"/>
          <w:lang w:val="en-US" w:eastAsia="zh-Hans"/>
        </w:rPr>
        <w:t xml:space="preserve">】份，乙方执【 </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lang w:val="en-US" w:eastAsia="zh-Hans"/>
        </w:rPr>
        <w:t xml:space="preserve">  】份，各份具有同等法律效力。</w:t>
      </w:r>
    </w:p>
    <w:p>
      <w:p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（以下无正文，为签章内容）</w:t>
      </w:r>
    </w:p>
    <w:tbl>
      <w:tblPr>
        <w:tblStyle w:val="33"/>
        <w:tblpPr w:leftFromText="180" w:rightFromText="180" w:vertAnchor="text" w:horzAnchor="page" w:tblpX="1740" w:tblpY="119"/>
        <w:tblW w:w="9145" w:type="dxa"/>
        <w:tblInd w:w="0" w:type="dxa"/>
        <w:tblLayout w:type="fixed"/>
        <w:tblCellMar>
          <w:top w:w="0" w:type="dxa"/>
          <w:left w:w="108" w:type="dxa"/>
          <w:bottom w:w="0" w:type="dxa"/>
          <w:right w:w="108" w:type="dxa"/>
        </w:tblCellMar>
      </w:tblPr>
      <w:tblGrid>
        <w:gridCol w:w="3048"/>
        <w:gridCol w:w="3048"/>
        <w:gridCol w:w="3049"/>
      </w:tblGrid>
      <w:tr>
        <w:tblPrEx>
          <w:tblLayout w:type="fixed"/>
          <w:tblCellMar>
            <w:top w:w="0" w:type="dxa"/>
            <w:left w:w="108" w:type="dxa"/>
            <w:bottom w:w="0" w:type="dxa"/>
            <w:right w:w="108" w:type="dxa"/>
          </w:tblCellMar>
        </w:tblPrEx>
        <w:trPr>
          <w:trHeight w:val="2208" w:hRule="atLeast"/>
        </w:trPr>
        <w:tc>
          <w:tcPr>
            <w:tcW w:w="3048" w:type="dxa"/>
            <w:noWrap w:val="0"/>
            <w:vAlign w:val="top"/>
          </w:tcPr>
          <w:p>
            <w:pPr>
              <w:pStyle w:val="93"/>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甲方：（公章）</w:t>
            </w:r>
          </w:p>
          <w:p>
            <w:pPr>
              <w:pStyle w:val="93"/>
              <w:spacing w:after="50" w:line="360" w:lineRule="auto"/>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single"/>
                <w:lang w:val="en-US" w:eastAsia="zh-CN"/>
              </w:rPr>
              <w:t>东莞市新锋管道燃气有限公司</w:t>
            </w:r>
          </w:p>
        </w:tc>
        <w:tc>
          <w:tcPr>
            <w:tcW w:w="3048" w:type="dxa"/>
            <w:noWrap w:val="0"/>
            <w:vAlign w:val="top"/>
          </w:tcPr>
          <w:p>
            <w:pPr>
              <w:pStyle w:val="93"/>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w:t>
            </w:r>
            <w:r>
              <w:rPr>
                <w:rFonts w:hint="eastAsia" w:hAnsi="宋体" w:cs="宋体"/>
                <w:color w:val="auto"/>
                <w:sz w:val="21"/>
                <w:szCs w:val="21"/>
                <w:highlight w:val="none"/>
                <w:u w:val="none"/>
                <w:lang w:val="en-US" w:eastAsia="zh-CN"/>
              </w:rPr>
              <w:t>牵头方</w:t>
            </w:r>
            <w:r>
              <w:rPr>
                <w:rFonts w:hint="eastAsia" w:ascii="宋体" w:hAnsi="宋体" w:eastAsia="宋体" w:cs="宋体"/>
                <w:color w:val="auto"/>
                <w:sz w:val="21"/>
                <w:szCs w:val="21"/>
                <w:highlight w:val="none"/>
                <w:u w:val="none"/>
              </w:rPr>
              <w:t>）：（公章）</w:t>
            </w:r>
          </w:p>
          <w:p>
            <w:pPr>
              <w:pStyle w:val="93"/>
              <w:spacing w:after="50" w:line="360" w:lineRule="auto"/>
              <w:rPr>
                <w:rFonts w:hint="default"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 xml:space="preserve">                              </w:t>
            </w:r>
          </w:p>
        </w:tc>
        <w:tc>
          <w:tcPr>
            <w:tcW w:w="3049" w:type="dxa"/>
            <w:noWrap w:val="0"/>
            <w:vAlign w:val="top"/>
          </w:tcPr>
          <w:p>
            <w:pPr>
              <w:pStyle w:val="93"/>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w:t>
            </w:r>
            <w:r>
              <w:rPr>
                <w:rFonts w:hint="eastAsia" w:hAnsi="宋体" w:cs="宋体"/>
                <w:color w:val="auto"/>
                <w:sz w:val="21"/>
                <w:szCs w:val="21"/>
                <w:highlight w:val="none"/>
                <w:u w:val="none"/>
                <w:lang w:val="en-US" w:eastAsia="zh-CN"/>
              </w:rPr>
              <w:t>成员方</w:t>
            </w:r>
            <w:r>
              <w:rPr>
                <w:rFonts w:hint="eastAsia" w:ascii="宋体" w:hAnsi="宋体" w:eastAsia="宋体" w:cs="宋体"/>
                <w:color w:val="auto"/>
                <w:sz w:val="21"/>
                <w:szCs w:val="21"/>
                <w:highlight w:val="none"/>
                <w:u w:val="none"/>
              </w:rPr>
              <w:t>）：（公章）</w:t>
            </w:r>
          </w:p>
          <w:p>
            <w:pPr>
              <w:pStyle w:val="93"/>
              <w:spacing w:after="50" w:line="360" w:lineRule="auto"/>
              <w:rPr>
                <w:rFonts w:hint="eastAsia" w:ascii="宋体" w:hAnsi="宋体" w:eastAsia="宋体" w:cs="宋体"/>
                <w:color w:val="auto"/>
                <w:sz w:val="21"/>
                <w:szCs w:val="21"/>
                <w:highlight w:val="none"/>
                <w:u w:val="none"/>
              </w:rPr>
            </w:pPr>
          </w:p>
        </w:tc>
      </w:tr>
      <w:tr>
        <w:tblPrEx>
          <w:tblLayout w:type="fixed"/>
          <w:tblCellMar>
            <w:top w:w="0" w:type="dxa"/>
            <w:left w:w="108" w:type="dxa"/>
            <w:bottom w:w="0" w:type="dxa"/>
            <w:right w:w="108" w:type="dxa"/>
          </w:tblCellMar>
        </w:tblPrEx>
        <w:trPr>
          <w:trHeight w:val="1580" w:hRule="atLeast"/>
        </w:trPr>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93"/>
              <w:spacing w:after="50" w:line="360" w:lineRule="auto"/>
              <w:rPr>
                <w:rFonts w:hint="eastAsia" w:ascii="宋体" w:hAnsi="宋体" w:eastAsia="宋体" w:cs="宋体"/>
                <w:color w:val="auto"/>
                <w:sz w:val="21"/>
                <w:szCs w:val="21"/>
                <w:highlight w:val="none"/>
              </w:rPr>
            </w:pPr>
          </w:p>
        </w:tc>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93"/>
              <w:spacing w:after="50" w:line="360" w:lineRule="auto"/>
              <w:rPr>
                <w:rFonts w:hint="eastAsia" w:ascii="宋体" w:hAnsi="宋体" w:eastAsia="宋体" w:cs="宋体"/>
                <w:color w:val="auto"/>
                <w:sz w:val="21"/>
                <w:szCs w:val="21"/>
                <w:highlight w:val="none"/>
              </w:rPr>
            </w:pPr>
          </w:p>
          <w:p>
            <w:pPr>
              <w:pStyle w:val="93"/>
              <w:spacing w:after="50" w:line="360" w:lineRule="auto"/>
              <w:rPr>
                <w:rFonts w:hint="eastAsia" w:ascii="宋体" w:hAnsi="宋体" w:eastAsia="宋体" w:cs="宋体"/>
                <w:color w:val="auto"/>
                <w:sz w:val="21"/>
                <w:szCs w:val="21"/>
                <w:highlight w:val="none"/>
              </w:rPr>
            </w:pPr>
          </w:p>
        </w:tc>
        <w:tc>
          <w:tcPr>
            <w:tcW w:w="3049"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93"/>
              <w:spacing w:after="50" w:line="360" w:lineRule="auto"/>
              <w:rPr>
                <w:rFonts w:hint="eastAsia" w:ascii="宋体" w:hAnsi="宋体" w:eastAsia="宋体" w:cs="宋体"/>
                <w:color w:val="auto"/>
                <w:sz w:val="21"/>
                <w:szCs w:val="21"/>
                <w:highlight w:val="none"/>
              </w:rPr>
            </w:pPr>
          </w:p>
          <w:p>
            <w:pPr>
              <w:pStyle w:val="93"/>
              <w:spacing w:after="50" w:line="360" w:lineRule="auto"/>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93"/>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93"/>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kern w:val="0"/>
                <w:sz w:val="21"/>
                <w:szCs w:val="21"/>
                <w:highlight w:val="none"/>
                <w:u w:val="single"/>
              </w:rPr>
              <w:t xml:space="preserve">            </w:t>
            </w:r>
          </w:p>
        </w:tc>
        <w:tc>
          <w:tcPr>
            <w:tcW w:w="3049"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93"/>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r>
    </w:tbl>
    <w:p>
      <w:pPr>
        <w:spacing w:line="360" w:lineRule="auto"/>
        <w:jc w:val="center"/>
        <w:outlineLvl w:val="9"/>
        <w:rPr>
          <w:rFonts w:hint="eastAsia"/>
          <w:color w:val="auto"/>
          <w:sz w:val="21"/>
          <w:szCs w:val="21"/>
          <w:highlight w:val="none"/>
        </w:rPr>
      </w:pPr>
      <w:r>
        <w:rPr>
          <w:rFonts w:hint="eastAsia"/>
          <w:color w:val="auto"/>
          <w:sz w:val="21"/>
          <w:szCs w:val="21"/>
          <w:highlight w:val="none"/>
        </w:rPr>
        <w:br w:type="page"/>
      </w:r>
    </w:p>
    <w:p>
      <w:pPr>
        <w:spacing w:line="240" w:lineRule="auto"/>
        <w:outlineLvl w:val="9"/>
        <w:rPr>
          <w:color w:val="auto"/>
          <w:sz w:val="21"/>
          <w:szCs w:val="21"/>
          <w:highlight w:val="none"/>
        </w:rPr>
      </w:pPr>
      <w:r>
        <w:rPr>
          <w:rFonts w:hint="eastAsia"/>
          <w:color w:val="auto"/>
          <w:sz w:val="21"/>
          <w:szCs w:val="21"/>
          <w:highlight w:val="none"/>
        </w:rPr>
        <w:t>附件</w:t>
      </w:r>
      <w:r>
        <w:rPr>
          <w:rFonts w:hint="eastAsia"/>
          <w:color w:val="auto"/>
          <w:sz w:val="21"/>
          <w:szCs w:val="21"/>
          <w:highlight w:val="none"/>
          <w:lang w:val="en-US" w:eastAsia="zh-CN"/>
        </w:rPr>
        <w:t>1</w:t>
      </w:r>
      <w:r>
        <w:rPr>
          <w:rFonts w:hint="eastAsia"/>
          <w:color w:val="auto"/>
          <w:sz w:val="21"/>
          <w:szCs w:val="21"/>
          <w:highlight w:val="none"/>
        </w:rPr>
        <w:t>：阳光合作协议</w:t>
      </w: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rPr>
      </w:pPr>
      <w:r>
        <w:rPr>
          <w:rFonts w:hint="eastAsia" w:hAnsi="宋体"/>
          <w:b/>
          <w:color w:val="auto"/>
          <w:kern w:val="2"/>
          <w:sz w:val="48"/>
          <w:szCs w:val="40"/>
          <w:highlight w:val="none"/>
        </w:rPr>
        <w:t xml:space="preserve"> 阳光合作协议</w:t>
      </w:r>
    </w:p>
    <w:p>
      <w:pPr>
        <w:spacing w:before="156" w:beforeLines="50" w:after="156" w:afterLines="50" w:line="360" w:lineRule="auto"/>
        <w:ind w:firstLine="420" w:firstLineChars="200"/>
        <w:contextualSpacing/>
        <w:outlineLvl w:val="9"/>
        <w:rPr>
          <w:rFonts w:hint="eastAsia" w:ascii="宋体" w:hAnsi="宋体" w:eastAsia="宋体"/>
          <w:color w:val="auto"/>
          <w:szCs w:val="21"/>
          <w:highlight w:val="none"/>
          <w:u w:val="single"/>
          <w:lang w:eastAsia="zh-CN"/>
        </w:rPr>
      </w:pPr>
      <w:r>
        <w:rPr>
          <w:rFonts w:hint="eastAsia" w:ascii="宋体" w:hAnsi="宋体"/>
          <w:color w:val="auto"/>
          <w:szCs w:val="21"/>
          <w:highlight w:val="none"/>
        </w:rPr>
        <w:t>甲方：</w:t>
      </w:r>
    </w:p>
    <w:p>
      <w:pPr>
        <w:spacing w:before="156" w:beforeLines="50" w:after="156" w:afterLines="50" w:line="360" w:lineRule="auto"/>
        <w:ind w:firstLine="420" w:firstLineChars="200"/>
        <w:contextualSpacing/>
        <w:outlineLvl w:val="9"/>
        <w:rPr>
          <w:color w:val="auto"/>
          <w:highlight w:val="none"/>
        </w:rPr>
      </w:pPr>
      <w:r>
        <w:rPr>
          <w:rFonts w:hint="eastAsia" w:ascii="宋体" w:hAnsi="宋体"/>
          <w:color w:val="auto"/>
          <w:szCs w:val="21"/>
          <w:highlight w:val="none"/>
        </w:rPr>
        <w:t>乙方：</w:t>
      </w:r>
    </w:p>
    <w:p>
      <w:pPr>
        <w:spacing w:line="360" w:lineRule="auto"/>
        <w:ind w:firstLine="420" w:firstLineChars="200"/>
        <w:contextualSpacing/>
        <w:outlineLvl w:val="9"/>
        <w:rPr>
          <w:rFonts w:ascii="宋体"/>
          <w:color w:val="auto"/>
          <w:highlight w:val="none"/>
        </w:rPr>
      </w:pPr>
      <w:r>
        <w:rPr>
          <w:rFonts w:hint="eastAsia" w:ascii="宋体" w:hAnsi="宋体"/>
          <w:color w:val="auto"/>
          <w:highlight w:val="none"/>
        </w:rPr>
        <w:t>甲、乙</w:t>
      </w:r>
      <w:r>
        <w:rPr>
          <w:rFonts w:hint="eastAsia" w:ascii="宋体" w:hAnsi="宋体"/>
          <w:color w:val="auto"/>
          <w:highlight w:val="none"/>
          <w:lang w:val="en-US" w:eastAsia="zh-CN"/>
        </w:rPr>
        <w:t>双</w:t>
      </w:r>
      <w:r>
        <w:rPr>
          <w:rFonts w:hint="eastAsia" w:ascii="宋体" w:hAnsi="宋体"/>
          <w:color w:val="auto"/>
          <w:highlight w:val="none"/>
        </w:rPr>
        <w:t>方于</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日签署了《</w:t>
      </w:r>
      <w:r>
        <w:rPr>
          <w:rFonts w:hint="eastAsia" w:ascii="宋体" w:hAnsi="宋体"/>
          <w:color w:val="auto"/>
          <w:highlight w:val="none"/>
          <w:lang w:val="en-US" w:eastAsia="zh-CN"/>
        </w:rPr>
        <w:t>项目公司专项咨询服务（重新采购）</w:t>
      </w:r>
      <w:r>
        <w:rPr>
          <w:rFonts w:hint="eastAsia" w:hAnsi="宋体"/>
          <w:color w:val="auto"/>
          <w:sz w:val="21"/>
          <w:highlight w:val="none"/>
          <w:u w:val="none"/>
          <w:lang w:val="en-US" w:eastAsia="zh-CN"/>
        </w:rPr>
        <w:t>合同</w:t>
      </w:r>
      <w:r>
        <w:rPr>
          <w:rFonts w:hint="eastAsia" w:ascii="宋体" w:hAnsi="宋体"/>
          <w:color w:val="auto"/>
          <w:highlight w:val="none"/>
        </w:rPr>
        <w:t>》（以下简称原合同），为加强</w:t>
      </w:r>
      <w:r>
        <w:rPr>
          <w:rFonts w:hint="eastAsia" w:ascii="宋体" w:hAnsi="宋体"/>
          <w:color w:val="auto"/>
          <w:highlight w:val="none"/>
          <w:lang w:val="en-US" w:eastAsia="zh-CN"/>
        </w:rPr>
        <w:t>双</w:t>
      </w:r>
      <w:r>
        <w:rPr>
          <w:rFonts w:hint="eastAsia" w:ascii="宋体" w:hAnsi="宋体"/>
          <w:color w:val="auto"/>
          <w:highlight w:val="none"/>
        </w:rPr>
        <w:t>方阳光合作，保证职员职业安全，甲、乙</w:t>
      </w:r>
      <w:r>
        <w:rPr>
          <w:rFonts w:hint="eastAsia" w:ascii="宋体" w:hAnsi="宋体"/>
          <w:color w:val="auto"/>
          <w:highlight w:val="none"/>
          <w:lang w:val="en-US" w:eastAsia="zh-CN"/>
        </w:rPr>
        <w:t>双</w:t>
      </w:r>
      <w:r>
        <w:rPr>
          <w:rFonts w:hint="eastAsia" w:ascii="宋体" w:hAnsi="宋体"/>
          <w:color w:val="auto"/>
          <w:highlight w:val="none"/>
        </w:rPr>
        <w:t>方经协商签订本协议并作为各方共同遵守的阳光合作行为准则。</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一、甲方责任</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2.甲方有责任对本单位相关人员进行阳光合作教育。</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二、乙方责任</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举报受理部门：东莞实业投资控股集团有限公司法律合规部</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东实集团举报邮箱：dgsyxf@163.com</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东实集团举报电话：0769-28820703（周一至周五9:00-12:00和14:00-18:00）</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邮寄地址：东莞市东城区八一路1号机关二号大院9号楼，东莞实业投资控股集团有限公司法律合规部收，邮编523000。</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三、其他</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1.本协议是原合同的补充协议，与原合同有同等法律效力。</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color w:val="auto"/>
          <w:highlight w:val="none"/>
          <w:lang w:val="en-US" w:eastAsia="zh-CN"/>
        </w:rPr>
        <w:t>伍</w:t>
      </w:r>
      <w:r>
        <w:rPr>
          <w:rFonts w:ascii="宋体" w:hAnsi="宋体"/>
          <w:color w:val="auto"/>
          <w:highlight w:val="none"/>
        </w:rPr>
        <w:t>份，甲方执</w:t>
      </w:r>
      <w:r>
        <w:rPr>
          <w:rFonts w:hint="eastAsia" w:ascii="宋体" w:hAnsi="宋体"/>
          <w:color w:val="auto"/>
          <w:highlight w:val="none"/>
          <w:lang w:val="en-US" w:eastAsia="zh-CN"/>
        </w:rPr>
        <w:t>叁</w:t>
      </w:r>
      <w:r>
        <w:rPr>
          <w:rFonts w:ascii="宋体" w:hAnsi="宋体"/>
          <w:color w:val="auto"/>
          <w:highlight w:val="none"/>
        </w:rPr>
        <w:t>份，乙方执</w:t>
      </w:r>
      <w:r>
        <w:rPr>
          <w:rFonts w:hint="eastAsia" w:ascii="宋体" w:hAnsi="宋体"/>
          <w:color w:val="auto"/>
          <w:highlight w:val="none"/>
          <w:lang w:val="en-US" w:eastAsia="zh-CN"/>
        </w:rPr>
        <w:t>贰</w:t>
      </w:r>
      <w:r>
        <w:rPr>
          <w:rFonts w:ascii="宋体" w:hAnsi="宋体"/>
          <w:color w:val="auto"/>
          <w:highlight w:val="none"/>
        </w:rPr>
        <w:t>份</w:t>
      </w:r>
      <w:r>
        <w:rPr>
          <w:rFonts w:hint="eastAsia" w:ascii="宋体" w:hAnsi="宋体"/>
          <w:color w:val="auto"/>
          <w:highlight w:val="none"/>
        </w:rPr>
        <w:t>,具有同等法律效力。</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3.本协议经</w:t>
      </w:r>
      <w:r>
        <w:rPr>
          <w:rFonts w:hint="eastAsia" w:ascii="宋体" w:hAnsi="宋体"/>
          <w:color w:val="auto"/>
          <w:highlight w:val="none"/>
          <w:lang w:val="en-US" w:eastAsia="zh-CN"/>
        </w:rPr>
        <w:t>双</w:t>
      </w:r>
      <w:r>
        <w:rPr>
          <w:rFonts w:hint="eastAsia" w:ascii="宋体" w:hAnsi="宋体"/>
          <w:color w:val="auto"/>
          <w:highlight w:val="none"/>
        </w:rPr>
        <w:t>方签署后生效。</w:t>
      </w:r>
    </w:p>
    <w:p>
      <w:pPr>
        <w:outlineLvl w:val="9"/>
        <w:rPr>
          <w:rFonts w:hint="eastAsia"/>
          <w:color w:val="auto"/>
          <w:sz w:val="28"/>
          <w:szCs w:val="28"/>
          <w:highlight w:val="none"/>
        </w:rPr>
      </w:pPr>
    </w:p>
    <w:tbl>
      <w:tblPr>
        <w:tblStyle w:val="34"/>
        <w:tblW w:w="9129" w:type="dxa"/>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3043"/>
        <w:gridCol w:w="3043"/>
        <w:gridCol w:w="3043"/>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411" w:hRule="atLeast"/>
        </w:trPr>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rPr>
              <w:t>甲方（盖章）：</w:t>
            </w:r>
            <w:r>
              <w:rPr>
                <w:rFonts w:hint="eastAsia" w:ascii="宋体" w:hAnsi="宋体" w:eastAsia="宋体" w:cs="宋体"/>
                <w:color w:val="auto"/>
                <w:sz w:val="21"/>
                <w:szCs w:val="21"/>
                <w:highlight w:val="none"/>
                <w:u w:val="none"/>
              </w:rPr>
              <w:br w:type="textWrapping"/>
            </w:r>
            <w:r>
              <w:rPr>
                <w:rFonts w:hint="eastAsia" w:asciiTheme="minorEastAsia" w:hAnsiTheme="minorEastAsia" w:eastAsiaTheme="minorEastAsia" w:cstheme="minorEastAsia"/>
                <w:color w:val="auto"/>
                <w:sz w:val="21"/>
                <w:szCs w:val="21"/>
                <w:highlight w:val="none"/>
                <w:u w:val="single"/>
                <w:lang w:val="en-US" w:eastAsia="zh-CN"/>
              </w:rPr>
              <w:t>东莞市新锋管道燃气有限公司</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u w:val="none"/>
                <w:vertAlign w:val="baseline"/>
                <w:lang w:eastAsia="zh-CN"/>
              </w:rPr>
            </w:pPr>
            <w:r>
              <w:rPr>
                <w:rFonts w:hint="eastAsia" w:ascii="宋体" w:hAnsi="宋体" w:eastAsia="宋体" w:cs="宋体"/>
                <w:color w:val="auto"/>
                <w:sz w:val="21"/>
                <w:szCs w:val="21"/>
                <w:highlight w:val="none"/>
                <w:u w:val="none"/>
              </w:rPr>
              <w:t>乙方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牵头方）</w:t>
            </w:r>
            <w:r>
              <w:rPr>
                <w:rFonts w:hint="eastAsia" w:ascii="宋体" w:hAnsi="宋体" w:eastAsia="宋体" w:cs="宋体"/>
                <w:color w:val="auto"/>
                <w:sz w:val="21"/>
                <w:szCs w:val="21"/>
                <w:highlight w:val="none"/>
                <w:u w:val="none"/>
              </w:rPr>
              <w:t>（盖章）：</w:t>
            </w:r>
            <w:r>
              <w:rPr>
                <w:rFonts w:hint="eastAsia" w:ascii="宋体" w:hAnsi="宋体" w:eastAsia="宋体" w:cs="宋体"/>
                <w:color w:val="auto"/>
                <w:sz w:val="21"/>
                <w:szCs w:val="21"/>
                <w:highlight w:val="none"/>
                <w:u w:val="none"/>
                <w:lang w:val="en-US" w:eastAsia="zh-CN"/>
              </w:rPr>
              <w:t xml:space="preserve"> </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乙方（</w:t>
            </w:r>
            <w:r>
              <w:rPr>
                <w:rFonts w:hint="eastAsia" w:ascii="宋体" w:hAnsi="宋体" w:eastAsia="宋体" w:cs="宋体"/>
                <w:color w:val="auto"/>
                <w:sz w:val="21"/>
                <w:szCs w:val="21"/>
                <w:highlight w:val="none"/>
                <w:u w:val="none"/>
                <w:lang w:val="en-US" w:eastAsia="zh-CN"/>
              </w:rPr>
              <w:t>成员方</w:t>
            </w:r>
            <w:r>
              <w:rPr>
                <w:rFonts w:hint="eastAsia" w:ascii="宋体" w:hAnsi="宋体" w:eastAsia="宋体" w:cs="宋体"/>
                <w:color w:val="auto"/>
                <w:sz w:val="21"/>
                <w:szCs w:val="21"/>
                <w:highlight w:val="none"/>
                <w:u w:val="none"/>
              </w:rPr>
              <w:t>）：（盖章）</w:t>
            </w:r>
            <w:r>
              <w:rPr>
                <w:rFonts w:hint="eastAsia" w:ascii="宋体" w:hAnsi="宋体" w:eastAsia="宋体" w:cs="宋体"/>
                <w:color w:val="auto"/>
                <w:sz w:val="21"/>
                <w:szCs w:val="21"/>
                <w:highlight w:val="none"/>
                <w:u w:val="none"/>
                <w:lang w:val="en-US" w:eastAsia="zh-CN"/>
              </w:rPr>
              <w:t xml:space="preserve"> </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502" w:hRule="atLeast"/>
        </w:trPr>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法定代表人（授权代表）：</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法定代表人（授权代表）：</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203" w:hRule="atLeast"/>
        </w:trPr>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签约日期：   年   月   日</w:t>
            </w:r>
          </w:p>
        </w:tc>
        <w:tc>
          <w:tcPr>
            <w:tcW w:w="3043" w:type="dxa"/>
            <w:tcBorders>
              <w:tl2br w:val="nil"/>
              <w:tr2bl w:val="nil"/>
            </w:tcBorders>
            <w:noWrap w:val="0"/>
            <w:vAlign w:val="top"/>
          </w:tcPr>
          <w:p>
            <w:pPr>
              <w:pStyle w:val="2"/>
              <w:widowControl w:val="0"/>
              <w:spacing w:after="120"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签约日期：   年   月   日</w:t>
            </w:r>
          </w:p>
        </w:tc>
        <w:tc>
          <w:tcPr>
            <w:tcW w:w="3043" w:type="dxa"/>
            <w:tcBorders>
              <w:tl2br w:val="nil"/>
              <w:tr2bl w:val="nil"/>
            </w:tcBorders>
            <w:noWrap w:val="0"/>
            <w:vAlign w:val="top"/>
          </w:tcPr>
          <w:p>
            <w:pPr>
              <w:pStyle w:val="2"/>
              <w:widowControl w:val="0"/>
              <w:spacing w:after="12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   年   月   日</w:t>
            </w:r>
          </w:p>
        </w:tc>
      </w:tr>
    </w:tbl>
    <w:p>
      <w:pPr>
        <w:pStyle w:val="36"/>
        <w:ind w:left="0" w:leftChars="0" w:firstLine="0" w:firstLineChars="0"/>
        <w:rPr>
          <w:rFonts w:hint="eastAsia"/>
          <w:color w:val="auto"/>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pStyle w:val="4"/>
        <w:spacing w:before="0" w:after="0" w:line="240" w:lineRule="auto"/>
        <w:rPr>
          <w:color w:val="auto"/>
          <w:sz w:val="28"/>
          <w:szCs w:val="28"/>
          <w:highlight w:val="none"/>
        </w:rPr>
      </w:pPr>
      <w:bookmarkStart w:id="191" w:name="_Toc677"/>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附件－响应文件格式</w:t>
      </w:r>
      <w:bookmarkEnd w:id="189"/>
      <w:bookmarkEnd w:id="191"/>
    </w:p>
    <w:p>
      <w:pPr>
        <w:rPr>
          <w:color w:val="auto"/>
          <w:highlight w:val="none"/>
        </w:rPr>
      </w:pPr>
    </w:p>
    <w:p>
      <w:pPr>
        <w:pStyle w:val="6"/>
        <w:widowControl w:val="0"/>
        <w:overflowPunct w:val="0"/>
        <w:spacing w:line="240" w:lineRule="auto"/>
        <w:rPr>
          <w:rFonts w:ascii="宋体" w:hAnsi="宋体"/>
          <w:color w:val="auto"/>
          <w:sz w:val="21"/>
          <w:szCs w:val="21"/>
          <w:highlight w:val="none"/>
        </w:rPr>
      </w:pPr>
      <w:bookmarkStart w:id="192" w:name="_Toc11461"/>
      <w:bookmarkStart w:id="193" w:name="_Toc1846"/>
      <w:r>
        <w:rPr>
          <w:rFonts w:hint="eastAsia" w:ascii="宋体" w:hAnsi="宋体"/>
          <w:color w:val="auto"/>
          <w:sz w:val="21"/>
          <w:szCs w:val="21"/>
          <w:highlight w:val="none"/>
        </w:rPr>
        <w:t>响应文件目录</w:t>
      </w:r>
      <w:bookmarkEnd w:id="192"/>
      <w:bookmarkEnd w:id="193"/>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1、供应商制作的响应文件应当具备目录。</w:t>
      </w:r>
      <w:r>
        <w:rPr>
          <w:rFonts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194" w:name="_Toc26229"/>
      <w:bookmarkStart w:id="195" w:name="_Toc16660"/>
      <w:r>
        <w:rPr>
          <w:rFonts w:hint="eastAsia" w:ascii="宋体" w:hAnsi="宋体"/>
          <w:color w:val="auto"/>
          <w:sz w:val="21"/>
          <w:szCs w:val="21"/>
          <w:highlight w:val="none"/>
        </w:rPr>
        <w:t>附件1.评分标准索引表</w:t>
      </w:r>
      <w:bookmarkEnd w:id="194"/>
      <w:bookmarkEnd w:id="195"/>
    </w:p>
    <w:p>
      <w:pPr>
        <w:adjustRightInd/>
        <w:snapToGrid/>
        <w:spacing w:line="276" w:lineRule="auto"/>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noWrap w:val="0"/>
            <w:vAlign w:val="center"/>
          </w:tcPr>
          <w:p>
            <w:pPr>
              <w:jc w:val="center"/>
              <w:rPr>
                <w:rFonts w:ascii="宋体" w:hAnsi="宋体" w:cs="宋体"/>
                <w:color w:val="auto"/>
                <w:highlight w:val="none"/>
              </w:rPr>
            </w:pPr>
            <w:r>
              <w:rPr>
                <w:rFonts w:hint="eastAsia" w:ascii="宋体" w:hAnsi="宋体" w:cs="宋体"/>
                <w:color w:val="auto"/>
                <w:highlight w:val="none"/>
              </w:rPr>
              <w:t>分值</w:t>
            </w:r>
          </w:p>
        </w:tc>
        <w:tc>
          <w:tcPr>
            <w:tcW w:w="1705" w:type="dxa"/>
            <w:noWrap w:val="0"/>
            <w:vAlign w:val="center"/>
          </w:tcPr>
          <w:p>
            <w:pP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noWrap w:val="0"/>
            <w:vAlign w:val="center"/>
          </w:tcPr>
          <w:p>
            <w:pP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noWrap w:val="0"/>
            <w:vAlign w:val="center"/>
          </w:tcPr>
          <w:p>
            <w:pP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numPr>
          <w:ilvl w:val="0"/>
          <w:numId w:val="6"/>
        </w:numPr>
        <w:rPr>
          <w:rFonts w:ascii="宋体" w:hAnsi="宋体"/>
          <w:color w:val="auto"/>
          <w:szCs w:val="21"/>
          <w:highlight w:val="none"/>
        </w:rPr>
      </w:pPr>
      <w:r>
        <w:rPr>
          <w:rFonts w:hint="eastAsia" w:ascii="宋体" w:hAnsi="宋体"/>
          <w:color w:val="auto"/>
          <w:szCs w:val="21"/>
          <w:highlight w:val="none"/>
        </w:rPr>
        <w:t>该表格为参考格式，供应商可按实际情况自行制订评分标准索引表。</w:t>
      </w:r>
    </w:p>
    <w:p>
      <w:pPr>
        <w:pStyle w:val="2"/>
        <w:spacing w:before="0"/>
        <w:ind w:left="0"/>
        <w:rPr>
          <w:color w:val="auto"/>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jc w:val="center"/>
        <w:rPr>
          <w:rFonts w:ascii="黑体" w:eastAsia="黑体"/>
          <w:color w:val="auto"/>
          <w:sz w:val="52"/>
          <w:szCs w:val="52"/>
          <w:highlight w:val="none"/>
        </w:rPr>
      </w:pPr>
      <w:bookmarkStart w:id="196" w:name="_Toc30918"/>
      <w:bookmarkStart w:id="197" w:name="_Toc18450"/>
      <w:bookmarkStart w:id="198" w:name="_Toc21746"/>
      <w:bookmarkStart w:id="199" w:name="_Toc20335"/>
      <w:bookmarkStart w:id="200" w:name="_Toc28154"/>
    </w:p>
    <w:p>
      <w:pPr>
        <w:pStyle w:val="4"/>
        <w:spacing w:before="0" w:after="0" w:line="360" w:lineRule="auto"/>
        <w:jc w:val="center"/>
        <w:rPr>
          <w:color w:val="auto"/>
          <w:sz w:val="72"/>
          <w:szCs w:val="72"/>
          <w:highlight w:val="none"/>
        </w:rPr>
      </w:pPr>
      <w:bookmarkStart w:id="201" w:name="_Toc16913"/>
      <w:bookmarkStart w:id="202" w:name="_Toc32177"/>
      <w:r>
        <w:rPr>
          <w:rFonts w:hint="eastAsia"/>
          <w:color w:val="auto"/>
          <w:sz w:val="72"/>
          <w:szCs w:val="72"/>
          <w:highlight w:val="none"/>
        </w:rPr>
        <w:t>价格文件</w:t>
      </w:r>
      <w:bookmarkEnd w:id="196"/>
      <w:bookmarkEnd w:id="197"/>
      <w:bookmarkEnd w:id="201"/>
      <w:bookmarkEnd w:id="202"/>
      <w:bookmarkStart w:id="203" w:name="_Hlt10456397"/>
      <w:bookmarkEnd w:id="203"/>
      <w:bookmarkStart w:id="204" w:name="_Hlt10519799"/>
      <w:bookmarkEnd w:id="204"/>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98"/>
      <w:bookmarkEnd w:id="199"/>
      <w:bookmarkEnd w:id="200"/>
    </w:p>
    <w:p>
      <w:pPr>
        <w:rPr>
          <w:color w:val="auto"/>
          <w:highlight w:val="none"/>
        </w:rPr>
      </w:pPr>
    </w:p>
    <w:p>
      <w:pPr>
        <w:pStyle w:val="2"/>
        <w:rPr>
          <w:color w:val="auto"/>
          <w:highlight w:val="none"/>
        </w:rPr>
      </w:pPr>
    </w:p>
    <w:p>
      <w:pPr>
        <w:spacing w:before="0" w:after="0"/>
        <w:ind w:left="0"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0"/>
        </w:rPr>
        <w:t>项目名</w:t>
      </w:r>
      <w:r>
        <w:rPr>
          <w:rFonts w:hint="eastAsia" w:ascii="宋体" w:hAnsi="宋体" w:cs="宋体"/>
          <w:b/>
          <w:bCs/>
          <w:color w:val="auto"/>
          <w:spacing w:val="1"/>
          <w:kern w:val="0"/>
          <w:sz w:val="32"/>
          <w:szCs w:val="32"/>
          <w:highlight w:val="none"/>
          <w:fitText w:val="1600" w:id="0"/>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
        </w:rPr>
        <w:t>项目编</w:t>
      </w:r>
      <w:r>
        <w:rPr>
          <w:rFonts w:hint="eastAsia" w:ascii="宋体" w:hAnsi="宋体" w:cs="宋体"/>
          <w:b/>
          <w:bCs/>
          <w:color w:val="auto"/>
          <w:spacing w:val="1"/>
          <w:kern w:val="0"/>
          <w:sz w:val="32"/>
          <w:szCs w:val="32"/>
          <w:highlight w:val="none"/>
          <w:fitText w:val="1600" w:id="1"/>
        </w:rPr>
        <w:t>号</w:t>
      </w:r>
      <w:r>
        <w:rPr>
          <w:rFonts w:hint="eastAsia" w:ascii="宋体" w:hAnsi="宋体" w:cs="宋体"/>
          <w:b/>
          <w:bCs/>
          <w:color w:val="auto"/>
          <w:sz w:val="32"/>
          <w:szCs w:val="32"/>
          <w:highlight w:val="none"/>
        </w:rPr>
        <w:t>：</w:t>
      </w:r>
    </w:p>
    <w:p>
      <w:pPr>
        <w:pStyle w:val="26"/>
        <w:widowControl/>
        <w:adjustRightInd w:val="0"/>
        <w:snapToGrid w:val="0"/>
        <w:jc w:val="left"/>
        <w:rPr>
          <w:rFonts w:ascii="宋体" w:hAnsi="宋体" w:cs="宋体"/>
          <w:b/>
          <w:color w:val="auto"/>
          <w:spacing w:val="1280"/>
          <w:kern w:val="0"/>
          <w:sz w:val="32"/>
          <w:szCs w:val="32"/>
          <w:highlight w:val="none"/>
        </w:rPr>
      </w:pPr>
      <w:r>
        <w:rPr>
          <w:rFonts w:hint="eastAsia" w:ascii="宋体" w:hAnsi="宋体" w:cs="宋体"/>
          <w:b/>
          <w:color w:val="auto"/>
          <w:spacing w:val="106"/>
          <w:kern w:val="0"/>
          <w:sz w:val="32"/>
          <w:szCs w:val="32"/>
          <w:highlight w:val="none"/>
          <w:lang w:bidi="ar"/>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3"/>
        </w:rPr>
        <w:t>日</w:t>
      </w:r>
      <w:r>
        <w:rPr>
          <w:rFonts w:ascii="宋体" w:hAnsi="宋体" w:cs="宋体"/>
          <w:b/>
          <w:color w:val="auto"/>
          <w:spacing w:val="32"/>
          <w:kern w:val="0"/>
          <w:sz w:val="32"/>
          <w:szCs w:val="32"/>
          <w:highlight w:val="none"/>
          <w:fitText w:val="1600" w:id="3"/>
        </w:rPr>
        <w:t xml:space="preserve">    </w:t>
      </w:r>
      <w:r>
        <w:rPr>
          <w:rFonts w:hint="eastAsia" w:ascii="宋体" w:hAnsi="宋体" w:cs="宋体"/>
          <w:b/>
          <w:color w:val="auto"/>
          <w:spacing w:val="0"/>
          <w:kern w:val="0"/>
          <w:sz w:val="32"/>
          <w:szCs w:val="32"/>
          <w:highlight w:val="none"/>
          <w:fitText w:val="1600" w:id="3"/>
        </w:rPr>
        <w:t>期</w:t>
      </w:r>
      <w:r>
        <w:rPr>
          <w:rFonts w:hint="eastAsia" w:ascii="宋体" w:hAnsi="宋体" w:cs="宋体"/>
          <w:b/>
          <w:color w:val="auto"/>
          <w:sz w:val="32"/>
          <w:szCs w:val="32"/>
          <w:highlight w:val="none"/>
        </w:rPr>
        <w:t>：</w:t>
      </w:r>
    </w:p>
    <w:p>
      <w:pPr>
        <w:rPr>
          <w:color w:val="auto"/>
          <w:highlight w:val="none"/>
        </w:rPr>
      </w:pPr>
    </w:p>
    <w:p>
      <w:pPr>
        <w:pStyle w:val="2"/>
        <w:rPr>
          <w:color w:val="auto"/>
          <w:highlight w:val="none"/>
        </w:rPr>
      </w:pPr>
    </w:p>
    <w:p>
      <w:pPr>
        <w:ind w:firstLine="240"/>
        <w:rPr>
          <w:color w:val="auto"/>
          <w:highlight w:val="none"/>
        </w:rPr>
      </w:pPr>
    </w:p>
    <w:p>
      <w:pPr>
        <w:pStyle w:val="23"/>
        <w:rPr>
          <w:color w:val="auto"/>
          <w:highlight w:val="none"/>
        </w:rPr>
      </w:pPr>
    </w:p>
    <w:p>
      <w:pPr>
        <w:rPr>
          <w:color w:val="auto"/>
          <w:highlight w:val="none"/>
        </w:rPr>
      </w:pPr>
    </w:p>
    <w:p>
      <w:pPr>
        <w:pStyle w:val="2"/>
        <w:rPr>
          <w:color w:val="auto"/>
          <w:highlight w:val="none"/>
        </w:rPr>
      </w:pPr>
    </w:p>
    <w:p>
      <w:pPr>
        <w:ind w:firstLine="240"/>
        <w:rPr>
          <w:color w:val="auto"/>
          <w:highlight w:val="none"/>
        </w:rPr>
      </w:pPr>
    </w:p>
    <w:p>
      <w:pPr>
        <w:pStyle w:val="23"/>
        <w:rPr>
          <w:color w:val="auto"/>
          <w:highlight w:val="none"/>
        </w:rPr>
      </w:pPr>
    </w:p>
    <w:p>
      <w:pPr>
        <w:pStyle w:val="23"/>
        <w:ind w:left="0"/>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05" w:name="_Toc9517"/>
      <w:bookmarkStart w:id="206" w:name="_Toc17057"/>
      <w:r>
        <w:rPr>
          <w:rFonts w:hint="eastAsia" w:ascii="宋体" w:hAnsi="宋体"/>
          <w:color w:val="auto"/>
          <w:sz w:val="21"/>
          <w:szCs w:val="21"/>
          <w:highlight w:val="none"/>
        </w:rPr>
        <w:t>附件2.首次</w:t>
      </w:r>
      <w:r>
        <w:rPr>
          <w:rFonts w:ascii="宋体" w:hAnsi="宋体"/>
          <w:color w:val="auto"/>
          <w:sz w:val="21"/>
          <w:szCs w:val="21"/>
          <w:highlight w:val="none"/>
        </w:rPr>
        <w:t>报价</w:t>
      </w:r>
      <w:r>
        <w:rPr>
          <w:rFonts w:hint="eastAsia" w:ascii="宋体" w:hAnsi="宋体"/>
          <w:color w:val="auto"/>
          <w:sz w:val="21"/>
          <w:szCs w:val="21"/>
          <w:highlight w:val="none"/>
        </w:rPr>
        <w:t>一览表格式</w:t>
      </w:r>
      <w:bookmarkEnd w:id="205"/>
      <w:bookmarkEnd w:id="206"/>
    </w:p>
    <w:p>
      <w:pPr>
        <w:jc w:val="center"/>
        <w:rPr>
          <w:rFonts w:ascii="黑体" w:eastAsia="黑体"/>
          <w:color w:val="auto"/>
          <w:sz w:val="32"/>
          <w:szCs w:val="32"/>
          <w:highlight w:val="none"/>
        </w:rPr>
      </w:pPr>
      <w:r>
        <w:rPr>
          <w:rFonts w:hint="eastAsia" w:ascii="黑体" w:eastAsia="黑体"/>
          <w:color w:val="auto"/>
          <w:sz w:val="32"/>
          <w:szCs w:val="32"/>
          <w:highlight w:val="none"/>
        </w:rPr>
        <w:t>首次报价一览表</w:t>
      </w: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供应商名称：</w:t>
      </w:r>
    </w:p>
    <w:p>
      <w:pPr>
        <w:rPr>
          <w:color w:val="auto"/>
          <w:highlight w:val="none"/>
        </w:rPr>
      </w:pPr>
      <w:r>
        <w:rPr>
          <w:rFonts w:hint="eastAsia" w:ascii="宋体" w:hAnsi="宋体"/>
          <w:color w:val="auto"/>
          <w:szCs w:val="21"/>
          <w:highlight w:val="none"/>
        </w:rPr>
        <w:t>采购项目编号：</w:t>
      </w:r>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928"/>
        <w:gridCol w:w="160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01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92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含税响应总价（元）</w:t>
            </w:r>
          </w:p>
        </w:tc>
        <w:tc>
          <w:tcPr>
            <w:tcW w:w="1602"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974"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2018" w:type="dxa"/>
            <w:noWrap w:val="0"/>
            <w:vAlign w:val="center"/>
          </w:tcPr>
          <w:p>
            <w:pPr>
              <w:spacing w:line="240" w:lineRule="auto"/>
              <w:jc w:val="center"/>
              <w:rPr>
                <w:rFonts w:ascii="宋体" w:hAnsi="宋体" w:cs="宋体"/>
                <w:color w:val="auto"/>
                <w:szCs w:val="21"/>
                <w:highlight w:val="none"/>
              </w:rPr>
            </w:pPr>
          </w:p>
        </w:tc>
        <w:tc>
          <w:tcPr>
            <w:tcW w:w="2928" w:type="dxa"/>
            <w:noWrap w:val="0"/>
            <w:vAlign w:val="center"/>
          </w:tcPr>
          <w:p>
            <w:pPr>
              <w:rPr>
                <w:rFonts w:ascii="宋体" w:hAnsi="宋体" w:cs="宋体"/>
                <w:color w:val="auto"/>
                <w:szCs w:val="21"/>
                <w:highlight w:val="none"/>
                <w:u w:val="singl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pPr>
              <w:rPr>
                <w:rFonts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c>
          <w:tcPr>
            <w:tcW w:w="1602" w:type="dxa"/>
            <w:noWrap w:val="0"/>
            <w:vAlign w:val="center"/>
          </w:tcPr>
          <w:p>
            <w:pPr>
              <w:pStyle w:val="37"/>
              <w:jc w:val="center"/>
              <w:rPr>
                <w:rFonts w:hAnsi="宋体"/>
                <w:color w:val="auto"/>
                <w:sz w:val="21"/>
                <w:szCs w:val="21"/>
                <w:highlight w:val="none"/>
              </w:rPr>
            </w:pPr>
          </w:p>
        </w:tc>
        <w:tc>
          <w:tcPr>
            <w:tcW w:w="1974" w:type="dxa"/>
            <w:noWrap w:val="0"/>
            <w:vAlign w:val="center"/>
          </w:tcPr>
          <w:p>
            <w:pPr>
              <w:pStyle w:val="37"/>
              <w:jc w:val="center"/>
              <w:rPr>
                <w:rFonts w:hAnsi="宋体"/>
                <w:color w:val="auto"/>
                <w:sz w:val="21"/>
                <w:szCs w:val="21"/>
                <w:highlight w:val="none"/>
              </w:rPr>
            </w:pPr>
          </w:p>
        </w:tc>
      </w:tr>
    </w:tbl>
    <w:p>
      <w:pPr>
        <w:rPr>
          <w:rFonts w:ascii="宋体" w:hAnsi="宋体"/>
          <w:color w:val="auto"/>
          <w:szCs w:val="21"/>
          <w:highlight w:val="none"/>
        </w:rPr>
      </w:pPr>
    </w:p>
    <w:p>
      <w:pPr>
        <w:ind w:firstLine="359" w:firstLineChars="171"/>
        <w:rPr>
          <w:rFonts w:ascii="宋体" w:hAnsi="宋体"/>
          <w:color w:val="auto"/>
          <w:szCs w:val="21"/>
          <w:highlight w:val="none"/>
        </w:rPr>
      </w:pPr>
    </w:p>
    <w:p>
      <w:pPr>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359" w:firstLineChars="171"/>
        <w:rPr>
          <w:rFonts w:ascii="宋体" w:hAnsi="宋体"/>
          <w:color w:val="auto"/>
          <w:szCs w:val="21"/>
          <w:highlight w:val="none"/>
        </w:rPr>
      </w:pPr>
    </w:p>
    <w:p>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ind w:firstLine="420" w:firstLineChars="200"/>
        <w:rPr>
          <w:rFonts w:ascii="宋体" w:hAnsi="宋体"/>
          <w:color w:val="auto"/>
          <w:szCs w:val="21"/>
          <w:highlight w:val="none"/>
        </w:rPr>
      </w:pPr>
      <w:r>
        <w:rPr>
          <w:rFonts w:hint="eastAsia" w:ascii="宋体" w:hAnsi="宋体"/>
          <w:color w:val="auto"/>
          <w:szCs w:val="21"/>
          <w:highlight w:val="none"/>
        </w:rPr>
        <w:t>1、响应总价栏须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w:t>
      </w:r>
      <w:r>
        <w:rPr>
          <w:rFonts w:hint="eastAsia" w:ascii="宋体" w:hAnsi="宋体"/>
          <w:color w:val="auto"/>
          <w:szCs w:val="21"/>
          <w:highlight w:val="none"/>
        </w:rPr>
        <w:t>磋商</w:t>
      </w:r>
      <w:r>
        <w:rPr>
          <w:rFonts w:ascii="宋体" w:hAnsi="宋体"/>
          <w:color w:val="auto"/>
          <w:szCs w:val="21"/>
          <w:highlight w:val="none"/>
        </w:rPr>
        <w:t>总价</w:t>
      </w:r>
      <w:r>
        <w:rPr>
          <w:rFonts w:hint="eastAsia" w:ascii="宋体" w:hAnsi="宋体"/>
          <w:color w:val="auto"/>
          <w:szCs w:val="21"/>
          <w:highlight w:val="none"/>
        </w:rPr>
        <w:t>，报价保留小数点后两位。响应总价大小写不一致，以大写为准。响应总价必须准确唯一且应包含磋商文件要求的所有费用。</w:t>
      </w:r>
    </w:p>
    <w:p>
      <w:pPr>
        <w:ind w:firstLine="420" w:firstLineChars="200"/>
        <w:rPr>
          <w:rFonts w:hint="eastAsia" w:ascii="宋体" w:hAnsi="宋体"/>
          <w:color w:val="auto"/>
          <w:sz w:val="21"/>
          <w:szCs w:val="21"/>
          <w:highlight w:val="none"/>
        </w:rPr>
      </w:pPr>
      <w:r>
        <w:rPr>
          <w:rFonts w:hint="eastAsia" w:ascii="宋体" w:hAnsi="宋体"/>
          <w:color w:val="auto"/>
          <w:szCs w:val="21"/>
          <w:highlight w:val="none"/>
        </w:rPr>
        <w:t>2、温馨提示：未按磋商文件要求报价、填写首次报价一览表是导致供应商废标的常见问题，请供应商仔细填写，认真核对。</w:t>
      </w:r>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07" w:name="_Toc1854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.报价明细表格式</w:t>
      </w:r>
      <w:bookmarkEnd w:id="207"/>
    </w:p>
    <w:p>
      <w:pPr>
        <w:widowControl/>
        <w:adjustRightInd w:val="0"/>
        <w:snapToGrid w:val="0"/>
        <w:spacing w:line="360" w:lineRule="auto"/>
        <w:jc w:val="center"/>
        <w:rPr>
          <w:rFonts w:hint="eastAsia" w:ascii="黑体" w:hAnsi="Tahoma" w:eastAsia="黑体" w:cs="Times New Roman"/>
          <w:color w:val="auto"/>
          <w:kern w:val="0"/>
          <w:sz w:val="32"/>
          <w:szCs w:val="32"/>
          <w:highlight w:val="none"/>
          <w:lang w:val="en-US" w:eastAsia="zh-CN"/>
        </w:rPr>
      </w:pPr>
      <w:r>
        <w:rPr>
          <w:rFonts w:hint="eastAsia" w:ascii="黑体" w:hAnsi="Tahoma" w:eastAsia="黑体" w:cs="Times New Roman"/>
          <w:color w:val="auto"/>
          <w:kern w:val="0"/>
          <w:sz w:val="32"/>
          <w:szCs w:val="32"/>
          <w:highlight w:val="none"/>
          <w:lang w:val="en-US" w:eastAsia="zh-CN"/>
        </w:rPr>
        <w:t>报价明细表</w:t>
      </w:r>
    </w:p>
    <w:p>
      <w:pPr>
        <w:spacing w:line="360" w:lineRule="auto"/>
        <w:rPr>
          <w:rFonts w:ascii="宋体" w:hAnsi="宋体"/>
          <w:color w:val="auto"/>
          <w:szCs w:val="21"/>
          <w:highlight w:val="none"/>
        </w:rPr>
      </w:pPr>
      <w:r>
        <w:rPr>
          <w:rFonts w:hint="eastAsia" w:ascii="宋体" w:hAnsi="宋体"/>
          <w:color w:val="auto"/>
          <w:szCs w:val="21"/>
          <w:highlight w:val="none"/>
        </w:rPr>
        <w:t>供应商名称：</w:t>
      </w:r>
    </w:p>
    <w:p>
      <w:pPr>
        <w:spacing w:line="360" w:lineRule="auto"/>
        <w:jc w:val="both"/>
        <w:rPr>
          <w:rFonts w:hint="eastAsia" w:ascii="宋体" w:hAnsi="宋体"/>
          <w:color w:val="auto"/>
          <w:szCs w:val="21"/>
          <w:highlight w:val="none"/>
        </w:rPr>
      </w:pPr>
      <w:r>
        <w:rPr>
          <w:rFonts w:hint="eastAsia" w:ascii="宋体" w:hAnsi="宋体"/>
          <w:color w:val="auto"/>
          <w:szCs w:val="21"/>
          <w:highlight w:val="none"/>
        </w:rPr>
        <w:t>采购项目编号：</w:t>
      </w:r>
    </w:p>
    <w:p>
      <w:pPr>
        <w:spacing w:line="360" w:lineRule="auto"/>
        <w:jc w:val="right"/>
        <w:rPr>
          <w:color w:val="auto"/>
          <w:highlight w:val="none"/>
        </w:rPr>
      </w:pPr>
      <w:r>
        <w:rPr>
          <w:rFonts w:hint="eastAsia" w:ascii="宋体" w:hAnsi="宋体"/>
          <w:color w:val="auto"/>
          <w:szCs w:val="21"/>
          <w:highlight w:val="none"/>
        </w:rPr>
        <w:t>[货币单位：人民币元]</w:t>
      </w:r>
    </w:p>
    <w:tbl>
      <w:tblPr>
        <w:tblStyle w:val="33"/>
        <w:tblW w:w="8336" w:type="dxa"/>
        <w:tblInd w:w="0" w:type="dxa"/>
        <w:shd w:val="clear" w:color="auto" w:fill="auto"/>
        <w:tblLayout w:type="fixed"/>
        <w:tblCellMar>
          <w:top w:w="0" w:type="dxa"/>
          <w:left w:w="0" w:type="dxa"/>
          <w:bottom w:w="0" w:type="dxa"/>
          <w:right w:w="0" w:type="dxa"/>
        </w:tblCellMar>
      </w:tblPr>
      <w:tblGrid>
        <w:gridCol w:w="467"/>
        <w:gridCol w:w="2992"/>
        <w:gridCol w:w="1067"/>
        <w:gridCol w:w="1368"/>
        <w:gridCol w:w="1172"/>
        <w:gridCol w:w="1270"/>
      </w:tblGrid>
      <w:tr>
        <w:tblPrEx>
          <w:shd w:val="clear" w:color="auto" w:fill="auto"/>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项目内容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数量/</w:t>
            </w:r>
            <w:r>
              <w:rPr>
                <w:rFonts w:hint="eastAsia" w:ascii="宋体" w:hAnsi="宋体" w:eastAsia="宋体" w:cs="宋体"/>
                <w:b/>
                <w:i w:val="0"/>
                <w:color w:val="auto"/>
                <w:kern w:val="0"/>
                <w:sz w:val="22"/>
                <w:szCs w:val="22"/>
                <w:highlight w:val="none"/>
                <w:u w:val="none"/>
                <w:lang w:val="en-US" w:eastAsia="zh-CN" w:bidi="ar"/>
              </w:rPr>
              <w:t>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b/>
                <w:i w:val="0"/>
                <w:color w:val="auto"/>
                <w:sz w:val="22"/>
                <w:szCs w:val="22"/>
                <w:highlight w:val="none"/>
                <w:u w:val="none"/>
                <w:lang w:val="en-US"/>
              </w:rPr>
            </w:pPr>
            <w:r>
              <w:rPr>
                <w:rFonts w:hint="eastAsia" w:ascii="宋体" w:hAnsi="宋体" w:cs="宋体"/>
                <w:b/>
                <w:i w:val="0"/>
                <w:color w:val="auto"/>
                <w:kern w:val="0"/>
                <w:sz w:val="22"/>
                <w:szCs w:val="22"/>
                <w:highlight w:val="none"/>
                <w:u w:val="none"/>
                <w:lang w:val="en-US" w:eastAsia="zh-CN" w:bidi="ar"/>
              </w:rPr>
              <w:t>最高限价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含税总价</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项目全过程咨询服务</w:t>
            </w:r>
            <w:r>
              <w:rPr>
                <w:rFonts w:hint="eastAsia" w:ascii="宋体" w:hAnsi="宋体" w:eastAsia="宋体" w:cs="宋体"/>
                <w:color w:val="auto"/>
                <w:sz w:val="21"/>
                <w:szCs w:val="21"/>
                <w:highlight w:val="none"/>
                <w:lang w:val="en-US" w:eastAsia="zh-CN"/>
              </w:rPr>
              <w:t>（含出具项目投资合规分析评估报告）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i w:val="0"/>
                <w:color w:val="auto"/>
                <w:sz w:val="21"/>
                <w:szCs w:val="21"/>
                <w:highlight w:val="none"/>
                <w:u w:val="none"/>
                <w:lang w:val="en-US" w:eastAsia="zh-CN"/>
              </w:rPr>
            </w:pPr>
            <w:r>
              <w:rPr>
                <w:rFonts w:hint="eastAsia" w:ascii="宋体" w:hAnsi="宋体" w:cs="宋体"/>
                <w:b w:val="0"/>
                <w:bCs/>
                <w:i w:val="0"/>
                <w:color w:val="auto"/>
                <w:sz w:val="21"/>
                <w:szCs w:val="21"/>
                <w:highlight w:val="none"/>
                <w:u w:val="none"/>
                <w:lang w:val="en-US" w:eastAsia="zh-CN"/>
              </w:rPr>
              <w:t>1项</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200,000.00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auto"/>
                <w:sz w:val="21"/>
                <w:szCs w:val="21"/>
                <w:highlight w:val="none"/>
                <w:lang w:val="en-US" w:eastAsia="zh-CN"/>
              </w:rPr>
              <w:t>项目公司净资产审计报告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cs="宋体"/>
                <w:b w:val="0"/>
                <w:bCs/>
                <w:i w:val="0"/>
                <w:color w:val="auto"/>
                <w:sz w:val="21"/>
                <w:szCs w:val="21"/>
                <w:highlight w:val="none"/>
                <w:u w:val="none"/>
                <w:lang w:val="en-US" w:eastAsia="zh-CN"/>
              </w:rPr>
              <w:t>1项</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150,000.00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项目公司股权价值整体评估报告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cs="宋体"/>
                <w:b w:val="0"/>
                <w:bCs/>
                <w:i w:val="0"/>
                <w:color w:val="auto"/>
                <w:sz w:val="21"/>
                <w:szCs w:val="21"/>
                <w:highlight w:val="none"/>
                <w:u w:val="none"/>
                <w:lang w:val="en-US" w:eastAsia="zh-CN"/>
              </w:rPr>
              <w:t>1项</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250,000.00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auto"/>
                <w:sz w:val="22"/>
                <w:szCs w:val="22"/>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auto"/>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567" w:hRule="atLeast"/>
        </w:trPr>
        <w:tc>
          <w:tcPr>
            <w:tcW w:w="58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合计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eastAsia="宋体" w:cs="宋体"/>
                <w:i w:val="0"/>
                <w:color w:val="auto"/>
                <w:sz w:val="19"/>
                <w:szCs w:val="19"/>
                <w:highlight w:val="none"/>
                <w:u w:val="none"/>
              </w:rPr>
            </w:pPr>
          </w:p>
        </w:tc>
      </w:tr>
    </w:tbl>
    <w:p>
      <w:pPr>
        <w:spacing w:line="360" w:lineRule="auto"/>
        <w:ind w:left="748" w:hanging="567"/>
        <w:jc w:val="left"/>
        <w:rPr>
          <w:rFonts w:ascii="宋体" w:hAnsi="宋体"/>
          <w:b/>
          <w:bCs/>
          <w:color w:val="auto"/>
          <w:sz w:val="21"/>
          <w:szCs w:val="21"/>
          <w:highlight w:val="none"/>
        </w:rPr>
      </w:pPr>
      <w:r>
        <w:rPr>
          <w:rFonts w:hint="eastAsia" w:ascii="宋体" w:hAnsi="宋体"/>
          <w:b/>
          <w:bCs/>
          <w:color w:val="auto"/>
          <w:sz w:val="21"/>
          <w:szCs w:val="21"/>
          <w:highlight w:val="none"/>
        </w:rPr>
        <w:t>注：以上报价请四舍五入，最多保留2位小数，否则视为无效报价。</w:t>
      </w:r>
    </w:p>
    <w:p>
      <w:pPr>
        <w:spacing w:line="360" w:lineRule="auto"/>
        <w:ind w:firstLine="359" w:firstLineChars="171"/>
        <w:rPr>
          <w:rFonts w:hint="eastAsia" w:ascii="宋体" w:hAnsi="宋体"/>
          <w:color w:val="auto"/>
          <w:szCs w:val="21"/>
          <w:highlight w:val="none"/>
        </w:rPr>
      </w:pP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日期：</w:t>
      </w:r>
    </w:p>
    <w:p>
      <w:pPr>
        <w:spacing w:line="360" w:lineRule="auto"/>
        <w:rPr>
          <w:rFonts w:ascii="宋体" w:hAnsi="宋体"/>
          <w:color w:val="auto"/>
          <w:szCs w:val="21"/>
          <w:highlight w:val="none"/>
        </w:rPr>
      </w:pPr>
    </w:p>
    <w:p>
      <w:pPr>
        <w:ind w:firstLine="0" w:firstLineChars="0"/>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rPr>
          <w:color w:val="auto"/>
          <w:sz w:val="52"/>
          <w:szCs w:val="52"/>
          <w:highlight w:val="none"/>
        </w:rPr>
      </w:pPr>
    </w:p>
    <w:p>
      <w:pPr>
        <w:outlineLvl w:val="9"/>
        <w:rPr>
          <w:color w:val="auto"/>
          <w:highlight w:val="none"/>
        </w:rPr>
      </w:pPr>
    </w:p>
    <w:p>
      <w:pPr>
        <w:pStyle w:val="4"/>
        <w:spacing w:before="0" w:after="0" w:line="360" w:lineRule="auto"/>
        <w:jc w:val="center"/>
        <w:rPr>
          <w:color w:val="auto"/>
          <w:sz w:val="72"/>
          <w:szCs w:val="72"/>
          <w:highlight w:val="none"/>
        </w:rPr>
      </w:pPr>
      <w:bookmarkStart w:id="208" w:name="_Toc7013"/>
      <w:bookmarkStart w:id="209" w:name="_Toc14451"/>
      <w:r>
        <w:rPr>
          <w:rFonts w:hint="eastAsia"/>
          <w:color w:val="auto"/>
          <w:sz w:val="72"/>
          <w:szCs w:val="72"/>
          <w:highlight w:val="none"/>
        </w:rPr>
        <w:t>商务文件</w:t>
      </w:r>
      <w:bookmarkEnd w:id="208"/>
      <w:bookmarkEnd w:id="209"/>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4"/>
        </w:rPr>
        <w:t>项目名</w:t>
      </w:r>
      <w:r>
        <w:rPr>
          <w:rFonts w:hint="eastAsia" w:ascii="宋体" w:hAnsi="宋体" w:cs="宋体"/>
          <w:b/>
          <w:bCs/>
          <w:color w:val="auto"/>
          <w:spacing w:val="1"/>
          <w:kern w:val="0"/>
          <w:sz w:val="32"/>
          <w:szCs w:val="32"/>
          <w:highlight w:val="none"/>
          <w:fitText w:val="1600" w:id="4"/>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5"/>
        </w:rPr>
        <w:t>项目编</w:t>
      </w:r>
      <w:r>
        <w:rPr>
          <w:rFonts w:hint="eastAsia" w:ascii="宋体" w:hAnsi="宋体" w:cs="宋体"/>
          <w:b/>
          <w:bCs/>
          <w:color w:val="auto"/>
          <w:spacing w:val="1"/>
          <w:kern w:val="0"/>
          <w:sz w:val="32"/>
          <w:szCs w:val="32"/>
          <w:highlight w:val="none"/>
          <w:fitText w:val="1600" w:id="5"/>
        </w:rPr>
        <w:t>号</w:t>
      </w:r>
      <w:r>
        <w:rPr>
          <w:rFonts w:hint="eastAsia" w:ascii="宋体" w:hAnsi="宋体" w:cs="宋体"/>
          <w:b/>
          <w:bCs/>
          <w:color w:val="auto"/>
          <w:sz w:val="32"/>
          <w:szCs w:val="32"/>
          <w:highlight w:val="none"/>
        </w:rPr>
        <w:t>：</w:t>
      </w:r>
    </w:p>
    <w:p>
      <w:pPr>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6"/>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7"/>
        </w:rPr>
        <w:t>日</w:t>
      </w:r>
      <w:r>
        <w:rPr>
          <w:rFonts w:ascii="宋体" w:hAnsi="宋体" w:cs="宋体"/>
          <w:b/>
          <w:color w:val="auto"/>
          <w:spacing w:val="32"/>
          <w:kern w:val="0"/>
          <w:sz w:val="32"/>
          <w:szCs w:val="32"/>
          <w:highlight w:val="none"/>
          <w:fitText w:val="1600" w:id="7"/>
        </w:rPr>
        <w:t xml:space="preserve">    </w:t>
      </w:r>
      <w:r>
        <w:rPr>
          <w:rFonts w:hint="eastAsia" w:ascii="宋体" w:hAnsi="宋体" w:cs="宋体"/>
          <w:b/>
          <w:color w:val="auto"/>
          <w:spacing w:val="0"/>
          <w:kern w:val="0"/>
          <w:sz w:val="32"/>
          <w:szCs w:val="32"/>
          <w:highlight w:val="none"/>
          <w:fitText w:val="1600" w:id="7"/>
        </w:rPr>
        <w:t>期</w:t>
      </w:r>
      <w:r>
        <w:rPr>
          <w:rFonts w:hint="eastAsia" w:ascii="宋体" w:hAnsi="宋体" w:cs="宋体"/>
          <w:b/>
          <w:color w:val="auto"/>
          <w:sz w:val="32"/>
          <w:szCs w:val="32"/>
          <w:highlight w:val="none"/>
        </w:rPr>
        <w:t>：</w:t>
      </w:r>
    </w:p>
    <w:p>
      <w:pPr>
        <w:pStyle w:val="2"/>
        <w:rPr>
          <w:b/>
          <w:color w:val="auto"/>
          <w:sz w:val="32"/>
          <w:szCs w:val="32"/>
          <w:highlight w:val="none"/>
        </w:rPr>
      </w:pPr>
    </w:p>
    <w:p>
      <w:pPr>
        <w:ind w:firstLine="321"/>
        <w:rPr>
          <w:b/>
          <w:color w:val="auto"/>
          <w:sz w:val="32"/>
          <w:szCs w:val="32"/>
          <w:highlight w:val="none"/>
        </w:rPr>
      </w:pPr>
    </w:p>
    <w:p>
      <w:pPr>
        <w:pStyle w:val="23"/>
        <w:rPr>
          <w:rFonts w:ascii="宋体" w:hAnsi="宋体" w:cs="宋体"/>
          <w:b/>
          <w:color w:val="auto"/>
          <w:sz w:val="32"/>
          <w:szCs w:val="32"/>
          <w:highlight w:val="none"/>
        </w:rPr>
      </w:pPr>
    </w:p>
    <w:p>
      <w:pPr>
        <w:rPr>
          <w:rFonts w:ascii="宋体" w:hAnsi="宋体" w:cs="宋体"/>
          <w:b/>
          <w:color w:val="auto"/>
          <w:sz w:val="32"/>
          <w:szCs w:val="32"/>
          <w:highlight w:val="none"/>
        </w:rPr>
      </w:pPr>
    </w:p>
    <w:p>
      <w:pPr>
        <w:pStyle w:val="2"/>
        <w:rPr>
          <w:b/>
          <w:color w:val="auto"/>
          <w:sz w:val="32"/>
          <w:szCs w:val="32"/>
          <w:highlight w:val="none"/>
        </w:rPr>
      </w:pP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color w:val="auto"/>
          <w:highlight w:val="none"/>
        </w:rPr>
      </w:pPr>
      <w:bookmarkStart w:id="210" w:name="_Toc17541"/>
      <w:bookmarkStart w:id="211" w:name="_Toc15677"/>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.响应书格式</w:t>
      </w:r>
      <w:bookmarkEnd w:id="210"/>
      <w:bookmarkEnd w:id="211"/>
    </w:p>
    <w:p>
      <w:pPr>
        <w:jc w:val="center"/>
        <w:rPr>
          <w:rFonts w:ascii="宋体" w:hAnsi="宋体"/>
          <w:color w:val="auto"/>
          <w:szCs w:val="21"/>
          <w:highlight w:val="none"/>
        </w:rPr>
      </w:pPr>
      <w:r>
        <w:rPr>
          <w:rFonts w:hint="eastAsia" w:ascii="黑体" w:eastAsia="黑体"/>
          <w:color w:val="auto"/>
          <w:sz w:val="32"/>
          <w:szCs w:val="32"/>
          <w:highlight w:val="none"/>
        </w:rPr>
        <w:t>响应书</w:t>
      </w: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项目磋商公告，签字代表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（供应商名称、地址）</w:t>
      </w:r>
      <w:r>
        <w:rPr>
          <w:rFonts w:hint="eastAsia" w:ascii="宋体" w:hAnsi="宋体"/>
          <w:color w:val="auto"/>
          <w:szCs w:val="21"/>
          <w:highlight w:val="none"/>
        </w:rPr>
        <w:t>提交响应文件及“唱标信封”：</w:t>
      </w:r>
    </w:p>
    <w:p>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我方将按磋商文件的规定履行合同责任和义务。 </w:t>
      </w:r>
    </w:p>
    <w:p>
      <w:pPr>
        <w:widowControl w:val="0"/>
        <w:numPr>
          <w:ilvl w:val="0"/>
          <w:numId w:val="7"/>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磋商文件的所有内容（包括澄清，以及所有已提供的参考资料和有关附件），并完全理解上述文件所表达的意思，该项目递交响应文件时间截止后，我方承诺不再对上述文件内容进行异议。</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本磋商有效期为自开标日起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我方保证遵守供应商须知中关于没收磋商保证金的规定。</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供应商邀请中所要求的资格条件，已清楚磋商文件所有要求及有关规定；并承诺参加本次采购活动中，如有违法、违规、弄虚作假行为，所造成的损失、不良后果及法律责任，一律由我方承担；</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我方同意提供按照贵方可能要求的与其磋商有关的一切数据或资料。</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与本磋商有关的一切正式信函请寄：</w:t>
      </w:r>
    </w:p>
    <w:p>
      <w:pPr>
        <w:rPr>
          <w:rFonts w:ascii="宋体" w:hAnsi="宋体"/>
          <w:color w:val="auto"/>
          <w:szCs w:val="21"/>
          <w:highlight w:val="none"/>
        </w:rPr>
      </w:pPr>
      <w:r>
        <w:rPr>
          <w:rFonts w:hint="eastAsia" w:ascii="宋体" w:hAnsi="宋体"/>
          <w:color w:val="auto"/>
          <w:szCs w:val="21"/>
          <w:highlight w:val="none"/>
        </w:rPr>
        <w:t>地址：　　　　　　　　　　　　　　　　　　　 电子邮箱：</w:t>
      </w:r>
    </w:p>
    <w:p>
      <w:pPr>
        <w:rPr>
          <w:rFonts w:ascii="宋体" w:hAnsi="宋体"/>
          <w:color w:val="auto"/>
          <w:szCs w:val="21"/>
          <w:highlight w:val="none"/>
        </w:rPr>
      </w:pPr>
      <w:r>
        <w:rPr>
          <w:rFonts w:hint="eastAsia" w:ascii="宋体" w:hAnsi="宋体"/>
          <w:color w:val="auto"/>
          <w:szCs w:val="21"/>
          <w:highlight w:val="none"/>
        </w:rPr>
        <w:t>电话/移动电话：　　　　　　　　　　　　　　　</w:t>
      </w:r>
    </w:p>
    <w:p>
      <w:pPr>
        <w:rPr>
          <w:rFonts w:ascii="宋体" w:hAnsi="宋体"/>
          <w:color w:val="auto"/>
          <w:szCs w:val="21"/>
          <w:highlight w:val="none"/>
        </w:rPr>
      </w:pPr>
      <w:r>
        <w:rPr>
          <w:rFonts w:hint="eastAsia" w:ascii="宋体" w:hAnsi="宋体"/>
          <w:color w:val="auto"/>
          <w:szCs w:val="21"/>
          <w:highlight w:val="none"/>
        </w:rPr>
        <w:t xml:space="preserve">供应商法定代表人（或其授权代表）签字： </w:t>
      </w:r>
    </w:p>
    <w:p>
      <w:pPr>
        <w:rPr>
          <w:rFonts w:ascii="宋体" w:hAnsi="宋体"/>
          <w:color w:val="auto"/>
          <w:szCs w:val="21"/>
          <w:highlight w:val="none"/>
        </w:rPr>
      </w:pPr>
      <w:r>
        <w:rPr>
          <w:rFonts w:hint="eastAsia" w:ascii="宋体" w:hAnsi="宋体"/>
          <w:color w:val="auto"/>
          <w:szCs w:val="21"/>
          <w:highlight w:val="none"/>
        </w:rPr>
        <w:t xml:space="preserve">供应商名称（全称）： </w:t>
      </w:r>
    </w:p>
    <w:p>
      <w:pPr>
        <w:rPr>
          <w:rFonts w:ascii="宋体" w:hAnsi="宋体"/>
          <w:color w:val="auto"/>
          <w:szCs w:val="21"/>
          <w:highlight w:val="none"/>
        </w:rPr>
      </w:pPr>
      <w:r>
        <w:rPr>
          <w:rFonts w:hint="eastAsia" w:ascii="宋体" w:hAnsi="宋体"/>
          <w:color w:val="auto"/>
          <w:szCs w:val="21"/>
          <w:highlight w:val="none"/>
        </w:rPr>
        <w:t xml:space="preserve">供应商盖章： </w:t>
      </w:r>
    </w:p>
    <w:p>
      <w:pPr>
        <w:rPr>
          <w:color w:val="auto"/>
          <w:highlight w:val="none"/>
        </w:rPr>
      </w:pPr>
      <w:r>
        <w:rPr>
          <w:rFonts w:hint="eastAsia" w:ascii="宋体" w:hAnsi="宋体"/>
          <w:color w:val="auto"/>
          <w:szCs w:val="21"/>
          <w:highlight w:val="none"/>
        </w:rPr>
        <w:t>日期：</w:t>
      </w:r>
      <w:r>
        <w:rPr>
          <w:color w:val="auto"/>
          <w:highlight w:val="none"/>
        </w:rPr>
        <w:br w:type="page"/>
      </w:r>
    </w:p>
    <w:p>
      <w:pPr>
        <w:pStyle w:val="6"/>
        <w:widowControl w:val="0"/>
        <w:overflowPunct w:val="0"/>
        <w:spacing w:line="240" w:lineRule="auto"/>
        <w:rPr>
          <w:rFonts w:ascii="宋体" w:hAnsi="宋体"/>
          <w:color w:val="auto"/>
          <w:sz w:val="21"/>
          <w:szCs w:val="21"/>
          <w:highlight w:val="none"/>
        </w:rPr>
      </w:pPr>
      <w:bookmarkStart w:id="212" w:name="_Toc18897"/>
      <w:bookmarkStart w:id="213" w:name="_Toc1376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.法定代表人证明书格式</w:t>
      </w:r>
      <w:bookmarkEnd w:id="212"/>
      <w:bookmarkEnd w:id="21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6"/>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pacing w:line="420" w:lineRule="atLeast"/>
        <w:ind w:firstLine="433"/>
        <w:rPr>
          <w:rFonts w:ascii="宋体" w:eastAsia="宋体"/>
          <w:color w:val="auto"/>
          <w:sz w:val="21"/>
          <w:szCs w:val="21"/>
          <w:highlight w:val="none"/>
        </w:rPr>
      </w:pPr>
    </w:p>
    <w:p>
      <w:pPr>
        <w:pStyle w:val="4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供应商名称:</w:t>
      </w:r>
    </w:p>
    <w:p>
      <w:pPr>
        <w:pStyle w:val="4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3"/>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hAnsi="Cambria" w:eastAsia="楷体_GB2312" w:cs="Times New Roman"/>
          <w:b/>
          <w:bCs/>
          <w:color w:val="auto"/>
          <w:sz w:val="24"/>
          <w:szCs w:val="28"/>
          <w:highlight w:val="none"/>
        </w:rPr>
      </w:pPr>
      <w:r>
        <w:rPr>
          <w:rFonts w:ascii="楷体_GB2312" w:eastAsia="楷体_GB2312"/>
          <w:color w:val="auto"/>
          <w:sz w:val="24"/>
          <w:highlight w:val="none"/>
        </w:rPr>
        <w:br w:type="page"/>
      </w:r>
    </w:p>
    <w:p>
      <w:pPr>
        <w:pStyle w:val="6"/>
        <w:widowControl w:val="0"/>
        <w:overflowPunct w:val="0"/>
        <w:spacing w:line="240" w:lineRule="auto"/>
        <w:rPr>
          <w:color w:val="auto"/>
          <w:highlight w:val="none"/>
        </w:rPr>
      </w:pPr>
      <w:bookmarkStart w:id="214" w:name="_Toc25709"/>
      <w:bookmarkStart w:id="215" w:name="_Toc258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.法定代表人授权书格式</w:t>
      </w:r>
      <w:bookmarkEnd w:id="214"/>
      <w:bookmarkEnd w:id="215"/>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6"/>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pacing w:line="420" w:lineRule="atLeast"/>
        <w:ind w:firstLine="433"/>
        <w:rPr>
          <w:rFonts w:ascii="宋体" w:eastAsia="宋体"/>
          <w:color w:val="auto"/>
          <w:sz w:val="21"/>
          <w:szCs w:val="21"/>
          <w:highlight w:val="none"/>
        </w:rPr>
      </w:pPr>
    </w:p>
    <w:p>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响应及参加项目磋商，以本单位名义处理一切与之有关的事务。</w:t>
      </w:r>
    </w:p>
    <w:p>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6"/>
        <w:spacing w:line="460" w:lineRule="exact"/>
        <w:ind w:firstLine="433"/>
        <w:rPr>
          <w:rFonts w:ascii="宋体" w:eastAsia="宋体"/>
          <w:color w:val="auto"/>
          <w:sz w:val="21"/>
          <w:szCs w:val="21"/>
          <w:highlight w:val="none"/>
        </w:rPr>
      </w:pPr>
    </w:p>
    <w:p>
      <w:pPr>
        <w:ind w:firstLine="420" w:firstLineChars="200"/>
        <w:rPr>
          <w:color w:val="auto"/>
          <w:highlight w:val="none"/>
        </w:rPr>
      </w:pPr>
      <w:r>
        <w:rPr>
          <w:rFonts w:hint="eastAsia" w:ascii="宋体" w:hAnsi="宋体"/>
          <w:color w:val="auto"/>
          <w:szCs w:val="21"/>
          <w:highlight w:val="none"/>
        </w:rPr>
        <w:t>须附：被授权人身份证复印件。</w:t>
      </w:r>
    </w:p>
    <w:tbl>
      <w:tblPr>
        <w:tblStyle w:val="33"/>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216" w:name="_Toc22486"/>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17" w:name="_Toc13489"/>
      <w:bookmarkStart w:id="218" w:name="_Toc2457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.资格申明</w:t>
      </w:r>
      <w:bookmarkEnd w:id="217"/>
      <w:bookmarkEnd w:id="218"/>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6"/>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u w:val="single"/>
          <w:lang w:eastAsia="zh-CN"/>
        </w:rPr>
        <w:t>广西同泽工程项目管理股份有限公司</w:t>
      </w:r>
      <w:r>
        <w:rPr>
          <w:rFonts w:hint="eastAsia" w:ascii="宋体" w:eastAsia="宋体"/>
          <w:color w:val="auto"/>
          <w:sz w:val="21"/>
          <w:szCs w:val="21"/>
          <w:highlight w:val="none"/>
        </w:rPr>
        <w:t>：</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的磋商</w:t>
      </w:r>
      <w:r>
        <w:rPr>
          <w:rFonts w:ascii="宋体" w:hAnsi="宋体"/>
          <w:color w:val="auto"/>
          <w:szCs w:val="21"/>
          <w:highlight w:val="none"/>
        </w:rPr>
        <w:t>邀请，参与</w:t>
      </w:r>
      <w:r>
        <w:rPr>
          <w:rFonts w:hint="eastAsia" w:ascii="宋体" w:hAnsi="宋体"/>
          <w:color w:val="auto"/>
          <w:szCs w:val="21"/>
          <w:highlight w:val="none"/>
        </w:rPr>
        <w:t>响应</w:t>
      </w:r>
      <w:r>
        <w:rPr>
          <w:rFonts w:ascii="宋体" w:hAnsi="宋体"/>
          <w:color w:val="auto"/>
          <w:szCs w:val="21"/>
          <w:highlight w:val="none"/>
        </w:rPr>
        <w:t>，提供用户需求书中规定的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磋商文件</w:t>
      </w:r>
      <w:r>
        <w:rPr>
          <w:rFonts w:ascii="宋体" w:hAnsi="宋体"/>
          <w:color w:val="auto"/>
          <w:szCs w:val="21"/>
          <w:highlight w:val="none"/>
        </w:rPr>
        <w:t>要求提交所附资格文件且声明和保证如下：</w:t>
      </w:r>
    </w:p>
    <w:p>
      <w:pPr>
        <w:ind w:firstLine="420" w:firstLineChars="200"/>
        <w:rPr>
          <w:rFonts w:ascii="宋体" w:hAnsi="宋体"/>
          <w:color w:val="auto"/>
          <w:szCs w:val="21"/>
          <w:highlight w:val="none"/>
        </w:rPr>
      </w:pPr>
      <w:r>
        <w:rPr>
          <w:rFonts w:hint="eastAsia" w:ascii="宋体" w:hAnsi="宋体"/>
          <w:color w:val="auto"/>
          <w:szCs w:val="21"/>
          <w:highlight w:val="none"/>
        </w:rPr>
        <w:t>一、我方具备磋商邀请中所要求得资格条件，已清楚磋商文件所有要求及有关规定；并承诺参加本次采购活动中，如有违法、违规、弄虚作假行为，所造成的损失、不良后果及法律责任，一律由我方承担；</w:t>
      </w:r>
    </w:p>
    <w:p>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19" w:name="_Toc9666"/>
      <w:bookmarkStart w:id="220" w:name="_Toc1528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.营业执照</w:t>
      </w:r>
      <w:bookmarkEnd w:id="219"/>
      <w:bookmarkEnd w:id="220"/>
    </w:p>
    <w:p>
      <w:pPr>
        <w:jc w:val="center"/>
        <w:rPr>
          <w:rFonts w:ascii="黑体" w:eastAsia="黑体"/>
          <w:color w:val="auto"/>
          <w:sz w:val="28"/>
          <w:szCs w:val="28"/>
          <w:highlight w:val="none"/>
        </w:rPr>
      </w:pPr>
      <w:bookmarkStart w:id="221" w:name="_Toc17470"/>
      <w:bookmarkStart w:id="222" w:name="_Toc4926"/>
      <w:bookmarkStart w:id="223" w:name="_Toc5919"/>
      <w:bookmarkStart w:id="224" w:name="_Toc24210"/>
      <w:bookmarkStart w:id="225" w:name="_Toc1511"/>
      <w:r>
        <w:rPr>
          <w:rFonts w:hint="eastAsia" w:ascii="黑体" w:eastAsia="黑体"/>
          <w:color w:val="auto"/>
          <w:sz w:val="28"/>
          <w:szCs w:val="28"/>
          <w:highlight w:val="none"/>
        </w:rPr>
        <w:t>营业执照</w:t>
      </w:r>
      <w:bookmarkEnd w:id="221"/>
      <w:bookmarkEnd w:id="222"/>
      <w:bookmarkEnd w:id="223"/>
      <w:bookmarkEnd w:id="224"/>
      <w:bookmarkEnd w:id="225"/>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6"/>
        <w:widowControl w:val="0"/>
        <w:overflowPunct w:val="0"/>
        <w:spacing w:line="240" w:lineRule="auto"/>
        <w:rPr>
          <w:rFonts w:ascii="宋体" w:hAnsi="宋体"/>
          <w:color w:val="auto"/>
          <w:sz w:val="21"/>
          <w:szCs w:val="21"/>
          <w:highlight w:val="none"/>
        </w:rPr>
      </w:pPr>
      <w:bookmarkStart w:id="226" w:name="_Toc6906"/>
      <w:bookmarkStart w:id="227" w:name="_Toc2286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.相关资质证明文件</w:t>
      </w:r>
      <w:bookmarkEnd w:id="226"/>
      <w:bookmarkEnd w:id="227"/>
    </w:p>
    <w:p>
      <w:pPr>
        <w:rPr>
          <w:color w:val="auto"/>
          <w:highlight w:val="none"/>
        </w:rPr>
      </w:pPr>
    </w:p>
    <w:p>
      <w:pPr>
        <w:jc w:val="center"/>
        <w:rPr>
          <w:rFonts w:ascii="黑体" w:eastAsia="黑体"/>
          <w:color w:val="auto"/>
          <w:sz w:val="28"/>
          <w:szCs w:val="28"/>
          <w:highlight w:val="none"/>
        </w:rPr>
      </w:pPr>
      <w:bookmarkStart w:id="228" w:name="_Toc16698"/>
      <w:bookmarkStart w:id="229" w:name="_Toc13458"/>
      <w:bookmarkStart w:id="230" w:name="_Toc16233"/>
      <w:bookmarkStart w:id="231" w:name="_Toc30307"/>
      <w:bookmarkStart w:id="232" w:name="_Toc9592"/>
      <w:r>
        <w:rPr>
          <w:rFonts w:hint="eastAsia" w:ascii="黑体" w:eastAsia="黑体"/>
          <w:color w:val="auto"/>
          <w:sz w:val="28"/>
          <w:szCs w:val="28"/>
          <w:highlight w:val="none"/>
        </w:rPr>
        <w:t>相关资质证明文件</w:t>
      </w:r>
      <w:bookmarkEnd w:id="216"/>
      <w:bookmarkEnd w:id="228"/>
      <w:bookmarkEnd w:id="229"/>
      <w:bookmarkEnd w:id="230"/>
      <w:bookmarkEnd w:id="231"/>
      <w:bookmarkEnd w:id="232"/>
    </w:p>
    <w:p>
      <w:pPr>
        <w:numPr>
          <w:ilvl w:val="0"/>
          <w:numId w:val="8"/>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符合磋商邀请书“供应商资格要求”其他要求对应的证明文件；</w:t>
      </w:r>
    </w:p>
    <w:p>
      <w:pPr>
        <w:numPr>
          <w:ilvl w:val="0"/>
          <w:numId w:val="8"/>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供应商认为必要的文件。</w:t>
      </w:r>
      <w:r>
        <w:rPr>
          <w:rFonts w:hint="eastAsia" w:ascii="宋体" w:hAnsi="宋体" w:cs="宋体"/>
          <w:b/>
          <w:bCs/>
          <w:color w:val="auto"/>
          <w:szCs w:val="21"/>
          <w:highlight w:val="none"/>
        </w:rPr>
        <w:br w:type="page"/>
      </w:r>
    </w:p>
    <w:p>
      <w:pPr>
        <w:pStyle w:val="6"/>
        <w:widowControl w:val="0"/>
        <w:overflowPunct w:val="0"/>
        <w:spacing w:line="240" w:lineRule="auto"/>
        <w:rPr>
          <w:rFonts w:ascii="楷体_GB2312" w:eastAsia="楷体_GB2312"/>
          <w:color w:val="auto"/>
          <w:highlight w:val="none"/>
        </w:rPr>
      </w:pPr>
      <w:bookmarkStart w:id="233" w:name="_Toc26706"/>
      <w:bookmarkStart w:id="234" w:name="_Toc2253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.在经营活动中没有重大违法记录的书面声明格式</w:t>
      </w:r>
      <w:bookmarkEnd w:id="233"/>
      <w:bookmarkEnd w:id="234"/>
    </w:p>
    <w:p>
      <w:pPr>
        <w:rPr>
          <w:color w:val="auto"/>
          <w:highlight w:val="none"/>
        </w:rPr>
      </w:pPr>
    </w:p>
    <w:p>
      <w:pPr>
        <w:jc w:val="center"/>
        <w:rPr>
          <w:rFonts w:hint="eastAsia" w:ascii="黑体" w:eastAsia="黑体"/>
          <w:color w:val="auto"/>
          <w:sz w:val="28"/>
          <w:szCs w:val="28"/>
          <w:highlight w:val="none"/>
        </w:rPr>
      </w:pPr>
      <w:r>
        <w:rPr>
          <w:rFonts w:hint="eastAsia" w:ascii="黑体" w:eastAsia="黑体"/>
          <w:color w:val="auto"/>
          <w:sz w:val="28"/>
          <w:szCs w:val="28"/>
          <w:highlight w:val="none"/>
        </w:rPr>
        <w:t>供应商在经营活动中前三年内未有重大违法记录、没有不良</w:t>
      </w:r>
    </w:p>
    <w:p>
      <w:pPr>
        <w:jc w:val="center"/>
        <w:rPr>
          <w:rFonts w:ascii="黑体" w:eastAsia="黑体"/>
          <w:color w:val="auto"/>
          <w:sz w:val="28"/>
          <w:szCs w:val="28"/>
          <w:highlight w:val="none"/>
        </w:rPr>
      </w:pPr>
      <w:r>
        <w:rPr>
          <w:rFonts w:hint="eastAsia" w:ascii="黑体" w:eastAsia="黑体"/>
          <w:color w:val="auto"/>
          <w:sz w:val="28"/>
          <w:szCs w:val="28"/>
          <w:highlight w:val="none"/>
        </w:rPr>
        <w:t>信用记录的声明函</w:t>
      </w:r>
    </w:p>
    <w:p>
      <w:pPr>
        <w:ind w:firstLine="420" w:firstLineChars="200"/>
        <w:rPr>
          <w:rFonts w:ascii="宋体" w:hAnsi="宋体" w:cs="宋体"/>
          <w:color w:val="auto"/>
          <w:szCs w:val="21"/>
          <w:highlight w:val="none"/>
        </w:rPr>
      </w:pP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广西同泽工程项目管理股份有限公司</w:t>
      </w:r>
      <w:r>
        <w:rPr>
          <w:rFonts w:hint="eastAsia" w:ascii="宋体" w:hAnsi="宋体" w:cs="宋体"/>
          <w:color w:val="auto"/>
          <w:szCs w:val="21"/>
          <w:highlight w:val="none"/>
        </w:rPr>
        <w:t>：</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响应文件截止时间止未被列入“信用中国”网站失信被执行人、重大税收违法失信主体、政府采购严重违法失信行为记录名单。</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ind w:firstLine="420" w:firstLineChars="200"/>
        <w:rPr>
          <w:rFonts w:ascii="宋体" w:hAnsi="宋体" w:cs="宋体"/>
          <w:color w:val="auto"/>
          <w:szCs w:val="21"/>
          <w:highlight w:val="none"/>
        </w:rPr>
      </w:pP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供应商名称（盖章）：</w:t>
      </w: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6"/>
        <w:widowControl w:val="0"/>
        <w:overflowPunct w:val="0"/>
        <w:spacing w:line="240" w:lineRule="auto"/>
        <w:rPr>
          <w:rFonts w:ascii="楷体_GB2312" w:eastAsia="楷体_GB2312"/>
          <w:color w:val="auto"/>
          <w:highlight w:val="none"/>
        </w:rPr>
      </w:pPr>
      <w:bookmarkStart w:id="235" w:name="_Toc17569"/>
      <w:bookmarkStart w:id="236" w:name="_Toc1489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.承诺书格式</w:t>
      </w:r>
      <w:bookmarkEnd w:id="235"/>
      <w:bookmarkEnd w:id="236"/>
    </w:p>
    <w:p>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6"/>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广西同泽工程项目管理股份有限公司</w:t>
      </w:r>
      <w:r>
        <w:rPr>
          <w:rFonts w:hint="eastAsia" w:ascii="宋体" w:eastAsia="宋体" w:cs="宋体"/>
          <w:color w:val="auto"/>
          <w:sz w:val="21"/>
          <w:szCs w:val="21"/>
          <w:highlight w:val="none"/>
        </w:rPr>
        <w:t>：</w:t>
      </w:r>
    </w:p>
    <w:p>
      <w:pPr>
        <w:jc w:val="center"/>
        <w:rPr>
          <w:rFonts w:ascii="宋体" w:hAnsi="宋体" w:cs="宋体"/>
          <w:color w:val="auto"/>
          <w:szCs w:val="21"/>
          <w:highlight w:val="none"/>
        </w:rPr>
      </w:pPr>
    </w:p>
    <w:p>
      <w:pPr>
        <w:pStyle w:val="46"/>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）磋商文件的所有内容（包括澄清，以及所有已提供的参考资料和有关附件），并完全理解上述文件所表达的意思，该项目递交响应文件时间截止后，我方承诺不再对上述文件内容有异议。</w:t>
      </w:r>
      <w:r>
        <w:rPr>
          <w:rFonts w:hint="eastAsia" w:ascii="宋体" w:eastAsia="宋体" w:cs="宋体"/>
          <w:color w:val="auto"/>
          <w:sz w:val="21"/>
          <w:szCs w:val="21"/>
          <w:highlight w:val="none"/>
        </w:rPr>
        <w:cr/>
      </w:r>
    </w:p>
    <w:p>
      <w:pPr>
        <w:pStyle w:val="46"/>
        <w:spacing w:line="420" w:lineRule="exact"/>
        <w:ind w:firstLine="433"/>
        <w:rPr>
          <w:rFonts w:ascii="宋体" w:eastAsia="宋体" w:cs="宋体"/>
          <w:color w:val="auto"/>
          <w:sz w:val="21"/>
          <w:szCs w:val="21"/>
          <w:highlight w:val="none"/>
        </w:rPr>
      </w:pP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供应商名称（加盖公章）：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6"/>
        <w:widowControl w:val="0"/>
        <w:overflowPunct w:val="0"/>
        <w:spacing w:line="240" w:lineRule="auto"/>
        <w:rPr>
          <w:rFonts w:ascii="宋体" w:hAnsi="宋体"/>
          <w:color w:val="auto"/>
          <w:sz w:val="21"/>
          <w:szCs w:val="21"/>
          <w:highlight w:val="none"/>
        </w:rPr>
      </w:pPr>
      <w:bookmarkStart w:id="237" w:name="_Toc4299"/>
      <w:bookmarkStart w:id="238" w:name="_Toc1470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.商务需求条款偏离表格式</w:t>
      </w:r>
      <w:bookmarkEnd w:id="237"/>
      <w:bookmarkEnd w:id="238"/>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磋商实际响应</w:t>
            </w:r>
          </w:p>
        </w:tc>
        <w:tc>
          <w:tcPr>
            <w:tcW w:w="1133"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供应商代表签字：</w:t>
      </w:r>
    </w:p>
    <w:p>
      <w:pPr>
        <w:rPr>
          <w:rFonts w:ascii="宋体" w:hAnsi="宋体"/>
          <w:color w:val="auto"/>
          <w:szCs w:val="21"/>
          <w:highlight w:val="none"/>
        </w:rPr>
      </w:pPr>
      <w:r>
        <w:rPr>
          <w:rFonts w:hint="eastAsia" w:ascii="宋体" w:hAnsi="宋体"/>
          <w:color w:val="auto"/>
          <w:szCs w:val="21"/>
          <w:highlight w:val="none"/>
        </w:rPr>
        <w:t>供应商盖章：</w:t>
      </w:r>
    </w:p>
    <w:p>
      <w:pPr>
        <w:rPr>
          <w:rFonts w:ascii="宋体" w:hAnsi="宋体"/>
          <w:color w:val="auto"/>
          <w:szCs w:val="21"/>
          <w:highlight w:val="none"/>
        </w:rPr>
      </w:pPr>
    </w:p>
    <w:p>
      <w:pPr>
        <w:ind w:left="718" w:hanging="718" w:hangingChars="342"/>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1、供应商应对照磋商文件商务需求书中商务要求，说明已对磋商文件的商务内容做出了实质性的响应。</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，供应商都被认为已清楚了解磋商文件“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需求书”的内容并对采购人所需的服务要求作全面响应，供应商必须承担完成“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，因此对供应商响应产生负面影响的，供应商自行承担后果。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如供应商差异内容较多可另附页说明。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如供应商对用户需求书商务要求的条款全部响应的，也可以在表格下面用文字总括性的说明。</w:t>
      </w: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30"/>
          <w:szCs w:val="30"/>
          <w:highlight w:val="none"/>
        </w:rPr>
      </w:pPr>
      <w:bookmarkStart w:id="239" w:name="_Toc13671"/>
      <w:bookmarkStart w:id="240" w:name="_Toc2085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.业绩表</w:t>
      </w:r>
      <w:bookmarkEnd w:id="239"/>
      <w:bookmarkEnd w:id="240"/>
    </w:p>
    <w:p>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67"/>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967"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43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center"/>
          </w:tcPr>
          <w:p>
            <w:pPr>
              <w:adjustRightInd/>
              <w:snapToGrid/>
              <w:jc w:val="center"/>
              <w:rPr>
                <w:rFonts w:ascii="宋体" w:hAnsi="宋体"/>
                <w:color w:val="auto"/>
                <w:szCs w:val="21"/>
                <w:highlight w:val="none"/>
              </w:rPr>
            </w:pPr>
          </w:p>
        </w:tc>
        <w:tc>
          <w:tcPr>
            <w:tcW w:w="1705" w:type="dxa"/>
            <w:noWrap w:val="0"/>
            <w:vAlign w:val="center"/>
          </w:tcPr>
          <w:p>
            <w:pPr>
              <w:adjustRightInd/>
              <w:snapToGrid/>
              <w:jc w:val="center"/>
              <w:rPr>
                <w:rFonts w:ascii="宋体" w:hAnsi="宋体"/>
                <w:color w:val="auto"/>
                <w:szCs w:val="21"/>
                <w:highlight w:val="none"/>
              </w:rPr>
            </w:pPr>
          </w:p>
        </w:tc>
        <w:tc>
          <w:tcPr>
            <w:tcW w:w="1706" w:type="dxa"/>
            <w:noWrap w:val="0"/>
            <w:vAlign w:val="center"/>
          </w:tcPr>
          <w:p>
            <w:pPr>
              <w:adjustRightInd/>
              <w:snapToGrid/>
              <w:jc w:val="center"/>
              <w:rPr>
                <w:rFonts w:ascii="宋体" w:hAnsi="宋体"/>
                <w:color w:val="auto"/>
                <w:szCs w:val="21"/>
                <w:highlight w:val="none"/>
              </w:rPr>
            </w:pPr>
          </w:p>
        </w:tc>
        <w:tc>
          <w:tcPr>
            <w:tcW w:w="1967" w:type="dxa"/>
            <w:noWrap w:val="0"/>
            <w:vAlign w:val="center"/>
          </w:tcPr>
          <w:p>
            <w:pPr>
              <w:adjustRightInd/>
              <w:snapToGrid/>
              <w:jc w:val="center"/>
              <w:rPr>
                <w:rFonts w:ascii="宋体" w:hAnsi="宋体"/>
                <w:color w:val="auto"/>
                <w:szCs w:val="21"/>
                <w:highlight w:val="none"/>
              </w:rPr>
            </w:pPr>
          </w:p>
        </w:tc>
        <w:tc>
          <w:tcPr>
            <w:tcW w:w="1435" w:type="dxa"/>
            <w:noWrap w:val="0"/>
            <w:vAlign w:val="center"/>
          </w:tcPr>
          <w:p>
            <w:pP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bl>
    <w:p>
      <w:pPr>
        <w:pStyle w:val="60"/>
        <w:rPr>
          <w:rFonts w:ascii="宋体" w:hAnsi="宋体"/>
          <w:color w:val="auto"/>
          <w:szCs w:val="21"/>
          <w:highlight w:val="none"/>
        </w:rPr>
      </w:pPr>
    </w:p>
    <w:p>
      <w:pPr>
        <w:pStyle w:val="60"/>
        <w:rPr>
          <w:rFonts w:ascii="宋体" w:hAnsi="宋体"/>
          <w:color w:val="auto"/>
          <w:szCs w:val="21"/>
          <w:highlight w:val="none"/>
        </w:rPr>
      </w:pPr>
      <w:r>
        <w:rPr>
          <w:rFonts w:hint="eastAsia" w:ascii="宋体" w:hAnsi="宋体"/>
          <w:color w:val="auto"/>
          <w:szCs w:val="21"/>
          <w:highlight w:val="none"/>
        </w:rPr>
        <w:t>注：</w:t>
      </w:r>
    </w:p>
    <w:p>
      <w:pPr>
        <w:pStyle w:val="60"/>
        <w:numPr>
          <w:ilvl w:val="0"/>
          <w:numId w:val="9"/>
        </w:numPr>
        <w:rPr>
          <w:rFonts w:ascii="宋体" w:hAnsi="宋体"/>
          <w:color w:val="auto"/>
          <w:szCs w:val="21"/>
          <w:highlight w:val="none"/>
        </w:rPr>
      </w:pPr>
      <w:r>
        <w:rPr>
          <w:rFonts w:hint="eastAsia" w:ascii="宋体" w:hAnsi="宋体"/>
          <w:color w:val="auto"/>
          <w:szCs w:val="21"/>
          <w:highlight w:val="none"/>
        </w:rPr>
        <w:t>该表格为参考格式，供应商可按实际情况自行制订。</w:t>
      </w:r>
    </w:p>
    <w:p>
      <w:pPr>
        <w:pStyle w:val="60"/>
        <w:numPr>
          <w:ilvl w:val="0"/>
          <w:numId w:val="9"/>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rPr>
          <w:color w:val="auto"/>
          <w:szCs w:val="21"/>
          <w:highlight w:val="none"/>
        </w:rPr>
        <w:sectPr>
          <w:headerReference r:id="rId9" w:type="first"/>
          <w:footerReference r:id="rId11" w:type="first"/>
          <w:headerReference r:id="rId7" w:type="default"/>
          <w:footerReference r:id="rId10" w:type="default"/>
          <w:headerReference r:id="rId8" w:type="even"/>
          <w:pgSz w:w="11906" w:h="16838"/>
          <w:pgMar w:top="1440" w:right="1800" w:bottom="1276" w:left="1800" w:header="708" w:footer="708" w:gutter="0"/>
          <w:cols w:space="720" w:num="1"/>
          <w:titlePg/>
          <w:docGrid w:type="lines" w:linePitch="360" w:charSpace="0"/>
        </w:sectPr>
      </w:pPr>
    </w:p>
    <w:p>
      <w:pPr>
        <w:pStyle w:val="6"/>
        <w:widowControl w:val="0"/>
        <w:overflowPunct w:val="0"/>
        <w:spacing w:line="240" w:lineRule="auto"/>
        <w:rPr>
          <w:color w:val="auto"/>
          <w:highlight w:val="none"/>
        </w:rPr>
      </w:pPr>
      <w:bookmarkStart w:id="241" w:name="_Toc1699"/>
      <w:bookmarkStart w:id="242" w:name="_Toc2139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.联合体协议书</w:t>
      </w:r>
      <w:r>
        <w:rPr>
          <w:rFonts w:hint="eastAsia"/>
          <w:color w:val="auto"/>
          <w:highlight w:val="none"/>
        </w:rPr>
        <w:t>（如有）</w:t>
      </w:r>
      <w:bookmarkEnd w:id="241"/>
      <w:bookmarkEnd w:id="242"/>
    </w:p>
    <w:p>
      <w:pPr>
        <w:rPr>
          <w:color w:val="auto"/>
          <w:highlight w:val="none"/>
        </w:rPr>
      </w:pPr>
    </w:p>
    <w:p>
      <w:pPr>
        <w:jc w:val="center"/>
        <w:rPr>
          <w:rFonts w:hAnsi="宋体" w:cs="宋体"/>
          <w:color w:val="auto"/>
          <w:highlight w:val="none"/>
        </w:rPr>
      </w:pPr>
      <w:r>
        <w:rPr>
          <w:rFonts w:hint="eastAsia" w:hAnsi="宋体" w:cs="宋体"/>
          <w:b/>
          <w:bCs/>
          <w:color w:val="auto"/>
          <w:highlight w:val="none"/>
        </w:rPr>
        <w:t>联合体共同投标协议书</w:t>
      </w:r>
    </w:p>
    <w:p>
      <w:pPr>
        <w:jc w:val="center"/>
        <w:rPr>
          <w:rFonts w:hAnsi="宋体" w:cs="宋体"/>
          <w:color w:val="auto"/>
          <w:highlight w:val="none"/>
        </w:rPr>
      </w:pPr>
    </w:p>
    <w:p>
      <w:pPr>
        <w:rPr>
          <w:rFonts w:hAnsi="宋体" w:cs="宋体"/>
          <w:color w:val="auto"/>
          <w:szCs w:val="21"/>
          <w:highlight w:val="none"/>
        </w:rPr>
      </w:pPr>
      <w:r>
        <w:rPr>
          <w:rFonts w:hint="eastAsia" w:hAnsi="宋体" w:cs="宋体"/>
          <w:color w:val="auto"/>
          <w:szCs w:val="21"/>
          <w:highlight w:val="none"/>
        </w:rPr>
        <w:t>立约方：（甲公司全称）</w:t>
      </w:r>
    </w:p>
    <w:p>
      <w:pPr>
        <w:rPr>
          <w:rFonts w:hAnsi="宋体" w:cs="宋体"/>
          <w:color w:val="auto"/>
          <w:szCs w:val="21"/>
          <w:highlight w:val="none"/>
        </w:rPr>
      </w:pPr>
      <w:r>
        <w:rPr>
          <w:rFonts w:hint="eastAsia" w:hAnsi="宋体" w:cs="宋体"/>
          <w:color w:val="auto"/>
          <w:szCs w:val="21"/>
          <w:highlight w:val="none"/>
        </w:rPr>
        <w:t>（乙公司全称）</w:t>
      </w:r>
    </w:p>
    <w:p>
      <w:pPr>
        <w:rPr>
          <w:rFonts w:hint="eastAsia" w:hAnsi="宋体" w:cs="宋体"/>
          <w:color w:val="auto"/>
          <w:szCs w:val="21"/>
          <w:highlight w:val="none"/>
          <w:u w:val="single"/>
        </w:rPr>
      </w:pPr>
    </w:p>
    <w:p>
      <w:pPr>
        <w:rPr>
          <w:rFonts w:hAnsi="宋体" w:cs="宋体"/>
          <w:color w:val="auto"/>
          <w:szCs w:val="21"/>
          <w:highlight w:val="none"/>
        </w:rPr>
      </w:pPr>
      <w:r>
        <w:rPr>
          <w:rFonts w:hint="eastAsia" w:hAnsi="宋体" w:cs="宋体"/>
          <w:color w:val="auto"/>
          <w:szCs w:val="21"/>
          <w:highlight w:val="none"/>
          <w:u w:val="single"/>
        </w:rPr>
        <w:t>（甲公司全称）、（乙公司全称）</w:t>
      </w:r>
      <w:r>
        <w:rPr>
          <w:rFonts w:hint="eastAsia" w:hAnsi="宋体" w:cs="宋体"/>
          <w:color w:val="auto"/>
          <w:szCs w:val="21"/>
          <w:highlight w:val="none"/>
        </w:rPr>
        <w:t>自愿组成联合体，以一个供应商的身份共同参加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pPr>
        <w:rPr>
          <w:rFonts w:hAnsi="宋体" w:cs="宋体"/>
          <w:color w:val="auto"/>
          <w:szCs w:val="21"/>
          <w:highlight w:val="none"/>
        </w:rPr>
      </w:pPr>
      <w:r>
        <w:rPr>
          <w:rFonts w:hint="eastAsia" w:hAnsi="宋体" w:cs="宋体"/>
          <w:color w:val="auto"/>
          <w:szCs w:val="21"/>
          <w:highlight w:val="none"/>
        </w:rPr>
        <w:t>一、联合体各方关系</w:t>
      </w:r>
    </w:p>
    <w:p>
      <w:pPr>
        <w:rPr>
          <w:rFonts w:hAnsi="宋体" w:cs="宋体"/>
          <w:color w:val="auto"/>
          <w:szCs w:val="21"/>
          <w:highlight w:val="none"/>
        </w:rPr>
      </w:pPr>
      <w:r>
        <w:rPr>
          <w:rFonts w:hint="eastAsia" w:hAnsi="宋体" w:cs="宋体"/>
          <w:color w:val="auto"/>
          <w:szCs w:val="21"/>
          <w:highlight w:val="none"/>
          <w:u w:val="single"/>
        </w:rPr>
        <w:t>1.（甲公司全称）、（乙公司全称）</w:t>
      </w:r>
      <w:r>
        <w:rPr>
          <w:rFonts w:hint="eastAsia" w:hAnsi="宋体" w:cs="宋体"/>
          <w:color w:val="auto"/>
          <w:szCs w:val="21"/>
          <w:highlight w:val="none"/>
        </w:rPr>
        <w:t>共同组成一个联合体，以一个供应商的身份共同参加本项目的投标。</w:t>
      </w:r>
      <w:r>
        <w:rPr>
          <w:rFonts w:hint="eastAsia" w:hAnsi="宋体" w:cs="宋体"/>
          <w:color w:val="auto"/>
          <w:szCs w:val="21"/>
          <w:highlight w:val="none"/>
          <w:u w:val="single"/>
        </w:rPr>
        <w:t>（甲公司全称）、（乙公司全称）</w:t>
      </w:r>
      <w:r>
        <w:rPr>
          <w:rFonts w:hint="eastAsia" w:hAnsi="宋体" w:cs="宋体"/>
          <w:color w:val="auto"/>
          <w:szCs w:val="21"/>
          <w:highlight w:val="none"/>
        </w:rPr>
        <w:t>作为联合体成员，若成交，联合体各方共同与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rPr>
          <w:rFonts w:hAnsi="宋体" w:cs="宋体"/>
          <w:color w:val="auto"/>
          <w:szCs w:val="21"/>
          <w:highlight w:val="none"/>
        </w:rPr>
      </w:pPr>
      <w:r>
        <w:rPr>
          <w:rFonts w:hint="eastAsia" w:hAnsi="宋体" w:cs="宋体"/>
          <w:color w:val="auto"/>
          <w:szCs w:val="21"/>
          <w:highlight w:val="none"/>
        </w:rPr>
        <w:t>二、联合体内部有关事项约定如下：</w:t>
      </w:r>
    </w:p>
    <w:p>
      <w:pPr>
        <w:rPr>
          <w:rFonts w:hAnsi="宋体" w:cs="宋体"/>
          <w:color w:val="auto"/>
          <w:szCs w:val="21"/>
          <w:highlight w:val="none"/>
        </w:rPr>
      </w:pPr>
      <w:r>
        <w:rPr>
          <w:rFonts w:hint="eastAsia" w:hAnsi="宋体"/>
          <w:color w:val="auto"/>
          <w:szCs w:val="21"/>
          <w:highlight w:val="none"/>
        </w:rPr>
        <w:t>1.联合体牵头人合法代表联合体各成员，负责本项目响应文件编制和投标工作，并代表联合体成员递交和接受相关的资料、信息及指示，并处理与之有关的一切事务，负责合同实施阶段的主办、组织和协调工作。</w:t>
      </w:r>
    </w:p>
    <w:p>
      <w:pPr>
        <w:rPr>
          <w:rFonts w:hAnsi="宋体" w:cs="宋体"/>
          <w:color w:val="auto"/>
          <w:szCs w:val="21"/>
          <w:highlight w:val="none"/>
        </w:rPr>
      </w:pPr>
      <w:r>
        <w:rPr>
          <w:rFonts w:hint="eastAsia" w:hAnsi="宋体" w:cs="宋体"/>
          <w:color w:val="auto"/>
          <w:szCs w:val="21"/>
          <w:highlight w:val="none"/>
        </w:rPr>
        <w:t>2.联合体将严格按照文件的各项要求，递交响应文件，切实执行一切合同文件，共同承担合同规定的一切义务和责任，同时按照内部职责的划分，承担自身所负的责任和风险，在法律上承担连带责任。</w:t>
      </w:r>
    </w:p>
    <w:p>
      <w:pPr>
        <w:rPr>
          <w:rFonts w:hAnsi="宋体" w:cs="宋体"/>
          <w:color w:val="auto"/>
          <w:szCs w:val="21"/>
          <w:highlight w:val="none"/>
        </w:rPr>
      </w:pPr>
      <w:r>
        <w:rPr>
          <w:rFonts w:hint="eastAsia" w:hAnsi="宋体" w:cs="宋体"/>
          <w:color w:val="auto"/>
          <w:szCs w:val="21"/>
          <w:highlight w:val="none"/>
        </w:rPr>
        <w:t>3.如成交，联合体各方共同与（采购人）签订合同书，并就成交项目向采购人负有连带的和各自的法律责任；</w:t>
      </w:r>
    </w:p>
    <w:p>
      <w:pPr>
        <w:rPr>
          <w:rFonts w:hAnsi="宋体" w:cs="宋体"/>
          <w:color w:val="auto"/>
          <w:szCs w:val="21"/>
          <w:highlight w:val="none"/>
        </w:rPr>
      </w:pPr>
      <w:r>
        <w:rPr>
          <w:rFonts w:hint="eastAsia" w:hAnsi="宋体" w:cs="宋体"/>
          <w:color w:val="auto"/>
          <w:szCs w:val="21"/>
          <w:highlight w:val="none"/>
        </w:rPr>
        <w:t>4.联合体各成员单位内部的职责分工如下：</w:t>
      </w:r>
    </w:p>
    <w:p>
      <w:pPr>
        <w:rPr>
          <w:rFonts w:hAnsi="宋体" w:cs="宋体"/>
          <w:color w:val="auto"/>
          <w:szCs w:val="21"/>
          <w:highlight w:val="none"/>
        </w:rPr>
      </w:pPr>
      <w:r>
        <w:rPr>
          <w:rFonts w:hint="eastAsia" w:hAnsi="宋体" w:cs="宋体"/>
          <w:color w:val="auto"/>
          <w:szCs w:val="21"/>
          <w:highlight w:val="none"/>
        </w:rPr>
        <w:t>（1）</w:t>
      </w:r>
    </w:p>
    <w:p>
      <w:pPr>
        <w:rPr>
          <w:color w:val="auto"/>
          <w:highlight w:val="none"/>
        </w:rPr>
      </w:pPr>
      <w:r>
        <w:rPr>
          <w:rFonts w:hint="eastAsia" w:hAnsi="宋体" w:cs="宋体"/>
          <w:color w:val="auto"/>
          <w:szCs w:val="21"/>
          <w:highlight w:val="none"/>
        </w:rPr>
        <w:t>（2）</w:t>
      </w:r>
    </w:p>
    <w:p>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rPr>
          <w:rFonts w:hAnsi="宋体" w:cs="宋体"/>
          <w:color w:val="auto"/>
          <w:szCs w:val="21"/>
          <w:highlight w:val="none"/>
        </w:rPr>
      </w:pPr>
      <w:r>
        <w:rPr>
          <w:rFonts w:hint="eastAsia"/>
          <w:color w:val="auto"/>
          <w:szCs w:val="21"/>
          <w:highlight w:val="none"/>
        </w:rPr>
        <w:t>五、联合体成交后，本联合体协议是合同的附件，对联合体各成员单位有合同约束力。</w:t>
      </w:r>
    </w:p>
    <w:p>
      <w:pPr>
        <w:rPr>
          <w:rFonts w:hAnsi="宋体" w:cs="宋体"/>
          <w:color w:val="auto"/>
          <w:szCs w:val="21"/>
          <w:highlight w:val="none"/>
        </w:rPr>
      </w:pPr>
      <w:r>
        <w:rPr>
          <w:rFonts w:hint="eastAsia" w:hAnsi="宋体" w:cs="宋体"/>
          <w:color w:val="auto"/>
          <w:szCs w:val="21"/>
          <w:highlight w:val="none"/>
        </w:rPr>
        <w:t>六、本协议在自签署之日起生效，投标有效期内有效，如获成交资格，本协议有效期延续至合同履行完毕之日。</w:t>
      </w:r>
    </w:p>
    <w:p>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rPr>
          <w:rFonts w:hAnsi="宋体" w:cs="宋体"/>
          <w:color w:val="auto"/>
          <w:szCs w:val="21"/>
          <w:highlight w:val="none"/>
        </w:rPr>
      </w:pPr>
    </w:p>
    <w:p>
      <w:pPr>
        <w:pStyle w:val="2"/>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2"/>
        <w:rPr>
          <w:color w:val="auto"/>
          <w:sz w:val="21"/>
          <w:szCs w:val="21"/>
          <w:highlight w:val="none"/>
        </w:rPr>
      </w:pPr>
      <w:r>
        <w:rPr>
          <w:rFonts w:hint="eastAsia"/>
          <w:color w:val="auto"/>
          <w:sz w:val="21"/>
          <w:szCs w:val="21"/>
          <w:highlight w:val="none"/>
        </w:rPr>
        <w:t>牵头</w:t>
      </w:r>
      <w:r>
        <w:rPr>
          <w:rFonts w:hint="eastAsia"/>
          <w:color w:val="auto"/>
          <w:sz w:val="21"/>
          <w:szCs w:val="21"/>
          <w:highlight w:val="none"/>
          <w:lang w:val="en-US" w:eastAsia="zh-CN"/>
        </w:rPr>
        <w:t>方</w:t>
      </w:r>
      <w:r>
        <w:rPr>
          <w:rFonts w:hint="eastAsia"/>
          <w:color w:val="auto"/>
          <w:sz w:val="21"/>
          <w:szCs w:val="21"/>
          <w:highlight w:val="none"/>
        </w:rPr>
        <w:t>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sz w:val="21"/>
          <w:szCs w:val="21"/>
          <w:highlight w:val="none"/>
        </w:rPr>
      </w:pPr>
      <w:r>
        <w:rPr>
          <w:rFonts w:hint="eastAsia"/>
          <w:color w:val="auto"/>
          <w:sz w:val="21"/>
          <w:szCs w:val="21"/>
          <w:highlight w:val="none"/>
        </w:rPr>
        <w:t>成员</w:t>
      </w:r>
      <w:r>
        <w:rPr>
          <w:rFonts w:hint="eastAsia"/>
          <w:color w:val="auto"/>
          <w:sz w:val="21"/>
          <w:szCs w:val="21"/>
          <w:highlight w:val="none"/>
          <w:lang w:val="en-US" w:eastAsia="zh-CN"/>
        </w:rPr>
        <w:t>方</w:t>
      </w:r>
      <w:r>
        <w:rPr>
          <w:rFonts w:hint="eastAsia"/>
          <w:color w:val="auto"/>
          <w:sz w:val="21"/>
          <w:szCs w:val="21"/>
          <w:highlight w:val="none"/>
        </w:rPr>
        <w:t>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highlight w:val="none"/>
          <w:lang w:val="en-US"/>
        </w:rPr>
        <w:sectPr>
          <w:pgSz w:w="11906" w:h="16838"/>
          <w:pgMar w:top="1440" w:right="1800" w:bottom="1440" w:left="1800" w:header="708" w:footer="708" w:gutter="0"/>
          <w:cols w:space="720" w:num="1"/>
          <w:titlePg/>
          <w:docGrid w:type="lines" w:linePitch="360" w:charSpace="0"/>
        </w:sectPr>
      </w:pPr>
      <w:r>
        <w:rPr>
          <w:rFonts w:hint="eastAsia"/>
          <w:color w:val="auto"/>
          <w:sz w:val="21"/>
          <w:szCs w:val="21"/>
          <w:highlight w:val="none"/>
        </w:rPr>
        <w:t xml:space="preserve">        年     月     日</w:t>
      </w:r>
    </w:p>
    <w:p>
      <w:pPr>
        <w:pStyle w:val="2"/>
        <w:rPr>
          <w:color w:val="auto"/>
          <w:highlight w:val="none"/>
        </w:rPr>
      </w:pPr>
    </w:p>
    <w:p>
      <w:pPr>
        <w:pStyle w:val="4"/>
        <w:spacing w:before="0" w:after="0" w:line="360" w:lineRule="auto"/>
        <w:jc w:val="center"/>
        <w:rPr>
          <w:color w:val="auto"/>
          <w:sz w:val="72"/>
          <w:szCs w:val="72"/>
          <w:highlight w:val="none"/>
        </w:rPr>
      </w:pPr>
      <w:bookmarkStart w:id="243" w:name="_Toc1366"/>
      <w:bookmarkStart w:id="244" w:name="_Toc3453"/>
      <w:r>
        <w:rPr>
          <w:rFonts w:hint="eastAsia"/>
          <w:color w:val="auto"/>
          <w:sz w:val="72"/>
          <w:szCs w:val="72"/>
          <w:highlight w:val="none"/>
        </w:rPr>
        <w:t>技术文件</w:t>
      </w:r>
      <w:bookmarkEnd w:id="243"/>
      <w:bookmarkEnd w:id="244"/>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8"/>
        </w:rPr>
        <w:t>项目名</w:t>
      </w:r>
      <w:r>
        <w:rPr>
          <w:rFonts w:hint="eastAsia" w:ascii="宋体" w:hAnsi="宋体" w:cs="宋体"/>
          <w:b/>
          <w:bCs/>
          <w:color w:val="auto"/>
          <w:spacing w:val="1"/>
          <w:kern w:val="0"/>
          <w:sz w:val="32"/>
          <w:szCs w:val="32"/>
          <w:highlight w:val="none"/>
          <w:fitText w:val="1600" w:id="8"/>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9"/>
        </w:rPr>
        <w:t>项目编</w:t>
      </w:r>
      <w:r>
        <w:rPr>
          <w:rFonts w:hint="eastAsia" w:ascii="宋体" w:hAnsi="宋体" w:cs="宋体"/>
          <w:b/>
          <w:bCs/>
          <w:color w:val="auto"/>
          <w:spacing w:val="1"/>
          <w:kern w:val="0"/>
          <w:sz w:val="32"/>
          <w:szCs w:val="32"/>
          <w:highlight w:val="none"/>
          <w:fitText w:val="1600" w:id="9"/>
        </w:rPr>
        <w:t>号</w:t>
      </w:r>
      <w:r>
        <w:rPr>
          <w:rFonts w:hint="eastAsia" w:ascii="宋体" w:hAnsi="宋体" w:cs="宋体"/>
          <w:b/>
          <w:bCs/>
          <w:color w:val="auto"/>
          <w:sz w:val="32"/>
          <w:szCs w:val="32"/>
          <w:highlight w:val="none"/>
        </w:rPr>
        <w:t>：</w:t>
      </w:r>
    </w:p>
    <w:p>
      <w:pPr>
        <w:pStyle w:val="2"/>
        <w:ind w:left="0"/>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0"/>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11"/>
        </w:rPr>
        <w:t>日</w:t>
      </w:r>
      <w:r>
        <w:rPr>
          <w:rFonts w:ascii="宋体" w:hAnsi="宋体" w:cs="宋体"/>
          <w:b/>
          <w:color w:val="auto"/>
          <w:spacing w:val="32"/>
          <w:kern w:val="0"/>
          <w:sz w:val="32"/>
          <w:szCs w:val="32"/>
          <w:highlight w:val="none"/>
          <w:fitText w:val="1600" w:id="11"/>
        </w:rPr>
        <w:t xml:space="preserve">    </w:t>
      </w:r>
      <w:r>
        <w:rPr>
          <w:rFonts w:hint="eastAsia" w:ascii="宋体" w:hAnsi="宋体" w:cs="宋体"/>
          <w:b/>
          <w:color w:val="auto"/>
          <w:spacing w:val="0"/>
          <w:kern w:val="0"/>
          <w:sz w:val="32"/>
          <w:szCs w:val="32"/>
          <w:highlight w:val="none"/>
          <w:fitText w:val="1600" w:id="11"/>
        </w:rPr>
        <w:t>期</w:t>
      </w:r>
      <w:r>
        <w:rPr>
          <w:rFonts w:hint="eastAsia" w:ascii="宋体" w:hAnsi="宋体" w:cs="宋体"/>
          <w:b/>
          <w:color w:val="auto"/>
          <w:sz w:val="32"/>
          <w:szCs w:val="32"/>
          <w:highlight w:val="none"/>
        </w:rPr>
        <w:t>：</w:t>
      </w: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45" w:name="_Toc8722"/>
      <w:bookmarkStart w:id="246" w:name="_Toc1738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.技术规格偏离表格式</w:t>
      </w:r>
      <w:bookmarkEnd w:id="245"/>
      <w:bookmarkEnd w:id="246"/>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磋商实际响应</w:t>
            </w:r>
          </w:p>
        </w:tc>
        <w:tc>
          <w:tcPr>
            <w:tcW w:w="123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供应商代表签字：</w:t>
      </w:r>
    </w:p>
    <w:p>
      <w:pPr>
        <w:rPr>
          <w:rFonts w:ascii="宋体" w:hAnsi="宋体"/>
          <w:color w:val="auto"/>
          <w:szCs w:val="21"/>
          <w:highlight w:val="none"/>
        </w:rPr>
      </w:pPr>
      <w:r>
        <w:rPr>
          <w:rFonts w:hint="eastAsia" w:ascii="宋体" w:hAnsi="宋体"/>
          <w:color w:val="auto"/>
          <w:szCs w:val="21"/>
          <w:highlight w:val="none"/>
        </w:rPr>
        <w:t>供应商盖章：</w:t>
      </w:r>
    </w:p>
    <w:p>
      <w:pPr>
        <w:ind w:firstLine="178" w:firstLineChars="85"/>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供应商应对照磋商文件技术需求书中技术规格，说明所提供服务已对磋商文件的技术规格做出了实质性的响应，并申明与技术规格条文的偏差和例外。特别对有具体参数要求的指标，供应商必须提供所投设备的具体参数值。</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，供应商都被认为已清楚了解磋商文件“技术需求书”的内容并对采购人所需的服务要求作全面响应，供应商必须承担完成“技术需求书”所描述内容的义务</w:t>
      </w:r>
      <w:r>
        <w:rPr>
          <w:rFonts w:hint="eastAsia" w:ascii="宋体" w:hAnsi="宋体"/>
          <w:color w:val="auto"/>
          <w:szCs w:val="21"/>
          <w:highlight w:val="none"/>
        </w:rPr>
        <w:t>，因此对供应商响应产生负面影响的，供应商自行承担后果。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如供应商差异内容较多可另附页说明。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如供应商对用户需求书商务要求的条款全部响应的，也可以在表格下面用文字总括性的说明。</w:t>
      </w:r>
    </w:p>
    <w:p>
      <w:pPr>
        <w:rPr>
          <w:rFonts w:ascii="宋体" w:hAnsi="宋体"/>
          <w:color w:val="auto"/>
          <w:szCs w:val="21"/>
          <w:highlight w:val="none"/>
        </w:rPr>
      </w:pPr>
      <w:bookmarkStart w:id="247" w:name="_Toc17691"/>
      <w:r>
        <w:rPr>
          <w:rFonts w:hint="eastAsia" w:ascii="宋体" w:hAnsi="宋体"/>
          <w:color w:val="auto"/>
          <w:szCs w:val="21"/>
          <w:highlight w:val="none"/>
        </w:rPr>
        <w:br w:type="page"/>
      </w:r>
    </w:p>
    <w:bookmarkEnd w:id="247"/>
    <w:p>
      <w:pPr>
        <w:pStyle w:val="6"/>
        <w:widowControl w:val="0"/>
        <w:overflowPunct w:val="0"/>
        <w:spacing w:line="240" w:lineRule="auto"/>
        <w:rPr>
          <w:rFonts w:ascii="宋体" w:hAnsi="宋体"/>
          <w:color w:val="auto"/>
          <w:sz w:val="21"/>
          <w:szCs w:val="21"/>
          <w:highlight w:val="none"/>
        </w:rPr>
      </w:pPr>
      <w:bookmarkStart w:id="248" w:name="_Toc25227"/>
      <w:bookmarkStart w:id="249" w:name="_Toc21591"/>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.项目实施方案格式</w:t>
      </w:r>
      <w:bookmarkEnd w:id="248"/>
      <w:bookmarkEnd w:id="249"/>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可</w:t>
      </w:r>
      <w:r>
        <w:rPr>
          <w:rFonts w:ascii="宋体" w:hAnsi="宋体"/>
          <w:color w:val="auto"/>
          <w:szCs w:val="21"/>
          <w:highlight w:val="none"/>
        </w:rPr>
        <w:t>包括但不限于如下内容：</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对本项目的理解</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整体服务方案</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 xml:space="preserve">项目质量措施保证  </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进度计划</w:t>
      </w:r>
    </w:p>
    <w:p>
      <w:pPr>
        <w:ind w:left="718" w:leftChars="200" w:hanging="298" w:hangingChars="142"/>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后续服务方案</w:t>
      </w:r>
    </w:p>
    <w:p>
      <w:pPr>
        <w:ind w:left="718" w:leftChars="200" w:hanging="298" w:hangingChars="142"/>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p>
    <w:p>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请</w:t>
      </w:r>
      <w:r>
        <w:rPr>
          <w:rFonts w:ascii="宋体" w:hAnsi="宋体"/>
          <w:color w:val="auto"/>
          <w:szCs w:val="21"/>
          <w:highlight w:val="none"/>
        </w:rPr>
        <w:t>供应商根据磋商文件要求</w:t>
      </w:r>
      <w:r>
        <w:rPr>
          <w:rFonts w:hint="eastAsia" w:ascii="宋体" w:hAnsi="宋体"/>
          <w:color w:val="auto"/>
          <w:szCs w:val="21"/>
          <w:highlight w:val="none"/>
        </w:rPr>
        <w:t>自行编写。</w:t>
      </w: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50" w:name="_Toc13766"/>
      <w:bookmarkStart w:id="251" w:name="_Toc2743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.实施本项目的有关人员资料表格式</w:t>
      </w:r>
      <w:bookmarkEnd w:id="250"/>
      <w:bookmarkEnd w:id="251"/>
    </w:p>
    <w:p>
      <w:pPr>
        <w:jc w:val="center"/>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3"/>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bl>
    <w:p>
      <w:pPr>
        <w:ind w:firstLine="178" w:firstLineChars="85"/>
        <w:rPr>
          <w:rFonts w:ascii="宋体" w:hAnsi="宋体"/>
          <w:color w:val="auto"/>
          <w:szCs w:val="21"/>
          <w:highlight w:val="none"/>
        </w:rPr>
      </w:pPr>
    </w:p>
    <w:p>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ind w:firstLine="178" w:firstLineChars="85"/>
        <w:rPr>
          <w:rFonts w:ascii="宋体" w:hAnsi="宋体"/>
          <w:color w:val="auto"/>
          <w:szCs w:val="21"/>
          <w:highlight w:val="none"/>
        </w:rPr>
      </w:pPr>
      <w:r>
        <w:rPr>
          <w:rFonts w:hint="eastAsia" w:ascii="宋体" w:hAnsi="宋体"/>
          <w:color w:val="auto"/>
          <w:szCs w:val="21"/>
          <w:highlight w:val="none"/>
        </w:rPr>
        <w:t>供应商代表签字：</w:t>
      </w:r>
    </w:p>
    <w:p>
      <w:pPr>
        <w:ind w:firstLine="178" w:firstLineChars="85"/>
        <w:rPr>
          <w:rFonts w:ascii="宋体" w:hAnsi="宋体"/>
          <w:color w:val="auto"/>
          <w:szCs w:val="21"/>
          <w:highlight w:val="none"/>
        </w:rPr>
      </w:pPr>
      <w:r>
        <w:rPr>
          <w:rFonts w:hint="eastAsia" w:ascii="宋体" w:hAnsi="宋体"/>
          <w:color w:val="auto"/>
          <w:szCs w:val="21"/>
          <w:highlight w:val="none"/>
        </w:rPr>
        <w:t>供应商盖章：</w:t>
      </w:r>
    </w:p>
    <w:p>
      <w:pPr>
        <w:rPr>
          <w:rFonts w:ascii="宋体" w:hAnsi="宋体"/>
          <w:color w:val="auto"/>
          <w:szCs w:val="21"/>
          <w:highlight w:val="none"/>
        </w:rPr>
      </w:pPr>
      <w:r>
        <w:rPr>
          <w:rFonts w:hint="eastAsia" w:ascii="宋体" w:hAnsi="宋体"/>
          <w:color w:val="auto"/>
          <w:szCs w:val="21"/>
          <w:highlight w:val="none"/>
        </w:rPr>
        <w:t>注：</w:t>
      </w:r>
    </w:p>
    <w:p>
      <w:pPr>
        <w:pStyle w:val="60"/>
        <w:numPr>
          <w:ilvl w:val="0"/>
          <w:numId w:val="10"/>
        </w:numPr>
        <w:ind w:firstLineChars="0"/>
        <w:rPr>
          <w:rFonts w:ascii="宋体" w:hAnsi="宋体"/>
          <w:color w:val="auto"/>
          <w:szCs w:val="21"/>
          <w:highlight w:val="none"/>
        </w:rPr>
      </w:pPr>
      <w:r>
        <w:rPr>
          <w:rFonts w:hint="eastAsia" w:ascii="宋体" w:hAnsi="宋体"/>
          <w:color w:val="auto"/>
          <w:szCs w:val="21"/>
          <w:highlight w:val="none"/>
        </w:rPr>
        <w:t>供应商可按项目的实际需要提供本表格。</w:t>
      </w:r>
    </w:p>
    <w:p>
      <w:pPr>
        <w:pStyle w:val="60"/>
        <w:numPr>
          <w:ilvl w:val="0"/>
          <w:numId w:val="10"/>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该表格为参考格式，供应商可按实际情况自行制订。</w:t>
      </w:r>
    </w:p>
    <w:p>
      <w:pPr>
        <w:rPr>
          <w:rFonts w:ascii="宋体" w:hAnsi="宋体" w:cs="Times New Roman"/>
          <w:color w:val="auto"/>
          <w:szCs w:val="21"/>
          <w:highlight w:val="none"/>
        </w:rPr>
      </w:pPr>
      <w:r>
        <w:rPr>
          <w:rFonts w:hint="eastAsia" w:ascii="宋体" w:hAnsi="宋体"/>
          <w:color w:val="auto"/>
          <w:szCs w:val="21"/>
          <w:highlight w:val="none"/>
        </w:rPr>
        <w:t>3、供应商若未提供或未填写完整则视为完全响应磋商文件的人员要求，因此对供应商响应产生负面影响的，供应商自行承担后果。</w:t>
      </w:r>
    </w:p>
    <w:p>
      <w:pPr>
        <w:pStyle w:val="60"/>
        <w:numPr>
          <w:ilvl w:val="0"/>
          <w:numId w:val="0"/>
        </w:numPr>
        <w:ind w:leftChars="0"/>
        <w:rPr>
          <w:rFonts w:ascii="宋体" w:hAnsi="宋体" w:cs="Times New Roman"/>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color w:val="auto"/>
          <w:highlight w:val="none"/>
        </w:rPr>
      </w:pPr>
      <w:bookmarkStart w:id="252" w:name="_Toc25771"/>
      <w:bookmarkStart w:id="253" w:name="_Toc1334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.磋商保证金汇入情况说明格式</w:t>
      </w:r>
      <w:bookmarkEnd w:id="252"/>
      <w:bookmarkEnd w:id="25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磋商保证金汇入情况说明</w:t>
      </w:r>
    </w:p>
    <w:p>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项目（采购项目编号：）的磋商文件要求，于年月日前以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本单位磋商保证金的汇款情况：（详见附件－磋商保证金进帐单）</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（必须是响应时使用的帐户名）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（必须是响应时使用的帐号）        </w:t>
      </w:r>
    </w:p>
    <w:p>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磋商保证金退回时，请按上述资料退回。</w:t>
      </w:r>
    </w:p>
    <w:p>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pacing w:line="480" w:lineRule="auto"/>
        <w:rPr>
          <w:rFonts w:ascii="宋体" w:hAnsi="宋体"/>
          <w:color w:val="auto"/>
          <w:szCs w:val="21"/>
          <w:highlight w:val="none"/>
        </w:rPr>
      </w:pPr>
      <w:r>
        <w:rPr>
          <w:rFonts w:hint="eastAsia" w:ascii="宋体" w:hAnsi="宋体"/>
          <w:color w:val="auto"/>
          <w:szCs w:val="21"/>
          <w:highlight w:val="none"/>
        </w:rPr>
        <w:t>单位名称：</w:t>
      </w:r>
    </w:p>
    <w:p>
      <w:pPr>
        <w:spacing w:line="480" w:lineRule="auto"/>
        <w:rPr>
          <w:rFonts w:ascii="宋体" w:hAnsi="宋体"/>
          <w:color w:val="auto"/>
          <w:szCs w:val="21"/>
          <w:highlight w:val="none"/>
        </w:rPr>
      </w:pPr>
      <w:r>
        <w:rPr>
          <w:rFonts w:hint="eastAsia" w:ascii="宋体" w:hAnsi="宋体"/>
          <w:color w:val="auto"/>
          <w:szCs w:val="21"/>
          <w:highlight w:val="none"/>
        </w:rPr>
        <w:t>单位地址：</w:t>
      </w:r>
    </w:p>
    <w:p>
      <w:pPr>
        <w:spacing w:line="480" w:lineRule="auto"/>
        <w:rPr>
          <w:rFonts w:ascii="宋体" w:hAnsi="宋体"/>
          <w:color w:val="auto"/>
          <w:szCs w:val="21"/>
          <w:highlight w:val="none"/>
        </w:rPr>
      </w:pPr>
      <w:r>
        <w:rPr>
          <w:rFonts w:hint="eastAsia" w:ascii="宋体" w:hAnsi="宋体"/>
          <w:color w:val="auto"/>
          <w:szCs w:val="21"/>
          <w:highlight w:val="none"/>
        </w:rPr>
        <w:t>联系人：</w:t>
      </w:r>
    </w:p>
    <w:p>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pPr>
        <w:rPr>
          <w:rFonts w:ascii="宋体" w:hAnsi="宋体"/>
          <w:color w:val="auto"/>
          <w:szCs w:val="21"/>
          <w:highlight w:val="none"/>
        </w:rPr>
      </w:pP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附：我方磋商保证金汇款凭证</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522" w:type="dxa"/>
            <w:noWrap w:val="0"/>
            <w:vAlign w:val="center"/>
          </w:tcPr>
          <w:p>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复印件，并在骑缝上加盖供应商公章，或是直接把转账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注：此表既要装订在响应文件中，又要按供应商须知的规定与开标一览表、磋商保证金汇款底单复印件及授权委托书一同密封装入唱标信封，唱标信封单独提交。</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6"/>
        <w:numPr>
          <w:ilvl w:val="0"/>
          <w:numId w:val="0"/>
        </w:numPr>
        <w:tabs>
          <w:tab w:val="left" w:pos="720"/>
          <w:tab w:val="left" w:pos="3840"/>
        </w:tabs>
        <w:ind w:left="283"/>
        <w:jc w:val="both"/>
        <w:rPr>
          <w:rFonts w:ascii="宋体" w:hAnsi="宋体"/>
          <w:color w:val="auto"/>
          <w:sz w:val="21"/>
          <w:szCs w:val="21"/>
          <w:highlight w:val="none"/>
        </w:rPr>
      </w:pPr>
      <w:bookmarkStart w:id="254" w:name="_Toc25861"/>
      <w:bookmarkStart w:id="255" w:name="_Toc28623"/>
      <w:bookmarkStart w:id="256" w:name="_Toc10592"/>
      <w:bookmarkStart w:id="257" w:name="_Toc17028"/>
      <w:bookmarkStart w:id="258" w:name="_Toc4866"/>
      <w:bookmarkStart w:id="259" w:name="_Toc2144"/>
      <w:bookmarkStart w:id="260" w:name="_Toc1562"/>
      <w:bookmarkStart w:id="261" w:name="_Toc19947"/>
      <w:bookmarkStart w:id="262" w:name="_Toc18296"/>
      <w:bookmarkStart w:id="263" w:name="_Toc14605"/>
      <w:bookmarkStart w:id="264" w:name="_Toc29855"/>
      <w:bookmarkStart w:id="265" w:name="_Toc170"/>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.不可撤销履约保函</w:t>
      </w:r>
      <w:bookmarkEnd w:id="254"/>
      <w:bookmarkEnd w:id="255"/>
      <w:bookmarkEnd w:id="256"/>
      <w:bookmarkEnd w:id="257"/>
      <w:bookmarkEnd w:id="258"/>
      <w:bookmarkEnd w:id="259"/>
      <w:bookmarkEnd w:id="260"/>
      <w:bookmarkEnd w:id="261"/>
      <w:bookmarkEnd w:id="262"/>
      <w:bookmarkEnd w:id="263"/>
      <w:bookmarkEnd w:id="264"/>
      <w:bookmarkEnd w:id="265"/>
    </w:p>
    <w:p>
      <w:pPr>
        <w:spacing w:line="440" w:lineRule="exact"/>
        <w:ind w:firstLine="3080" w:firstLineChars="1100"/>
        <w:jc w:val="both"/>
        <w:textAlignment w:val="baseline"/>
        <w:outlineLvl w:val="9"/>
        <w:rPr>
          <w:rFonts w:hint="eastAsia" w:eastAsia="黑体"/>
          <w:color w:val="auto"/>
          <w:sz w:val="28"/>
          <w:szCs w:val="28"/>
          <w:highlight w:val="none"/>
        </w:rPr>
      </w:pPr>
      <w:bookmarkStart w:id="266" w:name="_Toc32416"/>
      <w:bookmarkStart w:id="267" w:name="_Toc13567"/>
      <w:bookmarkStart w:id="268" w:name="_Toc5218"/>
      <w:bookmarkStart w:id="269" w:name="_Toc15851"/>
      <w:bookmarkStart w:id="270" w:name="_Toc29181"/>
      <w:bookmarkStart w:id="271" w:name="_Toc6701"/>
      <w:r>
        <w:rPr>
          <w:rFonts w:hint="eastAsia" w:eastAsia="黑体"/>
          <w:color w:val="auto"/>
          <w:sz w:val="28"/>
          <w:szCs w:val="28"/>
          <w:highlight w:val="none"/>
        </w:rPr>
        <w:t>不可撤销</w:t>
      </w:r>
      <w:r>
        <w:rPr>
          <w:rFonts w:eastAsia="黑体"/>
          <w:color w:val="auto"/>
          <w:sz w:val="28"/>
          <w:szCs w:val="28"/>
          <w:highlight w:val="none"/>
        </w:rPr>
        <w:t>履约保</w:t>
      </w:r>
      <w:r>
        <w:rPr>
          <w:rFonts w:hint="eastAsia" w:eastAsia="黑体"/>
          <w:color w:val="auto"/>
          <w:sz w:val="28"/>
          <w:szCs w:val="28"/>
          <w:highlight w:val="none"/>
        </w:rPr>
        <w:t>函</w:t>
      </w:r>
      <w:bookmarkEnd w:id="266"/>
      <w:bookmarkEnd w:id="267"/>
      <w:bookmarkEnd w:id="268"/>
      <w:bookmarkEnd w:id="269"/>
      <w:bookmarkEnd w:id="270"/>
      <w:r>
        <w:rPr>
          <w:rFonts w:hint="eastAsia" w:eastAsia="黑体"/>
          <w:color w:val="auto"/>
          <w:sz w:val="28"/>
          <w:szCs w:val="28"/>
          <w:highlight w:val="none"/>
        </w:rPr>
        <w:t>（如有）</w:t>
      </w:r>
      <w:bookmarkEnd w:id="271"/>
    </w:p>
    <w:p>
      <w:pPr>
        <w:spacing w:line="360" w:lineRule="auto"/>
        <w:ind w:firstLine="6300"/>
        <w:textAlignment w:val="baseline"/>
        <w:rPr>
          <w:rFonts w:ascii="宋体" w:hAnsi="宋体"/>
          <w:color w:val="auto"/>
          <w:sz w:val="20"/>
          <w:highlight w:val="none"/>
          <w:u w:val="single"/>
        </w:rPr>
      </w:pPr>
      <w:r>
        <w:rPr>
          <w:rFonts w:hint="eastAsia" w:ascii="宋体" w:hAnsi="宋体"/>
          <w:color w:val="auto"/>
          <w:highlight w:val="none"/>
        </w:rPr>
        <w:t>保函编号：</w:t>
      </w:r>
      <w:r>
        <w:rPr>
          <w:rFonts w:hint="eastAsia" w:ascii="宋体" w:hAnsi="宋体"/>
          <w:color w:val="auto"/>
          <w:highlight w:val="none"/>
          <w:u w:val="single" w:color="000000"/>
        </w:rPr>
        <w:t xml:space="preserve">             </w:t>
      </w:r>
    </w:p>
    <w:p>
      <w:pPr>
        <w:spacing w:before="100" w:beforeAutospacing="1" w:after="100" w:afterAutospacing="1" w:line="360" w:lineRule="auto"/>
        <w:textAlignment w:val="baseline"/>
        <w:rPr>
          <w:rFonts w:ascii="宋体" w:hAnsi="宋体"/>
          <w:color w:val="auto"/>
          <w:sz w:val="20"/>
          <w:highlight w:val="none"/>
        </w:rPr>
      </w:pPr>
      <w:r>
        <w:rPr>
          <w:rFonts w:hint="eastAsia" w:ascii="宋体" w:hAnsi="宋体"/>
          <w:color w:val="auto"/>
          <w:highlight w:val="none"/>
        </w:rPr>
        <w:t>致：</w:t>
      </w:r>
      <w:r>
        <w:rPr>
          <w:rFonts w:hint="eastAsia" w:ascii="宋体" w:hAnsi="宋体"/>
          <w:color w:val="auto"/>
          <w:highlight w:val="none"/>
          <w:u w:val="single" w:color="000000"/>
        </w:rPr>
        <w:t xml:space="preserve"> （发包人的名称）  </w:t>
      </w:r>
      <w:r>
        <w:rPr>
          <w:rFonts w:hint="eastAsia" w:ascii="宋体" w:hAnsi="宋体"/>
          <w:color w:val="auto"/>
          <w:highlight w:val="none"/>
        </w:rPr>
        <w:t>（下称“发包人”）</w:t>
      </w:r>
    </w:p>
    <w:p>
      <w:pPr>
        <w:spacing w:before="100" w:beforeAutospacing="1" w:after="100" w:afterAutospacing="1" w:line="360" w:lineRule="auto"/>
        <w:ind w:firstLine="437"/>
        <w:textAlignment w:val="baseline"/>
        <w:rPr>
          <w:rFonts w:hint="eastAsia" w:ascii="宋体" w:hAnsi="宋体"/>
          <w:color w:val="auto"/>
          <w:sz w:val="20"/>
          <w:highlight w:val="none"/>
        </w:rPr>
      </w:pPr>
      <w:r>
        <w:rPr>
          <w:rFonts w:hint="eastAsia" w:ascii="宋体" w:hAnsi="宋体"/>
          <w:color w:val="auto"/>
          <w:highlight w:val="none"/>
        </w:rPr>
        <w:t>鉴于</w:t>
      </w:r>
      <w:r>
        <w:rPr>
          <w:rFonts w:hint="eastAsia" w:ascii="宋体" w:hAnsi="宋体"/>
          <w:color w:val="auto"/>
          <w:highlight w:val="none"/>
          <w:u w:val="single" w:color="000000"/>
        </w:rPr>
        <w:t xml:space="preserve">  （承包人的名称与地址）  </w:t>
      </w:r>
      <w:r>
        <w:rPr>
          <w:rFonts w:hint="eastAsia" w:ascii="宋体" w:hAnsi="宋体"/>
          <w:color w:val="auto"/>
          <w:highlight w:val="none"/>
        </w:rPr>
        <w:t>（下称“承包人”），已保证按</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eastAsia="zh-CN"/>
        </w:rPr>
        <w:t>采购</w:t>
      </w:r>
      <w:r>
        <w:rPr>
          <w:rFonts w:hint="eastAsia" w:ascii="宋体" w:hAnsi="宋体"/>
          <w:color w:val="auto"/>
          <w:highlight w:val="none"/>
          <w:u w:val="single" w:color="000000"/>
        </w:rPr>
        <w:t xml:space="preserve">项目名称）  </w:t>
      </w:r>
      <w:r>
        <w:rPr>
          <w:rFonts w:hint="eastAsia" w:ascii="宋体" w:hAnsi="宋体"/>
          <w:color w:val="auto"/>
          <w:highlight w:val="none"/>
          <w:lang w:eastAsia="zh-CN"/>
        </w:rPr>
        <w:t>采购</w:t>
      </w:r>
      <w:r>
        <w:rPr>
          <w:rFonts w:hint="eastAsia" w:ascii="宋体" w:hAnsi="宋体"/>
          <w:color w:val="auto"/>
          <w:highlight w:val="none"/>
        </w:rPr>
        <w:t>文件</w:t>
      </w:r>
      <w:r>
        <w:rPr>
          <w:rFonts w:hint="eastAsia" w:ascii="宋体" w:hAnsi="宋体"/>
          <w:color w:val="auto"/>
          <w:highlight w:val="none"/>
          <w:u w:val="single" w:color="000000"/>
        </w:rPr>
        <w:t>（</w:t>
      </w:r>
      <w:r>
        <w:rPr>
          <w:rFonts w:hint="eastAsia" w:ascii="宋体" w:hAnsi="宋体"/>
          <w:color w:val="auto"/>
          <w:highlight w:val="none"/>
          <w:u w:val="single" w:color="000000"/>
          <w:lang w:eastAsia="zh-CN"/>
        </w:rPr>
        <w:t>采购</w:t>
      </w:r>
      <w:r>
        <w:rPr>
          <w:rFonts w:hint="eastAsia" w:ascii="宋体" w:hAnsi="宋体"/>
          <w:color w:val="auto"/>
          <w:highlight w:val="none"/>
          <w:u w:val="single" w:color="000000"/>
        </w:rPr>
        <w:t xml:space="preserve">编号：   ） </w:t>
      </w:r>
      <w:r>
        <w:rPr>
          <w:rFonts w:hint="eastAsia" w:ascii="宋体" w:hAnsi="宋体"/>
          <w:color w:val="auto"/>
          <w:highlight w:val="none"/>
        </w:rPr>
        <w:t>及</w:t>
      </w:r>
      <w:r>
        <w:rPr>
          <w:rFonts w:hint="eastAsia" w:ascii="宋体" w:hAnsi="宋体"/>
          <w:color w:val="auto"/>
          <w:highlight w:val="none"/>
          <w:u w:val="single" w:color="000000"/>
        </w:rPr>
        <w:t xml:space="preserve">（合同名称） </w:t>
      </w:r>
      <w:r>
        <w:rPr>
          <w:rFonts w:hint="eastAsia" w:hAnsi="宋体"/>
          <w:color w:val="auto"/>
          <w:highlight w:val="none"/>
          <w:u w:val="single" w:color="000000"/>
          <w:lang w:val="en-US" w:eastAsia="zh-CN"/>
        </w:rPr>
        <w:t xml:space="preserve"> </w:t>
      </w:r>
      <w:r>
        <w:rPr>
          <w:rFonts w:hint="eastAsia" w:ascii="宋体" w:hAnsi="宋体"/>
          <w:color w:val="auto"/>
          <w:highlight w:val="none"/>
        </w:rPr>
        <w:t>合同</w:t>
      </w:r>
      <w:r>
        <w:rPr>
          <w:rFonts w:hint="eastAsia" w:ascii="宋体" w:hAnsi="宋体"/>
          <w:color w:val="auto"/>
          <w:highlight w:val="none"/>
          <w:u w:val="single" w:color="000000"/>
        </w:rPr>
        <w:t>（合同编号：   ）</w:t>
      </w:r>
      <w:r>
        <w:rPr>
          <w:rFonts w:hint="eastAsia" w:ascii="宋体" w:hAnsi="宋体"/>
          <w:color w:val="auto"/>
          <w:highlight w:val="none"/>
        </w:rPr>
        <w:t>中规定的义务履行合同。</w:t>
      </w:r>
    </w:p>
    <w:p>
      <w:pPr>
        <w:spacing w:before="100" w:beforeAutospacing="1" w:after="100" w:afterAutospacing="1" w:line="360" w:lineRule="auto"/>
        <w:ind w:firstLine="437"/>
        <w:textAlignment w:val="baseline"/>
        <w:rPr>
          <w:rFonts w:hint="eastAsia" w:ascii="宋体" w:hAnsi="宋体"/>
          <w:color w:val="auto"/>
          <w:sz w:val="20"/>
          <w:highlight w:val="none"/>
        </w:rPr>
      </w:pPr>
      <w:r>
        <w:rPr>
          <w:rFonts w:hint="eastAsia" w:ascii="宋体" w:hAnsi="宋体"/>
          <w:color w:val="auto"/>
          <w:highlight w:val="none"/>
        </w:rPr>
        <w:t>根据上述</w:t>
      </w:r>
      <w:r>
        <w:rPr>
          <w:rFonts w:hint="eastAsia" w:ascii="宋体" w:hAnsi="宋体"/>
          <w:color w:val="auto"/>
          <w:highlight w:val="none"/>
          <w:lang w:eastAsia="zh-CN"/>
        </w:rPr>
        <w:t>采购</w:t>
      </w:r>
      <w:r>
        <w:rPr>
          <w:rFonts w:hint="eastAsia" w:ascii="宋体" w:hAnsi="宋体"/>
          <w:color w:val="auto"/>
          <w:highlight w:val="none"/>
        </w:rPr>
        <w:t>文件及合同规定，承包人应向发包人提供一份金额为人民币（大写）</w:t>
      </w:r>
      <w:r>
        <w:rPr>
          <w:rFonts w:hint="eastAsia" w:ascii="宋体" w:hAnsi="宋体"/>
          <w:color w:val="auto"/>
          <w:highlight w:val="none"/>
          <w:u w:val="single" w:color="000000"/>
        </w:rPr>
        <w:t xml:space="preserve">   （</w:t>
      </w:r>
      <w:r>
        <w:rPr>
          <w:rFonts w:hint="eastAsia" w:ascii="宋体" w:hAnsi="宋体"/>
          <w:color w:val="auto"/>
          <w:szCs w:val="21"/>
          <w:highlight w:val="none"/>
          <w:u w:val="single" w:color="000000"/>
        </w:rPr>
        <w:t>￥     元</w:t>
      </w:r>
      <w:r>
        <w:rPr>
          <w:rFonts w:hint="eastAsia" w:ascii="宋体" w:hAnsi="宋体"/>
          <w:color w:val="auto"/>
          <w:highlight w:val="none"/>
          <w:u w:val="single" w:color="000000"/>
        </w:rPr>
        <w:t>）</w:t>
      </w:r>
      <w:r>
        <w:rPr>
          <w:rFonts w:hint="eastAsia" w:ascii="宋体" w:hAnsi="宋体"/>
          <w:color w:val="auto"/>
          <w:highlight w:val="none"/>
        </w:rPr>
        <w:t xml:space="preserve">的不可撤销银行履约保函，作为承包人履行上述合同的担保。 </w:t>
      </w:r>
    </w:p>
    <w:p>
      <w:pPr>
        <w:spacing w:before="100" w:beforeAutospacing="1" w:after="100" w:afterAutospacing="1" w:line="360" w:lineRule="auto"/>
        <w:ind w:firstLine="437"/>
        <w:textAlignment w:val="baseline"/>
        <w:rPr>
          <w:rFonts w:ascii="宋体" w:hAnsi="宋体"/>
          <w:color w:val="auto"/>
          <w:sz w:val="20"/>
          <w:highlight w:val="none"/>
        </w:rPr>
      </w:pPr>
      <w:r>
        <w:rPr>
          <w:rFonts w:hint="eastAsia" w:ascii="宋体" w:hAnsi="宋体"/>
          <w:color w:val="auto"/>
          <w:highlight w:val="none"/>
        </w:rPr>
        <w:t>我方</w:t>
      </w:r>
      <w:r>
        <w:rPr>
          <w:rFonts w:hint="eastAsia" w:ascii="宋体" w:hAnsi="宋体"/>
          <w:color w:val="auto"/>
          <w:highlight w:val="none"/>
          <w:u w:val="single" w:color="000000"/>
        </w:rPr>
        <w:t xml:space="preserve">  （银行名称）  </w:t>
      </w:r>
      <w:r>
        <w:rPr>
          <w:rFonts w:hint="eastAsia" w:ascii="宋体" w:hAnsi="宋体"/>
          <w:color w:val="auto"/>
          <w:highlight w:val="none"/>
        </w:rPr>
        <w:t>，受承包人的委托，作为连带责任保证人，无条件和不可撤销地同意在发包人提出因承包人没有履行上述</w:t>
      </w:r>
      <w:r>
        <w:rPr>
          <w:rFonts w:hint="eastAsia" w:ascii="宋体" w:hAnsi="宋体"/>
          <w:color w:val="auto"/>
          <w:highlight w:val="none"/>
          <w:lang w:eastAsia="zh-CN"/>
        </w:rPr>
        <w:t>采购</w:t>
      </w:r>
      <w:r>
        <w:rPr>
          <w:rFonts w:hint="eastAsia" w:ascii="宋体" w:hAnsi="宋体"/>
          <w:color w:val="auto"/>
          <w:highlight w:val="none"/>
        </w:rPr>
        <w:t>文件及合同规定，而要求扣划保证金的书面要求后，我方将在</w:t>
      </w:r>
      <w:r>
        <w:rPr>
          <w:rFonts w:hint="eastAsia" w:ascii="宋体" w:hAnsi="宋体"/>
          <w:color w:val="auto"/>
          <w:highlight w:val="none"/>
          <w:u w:val="single" w:color="000000"/>
        </w:rPr>
        <w:t xml:space="preserve">    </w:t>
      </w:r>
      <w:r>
        <w:rPr>
          <w:rFonts w:hint="eastAsia" w:ascii="宋体" w:hAnsi="宋体"/>
          <w:color w:val="auto"/>
          <w:highlight w:val="none"/>
        </w:rPr>
        <w:t>个工作日内为发包人扣划金额不超过人民币（大写）</w:t>
      </w:r>
      <w:r>
        <w:rPr>
          <w:rFonts w:hint="eastAsia" w:ascii="宋体" w:hAnsi="宋体"/>
          <w:color w:val="auto"/>
          <w:highlight w:val="none"/>
          <w:u w:val="single" w:color="000000"/>
        </w:rPr>
        <w:t xml:space="preserve">     </w:t>
      </w:r>
      <w:r>
        <w:rPr>
          <w:rFonts w:hint="eastAsia" w:ascii="宋体" w:hAnsi="宋体"/>
          <w:color w:val="auto"/>
          <w:szCs w:val="21"/>
          <w:highlight w:val="none"/>
          <w:u w:val="single" w:color="000000"/>
        </w:rPr>
        <w:t>（￥    元）</w:t>
      </w:r>
      <w:r>
        <w:rPr>
          <w:rFonts w:hint="eastAsia" w:ascii="宋体" w:hAnsi="宋体"/>
          <w:color w:val="auto"/>
          <w:highlight w:val="none"/>
        </w:rPr>
        <w:t>的保证金。</w:t>
      </w:r>
    </w:p>
    <w:p>
      <w:pPr>
        <w:spacing w:before="100" w:beforeAutospacing="1" w:after="100" w:afterAutospacing="1" w:line="360" w:lineRule="auto"/>
        <w:ind w:firstLine="437"/>
        <w:textAlignment w:val="baseline"/>
        <w:rPr>
          <w:rFonts w:ascii="宋体" w:hAnsi="宋体"/>
          <w:color w:val="auto"/>
          <w:sz w:val="20"/>
          <w:highlight w:val="none"/>
        </w:rPr>
      </w:pPr>
      <w:r>
        <w:rPr>
          <w:rFonts w:hint="eastAsia" w:ascii="宋体" w:hAnsi="宋体"/>
          <w:color w:val="auto"/>
          <w:highlight w:val="none"/>
        </w:rPr>
        <w:t>我方还同意，任何发包人与承包人之间可能对合同条款的修改、规范或其他合同文件的变动补充，都不能免除我方按本保函所承担的责任。因此，有关上述变动、补充和修改无须通知我方。</w:t>
      </w:r>
    </w:p>
    <w:p>
      <w:pPr>
        <w:spacing w:line="360" w:lineRule="auto"/>
        <w:ind w:firstLine="480"/>
        <w:textAlignment w:val="baseline"/>
        <w:rPr>
          <w:rFonts w:ascii="宋体" w:hAnsi="宋体"/>
          <w:color w:val="auto"/>
          <w:sz w:val="20"/>
          <w:highlight w:val="none"/>
        </w:rPr>
      </w:pPr>
      <w:r>
        <w:rPr>
          <w:rFonts w:hint="eastAsia" w:ascii="宋体" w:hAnsi="宋体"/>
          <w:color w:val="auto"/>
          <w:highlight w:val="none"/>
        </w:rPr>
        <w:t>本保函从上述合同签订之日起至工程竣工验收合格并结算经双方签字确定后30日内保持有效。</w:t>
      </w:r>
    </w:p>
    <w:p>
      <w:pPr>
        <w:ind w:firstLine="482"/>
        <w:textAlignment w:val="baseline"/>
        <w:rPr>
          <w:rFonts w:ascii="宋体" w:hAnsi="宋体"/>
          <w:color w:val="auto"/>
          <w:sz w:val="20"/>
          <w:szCs w:val="21"/>
          <w:highlight w:val="none"/>
        </w:rPr>
      </w:pPr>
      <w:r>
        <w:rPr>
          <w:rFonts w:hint="eastAsia" w:ascii="宋体" w:hAnsi="宋体"/>
          <w:color w:val="auto"/>
          <w:szCs w:val="21"/>
          <w:highlight w:val="none"/>
        </w:rPr>
        <w:t xml:space="preserve">                                 </w:t>
      </w:r>
    </w:p>
    <w:p>
      <w:pPr>
        <w:spacing w:line="360" w:lineRule="auto"/>
        <w:ind w:firstLine="3600"/>
        <w:textAlignment w:val="baseline"/>
        <w:rPr>
          <w:rFonts w:ascii="宋体" w:hAnsi="宋体"/>
          <w:color w:val="auto"/>
          <w:sz w:val="20"/>
          <w:highlight w:val="none"/>
        </w:rPr>
      </w:pPr>
      <w:r>
        <w:rPr>
          <w:rFonts w:hint="eastAsia" w:ascii="宋体" w:hAnsi="宋体"/>
          <w:color w:val="auto"/>
          <w:highlight w:val="none"/>
        </w:rPr>
        <w:t>保证人：（公章）</w:t>
      </w:r>
      <w:r>
        <w:rPr>
          <w:rFonts w:hint="eastAsia" w:ascii="宋体" w:hAnsi="宋体"/>
          <w:color w:val="auto"/>
          <w:highlight w:val="none"/>
          <w:u w:val="single" w:color="000000"/>
        </w:rPr>
        <w:t xml:space="preserve">                              </w:t>
      </w:r>
    </w:p>
    <w:p>
      <w:pPr>
        <w:spacing w:line="360" w:lineRule="auto"/>
        <w:ind w:firstLine="3600"/>
        <w:textAlignment w:val="baseline"/>
        <w:rPr>
          <w:rFonts w:ascii="宋体" w:hAnsi="宋体"/>
          <w:color w:val="auto"/>
          <w:sz w:val="20"/>
          <w:highlight w:val="none"/>
          <w:u w:val="single"/>
        </w:rPr>
      </w:pPr>
      <w:r>
        <w:rPr>
          <w:color w:val="auto"/>
          <w:szCs w:val="21"/>
          <w:highlight w:val="none"/>
        </w:rPr>
        <w:t>法定代表人或其委托代理人：（签字）</w:t>
      </w:r>
      <w:r>
        <w:rPr>
          <w:rFonts w:hint="eastAsia" w:ascii="宋体" w:hAnsi="宋体"/>
          <w:color w:val="auto"/>
          <w:highlight w:val="none"/>
          <w:u w:val="single" w:color="000000"/>
        </w:rPr>
        <w:t xml:space="preserve">            </w:t>
      </w:r>
    </w:p>
    <w:p>
      <w:pPr>
        <w:spacing w:line="360" w:lineRule="auto"/>
        <w:ind w:firstLine="3600"/>
        <w:textAlignment w:val="baseline"/>
        <w:rPr>
          <w:rFonts w:ascii="宋体" w:hAnsi="宋体"/>
          <w:color w:val="auto"/>
          <w:sz w:val="20"/>
          <w:highlight w:val="none"/>
          <w:u w:val="single"/>
        </w:rPr>
      </w:pPr>
      <w:r>
        <w:rPr>
          <w:rFonts w:hint="eastAsia" w:ascii="宋体" w:hAnsi="宋体"/>
          <w:color w:val="auto"/>
          <w:highlight w:val="none"/>
        </w:rPr>
        <w:t>联系电话：</w:t>
      </w:r>
      <w:r>
        <w:rPr>
          <w:rFonts w:hint="eastAsia" w:ascii="宋体" w:hAnsi="宋体"/>
          <w:color w:val="auto"/>
          <w:highlight w:val="none"/>
          <w:u w:val="single" w:color="000000"/>
        </w:rPr>
        <w:t xml:space="preserve">                                    </w:t>
      </w:r>
    </w:p>
    <w:p>
      <w:pPr>
        <w:spacing w:line="360" w:lineRule="auto"/>
        <w:ind w:firstLine="3600"/>
        <w:textAlignment w:val="baseline"/>
        <w:rPr>
          <w:color w:val="auto"/>
          <w:sz w:val="20"/>
          <w:szCs w:val="21"/>
          <w:highlight w:val="none"/>
        </w:rPr>
      </w:pPr>
      <w:r>
        <w:rPr>
          <w:rFonts w:hint="eastAsia"/>
          <w:color w:val="auto"/>
          <w:szCs w:val="21"/>
          <w:highlight w:val="none"/>
        </w:rPr>
        <w:t>地    址：</w:t>
      </w:r>
      <w:r>
        <w:rPr>
          <w:rFonts w:hint="eastAsia"/>
          <w:color w:val="auto"/>
          <w:szCs w:val="21"/>
          <w:highlight w:val="none"/>
          <w:u w:val="single" w:color="000000"/>
        </w:rPr>
        <w:t xml:space="preserve">                                    </w:t>
      </w:r>
    </w:p>
    <w:p>
      <w:pPr>
        <w:spacing w:line="360" w:lineRule="auto"/>
        <w:ind w:firstLine="3600"/>
        <w:textAlignment w:val="baseline"/>
        <w:rPr>
          <w:rFonts w:hint="eastAsia"/>
          <w:color w:val="auto"/>
          <w:szCs w:val="21"/>
          <w:highlight w:val="none"/>
          <w:u w:val="single" w:color="000000"/>
        </w:rPr>
      </w:pPr>
      <w:r>
        <w:rPr>
          <w:rFonts w:hint="eastAsia"/>
          <w:color w:val="auto"/>
          <w:szCs w:val="21"/>
          <w:highlight w:val="none"/>
        </w:rPr>
        <w:t>日    期：</w:t>
      </w:r>
      <w:r>
        <w:rPr>
          <w:rFonts w:hint="eastAsia"/>
          <w:color w:val="auto"/>
          <w:szCs w:val="21"/>
          <w:highlight w:val="none"/>
          <w:u w:val="single" w:color="000000"/>
        </w:rPr>
        <w:t xml:space="preserve">                                 </w:t>
      </w:r>
    </w:p>
    <w:p>
      <w:pPr>
        <w:rPr>
          <w:rFonts w:ascii="宋体" w:hAnsi="宋体"/>
          <w:color w:val="auto"/>
          <w:szCs w:val="21"/>
          <w:highlight w:val="none"/>
        </w:rPr>
      </w:pPr>
    </w:p>
    <w:p>
      <w:pPr>
        <w:rPr>
          <w:rFonts w:ascii="宋体" w:hAnsi="宋体"/>
          <w:color w:val="auto"/>
          <w:szCs w:val="21"/>
          <w:highlight w:val="none"/>
        </w:rPr>
        <w:sectPr>
          <w:pgSz w:w="11906" w:h="16838"/>
          <w:pgMar w:top="1440" w:right="1800" w:bottom="1440" w:left="1800" w:header="708" w:footer="708" w:gutter="0"/>
          <w:cols w:space="720" w:num="1"/>
          <w:titlePg/>
          <w:docGrid w:type="lines" w:linePitch="360" w:charSpace="0"/>
        </w:sectPr>
      </w:pPr>
    </w:p>
    <w:p>
      <w:pPr>
        <w:pStyle w:val="6"/>
        <w:numPr>
          <w:ilvl w:val="0"/>
          <w:numId w:val="0"/>
        </w:numPr>
        <w:tabs>
          <w:tab w:val="left" w:pos="720"/>
          <w:tab w:val="left" w:pos="3840"/>
        </w:tabs>
        <w:ind w:left="283"/>
        <w:jc w:val="both"/>
        <w:rPr>
          <w:rFonts w:ascii="宋体" w:hAnsi="宋体"/>
          <w:color w:val="auto"/>
          <w:sz w:val="21"/>
          <w:szCs w:val="21"/>
          <w:highlight w:val="none"/>
        </w:rPr>
      </w:pPr>
      <w:bookmarkStart w:id="272" w:name="_Toc30004"/>
      <w:bookmarkStart w:id="273" w:name="_Toc1796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.预付款保函（</w:t>
      </w:r>
      <w:r>
        <w:rPr>
          <w:rFonts w:hint="eastAsia" w:ascii="宋体" w:hAnsi="宋体"/>
          <w:color w:val="auto"/>
          <w:sz w:val="21"/>
          <w:szCs w:val="21"/>
          <w:highlight w:val="none"/>
          <w:lang w:eastAsia="zh-CN"/>
        </w:rPr>
        <w:t>本项目不</w:t>
      </w:r>
      <w:r>
        <w:rPr>
          <w:rFonts w:hint="eastAsia" w:ascii="宋体" w:hAnsi="宋体"/>
          <w:color w:val="auto"/>
          <w:sz w:val="21"/>
          <w:szCs w:val="21"/>
          <w:highlight w:val="none"/>
        </w:rPr>
        <w:t>适用）</w:t>
      </w:r>
      <w:bookmarkEnd w:id="272"/>
      <w:bookmarkEnd w:id="273"/>
    </w:p>
    <w:p>
      <w:pPr>
        <w:pStyle w:val="12"/>
        <w:rPr>
          <w:color w:val="auto"/>
          <w:szCs w:val="24"/>
          <w:highlight w:val="none"/>
        </w:rPr>
      </w:pPr>
    </w:p>
    <w:p>
      <w:pPr>
        <w:jc w:val="center"/>
        <w:rPr>
          <w:rFonts w:ascii="黑体" w:eastAsia="黑体"/>
          <w:color w:val="auto"/>
          <w:sz w:val="28"/>
          <w:szCs w:val="28"/>
          <w:highlight w:val="none"/>
        </w:rPr>
      </w:pPr>
      <w:bookmarkStart w:id="274" w:name="_Toc20669"/>
      <w:bookmarkStart w:id="275" w:name="_Toc5034"/>
      <w:bookmarkStart w:id="276" w:name="_Toc6877"/>
      <w:bookmarkStart w:id="277" w:name="_Toc29728"/>
      <w:bookmarkStart w:id="278" w:name="_Toc3295"/>
      <w:bookmarkStart w:id="279" w:name="_Toc7374"/>
      <w:bookmarkStart w:id="280" w:name="_Toc27545"/>
      <w:bookmarkStart w:id="281" w:name="_Toc10315"/>
      <w:bookmarkStart w:id="282" w:name="_Toc29054"/>
      <w:bookmarkStart w:id="283" w:name="_Toc1039"/>
      <w:bookmarkStart w:id="284" w:name="_Toc31418"/>
      <w:bookmarkStart w:id="285" w:name="_Toc25494"/>
      <w:r>
        <w:rPr>
          <w:rFonts w:hint="eastAsia" w:ascii="黑体" w:eastAsia="黑体"/>
          <w:color w:val="auto"/>
          <w:sz w:val="28"/>
          <w:szCs w:val="28"/>
          <w:highlight w:val="none"/>
        </w:rPr>
        <w:t>不可撤销预付款保函</w:t>
      </w:r>
      <w:bookmarkEnd w:id="274"/>
      <w:bookmarkEnd w:id="275"/>
      <w:bookmarkEnd w:id="276"/>
      <w:bookmarkEnd w:id="277"/>
      <w:bookmarkEnd w:id="278"/>
      <w:bookmarkEnd w:id="279"/>
      <w:bookmarkEnd w:id="280"/>
      <w:bookmarkEnd w:id="281"/>
      <w:bookmarkEnd w:id="282"/>
      <w:bookmarkEnd w:id="283"/>
      <w:bookmarkEnd w:id="284"/>
      <w:bookmarkEnd w:id="285"/>
    </w:p>
    <w:p>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ind w:firstLine="6300"/>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rPr>
          <w:rFonts w:ascii="宋体" w:hAnsi="宋体"/>
          <w:color w:val="auto"/>
          <w:szCs w:val="21"/>
          <w:highlight w:val="none"/>
        </w:rPr>
      </w:pPr>
    </w:p>
    <w:p>
      <w:pPr>
        <w:ind w:firstLine="437"/>
        <w:rPr>
          <w:rFonts w:ascii="宋体" w:hAnsi="宋体"/>
          <w:color w:val="auto"/>
          <w:szCs w:val="21"/>
          <w:highlight w:val="none"/>
        </w:rPr>
      </w:pPr>
    </w:p>
    <w:p>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2"/>
        <w:rPr>
          <w:color w:val="auto"/>
          <w:szCs w:val="21"/>
          <w:highlight w:val="none"/>
        </w:rPr>
      </w:pPr>
    </w:p>
    <w:p>
      <w:pPr>
        <w:pStyle w:val="12"/>
        <w:rPr>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说明：供应商在响应文件中盖供应商公章确认保函内容即可，如中标再由银行出具保函。</w:t>
      </w:r>
    </w:p>
    <w:p>
      <w:pPr>
        <w:rPr>
          <w:rFonts w:ascii="宋体" w:hAnsi="宋体"/>
          <w:color w:val="auto"/>
          <w:szCs w:val="21"/>
          <w:highlight w:val="none"/>
        </w:rPr>
        <w:sectPr>
          <w:pgSz w:w="11906" w:h="16838"/>
          <w:pgMar w:top="1440" w:right="1800" w:bottom="1440" w:left="1800" w:header="708" w:footer="708" w:gutter="0"/>
          <w:cols w:space="720" w:num="1"/>
          <w:titlePg/>
          <w:docGrid w:type="lines" w:linePitch="360" w:charSpace="0"/>
        </w:sectPr>
      </w:pPr>
    </w:p>
    <w:p>
      <w:pPr>
        <w:pStyle w:val="2"/>
        <w:rPr>
          <w:color w:val="auto"/>
          <w:highlight w:val="none"/>
        </w:rPr>
      </w:pPr>
      <w:bookmarkStart w:id="286" w:name="_Toc1968"/>
    </w:p>
    <w:p>
      <w:pPr>
        <w:jc w:val="center"/>
        <w:outlineLvl w:val="1"/>
        <w:rPr>
          <w:rFonts w:eastAsia="黑体"/>
          <w:color w:val="auto"/>
          <w:sz w:val="72"/>
          <w:szCs w:val="72"/>
          <w:highlight w:val="none"/>
        </w:rPr>
      </w:pPr>
      <w:bookmarkStart w:id="287" w:name="_Toc13897"/>
      <w:bookmarkStart w:id="288" w:name="_Toc29630"/>
      <w:r>
        <w:rPr>
          <w:rFonts w:hint="eastAsia" w:eastAsia="黑体"/>
          <w:color w:val="auto"/>
          <w:sz w:val="72"/>
          <w:szCs w:val="72"/>
          <w:highlight w:val="none"/>
        </w:rPr>
        <w:t>唱标信封</w:t>
      </w:r>
      <w:bookmarkEnd w:id="287"/>
      <w:bookmarkEnd w:id="288"/>
    </w:p>
    <w:p>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rPr>
          <w:color w:val="auto"/>
          <w:highlight w:val="none"/>
        </w:rPr>
      </w:pPr>
    </w:p>
    <w:p>
      <w:pPr>
        <w:pStyle w:val="2"/>
        <w:rPr>
          <w:color w:val="auto"/>
          <w:highlight w:val="none"/>
        </w:rPr>
      </w:pPr>
    </w:p>
    <w:p>
      <w:pPr>
        <w:ind w:firstLine="240"/>
        <w:rPr>
          <w:color w:val="auto"/>
          <w:highlight w:val="none"/>
        </w:rPr>
      </w:pPr>
    </w:p>
    <w:p>
      <w:pPr>
        <w:ind w:firstLine="240"/>
        <w:rPr>
          <w:color w:val="auto"/>
          <w:highlight w:val="none"/>
        </w:rPr>
      </w:pPr>
    </w:p>
    <w:p>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2"/>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z w:val="32"/>
          <w:szCs w:val="32"/>
          <w:highlight w:val="none"/>
        </w:rPr>
        <w:t>供应商名称：</w:t>
      </w:r>
    </w:p>
    <w:p>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rPr>
          <w:color w:val="auto"/>
          <w:sz w:val="72"/>
          <w:szCs w:val="72"/>
          <w:highlight w:val="none"/>
        </w:rPr>
        <w:sectPr>
          <w:pgSz w:w="11906" w:h="16838"/>
          <w:pgMar w:top="1440" w:right="1800" w:bottom="1440" w:left="1800" w:header="708" w:footer="708" w:gutter="0"/>
          <w:cols w:space="720" w:num="1"/>
          <w:titlePg/>
          <w:docGrid w:type="lines" w:linePitch="360" w:charSpace="0"/>
        </w:sectPr>
      </w:pPr>
    </w:p>
    <w:bookmarkEnd w:id="286"/>
    <w:p>
      <w:pPr>
        <w:pStyle w:val="6"/>
        <w:numPr>
          <w:ilvl w:val="0"/>
          <w:numId w:val="0"/>
        </w:numPr>
        <w:tabs>
          <w:tab w:val="left" w:pos="720"/>
          <w:tab w:val="left" w:pos="3840"/>
        </w:tabs>
        <w:ind w:left="283"/>
        <w:jc w:val="both"/>
        <w:rPr>
          <w:rFonts w:ascii="宋体" w:hAnsi="宋体"/>
          <w:color w:val="auto"/>
          <w:sz w:val="21"/>
          <w:szCs w:val="21"/>
          <w:highlight w:val="none"/>
        </w:rPr>
      </w:pPr>
      <w:bookmarkStart w:id="289" w:name="_Toc20759"/>
      <w:bookmarkStart w:id="290" w:name="_Toc1484"/>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.唱标信封内装（内容务必与响应文件正本一致）</w:t>
      </w:r>
      <w:bookmarkEnd w:id="289"/>
      <w:bookmarkEnd w:id="290"/>
    </w:p>
    <w:p>
      <w:pPr>
        <w:numPr>
          <w:ilvl w:val="0"/>
          <w:numId w:val="11"/>
        </w:numPr>
        <w:ind w:firstLineChars="200"/>
        <w:rPr>
          <w:rFonts w:hAnsi="宋体"/>
          <w:color w:val="auto"/>
          <w:szCs w:val="21"/>
          <w:highlight w:val="none"/>
        </w:rPr>
      </w:pPr>
      <w:r>
        <w:rPr>
          <w:rFonts w:hint="eastAsia" w:hAnsi="宋体"/>
          <w:color w:val="auto"/>
          <w:szCs w:val="21"/>
          <w:highlight w:val="none"/>
        </w:rPr>
        <w:t>开标一览表加盖公章；</w:t>
      </w:r>
    </w:p>
    <w:p>
      <w:pPr>
        <w:numPr>
          <w:ilvl w:val="0"/>
          <w:numId w:val="11"/>
        </w:numPr>
        <w:ind w:firstLineChars="200"/>
        <w:rPr>
          <w:rFonts w:hAnsi="宋体"/>
          <w:color w:val="auto"/>
          <w:szCs w:val="21"/>
          <w:highlight w:val="none"/>
        </w:rPr>
      </w:pPr>
      <w:r>
        <w:rPr>
          <w:rFonts w:hint="eastAsia" w:hAnsi="宋体"/>
          <w:color w:val="auto"/>
          <w:szCs w:val="21"/>
          <w:highlight w:val="none"/>
        </w:rPr>
        <w:t>法定代表人证明书加盖公章；</w:t>
      </w:r>
    </w:p>
    <w:p>
      <w:pPr>
        <w:numPr>
          <w:ilvl w:val="0"/>
          <w:numId w:val="11"/>
        </w:numPr>
        <w:ind w:firstLineChars="200"/>
        <w:rPr>
          <w:rFonts w:hAnsi="宋体"/>
          <w:color w:val="auto"/>
          <w:szCs w:val="21"/>
          <w:highlight w:val="none"/>
        </w:rPr>
      </w:pPr>
      <w:r>
        <w:rPr>
          <w:rFonts w:hint="eastAsia" w:hAnsi="宋体"/>
          <w:color w:val="auto"/>
          <w:szCs w:val="21"/>
          <w:highlight w:val="none"/>
        </w:rPr>
        <w:t>法定代表人授权委托书加盖公章（法定代表人</w:t>
      </w:r>
      <w:r>
        <w:rPr>
          <w:rFonts w:hint="eastAsia" w:hAnsi="宋体"/>
          <w:color w:val="auto"/>
          <w:szCs w:val="21"/>
          <w:highlight w:val="none"/>
          <w:lang w:val="en-US" w:eastAsia="zh-CN"/>
        </w:rPr>
        <w:t>参加</w:t>
      </w:r>
      <w:r>
        <w:rPr>
          <w:rFonts w:hint="eastAsia" w:hAnsi="宋体"/>
          <w:color w:val="auto"/>
          <w:szCs w:val="21"/>
          <w:highlight w:val="none"/>
        </w:rPr>
        <w:t>的除外）；</w:t>
      </w:r>
    </w:p>
    <w:p>
      <w:pPr>
        <w:numPr>
          <w:ilvl w:val="0"/>
          <w:numId w:val="11"/>
        </w:numPr>
        <w:ind w:firstLineChars="200"/>
        <w:rPr>
          <w:rFonts w:hAnsi="宋体"/>
          <w:color w:val="auto"/>
          <w:szCs w:val="21"/>
          <w:highlight w:val="none"/>
        </w:rPr>
      </w:pPr>
      <w:r>
        <w:rPr>
          <w:rFonts w:hint="eastAsia" w:hAnsi="宋体"/>
          <w:color w:val="auto"/>
          <w:szCs w:val="21"/>
          <w:highlight w:val="none"/>
        </w:rPr>
        <w:t>磋商保证金汇入情况说明（含银行汇款凭证）加盖公章；</w:t>
      </w:r>
    </w:p>
    <w:p>
      <w:pPr>
        <w:numPr>
          <w:ilvl w:val="0"/>
          <w:numId w:val="11"/>
        </w:numPr>
        <w:ind w:firstLineChars="200"/>
        <w:rPr>
          <w:rFonts w:hAnsi="宋体"/>
          <w:color w:val="auto"/>
          <w:szCs w:val="21"/>
          <w:highlight w:val="none"/>
        </w:rPr>
      </w:pPr>
      <w:r>
        <w:rPr>
          <w:rFonts w:hint="eastAsia" w:hAnsi="宋体"/>
          <w:color w:val="auto"/>
          <w:szCs w:val="21"/>
          <w:highlight w:val="none"/>
        </w:rPr>
        <w:t>响应文件电子文件（U盘，须含盖章版PDF响应文件和WORD版响应文件各一版，文字采用WORD文档，计算表格采用 EXCEL文档。）</w:t>
      </w:r>
    </w:p>
    <w:p>
      <w:pPr>
        <w:rPr>
          <w:rFonts w:ascii="宋体" w:hAnsi="宋体" w:cs="宋体"/>
          <w:color w:val="auto"/>
          <w:szCs w:val="21"/>
          <w:highlight w:val="none"/>
        </w:rPr>
      </w:pPr>
    </w:p>
    <w:p>
      <w:pPr>
        <w:pStyle w:val="2"/>
        <w:rPr>
          <w:color w:val="auto"/>
          <w:highlight w:val="none"/>
        </w:rPr>
      </w:pPr>
    </w:p>
    <w:sectPr>
      <w:pgSz w:w="11906" w:h="16838"/>
      <w:pgMar w:top="1440" w:right="1800" w:bottom="1440" w:left="1800" w:header="708" w:footer="708" w:gutter="0"/>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9Up8WAgAAFQQAAA4AAABkcnMvZTJvRG9jLnhtbK1TzY7TMBC+I/EO&#10;lu80adGu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tvVKfFgIAABUEAAAOAAAAAAAA&#10;AAEAIAAAAB8BAABkcnMvZTJvRG9jLnhtbFBLBQYAAAAABgAGAFkBAACnBQAAAAA=&#10;">
              <v:fill on="f" focussize="0,0"/>
              <v:stroke on="f" weight="0.5pt"/>
              <v:imagedata o:title=""/>
              <o:lock v:ext="edit" aspectratio="f"/>
              <v:textbox inset="0mm,0mm,0mm,0mm" style="mso-fit-shape-to-text:t;">
                <w:txbxContent>
                  <w:p>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013YU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zTXdhQCAAAVBAAADgAAAAAAAAAB&#10;ACAAAAAfAQAAZHJzL2Uyb0RvYy54bWxQSwUGAAAAAAYABgBZAQAApQU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posOffset>2092960</wp:posOffset>
              </wp:positionH>
              <wp:positionV relativeFrom="paragraph">
                <wp:posOffset>180340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a:effectLst/>
                    </wps:spPr>
                    <wps:txbx>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vert="horz" wrap="square" lIns="0" tIns="0" rIns="0" bIns="0" anchor="t" anchorCtr="0" upright="1">
                      <a:spAutoFit/>
                    </wps:bodyPr>
                  </wps:wsp>
                </a:graphicData>
              </a:graphic>
            </wp:anchor>
          </w:drawing>
        </mc:Choice>
        <mc:Fallback>
          <w:pict>
            <v:shape id="文本框 1026" o:spid="_x0000_s1026" o:spt="202" type="#_x0000_t202" style="position:absolute;left:0pt;margin-left:164.8pt;margin-top:14.2pt;height:144pt;width:85.7pt;mso-position-horizontal-relative:margin;z-index:251659264;mso-width-relative:page;mso-height-relative:page;" filled="f" stroked="f" coordsize="21600,21600" o:gfxdata="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1gNYAAAAKAQAADwAAAAAAAAABACAAAAAiAAAA&#10;ZHJzL2Rvd25yZXYueG1sUEsBAhQAFAAAAAgAh07iQGVHuF3QAQAAgwMAAA4AAAAAAAAAAQAgAAAA&#10;JQEAAGRycy9lMm9Eb2MueG1sUEsFBgAAAAAGAAYAWQEAAGcFAAAAAA==&#10;">
              <v:fill on="f" focussize="0,0"/>
              <v:stroke on="f"/>
              <v:imagedata o:title=""/>
              <o:lock v:ext="edit" aspectratio="f"/>
              <v:textbox inset="0mm,0mm,0mm,0mm" style="mso-fit-shape-to-text:t;">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a:effectLst/>
                    </wps:spPr>
                    <wps:txbx>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vert="horz" wrap="square" lIns="0" tIns="0" rIns="0" bIns="0" anchor="t" anchorCtr="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CBIs0gAAAAUBAAAPAAAAAAAAAAEAIAAAACIAAABkcnMv&#10;ZG93bnJldi54bWxQSwECFAAUAAAACACHTuJANUSmJdABAACDAwAADgAAAAAAAAABACAAAAAhAQAA&#10;ZHJzL2Uyb0RvYy54bWxQSwUGAAAAAAYABgBZAQAAYwUAAAAA&#10;">
              <v:fill on="f" focussize="0,0"/>
              <v:stroke on="f"/>
              <v:imagedata o:title=""/>
              <o:lock v:ext="edit" aspectratio="f"/>
              <v:textbox inset="0mm,0mm,0mm,0mm" style="mso-fit-shape-to-text:t;">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5">
    <w:nsid w:val="20D2348B"/>
    <w:multiLevelType w:val="singleLevel"/>
    <w:tmpl w:val="20D2348B"/>
    <w:lvl w:ilvl="0" w:tentative="0">
      <w:start w:val="1"/>
      <w:numFmt w:val="chineseCounting"/>
      <w:suff w:val="nothing"/>
      <w:lvlText w:val="（%1）"/>
      <w:lvlJc w:val="left"/>
      <w:rPr>
        <w:rFonts w:hint="eastAsia"/>
      </w:rPr>
    </w:lvl>
  </w:abstractNum>
  <w:abstractNum w:abstractNumId="6">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F88662E"/>
    <w:multiLevelType w:val="singleLevel"/>
    <w:tmpl w:val="3F88662E"/>
    <w:lvl w:ilvl="0" w:tentative="0">
      <w:start w:val="1"/>
      <w:numFmt w:val="decimal"/>
      <w:pStyle w:val="88"/>
      <w:suff w:val="space"/>
      <w:lvlText w:val="%1)"/>
      <w:lvlJc w:val="left"/>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0">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6"/>
  </w:num>
  <w:num w:numId="4">
    <w:abstractNumId w:val="0"/>
  </w:num>
  <w:num w:numId="5">
    <w:abstractNumId w:val="4"/>
  </w:num>
  <w:num w:numId="6">
    <w:abstractNumId w:val="1"/>
  </w:num>
  <w:num w:numId="7">
    <w:abstractNumId w:val="3"/>
  </w:num>
  <w:num w:numId="8">
    <w:abstractNumId w:val="5"/>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M2FkNzY1NjE2NmMxMjliYjZlNGI3YzNlZTNiMzgifQ=="/>
    <w:docVar w:name="KSO_WPS_MARK_KEY" w:val="2973aef7-98c6-45cd-8278-87609a4cadf0"/>
  </w:docVars>
  <w:rsids>
    <w:rsidRoot w:val="00172A27"/>
    <w:rsid w:val="00001330"/>
    <w:rsid w:val="00005A66"/>
    <w:rsid w:val="00006462"/>
    <w:rsid w:val="00011C71"/>
    <w:rsid w:val="000300E4"/>
    <w:rsid w:val="0003307E"/>
    <w:rsid w:val="000336BA"/>
    <w:rsid w:val="000359A1"/>
    <w:rsid w:val="00040F8B"/>
    <w:rsid w:val="000414F5"/>
    <w:rsid w:val="00041666"/>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517C"/>
    <w:rsid w:val="001368B7"/>
    <w:rsid w:val="0013730B"/>
    <w:rsid w:val="00137853"/>
    <w:rsid w:val="00137E1C"/>
    <w:rsid w:val="00147012"/>
    <w:rsid w:val="001672DF"/>
    <w:rsid w:val="00172A27"/>
    <w:rsid w:val="00173126"/>
    <w:rsid w:val="00173905"/>
    <w:rsid w:val="00173938"/>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2168"/>
    <w:rsid w:val="001F4B02"/>
    <w:rsid w:val="001F6BC7"/>
    <w:rsid w:val="002065A7"/>
    <w:rsid w:val="0021149E"/>
    <w:rsid w:val="00213021"/>
    <w:rsid w:val="00216BE9"/>
    <w:rsid w:val="00221E7A"/>
    <w:rsid w:val="0022503E"/>
    <w:rsid w:val="00225BB4"/>
    <w:rsid w:val="00226313"/>
    <w:rsid w:val="00231A8A"/>
    <w:rsid w:val="002373BB"/>
    <w:rsid w:val="00240F5F"/>
    <w:rsid w:val="00247224"/>
    <w:rsid w:val="00247AE0"/>
    <w:rsid w:val="00260AC1"/>
    <w:rsid w:val="0026312D"/>
    <w:rsid w:val="0027078E"/>
    <w:rsid w:val="0028395F"/>
    <w:rsid w:val="00284156"/>
    <w:rsid w:val="00285643"/>
    <w:rsid w:val="002867A1"/>
    <w:rsid w:val="002901F8"/>
    <w:rsid w:val="00290560"/>
    <w:rsid w:val="002920A4"/>
    <w:rsid w:val="002B4087"/>
    <w:rsid w:val="002B5F6C"/>
    <w:rsid w:val="002C6C78"/>
    <w:rsid w:val="002D1594"/>
    <w:rsid w:val="002D3F9C"/>
    <w:rsid w:val="002D503C"/>
    <w:rsid w:val="002D7E27"/>
    <w:rsid w:val="002E17E5"/>
    <w:rsid w:val="002E3F72"/>
    <w:rsid w:val="002E6B7E"/>
    <w:rsid w:val="002F0FC9"/>
    <w:rsid w:val="0030026E"/>
    <w:rsid w:val="0030669E"/>
    <w:rsid w:val="003101A3"/>
    <w:rsid w:val="00320CEA"/>
    <w:rsid w:val="00323B43"/>
    <w:rsid w:val="00326831"/>
    <w:rsid w:val="003274CE"/>
    <w:rsid w:val="003361E9"/>
    <w:rsid w:val="003430F6"/>
    <w:rsid w:val="0034618F"/>
    <w:rsid w:val="00353842"/>
    <w:rsid w:val="0035595E"/>
    <w:rsid w:val="003607C7"/>
    <w:rsid w:val="003665C5"/>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5440B"/>
    <w:rsid w:val="00460B31"/>
    <w:rsid w:val="00462105"/>
    <w:rsid w:val="00475A80"/>
    <w:rsid w:val="00475BB4"/>
    <w:rsid w:val="00490B9E"/>
    <w:rsid w:val="00497577"/>
    <w:rsid w:val="004A05D7"/>
    <w:rsid w:val="004A2B28"/>
    <w:rsid w:val="004A69F1"/>
    <w:rsid w:val="004B3550"/>
    <w:rsid w:val="004B3F06"/>
    <w:rsid w:val="004C4B76"/>
    <w:rsid w:val="004C547F"/>
    <w:rsid w:val="004C7FD6"/>
    <w:rsid w:val="004D08C0"/>
    <w:rsid w:val="004D1669"/>
    <w:rsid w:val="004D1736"/>
    <w:rsid w:val="004D4CC7"/>
    <w:rsid w:val="004D51A2"/>
    <w:rsid w:val="004D5AFB"/>
    <w:rsid w:val="004E04FD"/>
    <w:rsid w:val="004F1BB7"/>
    <w:rsid w:val="0050759C"/>
    <w:rsid w:val="00510827"/>
    <w:rsid w:val="005267F1"/>
    <w:rsid w:val="005269A9"/>
    <w:rsid w:val="00532034"/>
    <w:rsid w:val="00534255"/>
    <w:rsid w:val="00541C87"/>
    <w:rsid w:val="00545D9A"/>
    <w:rsid w:val="00546A42"/>
    <w:rsid w:val="0055408D"/>
    <w:rsid w:val="0057492D"/>
    <w:rsid w:val="0058523E"/>
    <w:rsid w:val="00590819"/>
    <w:rsid w:val="00593D68"/>
    <w:rsid w:val="00594253"/>
    <w:rsid w:val="005A208B"/>
    <w:rsid w:val="005A555E"/>
    <w:rsid w:val="005A7612"/>
    <w:rsid w:val="005B58A6"/>
    <w:rsid w:val="005C3548"/>
    <w:rsid w:val="005C57E1"/>
    <w:rsid w:val="005C702E"/>
    <w:rsid w:val="005D01B8"/>
    <w:rsid w:val="005D066B"/>
    <w:rsid w:val="005D2D85"/>
    <w:rsid w:val="005D52E7"/>
    <w:rsid w:val="005E16DE"/>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41FB"/>
    <w:rsid w:val="006476E3"/>
    <w:rsid w:val="00650DDC"/>
    <w:rsid w:val="0065189D"/>
    <w:rsid w:val="00652983"/>
    <w:rsid w:val="0065365D"/>
    <w:rsid w:val="006546D0"/>
    <w:rsid w:val="006576FD"/>
    <w:rsid w:val="00664F6B"/>
    <w:rsid w:val="006731D2"/>
    <w:rsid w:val="00680EB0"/>
    <w:rsid w:val="00682986"/>
    <w:rsid w:val="00684D92"/>
    <w:rsid w:val="00691701"/>
    <w:rsid w:val="00691AE0"/>
    <w:rsid w:val="006929C9"/>
    <w:rsid w:val="0069491E"/>
    <w:rsid w:val="006B004E"/>
    <w:rsid w:val="006B3E6C"/>
    <w:rsid w:val="006B4832"/>
    <w:rsid w:val="006B7878"/>
    <w:rsid w:val="006C14BD"/>
    <w:rsid w:val="006C28E5"/>
    <w:rsid w:val="006C5623"/>
    <w:rsid w:val="006C67A9"/>
    <w:rsid w:val="006D393E"/>
    <w:rsid w:val="006D43C5"/>
    <w:rsid w:val="006D4AD8"/>
    <w:rsid w:val="006E0B58"/>
    <w:rsid w:val="006E0C4B"/>
    <w:rsid w:val="006E664B"/>
    <w:rsid w:val="00701A6F"/>
    <w:rsid w:val="00704F7B"/>
    <w:rsid w:val="007110BA"/>
    <w:rsid w:val="00711465"/>
    <w:rsid w:val="00716E96"/>
    <w:rsid w:val="00723B11"/>
    <w:rsid w:val="00723DDA"/>
    <w:rsid w:val="007343A7"/>
    <w:rsid w:val="00734BB2"/>
    <w:rsid w:val="0073706B"/>
    <w:rsid w:val="00737823"/>
    <w:rsid w:val="00745216"/>
    <w:rsid w:val="0075028E"/>
    <w:rsid w:val="007528A6"/>
    <w:rsid w:val="007608B9"/>
    <w:rsid w:val="007724B4"/>
    <w:rsid w:val="0077462B"/>
    <w:rsid w:val="007863F1"/>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1698"/>
    <w:rsid w:val="00822299"/>
    <w:rsid w:val="00827E0A"/>
    <w:rsid w:val="0083486A"/>
    <w:rsid w:val="00837E35"/>
    <w:rsid w:val="00841378"/>
    <w:rsid w:val="00842B87"/>
    <w:rsid w:val="00845BEB"/>
    <w:rsid w:val="008472E6"/>
    <w:rsid w:val="00851296"/>
    <w:rsid w:val="008518B4"/>
    <w:rsid w:val="00853463"/>
    <w:rsid w:val="008548BD"/>
    <w:rsid w:val="008569D8"/>
    <w:rsid w:val="0086026F"/>
    <w:rsid w:val="008640F5"/>
    <w:rsid w:val="0087704E"/>
    <w:rsid w:val="008907DA"/>
    <w:rsid w:val="0089310C"/>
    <w:rsid w:val="008A0587"/>
    <w:rsid w:val="008A0843"/>
    <w:rsid w:val="008A7273"/>
    <w:rsid w:val="008B55B9"/>
    <w:rsid w:val="008B6F23"/>
    <w:rsid w:val="008B7726"/>
    <w:rsid w:val="008C05BA"/>
    <w:rsid w:val="008C49B1"/>
    <w:rsid w:val="008C5492"/>
    <w:rsid w:val="008D429E"/>
    <w:rsid w:val="008D5A10"/>
    <w:rsid w:val="008E319F"/>
    <w:rsid w:val="008E619C"/>
    <w:rsid w:val="008F6E0E"/>
    <w:rsid w:val="00906F49"/>
    <w:rsid w:val="00907417"/>
    <w:rsid w:val="00914604"/>
    <w:rsid w:val="00916A34"/>
    <w:rsid w:val="0092092D"/>
    <w:rsid w:val="00923533"/>
    <w:rsid w:val="00930A38"/>
    <w:rsid w:val="00934170"/>
    <w:rsid w:val="009364BF"/>
    <w:rsid w:val="00942948"/>
    <w:rsid w:val="009474B5"/>
    <w:rsid w:val="00953E98"/>
    <w:rsid w:val="00960F22"/>
    <w:rsid w:val="00972D86"/>
    <w:rsid w:val="009736BF"/>
    <w:rsid w:val="0097392B"/>
    <w:rsid w:val="00976066"/>
    <w:rsid w:val="00980A66"/>
    <w:rsid w:val="009904F7"/>
    <w:rsid w:val="009910F6"/>
    <w:rsid w:val="009A07B1"/>
    <w:rsid w:val="009A2970"/>
    <w:rsid w:val="009A3070"/>
    <w:rsid w:val="009A6B4A"/>
    <w:rsid w:val="009A7058"/>
    <w:rsid w:val="009C19DE"/>
    <w:rsid w:val="009C23A6"/>
    <w:rsid w:val="009C5206"/>
    <w:rsid w:val="009C6AD9"/>
    <w:rsid w:val="009E398C"/>
    <w:rsid w:val="009E6F05"/>
    <w:rsid w:val="009F644E"/>
    <w:rsid w:val="009F6A05"/>
    <w:rsid w:val="00A013C0"/>
    <w:rsid w:val="00A01BE2"/>
    <w:rsid w:val="00A10906"/>
    <w:rsid w:val="00A12E66"/>
    <w:rsid w:val="00A13E78"/>
    <w:rsid w:val="00A14EEF"/>
    <w:rsid w:val="00A23304"/>
    <w:rsid w:val="00A275C2"/>
    <w:rsid w:val="00A3295D"/>
    <w:rsid w:val="00A373DB"/>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C56AC"/>
    <w:rsid w:val="00AD17DE"/>
    <w:rsid w:val="00AD4DF0"/>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C5D66"/>
    <w:rsid w:val="00BD4ED4"/>
    <w:rsid w:val="00BD630F"/>
    <w:rsid w:val="00BD7C1B"/>
    <w:rsid w:val="00BE0825"/>
    <w:rsid w:val="00BE2EE6"/>
    <w:rsid w:val="00BF17FD"/>
    <w:rsid w:val="00BF2820"/>
    <w:rsid w:val="00BF41D4"/>
    <w:rsid w:val="00BF5AFB"/>
    <w:rsid w:val="00C1552F"/>
    <w:rsid w:val="00C16734"/>
    <w:rsid w:val="00C17B47"/>
    <w:rsid w:val="00C25C77"/>
    <w:rsid w:val="00C303E7"/>
    <w:rsid w:val="00C319C2"/>
    <w:rsid w:val="00C33753"/>
    <w:rsid w:val="00C45F8B"/>
    <w:rsid w:val="00C4608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CE75D8"/>
    <w:rsid w:val="00D05388"/>
    <w:rsid w:val="00D114CD"/>
    <w:rsid w:val="00D14476"/>
    <w:rsid w:val="00D232FF"/>
    <w:rsid w:val="00D279AA"/>
    <w:rsid w:val="00D31215"/>
    <w:rsid w:val="00D34544"/>
    <w:rsid w:val="00D34841"/>
    <w:rsid w:val="00D42049"/>
    <w:rsid w:val="00D4444E"/>
    <w:rsid w:val="00D44A97"/>
    <w:rsid w:val="00D45C0C"/>
    <w:rsid w:val="00D508A5"/>
    <w:rsid w:val="00D5104B"/>
    <w:rsid w:val="00D555D8"/>
    <w:rsid w:val="00D60778"/>
    <w:rsid w:val="00D63EB2"/>
    <w:rsid w:val="00D64D28"/>
    <w:rsid w:val="00D6604D"/>
    <w:rsid w:val="00D661EB"/>
    <w:rsid w:val="00D677F1"/>
    <w:rsid w:val="00D74601"/>
    <w:rsid w:val="00D83E46"/>
    <w:rsid w:val="00D847B6"/>
    <w:rsid w:val="00D93958"/>
    <w:rsid w:val="00D951D3"/>
    <w:rsid w:val="00DA1DB9"/>
    <w:rsid w:val="00DA6169"/>
    <w:rsid w:val="00DA7B28"/>
    <w:rsid w:val="00DB5480"/>
    <w:rsid w:val="00DB6317"/>
    <w:rsid w:val="00DC22A0"/>
    <w:rsid w:val="00DC2FC5"/>
    <w:rsid w:val="00DC4D6D"/>
    <w:rsid w:val="00DC5AD9"/>
    <w:rsid w:val="00DC691F"/>
    <w:rsid w:val="00DD02DE"/>
    <w:rsid w:val="00DD07B7"/>
    <w:rsid w:val="00DD113C"/>
    <w:rsid w:val="00DD324C"/>
    <w:rsid w:val="00DE0BEB"/>
    <w:rsid w:val="00DE40A9"/>
    <w:rsid w:val="00DE4856"/>
    <w:rsid w:val="00DF485B"/>
    <w:rsid w:val="00E02627"/>
    <w:rsid w:val="00E0295D"/>
    <w:rsid w:val="00E042BC"/>
    <w:rsid w:val="00E132FE"/>
    <w:rsid w:val="00E21B77"/>
    <w:rsid w:val="00E23352"/>
    <w:rsid w:val="00E35BCC"/>
    <w:rsid w:val="00E40CAD"/>
    <w:rsid w:val="00E40DC7"/>
    <w:rsid w:val="00E4215F"/>
    <w:rsid w:val="00E57E9F"/>
    <w:rsid w:val="00E61D2E"/>
    <w:rsid w:val="00E62B7F"/>
    <w:rsid w:val="00E65447"/>
    <w:rsid w:val="00E7066D"/>
    <w:rsid w:val="00E726BC"/>
    <w:rsid w:val="00E72821"/>
    <w:rsid w:val="00E75C82"/>
    <w:rsid w:val="00E81DDC"/>
    <w:rsid w:val="00E81F67"/>
    <w:rsid w:val="00E83650"/>
    <w:rsid w:val="00E83A31"/>
    <w:rsid w:val="00E93BF5"/>
    <w:rsid w:val="00E962AD"/>
    <w:rsid w:val="00E97CC0"/>
    <w:rsid w:val="00EA22B8"/>
    <w:rsid w:val="00EA2524"/>
    <w:rsid w:val="00EA33E7"/>
    <w:rsid w:val="00EC092D"/>
    <w:rsid w:val="00EC0DF8"/>
    <w:rsid w:val="00EC1329"/>
    <w:rsid w:val="00EC7F91"/>
    <w:rsid w:val="00ED378B"/>
    <w:rsid w:val="00EE08F9"/>
    <w:rsid w:val="00EE70B3"/>
    <w:rsid w:val="00EF24AA"/>
    <w:rsid w:val="00EF728A"/>
    <w:rsid w:val="00EF7D0D"/>
    <w:rsid w:val="00F00FF7"/>
    <w:rsid w:val="00F02093"/>
    <w:rsid w:val="00F068E3"/>
    <w:rsid w:val="00F10B5F"/>
    <w:rsid w:val="00F218C1"/>
    <w:rsid w:val="00F3053C"/>
    <w:rsid w:val="00F321EB"/>
    <w:rsid w:val="00F32B00"/>
    <w:rsid w:val="00F346CF"/>
    <w:rsid w:val="00F3610C"/>
    <w:rsid w:val="00F36839"/>
    <w:rsid w:val="00F413C0"/>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0461FD"/>
    <w:rsid w:val="013C51B0"/>
    <w:rsid w:val="01651C23"/>
    <w:rsid w:val="016D4D19"/>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3025B84"/>
    <w:rsid w:val="032E6AB8"/>
    <w:rsid w:val="03587E8E"/>
    <w:rsid w:val="03707410"/>
    <w:rsid w:val="039170C0"/>
    <w:rsid w:val="039240A3"/>
    <w:rsid w:val="03A0770F"/>
    <w:rsid w:val="03A27726"/>
    <w:rsid w:val="03A448B8"/>
    <w:rsid w:val="03B34A78"/>
    <w:rsid w:val="03C01631"/>
    <w:rsid w:val="03C656A9"/>
    <w:rsid w:val="03F33148"/>
    <w:rsid w:val="04293842"/>
    <w:rsid w:val="042F3419"/>
    <w:rsid w:val="0435283A"/>
    <w:rsid w:val="04491596"/>
    <w:rsid w:val="047B4012"/>
    <w:rsid w:val="04822497"/>
    <w:rsid w:val="04974587"/>
    <w:rsid w:val="049A0C65"/>
    <w:rsid w:val="04A07C4B"/>
    <w:rsid w:val="04DF1036"/>
    <w:rsid w:val="04E24985"/>
    <w:rsid w:val="04EB434C"/>
    <w:rsid w:val="04F62686"/>
    <w:rsid w:val="050C01DF"/>
    <w:rsid w:val="05316537"/>
    <w:rsid w:val="053A5A77"/>
    <w:rsid w:val="0599183C"/>
    <w:rsid w:val="05993DE2"/>
    <w:rsid w:val="05A97DEC"/>
    <w:rsid w:val="05B23978"/>
    <w:rsid w:val="05C81981"/>
    <w:rsid w:val="05FC20B9"/>
    <w:rsid w:val="060043AE"/>
    <w:rsid w:val="060C3203"/>
    <w:rsid w:val="06281344"/>
    <w:rsid w:val="062D4EC8"/>
    <w:rsid w:val="0658792A"/>
    <w:rsid w:val="0670183E"/>
    <w:rsid w:val="06867ECE"/>
    <w:rsid w:val="0687725F"/>
    <w:rsid w:val="069B4E4A"/>
    <w:rsid w:val="06A26008"/>
    <w:rsid w:val="06BC41F2"/>
    <w:rsid w:val="06F125FA"/>
    <w:rsid w:val="06F415CC"/>
    <w:rsid w:val="070E26CD"/>
    <w:rsid w:val="07197D08"/>
    <w:rsid w:val="071E5C55"/>
    <w:rsid w:val="075C1FE5"/>
    <w:rsid w:val="077005AB"/>
    <w:rsid w:val="078F4581"/>
    <w:rsid w:val="07A715F3"/>
    <w:rsid w:val="07BF027F"/>
    <w:rsid w:val="07F06C60"/>
    <w:rsid w:val="07F82746"/>
    <w:rsid w:val="08031A31"/>
    <w:rsid w:val="080E2872"/>
    <w:rsid w:val="08420CAE"/>
    <w:rsid w:val="08892439"/>
    <w:rsid w:val="089A5AE8"/>
    <w:rsid w:val="08CB57A5"/>
    <w:rsid w:val="08DC25A5"/>
    <w:rsid w:val="09061A75"/>
    <w:rsid w:val="090C09C5"/>
    <w:rsid w:val="09182241"/>
    <w:rsid w:val="09325D4D"/>
    <w:rsid w:val="095F1030"/>
    <w:rsid w:val="09855177"/>
    <w:rsid w:val="09877EDB"/>
    <w:rsid w:val="09A17D47"/>
    <w:rsid w:val="09C84998"/>
    <w:rsid w:val="09EE5125"/>
    <w:rsid w:val="0A3D7585"/>
    <w:rsid w:val="0A462748"/>
    <w:rsid w:val="0A4D0C81"/>
    <w:rsid w:val="0A723E95"/>
    <w:rsid w:val="0A733243"/>
    <w:rsid w:val="0A785903"/>
    <w:rsid w:val="0A7A686C"/>
    <w:rsid w:val="0AA534D5"/>
    <w:rsid w:val="0AA650EB"/>
    <w:rsid w:val="0AA7129C"/>
    <w:rsid w:val="0AF47339"/>
    <w:rsid w:val="0B121934"/>
    <w:rsid w:val="0B1F4D52"/>
    <w:rsid w:val="0B22594B"/>
    <w:rsid w:val="0B226D23"/>
    <w:rsid w:val="0B27506F"/>
    <w:rsid w:val="0B3061AD"/>
    <w:rsid w:val="0B666362"/>
    <w:rsid w:val="0B9610F4"/>
    <w:rsid w:val="0BBF77A4"/>
    <w:rsid w:val="0BD16C8D"/>
    <w:rsid w:val="0BDF26F7"/>
    <w:rsid w:val="0C027DB2"/>
    <w:rsid w:val="0C2B4952"/>
    <w:rsid w:val="0C51228C"/>
    <w:rsid w:val="0C516C55"/>
    <w:rsid w:val="0C5D161C"/>
    <w:rsid w:val="0C6437E4"/>
    <w:rsid w:val="0C7B2220"/>
    <w:rsid w:val="0CB67D83"/>
    <w:rsid w:val="0CCF79BE"/>
    <w:rsid w:val="0CD20599"/>
    <w:rsid w:val="0CE34A98"/>
    <w:rsid w:val="0CE53018"/>
    <w:rsid w:val="0D0B5B12"/>
    <w:rsid w:val="0D1110D3"/>
    <w:rsid w:val="0D133046"/>
    <w:rsid w:val="0D153F28"/>
    <w:rsid w:val="0D305390"/>
    <w:rsid w:val="0D3A0F98"/>
    <w:rsid w:val="0D5D37FD"/>
    <w:rsid w:val="0D6A4502"/>
    <w:rsid w:val="0D7415CA"/>
    <w:rsid w:val="0D890E47"/>
    <w:rsid w:val="0D9E5DAE"/>
    <w:rsid w:val="0DC64A00"/>
    <w:rsid w:val="0DCF786E"/>
    <w:rsid w:val="0DD759F4"/>
    <w:rsid w:val="0DEB5FFA"/>
    <w:rsid w:val="0DEF1579"/>
    <w:rsid w:val="0DF75C46"/>
    <w:rsid w:val="0DFC60BA"/>
    <w:rsid w:val="0E045D30"/>
    <w:rsid w:val="0E1C06B2"/>
    <w:rsid w:val="0E35000C"/>
    <w:rsid w:val="0E69691B"/>
    <w:rsid w:val="0E7900C2"/>
    <w:rsid w:val="0EBB5484"/>
    <w:rsid w:val="0EBD5AA3"/>
    <w:rsid w:val="0F064F0F"/>
    <w:rsid w:val="0F085784"/>
    <w:rsid w:val="0F3445D0"/>
    <w:rsid w:val="0F5723EF"/>
    <w:rsid w:val="0F7554C5"/>
    <w:rsid w:val="0F7C5FF6"/>
    <w:rsid w:val="0FC63FBD"/>
    <w:rsid w:val="0FDD003F"/>
    <w:rsid w:val="0FF63282"/>
    <w:rsid w:val="0FF87EA4"/>
    <w:rsid w:val="0FFF7484"/>
    <w:rsid w:val="10007DD4"/>
    <w:rsid w:val="100B77ED"/>
    <w:rsid w:val="10305890"/>
    <w:rsid w:val="103D5A1A"/>
    <w:rsid w:val="104D01F0"/>
    <w:rsid w:val="105D28A8"/>
    <w:rsid w:val="106C564D"/>
    <w:rsid w:val="10767478"/>
    <w:rsid w:val="107B7B8F"/>
    <w:rsid w:val="107C67CE"/>
    <w:rsid w:val="10912D03"/>
    <w:rsid w:val="109D68CB"/>
    <w:rsid w:val="10A01FEC"/>
    <w:rsid w:val="10A949B8"/>
    <w:rsid w:val="10CB4D26"/>
    <w:rsid w:val="10F83127"/>
    <w:rsid w:val="11144AFE"/>
    <w:rsid w:val="11200D07"/>
    <w:rsid w:val="116705E6"/>
    <w:rsid w:val="116A3F32"/>
    <w:rsid w:val="11786AB5"/>
    <w:rsid w:val="118049D4"/>
    <w:rsid w:val="118561F8"/>
    <w:rsid w:val="11914FAF"/>
    <w:rsid w:val="11A8021A"/>
    <w:rsid w:val="11B21219"/>
    <w:rsid w:val="11B4024C"/>
    <w:rsid w:val="11DA73AF"/>
    <w:rsid w:val="11FC1ECD"/>
    <w:rsid w:val="12457C5E"/>
    <w:rsid w:val="124D097B"/>
    <w:rsid w:val="12511265"/>
    <w:rsid w:val="126561B4"/>
    <w:rsid w:val="127344C3"/>
    <w:rsid w:val="127A3FFC"/>
    <w:rsid w:val="127D0E25"/>
    <w:rsid w:val="127E0B34"/>
    <w:rsid w:val="1283614B"/>
    <w:rsid w:val="12856FF3"/>
    <w:rsid w:val="129671FB"/>
    <w:rsid w:val="12A576FF"/>
    <w:rsid w:val="12C60D80"/>
    <w:rsid w:val="12E579C3"/>
    <w:rsid w:val="130523B3"/>
    <w:rsid w:val="13097496"/>
    <w:rsid w:val="13154AD2"/>
    <w:rsid w:val="131F7A3A"/>
    <w:rsid w:val="132645D0"/>
    <w:rsid w:val="134312FF"/>
    <w:rsid w:val="13455ABC"/>
    <w:rsid w:val="1370322B"/>
    <w:rsid w:val="13BA0460"/>
    <w:rsid w:val="13BB36C2"/>
    <w:rsid w:val="13BB41AE"/>
    <w:rsid w:val="13C031D9"/>
    <w:rsid w:val="13C24F9B"/>
    <w:rsid w:val="13C45A18"/>
    <w:rsid w:val="13C9247B"/>
    <w:rsid w:val="13C92A4D"/>
    <w:rsid w:val="13DE55D1"/>
    <w:rsid w:val="13E0285C"/>
    <w:rsid w:val="143B2E0B"/>
    <w:rsid w:val="147C1943"/>
    <w:rsid w:val="148054E9"/>
    <w:rsid w:val="14892735"/>
    <w:rsid w:val="14906D6C"/>
    <w:rsid w:val="14CC769D"/>
    <w:rsid w:val="14D764D5"/>
    <w:rsid w:val="14F43330"/>
    <w:rsid w:val="152509D7"/>
    <w:rsid w:val="15436F05"/>
    <w:rsid w:val="155541C5"/>
    <w:rsid w:val="15691FE3"/>
    <w:rsid w:val="158B5DDD"/>
    <w:rsid w:val="159863B1"/>
    <w:rsid w:val="15A41986"/>
    <w:rsid w:val="15B11221"/>
    <w:rsid w:val="15C16EB3"/>
    <w:rsid w:val="15CB76C9"/>
    <w:rsid w:val="15D359D7"/>
    <w:rsid w:val="160E7A2C"/>
    <w:rsid w:val="16111028"/>
    <w:rsid w:val="161F7731"/>
    <w:rsid w:val="163C77BE"/>
    <w:rsid w:val="16573587"/>
    <w:rsid w:val="165D60A8"/>
    <w:rsid w:val="16647F88"/>
    <w:rsid w:val="1679588C"/>
    <w:rsid w:val="168C2855"/>
    <w:rsid w:val="16903443"/>
    <w:rsid w:val="169614F2"/>
    <w:rsid w:val="16994962"/>
    <w:rsid w:val="169C3C7F"/>
    <w:rsid w:val="16A233CF"/>
    <w:rsid w:val="16A71041"/>
    <w:rsid w:val="16AA24BF"/>
    <w:rsid w:val="16DA7B9D"/>
    <w:rsid w:val="16E55AFA"/>
    <w:rsid w:val="171510CA"/>
    <w:rsid w:val="17173305"/>
    <w:rsid w:val="171D3725"/>
    <w:rsid w:val="171D3FE1"/>
    <w:rsid w:val="17200B3C"/>
    <w:rsid w:val="1742794A"/>
    <w:rsid w:val="17680CAB"/>
    <w:rsid w:val="176E4128"/>
    <w:rsid w:val="1783371F"/>
    <w:rsid w:val="17846F75"/>
    <w:rsid w:val="178D7563"/>
    <w:rsid w:val="17B61794"/>
    <w:rsid w:val="17C52CBF"/>
    <w:rsid w:val="17C93012"/>
    <w:rsid w:val="17D24A27"/>
    <w:rsid w:val="17E62B67"/>
    <w:rsid w:val="180F4499"/>
    <w:rsid w:val="182201B4"/>
    <w:rsid w:val="18221ECE"/>
    <w:rsid w:val="18303840"/>
    <w:rsid w:val="183C3D90"/>
    <w:rsid w:val="18504A07"/>
    <w:rsid w:val="1859036F"/>
    <w:rsid w:val="18681814"/>
    <w:rsid w:val="1877254A"/>
    <w:rsid w:val="18AE7C99"/>
    <w:rsid w:val="18B0649B"/>
    <w:rsid w:val="18B46A55"/>
    <w:rsid w:val="18C8297B"/>
    <w:rsid w:val="18D418FC"/>
    <w:rsid w:val="18FC7745"/>
    <w:rsid w:val="19027053"/>
    <w:rsid w:val="19085D7D"/>
    <w:rsid w:val="191677A6"/>
    <w:rsid w:val="191D75F9"/>
    <w:rsid w:val="19292EBB"/>
    <w:rsid w:val="19353F17"/>
    <w:rsid w:val="19AF68E7"/>
    <w:rsid w:val="19C30A26"/>
    <w:rsid w:val="19DD405E"/>
    <w:rsid w:val="1A1F2393"/>
    <w:rsid w:val="1A460CF5"/>
    <w:rsid w:val="1A7A6BB4"/>
    <w:rsid w:val="1A7F297D"/>
    <w:rsid w:val="1A8679DC"/>
    <w:rsid w:val="1A9B268C"/>
    <w:rsid w:val="1A9D6244"/>
    <w:rsid w:val="1AAF6004"/>
    <w:rsid w:val="1AB16AC1"/>
    <w:rsid w:val="1ABF1CEA"/>
    <w:rsid w:val="1AE222ED"/>
    <w:rsid w:val="1B014DDE"/>
    <w:rsid w:val="1B0320FB"/>
    <w:rsid w:val="1B034A52"/>
    <w:rsid w:val="1B45344E"/>
    <w:rsid w:val="1B5636D9"/>
    <w:rsid w:val="1B591D2B"/>
    <w:rsid w:val="1B5D76FB"/>
    <w:rsid w:val="1B683578"/>
    <w:rsid w:val="1B8C0040"/>
    <w:rsid w:val="1BBA4E52"/>
    <w:rsid w:val="1BD9519A"/>
    <w:rsid w:val="1BDE2F66"/>
    <w:rsid w:val="1C2A22B3"/>
    <w:rsid w:val="1C4E2600"/>
    <w:rsid w:val="1C750ECE"/>
    <w:rsid w:val="1C78116E"/>
    <w:rsid w:val="1CA56AF4"/>
    <w:rsid w:val="1CE1575A"/>
    <w:rsid w:val="1D196139"/>
    <w:rsid w:val="1D2E2708"/>
    <w:rsid w:val="1D3662B7"/>
    <w:rsid w:val="1D547061"/>
    <w:rsid w:val="1D587D82"/>
    <w:rsid w:val="1D5E02D1"/>
    <w:rsid w:val="1D733B70"/>
    <w:rsid w:val="1D7B74A7"/>
    <w:rsid w:val="1D7F0ED0"/>
    <w:rsid w:val="1DA31EB7"/>
    <w:rsid w:val="1DA55D97"/>
    <w:rsid w:val="1DBB6100"/>
    <w:rsid w:val="1DBE6816"/>
    <w:rsid w:val="1DC67725"/>
    <w:rsid w:val="1DCB4FF1"/>
    <w:rsid w:val="1DDC11E4"/>
    <w:rsid w:val="1DF5452A"/>
    <w:rsid w:val="1E010AF7"/>
    <w:rsid w:val="1E1C405A"/>
    <w:rsid w:val="1E2E29E0"/>
    <w:rsid w:val="1E301173"/>
    <w:rsid w:val="1E7F2A93"/>
    <w:rsid w:val="1E884D18"/>
    <w:rsid w:val="1EAA62E9"/>
    <w:rsid w:val="1ED8781E"/>
    <w:rsid w:val="1EDD3235"/>
    <w:rsid w:val="1EE7283A"/>
    <w:rsid w:val="1F1102B0"/>
    <w:rsid w:val="1F2F1047"/>
    <w:rsid w:val="1F43381C"/>
    <w:rsid w:val="1F647304"/>
    <w:rsid w:val="1F7D6A3D"/>
    <w:rsid w:val="1FA4148D"/>
    <w:rsid w:val="1FC10FAB"/>
    <w:rsid w:val="1FC65577"/>
    <w:rsid w:val="1FD82385"/>
    <w:rsid w:val="1FEB5501"/>
    <w:rsid w:val="20121621"/>
    <w:rsid w:val="201636E2"/>
    <w:rsid w:val="202E3F6D"/>
    <w:rsid w:val="2032134B"/>
    <w:rsid w:val="20325F7E"/>
    <w:rsid w:val="204778B1"/>
    <w:rsid w:val="204778E7"/>
    <w:rsid w:val="204E554F"/>
    <w:rsid w:val="20546774"/>
    <w:rsid w:val="20590035"/>
    <w:rsid w:val="2065337C"/>
    <w:rsid w:val="20851B47"/>
    <w:rsid w:val="209A2C3D"/>
    <w:rsid w:val="20E5011E"/>
    <w:rsid w:val="20FC799E"/>
    <w:rsid w:val="21286DA7"/>
    <w:rsid w:val="2134683B"/>
    <w:rsid w:val="215C18AC"/>
    <w:rsid w:val="2182707B"/>
    <w:rsid w:val="219A465C"/>
    <w:rsid w:val="21C82E72"/>
    <w:rsid w:val="21DE0801"/>
    <w:rsid w:val="21DE339D"/>
    <w:rsid w:val="21E845B6"/>
    <w:rsid w:val="22154DDD"/>
    <w:rsid w:val="221D4DB5"/>
    <w:rsid w:val="22336873"/>
    <w:rsid w:val="22396826"/>
    <w:rsid w:val="225471A3"/>
    <w:rsid w:val="225E34DC"/>
    <w:rsid w:val="227D1295"/>
    <w:rsid w:val="227E7C03"/>
    <w:rsid w:val="22943A5C"/>
    <w:rsid w:val="229B678A"/>
    <w:rsid w:val="22AB3B7D"/>
    <w:rsid w:val="22AF3A08"/>
    <w:rsid w:val="22F61661"/>
    <w:rsid w:val="22F91328"/>
    <w:rsid w:val="22F92F75"/>
    <w:rsid w:val="239634D6"/>
    <w:rsid w:val="23BB4E7D"/>
    <w:rsid w:val="23C172D6"/>
    <w:rsid w:val="23CB1286"/>
    <w:rsid w:val="23CC6C08"/>
    <w:rsid w:val="23D77537"/>
    <w:rsid w:val="23E6195D"/>
    <w:rsid w:val="23F04F64"/>
    <w:rsid w:val="242654AA"/>
    <w:rsid w:val="247F5F5B"/>
    <w:rsid w:val="24814CBE"/>
    <w:rsid w:val="248A1EEC"/>
    <w:rsid w:val="24AC168B"/>
    <w:rsid w:val="24BB6664"/>
    <w:rsid w:val="24C468D6"/>
    <w:rsid w:val="24EC64CB"/>
    <w:rsid w:val="24FF0039"/>
    <w:rsid w:val="250E1318"/>
    <w:rsid w:val="25103738"/>
    <w:rsid w:val="253F46D8"/>
    <w:rsid w:val="254D0389"/>
    <w:rsid w:val="25884C5D"/>
    <w:rsid w:val="258C3BEC"/>
    <w:rsid w:val="258F643A"/>
    <w:rsid w:val="25A03144"/>
    <w:rsid w:val="25B2479F"/>
    <w:rsid w:val="25C15C5D"/>
    <w:rsid w:val="25D329B9"/>
    <w:rsid w:val="25E5427A"/>
    <w:rsid w:val="26276A31"/>
    <w:rsid w:val="26366F9D"/>
    <w:rsid w:val="263B1230"/>
    <w:rsid w:val="263D712B"/>
    <w:rsid w:val="2642752B"/>
    <w:rsid w:val="26485508"/>
    <w:rsid w:val="26554808"/>
    <w:rsid w:val="265E685B"/>
    <w:rsid w:val="26607D95"/>
    <w:rsid w:val="26700955"/>
    <w:rsid w:val="26A16AE9"/>
    <w:rsid w:val="26A605D9"/>
    <w:rsid w:val="26AD0500"/>
    <w:rsid w:val="26B121A3"/>
    <w:rsid w:val="26B71734"/>
    <w:rsid w:val="26BE2324"/>
    <w:rsid w:val="26E464C3"/>
    <w:rsid w:val="272E3097"/>
    <w:rsid w:val="272E6F74"/>
    <w:rsid w:val="273B7A3B"/>
    <w:rsid w:val="275378F8"/>
    <w:rsid w:val="277E6655"/>
    <w:rsid w:val="2780046C"/>
    <w:rsid w:val="27933DEA"/>
    <w:rsid w:val="27B36A67"/>
    <w:rsid w:val="27D9633F"/>
    <w:rsid w:val="280B2E27"/>
    <w:rsid w:val="281E404F"/>
    <w:rsid w:val="28302479"/>
    <w:rsid w:val="2846581F"/>
    <w:rsid w:val="284A5CA4"/>
    <w:rsid w:val="285E7A44"/>
    <w:rsid w:val="286550ED"/>
    <w:rsid w:val="286602C8"/>
    <w:rsid w:val="28665C95"/>
    <w:rsid w:val="28736F5F"/>
    <w:rsid w:val="28B01D1E"/>
    <w:rsid w:val="28C2628C"/>
    <w:rsid w:val="28CC3373"/>
    <w:rsid w:val="28F47F99"/>
    <w:rsid w:val="28F579BA"/>
    <w:rsid w:val="290B3EB9"/>
    <w:rsid w:val="292728C1"/>
    <w:rsid w:val="292F0BBA"/>
    <w:rsid w:val="294E392A"/>
    <w:rsid w:val="2950768C"/>
    <w:rsid w:val="297A5FC4"/>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430715"/>
    <w:rsid w:val="2B51141C"/>
    <w:rsid w:val="2B541787"/>
    <w:rsid w:val="2B590601"/>
    <w:rsid w:val="2B5E554F"/>
    <w:rsid w:val="2B710DB7"/>
    <w:rsid w:val="2B7408CF"/>
    <w:rsid w:val="2B7E4054"/>
    <w:rsid w:val="2B817A99"/>
    <w:rsid w:val="2BBA6A76"/>
    <w:rsid w:val="2BC52ED8"/>
    <w:rsid w:val="2BCC03D1"/>
    <w:rsid w:val="2BDF1FBA"/>
    <w:rsid w:val="2C0C6D59"/>
    <w:rsid w:val="2C0E033F"/>
    <w:rsid w:val="2C5B0D4B"/>
    <w:rsid w:val="2C8903AA"/>
    <w:rsid w:val="2C987C56"/>
    <w:rsid w:val="2CA156F3"/>
    <w:rsid w:val="2CC11460"/>
    <w:rsid w:val="2CC15BAA"/>
    <w:rsid w:val="2CC72A61"/>
    <w:rsid w:val="2CDC3153"/>
    <w:rsid w:val="2CDF621C"/>
    <w:rsid w:val="2CE136D7"/>
    <w:rsid w:val="2CF40FAD"/>
    <w:rsid w:val="2CFE7A11"/>
    <w:rsid w:val="2CFF149A"/>
    <w:rsid w:val="2D126EAE"/>
    <w:rsid w:val="2D201865"/>
    <w:rsid w:val="2D2B6EDE"/>
    <w:rsid w:val="2D322E1C"/>
    <w:rsid w:val="2D4B5CEA"/>
    <w:rsid w:val="2D4C5B4C"/>
    <w:rsid w:val="2D51573C"/>
    <w:rsid w:val="2D542188"/>
    <w:rsid w:val="2D652658"/>
    <w:rsid w:val="2D964A56"/>
    <w:rsid w:val="2DBF018D"/>
    <w:rsid w:val="2DC16E0A"/>
    <w:rsid w:val="2DC80C49"/>
    <w:rsid w:val="2DCA6355"/>
    <w:rsid w:val="2DF8018C"/>
    <w:rsid w:val="2E030E17"/>
    <w:rsid w:val="2E166748"/>
    <w:rsid w:val="2E2054A0"/>
    <w:rsid w:val="2E2C70F5"/>
    <w:rsid w:val="2E482374"/>
    <w:rsid w:val="2E491580"/>
    <w:rsid w:val="2E556F01"/>
    <w:rsid w:val="2E5B21F8"/>
    <w:rsid w:val="2E6A7D67"/>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C9559A"/>
    <w:rsid w:val="2FD6418B"/>
    <w:rsid w:val="2FD95B9C"/>
    <w:rsid w:val="2FF37AB3"/>
    <w:rsid w:val="30210B8A"/>
    <w:rsid w:val="30224DC7"/>
    <w:rsid w:val="303B4C3F"/>
    <w:rsid w:val="3073310C"/>
    <w:rsid w:val="309D6BE6"/>
    <w:rsid w:val="30AA1790"/>
    <w:rsid w:val="30AF1FC4"/>
    <w:rsid w:val="30BB333D"/>
    <w:rsid w:val="30EE385E"/>
    <w:rsid w:val="30F85AFE"/>
    <w:rsid w:val="31031402"/>
    <w:rsid w:val="310811F3"/>
    <w:rsid w:val="31170995"/>
    <w:rsid w:val="31264A30"/>
    <w:rsid w:val="312651F8"/>
    <w:rsid w:val="316B2774"/>
    <w:rsid w:val="31862EE3"/>
    <w:rsid w:val="31884E67"/>
    <w:rsid w:val="31A0275E"/>
    <w:rsid w:val="31A67308"/>
    <w:rsid w:val="31B91526"/>
    <w:rsid w:val="31BA7402"/>
    <w:rsid w:val="31E8305A"/>
    <w:rsid w:val="31EF0041"/>
    <w:rsid w:val="31F61FC1"/>
    <w:rsid w:val="320107F5"/>
    <w:rsid w:val="324175CB"/>
    <w:rsid w:val="326A0524"/>
    <w:rsid w:val="327A2E67"/>
    <w:rsid w:val="327B7EDF"/>
    <w:rsid w:val="32AB70C5"/>
    <w:rsid w:val="32EF2122"/>
    <w:rsid w:val="32F17F41"/>
    <w:rsid w:val="32FB3BC6"/>
    <w:rsid w:val="332038B4"/>
    <w:rsid w:val="33247607"/>
    <w:rsid w:val="333014B0"/>
    <w:rsid w:val="333E5BB1"/>
    <w:rsid w:val="335D0AF5"/>
    <w:rsid w:val="336917EF"/>
    <w:rsid w:val="336B2EA4"/>
    <w:rsid w:val="336B3E67"/>
    <w:rsid w:val="3370088C"/>
    <w:rsid w:val="33872039"/>
    <w:rsid w:val="339A687B"/>
    <w:rsid w:val="33DC2F78"/>
    <w:rsid w:val="33EE2210"/>
    <w:rsid w:val="34221223"/>
    <w:rsid w:val="3428227C"/>
    <w:rsid w:val="343230D5"/>
    <w:rsid w:val="3439428E"/>
    <w:rsid w:val="34571EF7"/>
    <w:rsid w:val="34601B4D"/>
    <w:rsid w:val="347918A5"/>
    <w:rsid w:val="34802E4C"/>
    <w:rsid w:val="349D37D5"/>
    <w:rsid w:val="34A61BDE"/>
    <w:rsid w:val="34BB7B5F"/>
    <w:rsid w:val="350B4C6D"/>
    <w:rsid w:val="3522586C"/>
    <w:rsid w:val="35572473"/>
    <w:rsid w:val="35602226"/>
    <w:rsid w:val="356B72E7"/>
    <w:rsid w:val="356D2AC8"/>
    <w:rsid w:val="3572424F"/>
    <w:rsid w:val="35734CF3"/>
    <w:rsid w:val="35866014"/>
    <w:rsid w:val="359E5CE0"/>
    <w:rsid w:val="35CF507F"/>
    <w:rsid w:val="35D275C3"/>
    <w:rsid w:val="35D64779"/>
    <w:rsid w:val="35E41262"/>
    <w:rsid w:val="35E50FBB"/>
    <w:rsid w:val="3621145D"/>
    <w:rsid w:val="362B215D"/>
    <w:rsid w:val="36407D2B"/>
    <w:rsid w:val="366666CA"/>
    <w:rsid w:val="3667523C"/>
    <w:rsid w:val="367070F4"/>
    <w:rsid w:val="367801A9"/>
    <w:rsid w:val="36807FCC"/>
    <w:rsid w:val="369B334E"/>
    <w:rsid w:val="36A7132A"/>
    <w:rsid w:val="36AD519D"/>
    <w:rsid w:val="36B57705"/>
    <w:rsid w:val="36B93E53"/>
    <w:rsid w:val="36DC1DD3"/>
    <w:rsid w:val="36F3711D"/>
    <w:rsid w:val="36F541F6"/>
    <w:rsid w:val="36FC25DD"/>
    <w:rsid w:val="37090CD6"/>
    <w:rsid w:val="37122320"/>
    <w:rsid w:val="3754697A"/>
    <w:rsid w:val="37636A21"/>
    <w:rsid w:val="377662ED"/>
    <w:rsid w:val="377C03A4"/>
    <w:rsid w:val="37A103ED"/>
    <w:rsid w:val="37A367C3"/>
    <w:rsid w:val="37BD33EE"/>
    <w:rsid w:val="37CE0B2F"/>
    <w:rsid w:val="37E02B23"/>
    <w:rsid w:val="37E345A6"/>
    <w:rsid w:val="37EA5E6E"/>
    <w:rsid w:val="37EC6A58"/>
    <w:rsid w:val="37FB2268"/>
    <w:rsid w:val="37FF016F"/>
    <w:rsid w:val="382A6E2D"/>
    <w:rsid w:val="382D7BC8"/>
    <w:rsid w:val="386E4145"/>
    <w:rsid w:val="387C5ABE"/>
    <w:rsid w:val="38B66D0C"/>
    <w:rsid w:val="38D41643"/>
    <w:rsid w:val="38E22724"/>
    <w:rsid w:val="38EB6119"/>
    <w:rsid w:val="39044996"/>
    <w:rsid w:val="392C6D9B"/>
    <w:rsid w:val="392D192B"/>
    <w:rsid w:val="393B020C"/>
    <w:rsid w:val="39506E15"/>
    <w:rsid w:val="396678D9"/>
    <w:rsid w:val="39790BE6"/>
    <w:rsid w:val="397A0ADB"/>
    <w:rsid w:val="39844799"/>
    <w:rsid w:val="39902D77"/>
    <w:rsid w:val="39954B2B"/>
    <w:rsid w:val="39A11A20"/>
    <w:rsid w:val="39DA2245"/>
    <w:rsid w:val="39E66E3B"/>
    <w:rsid w:val="39FD4CC2"/>
    <w:rsid w:val="3A51228C"/>
    <w:rsid w:val="3A545E48"/>
    <w:rsid w:val="3A552E60"/>
    <w:rsid w:val="3A59330A"/>
    <w:rsid w:val="3A5D642F"/>
    <w:rsid w:val="3A744447"/>
    <w:rsid w:val="3A7607F4"/>
    <w:rsid w:val="3A78219D"/>
    <w:rsid w:val="3A995C5C"/>
    <w:rsid w:val="3AB210FC"/>
    <w:rsid w:val="3ADB7381"/>
    <w:rsid w:val="3AE612FB"/>
    <w:rsid w:val="3AF04A37"/>
    <w:rsid w:val="3B043A1D"/>
    <w:rsid w:val="3B1E01C3"/>
    <w:rsid w:val="3B3A4E88"/>
    <w:rsid w:val="3B3E5B8A"/>
    <w:rsid w:val="3B793A48"/>
    <w:rsid w:val="3B7E3699"/>
    <w:rsid w:val="3B85393E"/>
    <w:rsid w:val="3BCA4B8A"/>
    <w:rsid w:val="3BCD72F7"/>
    <w:rsid w:val="3BF423D7"/>
    <w:rsid w:val="3BFC2F5F"/>
    <w:rsid w:val="3C37146A"/>
    <w:rsid w:val="3C3D3625"/>
    <w:rsid w:val="3C414142"/>
    <w:rsid w:val="3C5B725E"/>
    <w:rsid w:val="3C84047F"/>
    <w:rsid w:val="3C88055A"/>
    <w:rsid w:val="3C8F40C0"/>
    <w:rsid w:val="3C9E57AB"/>
    <w:rsid w:val="3CAF79B9"/>
    <w:rsid w:val="3CB35097"/>
    <w:rsid w:val="3CF737A2"/>
    <w:rsid w:val="3D10295A"/>
    <w:rsid w:val="3D184041"/>
    <w:rsid w:val="3D332398"/>
    <w:rsid w:val="3D370C2A"/>
    <w:rsid w:val="3D414FC0"/>
    <w:rsid w:val="3D4F12A7"/>
    <w:rsid w:val="3D7730E8"/>
    <w:rsid w:val="3D7B5F78"/>
    <w:rsid w:val="3D7D049C"/>
    <w:rsid w:val="3DB80161"/>
    <w:rsid w:val="3DD50FA2"/>
    <w:rsid w:val="3DE20EAE"/>
    <w:rsid w:val="3DEF3701"/>
    <w:rsid w:val="3E0572FD"/>
    <w:rsid w:val="3E0720FE"/>
    <w:rsid w:val="3E1D6BA4"/>
    <w:rsid w:val="3E2819F6"/>
    <w:rsid w:val="3E287A22"/>
    <w:rsid w:val="3E2E2DF0"/>
    <w:rsid w:val="3E5500EC"/>
    <w:rsid w:val="3E59255D"/>
    <w:rsid w:val="3E5A7FE7"/>
    <w:rsid w:val="3E5F45D4"/>
    <w:rsid w:val="3E735044"/>
    <w:rsid w:val="3E7D40EF"/>
    <w:rsid w:val="3E955A6A"/>
    <w:rsid w:val="3E964D81"/>
    <w:rsid w:val="3ED6747E"/>
    <w:rsid w:val="3EE079CF"/>
    <w:rsid w:val="3EF66B2E"/>
    <w:rsid w:val="3EF76C87"/>
    <w:rsid w:val="3F217914"/>
    <w:rsid w:val="3F317078"/>
    <w:rsid w:val="3F636838"/>
    <w:rsid w:val="3F6902F3"/>
    <w:rsid w:val="3FD10810"/>
    <w:rsid w:val="3FD70BB0"/>
    <w:rsid w:val="3FFB55AC"/>
    <w:rsid w:val="40017152"/>
    <w:rsid w:val="401C5F9D"/>
    <w:rsid w:val="401C690C"/>
    <w:rsid w:val="401D7195"/>
    <w:rsid w:val="405C1C05"/>
    <w:rsid w:val="406A6750"/>
    <w:rsid w:val="407A652F"/>
    <w:rsid w:val="40825D97"/>
    <w:rsid w:val="40836C36"/>
    <w:rsid w:val="40870EA3"/>
    <w:rsid w:val="408A343A"/>
    <w:rsid w:val="409928E7"/>
    <w:rsid w:val="40997CFE"/>
    <w:rsid w:val="40C34607"/>
    <w:rsid w:val="40C96F78"/>
    <w:rsid w:val="40CE3DC0"/>
    <w:rsid w:val="40D7455A"/>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10E70"/>
    <w:rsid w:val="42321B6A"/>
    <w:rsid w:val="423E300F"/>
    <w:rsid w:val="4242005A"/>
    <w:rsid w:val="425656C8"/>
    <w:rsid w:val="4257273C"/>
    <w:rsid w:val="42687ACE"/>
    <w:rsid w:val="4270145E"/>
    <w:rsid w:val="429E6041"/>
    <w:rsid w:val="42BF4B02"/>
    <w:rsid w:val="42D33CD5"/>
    <w:rsid w:val="42FC76D0"/>
    <w:rsid w:val="42FD694D"/>
    <w:rsid w:val="43034DFA"/>
    <w:rsid w:val="435B2648"/>
    <w:rsid w:val="437D6687"/>
    <w:rsid w:val="438351F5"/>
    <w:rsid w:val="438D35EA"/>
    <w:rsid w:val="43BC1E57"/>
    <w:rsid w:val="43D23F8D"/>
    <w:rsid w:val="43D27A24"/>
    <w:rsid w:val="43D43F1D"/>
    <w:rsid w:val="43FA5777"/>
    <w:rsid w:val="44023422"/>
    <w:rsid w:val="44184A2D"/>
    <w:rsid w:val="441C1611"/>
    <w:rsid w:val="443C440B"/>
    <w:rsid w:val="44514F52"/>
    <w:rsid w:val="44543554"/>
    <w:rsid w:val="44761C8F"/>
    <w:rsid w:val="449722E3"/>
    <w:rsid w:val="449D7B09"/>
    <w:rsid w:val="44AE3FD4"/>
    <w:rsid w:val="44D0586F"/>
    <w:rsid w:val="44FA2D53"/>
    <w:rsid w:val="453C4912"/>
    <w:rsid w:val="455A546C"/>
    <w:rsid w:val="45687813"/>
    <w:rsid w:val="4571374F"/>
    <w:rsid w:val="458B1BB0"/>
    <w:rsid w:val="45A41560"/>
    <w:rsid w:val="45AD31D6"/>
    <w:rsid w:val="45B93426"/>
    <w:rsid w:val="45CF1361"/>
    <w:rsid w:val="45EA22B7"/>
    <w:rsid w:val="46084CE9"/>
    <w:rsid w:val="46425E5C"/>
    <w:rsid w:val="464C6420"/>
    <w:rsid w:val="46552F9B"/>
    <w:rsid w:val="467A0297"/>
    <w:rsid w:val="468B7125"/>
    <w:rsid w:val="46A91231"/>
    <w:rsid w:val="46B506EF"/>
    <w:rsid w:val="46C4691F"/>
    <w:rsid w:val="46CB53EF"/>
    <w:rsid w:val="46EE513F"/>
    <w:rsid w:val="470F5A71"/>
    <w:rsid w:val="47193906"/>
    <w:rsid w:val="473154FF"/>
    <w:rsid w:val="47382B01"/>
    <w:rsid w:val="47685427"/>
    <w:rsid w:val="476C4065"/>
    <w:rsid w:val="4779499C"/>
    <w:rsid w:val="477B6530"/>
    <w:rsid w:val="47801172"/>
    <w:rsid w:val="479D1D34"/>
    <w:rsid w:val="47AE6298"/>
    <w:rsid w:val="47B609C0"/>
    <w:rsid w:val="47EC3B04"/>
    <w:rsid w:val="47EC6277"/>
    <w:rsid w:val="48021483"/>
    <w:rsid w:val="481A219B"/>
    <w:rsid w:val="482D31EA"/>
    <w:rsid w:val="483B59A8"/>
    <w:rsid w:val="48447D02"/>
    <w:rsid w:val="485970A0"/>
    <w:rsid w:val="486A6E89"/>
    <w:rsid w:val="48823516"/>
    <w:rsid w:val="48877686"/>
    <w:rsid w:val="488B498B"/>
    <w:rsid w:val="48B176C2"/>
    <w:rsid w:val="48B65C71"/>
    <w:rsid w:val="48D550F0"/>
    <w:rsid w:val="48FB1909"/>
    <w:rsid w:val="4919718C"/>
    <w:rsid w:val="491F266E"/>
    <w:rsid w:val="492E6A57"/>
    <w:rsid w:val="495644E9"/>
    <w:rsid w:val="495839AA"/>
    <w:rsid w:val="49700A6F"/>
    <w:rsid w:val="49771AFE"/>
    <w:rsid w:val="49802948"/>
    <w:rsid w:val="4986089F"/>
    <w:rsid w:val="498B5309"/>
    <w:rsid w:val="499F0AAB"/>
    <w:rsid w:val="49C154CE"/>
    <w:rsid w:val="49C33FF5"/>
    <w:rsid w:val="49DB11EC"/>
    <w:rsid w:val="49E31DD1"/>
    <w:rsid w:val="49F25A7F"/>
    <w:rsid w:val="4A0030EE"/>
    <w:rsid w:val="4A0568D6"/>
    <w:rsid w:val="4A0C4F3C"/>
    <w:rsid w:val="4A162478"/>
    <w:rsid w:val="4A171EC9"/>
    <w:rsid w:val="4A1A1689"/>
    <w:rsid w:val="4A484D41"/>
    <w:rsid w:val="4A6D15F8"/>
    <w:rsid w:val="4A7617B6"/>
    <w:rsid w:val="4A8C4FB8"/>
    <w:rsid w:val="4A9A25BD"/>
    <w:rsid w:val="4A9E0551"/>
    <w:rsid w:val="4AB542AE"/>
    <w:rsid w:val="4AF72FEA"/>
    <w:rsid w:val="4AFF2C73"/>
    <w:rsid w:val="4B1477B3"/>
    <w:rsid w:val="4B1F062C"/>
    <w:rsid w:val="4B243D9D"/>
    <w:rsid w:val="4B281425"/>
    <w:rsid w:val="4B491FAA"/>
    <w:rsid w:val="4B6F66A1"/>
    <w:rsid w:val="4B85213F"/>
    <w:rsid w:val="4B8C2DEB"/>
    <w:rsid w:val="4B912203"/>
    <w:rsid w:val="4BBA3348"/>
    <w:rsid w:val="4BC915E9"/>
    <w:rsid w:val="4BFA3C9F"/>
    <w:rsid w:val="4BFA7F6C"/>
    <w:rsid w:val="4C107F48"/>
    <w:rsid w:val="4C2F0101"/>
    <w:rsid w:val="4C3117D0"/>
    <w:rsid w:val="4C3277BC"/>
    <w:rsid w:val="4C5C442D"/>
    <w:rsid w:val="4C681932"/>
    <w:rsid w:val="4C6D42A9"/>
    <w:rsid w:val="4C6F4A6E"/>
    <w:rsid w:val="4C716A38"/>
    <w:rsid w:val="4CB6767F"/>
    <w:rsid w:val="4CC0351C"/>
    <w:rsid w:val="4CC353EB"/>
    <w:rsid w:val="4CE64E14"/>
    <w:rsid w:val="4CE95EE5"/>
    <w:rsid w:val="4CF36F3C"/>
    <w:rsid w:val="4D006B89"/>
    <w:rsid w:val="4D007BC8"/>
    <w:rsid w:val="4D0602E5"/>
    <w:rsid w:val="4D0651AA"/>
    <w:rsid w:val="4D116C13"/>
    <w:rsid w:val="4D1470BD"/>
    <w:rsid w:val="4D154882"/>
    <w:rsid w:val="4D1C3C50"/>
    <w:rsid w:val="4D3D6E6E"/>
    <w:rsid w:val="4D603399"/>
    <w:rsid w:val="4D6A7284"/>
    <w:rsid w:val="4D6E30E1"/>
    <w:rsid w:val="4D867EE1"/>
    <w:rsid w:val="4D870085"/>
    <w:rsid w:val="4DBC4C65"/>
    <w:rsid w:val="4DC9105D"/>
    <w:rsid w:val="4DE2009B"/>
    <w:rsid w:val="4DF86974"/>
    <w:rsid w:val="4DFF1E22"/>
    <w:rsid w:val="4E0F235E"/>
    <w:rsid w:val="4E157689"/>
    <w:rsid w:val="4E2E44B5"/>
    <w:rsid w:val="4E314BE4"/>
    <w:rsid w:val="4E4651B8"/>
    <w:rsid w:val="4E471216"/>
    <w:rsid w:val="4E533FA5"/>
    <w:rsid w:val="4E550010"/>
    <w:rsid w:val="4E5F14CB"/>
    <w:rsid w:val="4E6808B0"/>
    <w:rsid w:val="4E780BC4"/>
    <w:rsid w:val="4EBA42F2"/>
    <w:rsid w:val="4EC00DDD"/>
    <w:rsid w:val="4ED908C5"/>
    <w:rsid w:val="4EF265BE"/>
    <w:rsid w:val="4EFB1C45"/>
    <w:rsid w:val="4F0C2A48"/>
    <w:rsid w:val="4F26273B"/>
    <w:rsid w:val="4F2D3A8A"/>
    <w:rsid w:val="4F32478A"/>
    <w:rsid w:val="4F3705F8"/>
    <w:rsid w:val="4F687F31"/>
    <w:rsid w:val="4F6B5360"/>
    <w:rsid w:val="4F913A9A"/>
    <w:rsid w:val="4F9714A0"/>
    <w:rsid w:val="4FA26F09"/>
    <w:rsid w:val="4FAA3F91"/>
    <w:rsid w:val="4FAC3540"/>
    <w:rsid w:val="4FCF1583"/>
    <w:rsid w:val="4FCF3A9D"/>
    <w:rsid w:val="4FD23E66"/>
    <w:rsid w:val="4FD44D1B"/>
    <w:rsid w:val="4FDC066D"/>
    <w:rsid w:val="4FFA7625"/>
    <w:rsid w:val="50453E7E"/>
    <w:rsid w:val="50594CF7"/>
    <w:rsid w:val="507D2599"/>
    <w:rsid w:val="5096229D"/>
    <w:rsid w:val="509E157D"/>
    <w:rsid w:val="50A6165E"/>
    <w:rsid w:val="50DC4184"/>
    <w:rsid w:val="50FB6146"/>
    <w:rsid w:val="5102230C"/>
    <w:rsid w:val="512F4CA0"/>
    <w:rsid w:val="51361FFF"/>
    <w:rsid w:val="513D4C38"/>
    <w:rsid w:val="514C3EA7"/>
    <w:rsid w:val="51AC4D00"/>
    <w:rsid w:val="51FF3C99"/>
    <w:rsid w:val="520325EA"/>
    <w:rsid w:val="522A20E4"/>
    <w:rsid w:val="5233653E"/>
    <w:rsid w:val="52363D4D"/>
    <w:rsid w:val="524A2AC9"/>
    <w:rsid w:val="52521A20"/>
    <w:rsid w:val="528604EC"/>
    <w:rsid w:val="528648C0"/>
    <w:rsid w:val="529E2C3A"/>
    <w:rsid w:val="52AC4ABC"/>
    <w:rsid w:val="52C201B9"/>
    <w:rsid w:val="52E1183E"/>
    <w:rsid w:val="52E57A12"/>
    <w:rsid w:val="52F20B62"/>
    <w:rsid w:val="52F27620"/>
    <w:rsid w:val="530D1577"/>
    <w:rsid w:val="531C4FCC"/>
    <w:rsid w:val="53827E49"/>
    <w:rsid w:val="538A6BB9"/>
    <w:rsid w:val="539964FD"/>
    <w:rsid w:val="539C1B81"/>
    <w:rsid w:val="539D7755"/>
    <w:rsid w:val="53A447B1"/>
    <w:rsid w:val="53AE750F"/>
    <w:rsid w:val="53BE40A3"/>
    <w:rsid w:val="53D224B3"/>
    <w:rsid w:val="53E27C66"/>
    <w:rsid w:val="53EB3560"/>
    <w:rsid w:val="53F81D96"/>
    <w:rsid w:val="541D5DE8"/>
    <w:rsid w:val="541F57C4"/>
    <w:rsid w:val="544B5214"/>
    <w:rsid w:val="546F523C"/>
    <w:rsid w:val="54782FBD"/>
    <w:rsid w:val="5483138F"/>
    <w:rsid w:val="5488523A"/>
    <w:rsid w:val="549A6BFA"/>
    <w:rsid w:val="549E1F4C"/>
    <w:rsid w:val="54AB56D0"/>
    <w:rsid w:val="54C341E7"/>
    <w:rsid w:val="54CC567F"/>
    <w:rsid w:val="54D933CD"/>
    <w:rsid w:val="54FE2E33"/>
    <w:rsid w:val="551751CF"/>
    <w:rsid w:val="5522558F"/>
    <w:rsid w:val="55244D7F"/>
    <w:rsid w:val="55305397"/>
    <w:rsid w:val="55362287"/>
    <w:rsid w:val="55432F3C"/>
    <w:rsid w:val="554B299D"/>
    <w:rsid w:val="55A37FFD"/>
    <w:rsid w:val="55AE22F1"/>
    <w:rsid w:val="55BC03CC"/>
    <w:rsid w:val="55BC0587"/>
    <w:rsid w:val="55C3227E"/>
    <w:rsid w:val="55CE1AA9"/>
    <w:rsid w:val="55F6381F"/>
    <w:rsid w:val="55FA2961"/>
    <w:rsid w:val="5602250F"/>
    <w:rsid w:val="563D53C1"/>
    <w:rsid w:val="564220BA"/>
    <w:rsid w:val="565E7F4F"/>
    <w:rsid w:val="565F3DA6"/>
    <w:rsid w:val="56903F9A"/>
    <w:rsid w:val="56914056"/>
    <w:rsid w:val="56B61E36"/>
    <w:rsid w:val="56C36589"/>
    <w:rsid w:val="570D55B0"/>
    <w:rsid w:val="570E4AB5"/>
    <w:rsid w:val="57293C95"/>
    <w:rsid w:val="572A6381"/>
    <w:rsid w:val="572B41B4"/>
    <w:rsid w:val="57365868"/>
    <w:rsid w:val="573C1959"/>
    <w:rsid w:val="57554571"/>
    <w:rsid w:val="57A17808"/>
    <w:rsid w:val="57C41B41"/>
    <w:rsid w:val="57F65317"/>
    <w:rsid w:val="57FC2169"/>
    <w:rsid w:val="58024015"/>
    <w:rsid w:val="58096275"/>
    <w:rsid w:val="58161BE4"/>
    <w:rsid w:val="5819544F"/>
    <w:rsid w:val="582D6D32"/>
    <w:rsid w:val="582E6EF7"/>
    <w:rsid w:val="583278A5"/>
    <w:rsid w:val="584E30E6"/>
    <w:rsid w:val="58546EFD"/>
    <w:rsid w:val="58763142"/>
    <w:rsid w:val="5881703E"/>
    <w:rsid w:val="589871D6"/>
    <w:rsid w:val="58AB786E"/>
    <w:rsid w:val="58D02C46"/>
    <w:rsid w:val="58D0673C"/>
    <w:rsid w:val="58E26731"/>
    <w:rsid w:val="58EB1371"/>
    <w:rsid w:val="58F43986"/>
    <w:rsid w:val="59091D98"/>
    <w:rsid w:val="590E4A97"/>
    <w:rsid w:val="591250FF"/>
    <w:rsid w:val="5920012C"/>
    <w:rsid w:val="593700E7"/>
    <w:rsid w:val="595578DE"/>
    <w:rsid w:val="597B384D"/>
    <w:rsid w:val="597D1A46"/>
    <w:rsid w:val="59996DA8"/>
    <w:rsid w:val="59C30F1B"/>
    <w:rsid w:val="59CE4759"/>
    <w:rsid w:val="59D06015"/>
    <w:rsid w:val="59D90B78"/>
    <w:rsid w:val="5A814766"/>
    <w:rsid w:val="5A8C20D0"/>
    <w:rsid w:val="5A931CE6"/>
    <w:rsid w:val="5ABC29E4"/>
    <w:rsid w:val="5AC7121C"/>
    <w:rsid w:val="5AD90B8D"/>
    <w:rsid w:val="5AE12927"/>
    <w:rsid w:val="5AE35472"/>
    <w:rsid w:val="5AEB5D7B"/>
    <w:rsid w:val="5AF41CF3"/>
    <w:rsid w:val="5AF87CC9"/>
    <w:rsid w:val="5B07329F"/>
    <w:rsid w:val="5B12314B"/>
    <w:rsid w:val="5B1C7CE6"/>
    <w:rsid w:val="5B4E1A44"/>
    <w:rsid w:val="5B873201"/>
    <w:rsid w:val="5B967767"/>
    <w:rsid w:val="5B9D1624"/>
    <w:rsid w:val="5BBF19C8"/>
    <w:rsid w:val="5BBF73E2"/>
    <w:rsid w:val="5BEA4DF4"/>
    <w:rsid w:val="5BEE5378"/>
    <w:rsid w:val="5C0C2FF6"/>
    <w:rsid w:val="5C1241CC"/>
    <w:rsid w:val="5C286807"/>
    <w:rsid w:val="5C34339E"/>
    <w:rsid w:val="5C355656"/>
    <w:rsid w:val="5C370E72"/>
    <w:rsid w:val="5C446BC8"/>
    <w:rsid w:val="5C4B56E1"/>
    <w:rsid w:val="5C7146B1"/>
    <w:rsid w:val="5C7C2768"/>
    <w:rsid w:val="5C7E7B39"/>
    <w:rsid w:val="5CAD3BC1"/>
    <w:rsid w:val="5CAE62DC"/>
    <w:rsid w:val="5CB23AE6"/>
    <w:rsid w:val="5CED5863"/>
    <w:rsid w:val="5D0D6DF5"/>
    <w:rsid w:val="5D4A5E05"/>
    <w:rsid w:val="5D580A8A"/>
    <w:rsid w:val="5D7E6D71"/>
    <w:rsid w:val="5D893B14"/>
    <w:rsid w:val="5DA558E5"/>
    <w:rsid w:val="5DB42C29"/>
    <w:rsid w:val="5E1219F7"/>
    <w:rsid w:val="5E18541D"/>
    <w:rsid w:val="5E231AC4"/>
    <w:rsid w:val="5E291636"/>
    <w:rsid w:val="5E48511F"/>
    <w:rsid w:val="5E655B72"/>
    <w:rsid w:val="5E8B0770"/>
    <w:rsid w:val="5EA06921"/>
    <w:rsid w:val="5EBA259F"/>
    <w:rsid w:val="5EE1082B"/>
    <w:rsid w:val="5EE97BB4"/>
    <w:rsid w:val="5EEA135A"/>
    <w:rsid w:val="5EF55BC9"/>
    <w:rsid w:val="5F085DDA"/>
    <w:rsid w:val="5F2E2D52"/>
    <w:rsid w:val="5F54198B"/>
    <w:rsid w:val="5F5875E4"/>
    <w:rsid w:val="5F6C74C2"/>
    <w:rsid w:val="5F8D2D82"/>
    <w:rsid w:val="5F9D1350"/>
    <w:rsid w:val="5FA44AD1"/>
    <w:rsid w:val="5FA50CDB"/>
    <w:rsid w:val="5FBE370A"/>
    <w:rsid w:val="5FC61F2E"/>
    <w:rsid w:val="5FC83407"/>
    <w:rsid w:val="5FD56E87"/>
    <w:rsid w:val="5FF0558C"/>
    <w:rsid w:val="60015A45"/>
    <w:rsid w:val="60085A40"/>
    <w:rsid w:val="601A27F4"/>
    <w:rsid w:val="60292845"/>
    <w:rsid w:val="60593614"/>
    <w:rsid w:val="606D1789"/>
    <w:rsid w:val="606F2632"/>
    <w:rsid w:val="6071543B"/>
    <w:rsid w:val="607921FE"/>
    <w:rsid w:val="607E12CC"/>
    <w:rsid w:val="608F62AE"/>
    <w:rsid w:val="60B9251B"/>
    <w:rsid w:val="60E236C1"/>
    <w:rsid w:val="60E37983"/>
    <w:rsid w:val="60E54E33"/>
    <w:rsid w:val="611107E1"/>
    <w:rsid w:val="61260B6B"/>
    <w:rsid w:val="612B3ABB"/>
    <w:rsid w:val="612E1A5D"/>
    <w:rsid w:val="614E5D7E"/>
    <w:rsid w:val="616404C2"/>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1F43A9"/>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4D17CF2"/>
    <w:rsid w:val="64E33DF4"/>
    <w:rsid w:val="65032F85"/>
    <w:rsid w:val="651304A7"/>
    <w:rsid w:val="65136B50"/>
    <w:rsid w:val="652E163D"/>
    <w:rsid w:val="6531690D"/>
    <w:rsid w:val="65320485"/>
    <w:rsid w:val="655A12F3"/>
    <w:rsid w:val="657E2A35"/>
    <w:rsid w:val="65A94E9D"/>
    <w:rsid w:val="65B96B3F"/>
    <w:rsid w:val="65BE1071"/>
    <w:rsid w:val="65C60A92"/>
    <w:rsid w:val="65D86946"/>
    <w:rsid w:val="65DB19DF"/>
    <w:rsid w:val="660451CE"/>
    <w:rsid w:val="662A7F2C"/>
    <w:rsid w:val="66434B4A"/>
    <w:rsid w:val="664B3BEB"/>
    <w:rsid w:val="665346B7"/>
    <w:rsid w:val="667C7CCE"/>
    <w:rsid w:val="66A12460"/>
    <w:rsid w:val="66BE2423"/>
    <w:rsid w:val="66DD6702"/>
    <w:rsid w:val="66DE4AE6"/>
    <w:rsid w:val="66E612CF"/>
    <w:rsid w:val="66E856F1"/>
    <w:rsid w:val="66FB0BAD"/>
    <w:rsid w:val="671B1623"/>
    <w:rsid w:val="671E6EBA"/>
    <w:rsid w:val="6731269C"/>
    <w:rsid w:val="673528BF"/>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5389A"/>
    <w:rsid w:val="68A957C8"/>
    <w:rsid w:val="68AD17BB"/>
    <w:rsid w:val="68D6620B"/>
    <w:rsid w:val="68D94D22"/>
    <w:rsid w:val="68F06F2B"/>
    <w:rsid w:val="69011241"/>
    <w:rsid w:val="690B56C7"/>
    <w:rsid w:val="692B2E4A"/>
    <w:rsid w:val="696A0B34"/>
    <w:rsid w:val="69821807"/>
    <w:rsid w:val="698D6A17"/>
    <w:rsid w:val="699026E3"/>
    <w:rsid w:val="699E0BED"/>
    <w:rsid w:val="699F0522"/>
    <w:rsid w:val="69A9560C"/>
    <w:rsid w:val="69D37590"/>
    <w:rsid w:val="69EB543D"/>
    <w:rsid w:val="69F954C1"/>
    <w:rsid w:val="6A1E1E73"/>
    <w:rsid w:val="6A2031B6"/>
    <w:rsid w:val="6A2F57D7"/>
    <w:rsid w:val="6A3924BB"/>
    <w:rsid w:val="6A3C1D40"/>
    <w:rsid w:val="6A6432E1"/>
    <w:rsid w:val="6AA23DFF"/>
    <w:rsid w:val="6AA3205B"/>
    <w:rsid w:val="6AAA6F38"/>
    <w:rsid w:val="6AC61F6F"/>
    <w:rsid w:val="6AD34E53"/>
    <w:rsid w:val="6AD83EA1"/>
    <w:rsid w:val="6ADE3093"/>
    <w:rsid w:val="6ADE74F0"/>
    <w:rsid w:val="6B1D62E8"/>
    <w:rsid w:val="6B723594"/>
    <w:rsid w:val="6B805156"/>
    <w:rsid w:val="6B945E48"/>
    <w:rsid w:val="6B974A7B"/>
    <w:rsid w:val="6B9D1A33"/>
    <w:rsid w:val="6BD50977"/>
    <w:rsid w:val="6BE450D3"/>
    <w:rsid w:val="6BE60C84"/>
    <w:rsid w:val="6C2A7D61"/>
    <w:rsid w:val="6C4F0900"/>
    <w:rsid w:val="6C6C32E1"/>
    <w:rsid w:val="6C6E3E15"/>
    <w:rsid w:val="6C8B1F5D"/>
    <w:rsid w:val="6CA85D3A"/>
    <w:rsid w:val="6CAA3931"/>
    <w:rsid w:val="6CC81D46"/>
    <w:rsid w:val="6CC938CF"/>
    <w:rsid w:val="6CD75953"/>
    <w:rsid w:val="6CE2512E"/>
    <w:rsid w:val="6CEA06D7"/>
    <w:rsid w:val="6CED265F"/>
    <w:rsid w:val="6CF70607"/>
    <w:rsid w:val="6D162FB8"/>
    <w:rsid w:val="6D325918"/>
    <w:rsid w:val="6D3933CA"/>
    <w:rsid w:val="6D401810"/>
    <w:rsid w:val="6D4F725D"/>
    <w:rsid w:val="6D6261FE"/>
    <w:rsid w:val="6D6F31B7"/>
    <w:rsid w:val="6D7B222A"/>
    <w:rsid w:val="6D7B61EC"/>
    <w:rsid w:val="6D8E03AA"/>
    <w:rsid w:val="6DBB089F"/>
    <w:rsid w:val="6DC63038"/>
    <w:rsid w:val="6DDC5608"/>
    <w:rsid w:val="6DE30DE0"/>
    <w:rsid w:val="6DE6130A"/>
    <w:rsid w:val="6DEC0A05"/>
    <w:rsid w:val="6DFF5738"/>
    <w:rsid w:val="6DFF6D2D"/>
    <w:rsid w:val="6E09491E"/>
    <w:rsid w:val="6E0D3655"/>
    <w:rsid w:val="6E1A437E"/>
    <w:rsid w:val="6E3A144E"/>
    <w:rsid w:val="6E53398C"/>
    <w:rsid w:val="6E5606D3"/>
    <w:rsid w:val="6E5F4465"/>
    <w:rsid w:val="6E8B1663"/>
    <w:rsid w:val="6E8C54DA"/>
    <w:rsid w:val="6EB752BD"/>
    <w:rsid w:val="6EC26BBE"/>
    <w:rsid w:val="6EF11E03"/>
    <w:rsid w:val="6EF1241D"/>
    <w:rsid w:val="6EF36235"/>
    <w:rsid w:val="6EF82916"/>
    <w:rsid w:val="6F0B2DE7"/>
    <w:rsid w:val="6F111C62"/>
    <w:rsid w:val="6F2176E5"/>
    <w:rsid w:val="6F3A2A5F"/>
    <w:rsid w:val="6F4616F4"/>
    <w:rsid w:val="6F485729"/>
    <w:rsid w:val="6F4F7F03"/>
    <w:rsid w:val="6F5523A2"/>
    <w:rsid w:val="6F592303"/>
    <w:rsid w:val="6F5F5B74"/>
    <w:rsid w:val="6F682400"/>
    <w:rsid w:val="6F9600A4"/>
    <w:rsid w:val="6F98032D"/>
    <w:rsid w:val="6F9B1C65"/>
    <w:rsid w:val="6FA44937"/>
    <w:rsid w:val="6FAD3FB9"/>
    <w:rsid w:val="6FCA008A"/>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864E5"/>
    <w:rsid w:val="71396ACC"/>
    <w:rsid w:val="715B60E9"/>
    <w:rsid w:val="716F0EE9"/>
    <w:rsid w:val="7196674D"/>
    <w:rsid w:val="719E245E"/>
    <w:rsid w:val="71BA3FE5"/>
    <w:rsid w:val="71DD1E3C"/>
    <w:rsid w:val="71DD2757"/>
    <w:rsid w:val="71EA1FED"/>
    <w:rsid w:val="72165C6B"/>
    <w:rsid w:val="722021E3"/>
    <w:rsid w:val="72232FCF"/>
    <w:rsid w:val="72290340"/>
    <w:rsid w:val="722C6DDA"/>
    <w:rsid w:val="72515945"/>
    <w:rsid w:val="729243CB"/>
    <w:rsid w:val="72E661B1"/>
    <w:rsid w:val="72E95D5A"/>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0C0C71"/>
    <w:rsid w:val="745E7D35"/>
    <w:rsid w:val="7465362D"/>
    <w:rsid w:val="7475188D"/>
    <w:rsid w:val="749E16A8"/>
    <w:rsid w:val="74A040BF"/>
    <w:rsid w:val="74B42AE4"/>
    <w:rsid w:val="74C54993"/>
    <w:rsid w:val="74EB68F6"/>
    <w:rsid w:val="750A429D"/>
    <w:rsid w:val="752739E7"/>
    <w:rsid w:val="753531E5"/>
    <w:rsid w:val="75474B47"/>
    <w:rsid w:val="75533AB0"/>
    <w:rsid w:val="75614792"/>
    <w:rsid w:val="757271FA"/>
    <w:rsid w:val="75761866"/>
    <w:rsid w:val="75784473"/>
    <w:rsid w:val="75A242E2"/>
    <w:rsid w:val="75B10995"/>
    <w:rsid w:val="75B161B3"/>
    <w:rsid w:val="75DC6C44"/>
    <w:rsid w:val="75F05CC0"/>
    <w:rsid w:val="76104733"/>
    <w:rsid w:val="76111861"/>
    <w:rsid w:val="762C1A00"/>
    <w:rsid w:val="762F6A19"/>
    <w:rsid w:val="76341B33"/>
    <w:rsid w:val="76736B32"/>
    <w:rsid w:val="767943D6"/>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012B52"/>
    <w:rsid w:val="782A3EA3"/>
    <w:rsid w:val="78490703"/>
    <w:rsid w:val="78A50513"/>
    <w:rsid w:val="78C43087"/>
    <w:rsid w:val="78D37FAF"/>
    <w:rsid w:val="78EF7AB5"/>
    <w:rsid w:val="79047328"/>
    <w:rsid w:val="790D6849"/>
    <w:rsid w:val="795767E3"/>
    <w:rsid w:val="79586707"/>
    <w:rsid w:val="796518DD"/>
    <w:rsid w:val="796B01E8"/>
    <w:rsid w:val="79724BEF"/>
    <w:rsid w:val="797264AC"/>
    <w:rsid w:val="797F45B2"/>
    <w:rsid w:val="79AA0532"/>
    <w:rsid w:val="79FA22BC"/>
    <w:rsid w:val="79FE1DDD"/>
    <w:rsid w:val="7A075767"/>
    <w:rsid w:val="7A0C15B3"/>
    <w:rsid w:val="7A17139E"/>
    <w:rsid w:val="7A212062"/>
    <w:rsid w:val="7A21595E"/>
    <w:rsid w:val="7A2522C9"/>
    <w:rsid w:val="7A282A11"/>
    <w:rsid w:val="7A3A59B8"/>
    <w:rsid w:val="7A5D0F75"/>
    <w:rsid w:val="7A715CD2"/>
    <w:rsid w:val="7A921E9A"/>
    <w:rsid w:val="7A9E53BF"/>
    <w:rsid w:val="7AA914B9"/>
    <w:rsid w:val="7ABF2475"/>
    <w:rsid w:val="7AC21562"/>
    <w:rsid w:val="7AD474A4"/>
    <w:rsid w:val="7AFC38DE"/>
    <w:rsid w:val="7B303E8C"/>
    <w:rsid w:val="7B7D6B6D"/>
    <w:rsid w:val="7B865D50"/>
    <w:rsid w:val="7B8D34C3"/>
    <w:rsid w:val="7B971D84"/>
    <w:rsid w:val="7BAB0CB7"/>
    <w:rsid w:val="7BB4028F"/>
    <w:rsid w:val="7BC1107E"/>
    <w:rsid w:val="7BF32F03"/>
    <w:rsid w:val="7BF50D2C"/>
    <w:rsid w:val="7C066F4E"/>
    <w:rsid w:val="7C132CC6"/>
    <w:rsid w:val="7C1724A5"/>
    <w:rsid w:val="7C714CCE"/>
    <w:rsid w:val="7C8561DF"/>
    <w:rsid w:val="7CA54112"/>
    <w:rsid w:val="7CA553D9"/>
    <w:rsid w:val="7CAB27F5"/>
    <w:rsid w:val="7CAF438A"/>
    <w:rsid w:val="7CCC4E03"/>
    <w:rsid w:val="7CCE726D"/>
    <w:rsid w:val="7CD71EA3"/>
    <w:rsid w:val="7CE50CE4"/>
    <w:rsid w:val="7CE94EE1"/>
    <w:rsid w:val="7CF877E9"/>
    <w:rsid w:val="7D134762"/>
    <w:rsid w:val="7D244CB3"/>
    <w:rsid w:val="7D2E5ABF"/>
    <w:rsid w:val="7D4A45B8"/>
    <w:rsid w:val="7D535AC7"/>
    <w:rsid w:val="7D964A74"/>
    <w:rsid w:val="7DFB43EA"/>
    <w:rsid w:val="7E007625"/>
    <w:rsid w:val="7E040C0B"/>
    <w:rsid w:val="7E0737C8"/>
    <w:rsid w:val="7E131C51"/>
    <w:rsid w:val="7E176B90"/>
    <w:rsid w:val="7E203B02"/>
    <w:rsid w:val="7E2142A2"/>
    <w:rsid w:val="7E240411"/>
    <w:rsid w:val="7E331DAD"/>
    <w:rsid w:val="7E48335A"/>
    <w:rsid w:val="7E791C11"/>
    <w:rsid w:val="7E797DE5"/>
    <w:rsid w:val="7E7B0BF2"/>
    <w:rsid w:val="7E8D75B6"/>
    <w:rsid w:val="7E8E672B"/>
    <w:rsid w:val="7EA27DDF"/>
    <w:rsid w:val="7EAD27E3"/>
    <w:rsid w:val="7EB82FAB"/>
    <w:rsid w:val="7EB867D7"/>
    <w:rsid w:val="7EC67BB0"/>
    <w:rsid w:val="7ED809AD"/>
    <w:rsid w:val="7EE16853"/>
    <w:rsid w:val="7EF760EE"/>
    <w:rsid w:val="7EFF0D71"/>
    <w:rsid w:val="7F1C1F84"/>
    <w:rsid w:val="7F2536B5"/>
    <w:rsid w:val="7F2B0EE4"/>
    <w:rsid w:val="7F2C3CE7"/>
    <w:rsid w:val="7F5A01CA"/>
    <w:rsid w:val="7F652296"/>
    <w:rsid w:val="7F75661B"/>
    <w:rsid w:val="7FB17429"/>
    <w:rsid w:val="7FC237CA"/>
    <w:rsid w:val="7FF12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imes New Roman"/>
      <w:sz w:val="21"/>
      <w:szCs w:val="22"/>
      <w:lang w:val="en-US" w:eastAsia="zh-CN" w:bidi="ar-SA"/>
    </w:rPr>
  </w:style>
  <w:style w:type="paragraph" w:styleId="3">
    <w:name w:val="heading 1"/>
    <w:basedOn w:val="1"/>
    <w:next w:val="1"/>
    <w:link w:val="52"/>
    <w:qFormat/>
    <w:uiPriority w:val="9"/>
    <w:pPr>
      <w:keepNext/>
      <w:keepLines/>
      <w:spacing w:before="340" w:after="330" w:line="576" w:lineRule="auto"/>
      <w:outlineLvl w:val="0"/>
    </w:pPr>
    <w:rPr>
      <w:b/>
      <w:kern w:val="44"/>
      <w:sz w:val="44"/>
    </w:rPr>
  </w:style>
  <w:style w:type="paragraph" w:styleId="4">
    <w:name w:val="heading 2"/>
    <w:basedOn w:val="1"/>
    <w:next w:val="1"/>
    <w:link w:val="53"/>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1"/>
    <w:unhideWhenUsed/>
    <w:qFormat/>
    <w:uiPriority w:val="9"/>
    <w:pPr>
      <w:keepNext/>
      <w:keepLines/>
      <w:outlineLvl w:val="3"/>
    </w:pPr>
    <w:rPr>
      <w:rFonts w:ascii="Cambria" w:hAnsi="Cambria" w:cs="Times New Roman"/>
      <w:b/>
      <w:bCs/>
      <w:sz w:val="24"/>
      <w:szCs w:val="28"/>
    </w:rPr>
  </w:style>
  <w:style w:type="paragraph" w:styleId="7">
    <w:name w:val="heading 5"/>
    <w:basedOn w:val="1"/>
    <w:next w:val="1"/>
    <w:link w:val="54"/>
    <w:unhideWhenUsed/>
    <w:qFormat/>
    <w:uiPriority w:val="9"/>
    <w:pPr>
      <w:keepNext/>
      <w:keepLines/>
      <w:spacing w:before="280" w:after="290" w:line="372" w:lineRule="auto"/>
      <w:outlineLvl w:val="4"/>
    </w:pPr>
    <w:rPr>
      <w:b/>
      <w:sz w:val="28"/>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50"/>
    <w:qFormat/>
    <w:uiPriority w:val="1"/>
    <w:pPr>
      <w:spacing w:before="161"/>
      <w:ind w:left="120"/>
    </w:pPr>
    <w:rPr>
      <w:rFonts w:ascii="宋体" w:hAnsi="宋体" w:cs="宋体"/>
      <w:sz w:val="24"/>
      <w:lang w:val="zh-CN" w:bidi="zh-CN"/>
    </w:rPr>
  </w:style>
  <w:style w:type="paragraph" w:styleId="8">
    <w:name w:val="annotation subject"/>
    <w:basedOn w:val="9"/>
    <w:next w:val="9"/>
    <w:link w:val="42"/>
    <w:unhideWhenUsed/>
    <w:qFormat/>
    <w:uiPriority w:val="99"/>
    <w:rPr>
      <w:b/>
      <w:bCs/>
    </w:rPr>
  </w:style>
  <w:style w:type="paragraph" w:styleId="9">
    <w:name w:val="annotation text"/>
    <w:basedOn w:val="1"/>
    <w:link w:val="43"/>
    <w:unhideWhenUsed/>
    <w:qFormat/>
    <w:uiPriority w:val="0"/>
  </w:style>
  <w:style w:type="paragraph" w:styleId="10">
    <w:name w:val="toc 7"/>
    <w:basedOn w:val="1"/>
    <w:next w:val="1"/>
    <w:unhideWhenUsed/>
    <w:qFormat/>
    <w:uiPriority w:val="39"/>
    <w:pPr>
      <w:widowControl w:val="0"/>
      <w:adjustRightInd/>
      <w:snapToGrid/>
      <w:spacing w:line="240" w:lineRule="auto"/>
      <w:ind w:left="2520" w:leftChars="1200"/>
      <w:jc w:val="both"/>
    </w:pPr>
    <w:rPr>
      <w:rFonts w:ascii="Calibri" w:hAnsi="Calibri" w:eastAsia="宋体"/>
      <w:kern w:val="2"/>
    </w:rPr>
  </w:style>
  <w:style w:type="paragraph" w:styleId="11">
    <w:name w:val="Normal Indent"/>
    <w:basedOn w:val="1"/>
    <w:qFormat/>
    <w:uiPriority w:val="0"/>
    <w:pPr>
      <w:widowControl/>
      <w:autoSpaceDE/>
      <w:autoSpaceDN/>
      <w:adjustRightInd/>
      <w:ind w:firstLine="420" w:firstLineChars="200"/>
    </w:pPr>
    <w:rPr>
      <w:rFonts w:ascii="Calibri"/>
      <w:sz w:val="20"/>
      <w:szCs w:val="20"/>
    </w:rPr>
  </w:style>
  <w:style w:type="paragraph" w:styleId="12">
    <w:name w:val="Body Text Indent"/>
    <w:basedOn w:val="1"/>
    <w:qFormat/>
    <w:uiPriority w:val="0"/>
    <w:pPr>
      <w:ind w:left="359" w:leftChars="171" w:firstLine="179" w:firstLineChars="85"/>
    </w:pPr>
    <w:rPr>
      <w:rFonts w:ascii="宋体" w:hAnsi="宋体"/>
      <w:b/>
      <w:bCs/>
      <w:szCs w:val="26"/>
    </w:rPr>
  </w:style>
  <w:style w:type="paragraph" w:styleId="13">
    <w:name w:val="toc 5"/>
    <w:basedOn w:val="1"/>
    <w:next w:val="1"/>
    <w:link w:val="49"/>
    <w:unhideWhenUsed/>
    <w:qFormat/>
    <w:uiPriority w:val="39"/>
    <w:pPr>
      <w:widowControl w:val="0"/>
      <w:adjustRightInd/>
      <w:snapToGrid/>
      <w:spacing w:line="240" w:lineRule="auto"/>
      <w:ind w:left="1680" w:leftChars="800"/>
      <w:jc w:val="both"/>
    </w:pPr>
    <w:rPr>
      <w:rFonts w:ascii="Calibri" w:hAnsi="Calibri" w:eastAsia="宋体"/>
      <w:kern w:val="2"/>
    </w:rPr>
  </w:style>
  <w:style w:type="paragraph" w:styleId="14">
    <w:name w:val="toc 3"/>
    <w:basedOn w:val="1"/>
    <w:next w:val="1"/>
    <w:unhideWhenUsed/>
    <w:qFormat/>
    <w:uiPriority w:val="39"/>
    <w:pPr>
      <w:tabs>
        <w:tab w:val="right" w:leader="dot" w:pos="8296"/>
      </w:tabs>
      <w:ind w:left="838" w:leftChars="381"/>
    </w:pPr>
    <w:rPr>
      <w:szCs w:val="21"/>
    </w:rPr>
  </w:style>
  <w:style w:type="paragraph" w:styleId="15">
    <w:name w:val="Plain Text"/>
    <w:basedOn w:val="1"/>
    <w:link w:val="55"/>
    <w:qFormat/>
    <w:uiPriority w:val="0"/>
    <w:pPr>
      <w:widowControl w:val="0"/>
      <w:adjustRightInd/>
      <w:snapToGrid/>
      <w:jc w:val="both"/>
    </w:pPr>
    <w:rPr>
      <w:rFonts w:ascii="宋体" w:hAnsi="Courier New" w:cs="Times New Roman"/>
      <w:b/>
      <w:kern w:val="2"/>
      <w:szCs w:val="20"/>
    </w:rPr>
  </w:style>
  <w:style w:type="paragraph" w:styleId="16">
    <w:name w:val="toc 8"/>
    <w:basedOn w:val="1"/>
    <w:next w:val="1"/>
    <w:unhideWhenUsed/>
    <w:qFormat/>
    <w:uiPriority w:val="39"/>
    <w:pPr>
      <w:widowControl w:val="0"/>
      <w:adjustRightInd/>
      <w:snapToGrid/>
      <w:spacing w:line="240" w:lineRule="auto"/>
      <w:ind w:left="2940" w:leftChars="1400"/>
      <w:jc w:val="both"/>
    </w:pPr>
    <w:rPr>
      <w:rFonts w:ascii="Calibri" w:hAnsi="Calibri" w:eastAsia="宋体"/>
      <w:kern w:val="2"/>
    </w:rPr>
  </w:style>
  <w:style w:type="paragraph" w:styleId="17">
    <w:name w:val="Balloon Text"/>
    <w:basedOn w:val="1"/>
    <w:link w:val="47"/>
    <w:unhideWhenUsed/>
    <w:qFormat/>
    <w:uiPriority w:val="99"/>
    <w:rPr>
      <w:sz w:val="18"/>
      <w:szCs w:val="18"/>
    </w:rPr>
  </w:style>
  <w:style w:type="paragraph" w:styleId="18">
    <w:name w:val="footer"/>
    <w:basedOn w:val="1"/>
    <w:link w:val="57"/>
    <w:unhideWhenUsed/>
    <w:qFormat/>
    <w:uiPriority w:val="99"/>
    <w:pPr>
      <w:tabs>
        <w:tab w:val="center" w:pos="4153"/>
        <w:tab w:val="right" w:pos="8306"/>
      </w:tabs>
    </w:pPr>
    <w:rPr>
      <w:sz w:val="18"/>
      <w:szCs w:val="18"/>
    </w:rPr>
  </w:style>
  <w:style w:type="paragraph" w:styleId="19">
    <w:name w:val="header"/>
    <w:basedOn w:val="1"/>
    <w:link w:val="58"/>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tabs>
        <w:tab w:val="right" w:leader="dot" w:pos="8296"/>
      </w:tabs>
      <w:spacing w:after="120"/>
      <w:ind w:left="1320" w:leftChars="600"/>
    </w:pPr>
  </w:style>
  <w:style w:type="paragraph" w:styleId="22">
    <w:name w:val="footnote text"/>
    <w:basedOn w:val="1"/>
    <w:unhideWhenUsed/>
    <w:qFormat/>
    <w:uiPriority w:val="99"/>
    <w:rPr>
      <w:sz w:val="18"/>
    </w:rPr>
  </w:style>
  <w:style w:type="paragraph" w:styleId="23">
    <w:name w:val="toc 6"/>
    <w:basedOn w:val="1"/>
    <w:next w:val="1"/>
    <w:qFormat/>
    <w:uiPriority w:val="39"/>
    <w:pPr>
      <w:ind w:left="1200"/>
    </w:pPr>
    <w:rPr>
      <w:rFonts w:ascii="Calibri" w:cs="Calibri"/>
      <w:sz w:val="18"/>
      <w:szCs w:val="18"/>
    </w:rPr>
  </w:style>
  <w:style w:type="paragraph" w:styleId="24">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5">
    <w:name w:val="toc 9"/>
    <w:basedOn w:val="1"/>
    <w:next w:val="1"/>
    <w:unhideWhenUsed/>
    <w:qFormat/>
    <w:uiPriority w:val="39"/>
    <w:pPr>
      <w:widowControl w:val="0"/>
      <w:adjustRightInd/>
      <w:snapToGrid/>
      <w:spacing w:line="240" w:lineRule="auto"/>
      <w:ind w:left="3360" w:leftChars="1600"/>
      <w:jc w:val="both"/>
    </w:pPr>
    <w:rPr>
      <w:rFonts w:ascii="Calibri" w:hAnsi="Calibri" w:eastAsia="宋体"/>
      <w:kern w:val="2"/>
    </w:rPr>
  </w:style>
  <w:style w:type="paragraph" w:styleId="26">
    <w:name w:val="Normal (Web)"/>
    <w:basedOn w:val="1"/>
    <w:link w:val="40"/>
    <w:qFormat/>
    <w:uiPriority w:val="0"/>
    <w:pPr>
      <w:widowControl w:val="0"/>
      <w:adjustRightInd/>
      <w:snapToGrid/>
      <w:jc w:val="both"/>
    </w:pPr>
    <w:rPr>
      <w:rFonts w:ascii="Calibri" w:hAnsi="Calibri"/>
      <w:kern w:val="2"/>
      <w:sz w:val="24"/>
      <w:szCs w:val="24"/>
    </w:rPr>
  </w:style>
  <w:style w:type="character" w:styleId="28">
    <w:name w:val="page number"/>
    <w:basedOn w:val="27"/>
    <w:qFormat/>
    <w:uiPriority w:val="0"/>
  </w:style>
  <w:style w:type="character" w:styleId="29">
    <w:name w:val="Emphasis"/>
    <w:basedOn w:val="27"/>
    <w:qFormat/>
    <w:uiPriority w:val="20"/>
    <w:rPr>
      <w:i/>
      <w:iCs/>
    </w:rPr>
  </w:style>
  <w:style w:type="character" w:styleId="30">
    <w:name w:val="Hyperlink"/>
    <w:qFormat/>
    <w:uiPriority w:val="99"/>
    <w:rPr>
      <w:rFonts w:hint="eastAsia" w:ascii="宋体" w:hAnsi="宋体" w:eastAsia="宋体" w:cs="宋体"/>
      <w:b/>
      <w:color w:val="0031C1"/>
      <w:kern w:val="0"/>
      <w:sz w:val="18"/>
      <w:szCs w:val="18"/>
      <w:u w:val="none"/>
      <w:lang w:eastAsia="en-US"/>
    </w:rPr>
  </w:style>
  <w:style w:type="character" w:styleId="31">
    <w:name w:val="annotation reference"/>
    <w:basedOn w:val="27"/>
    <w:unhideWhenUsed/>
    <w:qFormat/>
    <w:uiPriority w:val="99"/>
    <w:rPr>
      <w:sz w:val="21"/>
      <w:szCs w:val="21"/>
    </w:rPr>
  </w:style>
  <w:style w:type="character" w:styleId="32">
    <w:name w:val="footnote reference"/>
    <w:basedOn w:val="27"/>
    <w:unhideWhenUsed/>
    <w:qFormat/>
    <w:uiPriority w:val="99"/>
    <w:rPr>
      <w:vertAlign w:val="superscript"/>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paragraph" w:customStyle="1" w:styleId="36">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9">
    <w:name w:val="样式 正文首行缩进 + 首行缩进:  1 字符"/>
    <w:basedOn w:val="1"/>
    <w:next w:val="1"/>
    <w:qFormat/>
    <w:uiPriority w:val="0"/>
    <w:pPr>
      <w:ind w:firstLine="200" w:firstLineChars="200"/>
    </w:pPr>
    <w:rPr>
      <w:rFonts w:cs="宋体"/>
      <w:szCs w:val="20"/>
    </w:rPr>
  </w:style>
  <w:style w:type="character" w:customStyle="1" w:styleId="40">
    <w:name w:val="普通(网站) 字符"/>
    <w:link w:val="26"/>
    <w:qFormat/>
    <w:uiPriority w:val="0"/>
    <w:rPr>
      <w:rFonts w:eastAsia="宋体"/>
      <w:kern w:val="2"/>
      <w:sz w:val="24"/>
      <w:szCs w:val="24"/>
    </w:rPr>
  </w:style>
  <w:style w:type="character" w:customStyle="1" w:styleId="41">
    <w:name w:val="样式 楷体_GB2312 小四"/>
    <w:qFormat/>
    <w:uiPriority w:val="0"/>
    <w:rPr>
      <w:rFonts w:ascii="楷体_GB2312" w:hAnsi="楷体_GB2312" w:eastAsia="仿宋_GB2312"/>
      <w:sz w:val="24"/>
    </w:rPr>
  </w:style>
  <w:style w:type="character" w:customStyle="1" w:styleId="42">
    <w:name w:val="批注主题 字符"/>
    <w:basedOn w:val="43"/>
    <w:link w:val="8"/>
    <w:semiHidden/>
    <w:qFormat/>
    <w:uiPriority w:val="99"/>
    <w:rPr>
      <w:rFonts w:ascii="Tahoma" w:hAnsi="Tahoma" w:eastAsia="微软雅黑" w:cs="Times New Roman"/>
      <w:b/>
      <w:bCs/>
      <w:sz w:val="22"/>
      <w:szCs w:val="22"/>
    </w:rPr>
  </w:style>
  <w:style w:type="character" w:customStyle="1" w:styleId="43">
    <w:name w:val="批注文字 字符"/>
    <w:basedOn w:val="27"/>
    <w:link w:val="9"/>
    <w:qFormat/>
    <w:uiPriority w:val="0"/>
    <w:rPr>
      <w:rFonts w:ascii="Tahoma" w:hAnsi="Tahoma" w:eastAsia="微软雅黑" w:cs="Times New Roman"/>
      <w:sz w:val="22"/>
      <w:szCs w:val="22"/>
    </w:rPr>
  </w:style>
  <w:style w:type="character" w:customStyle="1" w:styleId="44">
    <w:name w:val="正文缩进2格 Char Char"/>
    <w:qFormat/>
    <w:uiPriority w:val="0"/>
    <w:rPr>
      <w:rFonts w:ascii="仿宋_GB2312" w:hAnsi="宋体" w:eastAsia="仿宋_GB2312" w:cs="Times New Roman"/>
      <w:b/>
      <w:kern w:val="2"/>
      <w:sz w:val="31"/>
      <w:szCs w:val="28"/>
      <w:lang w:val="en-US" w:eastAsia="zh-CN" w:bidi="ar-SA"/>
    </w:rPr>
  </w:style>
  <w:style w:type="character" w:customStyle="1" w:styleId="45">
    <w:name w:val="正文缩进2格 Char"/>
    <w:link w:val="46"/>
    <w:qFormat/>
    <w:uiPriority w:val="0"/>
    <w:rPr>
      <w:rFonts w:ascii="仿宋_GB2312" w:hAnsi="宋体" w:eastAsia="仿宋_GB2312"/>
      <w:kern w:val="2"/>
      <w:sz w:val="31"/>
    </w:rPr>
  </w:style>
  <w:style w:type="paragraph" w:customStyle="1" w:styleId="46">
    <w:name w:val="正文缩进2格"/>
    <w:basedOn w:val="1"/>
    <w:link w:val="45"/>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character" w:customStyle="1" w:styleId="47">
    <w:name w:val="批注框文本 字符"/>
    <w:basedOn w:val="27"/>
    <w:link w:val="17"/>
    <w:semiHidden/>
    <w:qFormat/>
    <w:uiPriority w:val="99"/>
    <w:rPr>
      <w:rFonts w:ascii="Tahoma" w:hAnsi="Tahoma"/>
      <w:sz w:val="18"/>
      <w:szCs w:val="18"/>
    </w:rPr>
  </w:style>
  <w:style w:type="character" w:customStyle="1" w:styleId="48">
    <w:name w:val="标题 3 字符"/>
    <w:basedOn w:val="27"/>
    <w:link w:val="5"/>
    <w:qFormat/>
    <w:uiPriority w:val="9"/>
    <w:rPr>
      <w:rFonts w:ascii="Tahoma" w:hAnsi="Tahoma"/>
      <w:b/>
      <w:bCs/>
      <w:sz w:val="32"/>
      <w:szCs w:val="32"/>
    </w:rPr>
  </w:style>
  <w:style w:type="character" w:customStyle="1" w:styleId="49">
    <w:name w:val="目录 5 字符"/>
    <w:link w:val="13"/>
    <w:qFormat/>
    <w:uiPriority w:val="39"/>
    <w:rPr>
      <w:rFonts w:ascii="Calibri" w:hAnsi="Calibri" w:eastAsia="宋体" w:cs="Times New Roman"/>
      <w:kern w:val="2"/>
      <w:sz w:val="21"/>
      <w:szCs w:val="22"/>
    </w:rPr>
  </w:style>
  <w:style w:type="character" w:customStyle="1" w:styleId="50">
    <w:name w:val="正文文本 字符"/>
    <w:basedOn w:val="27"/>
    <w:link w:val="2"/>
    <w:qFormat/>
    <w:uiPriority w:val="1"/>
    <w:rPr>
      <w:rFonts w:ascii="宋体" w:hAnsi="宋体" w:cs="宋体"/>
      <w:sz w:val="24"/>
      <w:szCs w:val="22"/>
      <w:lang w:val="zh-CN" w:bidi="zh-CN"/>
    </w:rPr>
  </w:style>
  <w:style w:type="character" w:customStyle="1" w:styleId="51">
    <w:name w:val="标题 4 字符"/>
    <w:basedOn w:val="27"/>
    <w:link w:val="6"/>
    <w:qFormat/>
    <w:uiPriority w:val="9"/>
    <w:rPr>
      <w:rFonts w:ascii="Cambria" w:hAnsi="Cambria" w:eastAsia="宋体" w:cs="Times New Roman"/>
      <w:b/>
      <w:bCs/>
      <w:sz w:val="24"/>
      <w:szCs w:val="28"/>
    </w:rPr>
  </w:style>
  <w:style w:type="character" w:customStyle="1" w:styleId="52">
    <w:name w:val="标题 1 字符"/>
    <w:link w:val="3"/>
    <w:qFormat/>
    <w:uiPriority w:val="0"/>
    <w:rPr>
      <w:b/>
      <w:kern w:val="44"/>
      <w:sz w:val="44"/>
    </w:rPr>
  </w:style>
  <w:style w:type="character" w:customStyle="1" w:styleId="53">
    <w:name w:val="标题 2 字符"/>
    <w:basedOn w:val="27"/>
    <w:link w:val="4"/>
    <w:qFormat/>
    <w:uiPriority w:val="0"/>
    <w:rPr>
      <w:rFonts w:ascii="Cambria" w:hAnsi="Cambria" w:eastAsia="宋体" w:cs="Times New Roman"/>
      <w:b/>
      <w:bCs/>
      <w:sz w:val="32"/>
      <w:szCs w:val="32"/>
    </w:rPr>
  </w:style>
  <w:style w:type="character" w:customStyle="1" w:styleId="54">
    <w:name w:val="标题 5 字符"/>
    <w:link w:val="7"/>
    <w:qFormat/>
    <w:uiPriority w:val="0"/>
    <w:rPr>
      <w:b/>
      <w:sz w:val="28"/>
    </w:rPr>
  </w:style>
  <w:style w:type="character" w:customStyle="1" w:styleId="55">
    <w:name w:val="纯文本 字符"/>
    <w:basedOn w:val="27"/>
    <w:link w:val="15"/>
    <w:qFormat/>
    <w:uiPriority w:val="0"/>
    <w:rPr>
      <w:rFonts w:ascii="宋体" w:hAnsi="Courier New" w:eastAsia="宋体" w:cs="Courier New"/>
      <w:sz w:val="21"/>
      <w:szCs w:val="21"/>
    </w:rPr>
  </w:style>
  <w:style w:type="character" w:customStyle="1" w:styleId="56">
    <w:name w:val="纯文本 Char"/>
    <w:qFormat/>
    <w:uiPriority w:val="0"/>
    <w:rPr>
      <w:rFonts w:ascii="宋体" w:hAnsi="Courier New" w:eastAsia="宋体" w:cs="Times New Roman"/>
      <w:b/>
      <w:kern w:val="2"/>
      <w:sz w:val="21"/>
      <w:szCs w:val="20"/>
    </w:rPr>
  </w:style>
  <w:style w:type="character" w:customStyle="1" w:styleId="57">
    <w:name w:val="页脚 字符"/>
    <w:basedOn w:val="27"/>
    <w:link w:val="18"/>
    <w:qFormat/>
    <w:uiPriority w:val="99"/>
    <w:rPr>
      <w:rFonts w:ascii="Tahoma" w:hAnsi="Tahoma"/>
      <w:sz w:val="18"/>
      <w:szCs w:val="18"/>
    </w:rPr>
  </w:style>
  <w:style w:type="character" w:customStyle="1" w:styleId="58">
    <w:name w:val="页眉 字符"/>
    <w:basedOn w:val="27"/>
    <w:link w:val="19"/>
    <w:qFormat/>
    <w:uiPriority w:val="99"/>
    <w:rPr>
      <w:rFonts w:ascii="Tahoma" w:hAnsi="Tahoma"/>
      <w:sz w:val="18"/>
      <w:szCs w:val="18"/>
    </w:rPr>
  </w:style>
  <w:style w:type="character" w:customStyle="1" w:styleId="59">
    <w:name w:val="列出段落 字符"/>
    <w:link w:val="60"/>
    <w:qFormat/>
    <w:uiPriority w:val="0"/>
    <w:rPr>
      <w:rFonts w:ascii="Tahoma" w:hAnsi="Tahoma" w:eastAsia="微软雅黑" w:cs="Times New Roman"/>
      <w:sz w:val="22"/>
      <w:szCs w:val="22"/>
    </w:rPr>
  </w:style>
  <w:style w:type="paragraph" w:styleId="60">
    <w:name w:val="List Paragraph"/>
    <w:basedOn w:val="1"/>
    <w:link w:val="59"/>
    <w:qFormat/>
    <w:uiPriority w:val="0"/>
    <w:pPr>
      <w:ind w:firstLine="420" w:firstLineChars="200"/>
    </w:pPr>
  </w:style>
  <w:style w:type="character" w:customStyle="1" w:styleId="61">
    <w:name w:val="标题1"/>
    <w:qFormat/>
    <w:uiPriority w:val="0"/>
    <w:rPr>
      <w:rFonts w:ascii="Times New Roman" w:hAnsi="Times New Roman" w:eastAsia="宋体" w:cs="Times New Roman"/>
      <w:b/>
      <w:kern w:val="0"/>
      <w:sz w:val="24"/>
      <w:szCs w:val="20"/>
      <w:lang w:eastAsia="en-US"/>
    </w:rPr>
  </w:style>
  <w:style w:type="character" w:customStyle="1" w:styleId="62">
    <w:name w:val="标题 3.1 Char"/>
    <w:link w:val="63"/>
    <w:qFormat/>
    <w:uiPriority w:val="0"/>
    <w:rPr>
      <w:rFonts w:ascii="宋体" w:hAnsi="宋体" w:eastAsia="宋体"/>
      <w:b/>
      <w:color w:val="FF0000"/>
      <w:kern w:val="2"/>
      <w:sz w:val="32"/>
    </w:rPr>
  </w:style>
  <w:style w:type="paragraph" w:customStyle="1" w:styleId="63">
    <w:name w:val="标题 3.1"/>
    <w:basedOn w:val="5"/>
    <w:link w:val="6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64">
    <w:name w:val="p141"/>
    <w:qFormat/>
    <w:uiPriority w:val="0"/>
    <w:rPr>
      <w:sz w:val="21"/>
      <w:szCs w:val="21"/>
    </w:rPr>
  </w:style>
  <w:style w:type="character" w:customStyle="1" w:styleId="65">
    <w:name w:val="font141"/>
    <w:qFormat/>
    <w:uiPriority w:val="0"/>
    <w:rPr>
      <w:rFonts w:hint="default" w:ascii="Times New Roman" w:hAnsi="Times New Roman" w:cs="Times New Roman"/>
      <w:color w:val="000000"/>
      <w:sz w:val="18"/>
      <w:szCs w:val="18"/>
      <w:u w:val="none"/>
    </w:rPr>
  </w:style>
  <w:style w:type="character" w:customStyle="1" w:styleId="66">
    <w:name w:val="font71"/>
    <w:qFormat/>
    <w:uiPriority w:val="0"/>
    <w:rPr>
      <w:rFonts w:hint="eastAsia" w:ascii="宋体" w:hAnsi="宋体" w:eastAsia="宋体" w:cs="宋体"/>
      <w:color w:val="000000"/>
      <w:sz w:val="18"/>
      <w:szCs w:val="18"/>
      <w:u w:val="none"/>
    </w:rPr>
  </w:style>
  <w:style w:type="character" w:customStyle="1" w:styleId="67">
    <w:name w:val="批注文字 字符1"/>
    <w:qFormat/>
    <w:uiPriority w:val="0"/>
    <w:rPr>
      <w:rFonts w:ascii="Times New Roman" w:hAnsi="Times New Roman" w:eastAsia="宋体" w:cs="Times New Roman"/>
      <w:kern w:val="2"/>
      <w:sz w:val="21"/>
      <w:szCs w:val="24"/>
      <w:lang w:val="en-US" w:eastAsia="zh-CN" w:bidi="ar-SA"/>
    </w:rPr>
  </w:style>
  <w:style w:type="character" w:customStyle="1" w:styleId="68">
    <w:name w:val="NormalCharacter"/>
    <w:semiHidden/>
    <w:qFormat/>
    <w:uiPriority w:val="0"/>
  </w:style>
  <w:style w:type="paragraph" w:customStyle="1" w:styleId="69">
    <w:name w:val="表格文字"/>
    <w:basedOn w:val="1"/>
    <w:qFormat/>
    <w:uiPriority w:val="0"/>
    <w:pPr>
      <w:adjustRightInd/>
      <w:spacing w:before="25" w:after="25"/>
    </w:pPr>
    <w:rPr>
      <w:rFonts w:ascii="Times New Roman"/>
      <w:bCs/>
      <w:spacing w:val="10"/>
      <w:szCs w:val="20"/>
    </w:rPr>
  </w:style>
  <w:style w:type="paragraph" w:customStyle="1" w:styleId="70">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paragraph" w:customStyle="1" w:styleId="71">
    <w:name w:val="正文缩进4格"/>
    <w:basedOn w:val="46"/>
    <w:qFormat/>
    <w:uiPriority w:val="0"/>
    <w:pPr>
      <w:ind w:left="2" w:firstLine="538" w:firstLineChars="192"/>
    </w:pPr>
    <w:rPr>
      <w:color w:val="0000FF"/>
      <w:sz w:val="28"/>
    </w:rPr>
  </w:style>
  <w:style w:type="paragraph" w:customStyle="1" w:styleId="72">
    <w:name w:val="Char Char2 Char"/>
    <w:basedOn w:val="1"/>
    <w:qFormat/>
    <w:uiPriority w:val="0"/>
    <w:pPr>
      <w:widowControl w:val="0"/>
      <w:adjustRightInd/>
      <w:snapToGrid/>
      <w:jc w:val="both"/>
    </w:pPr>
    <w:rPr>
      <w:rFonts w:ascii="宋体" w:hAnsi="宋体" w:cs="Times New Roman"/>
      <w:b/>
      <w:kern w:val="2"/>
      <w:sz w:val="28"/>
      <w:szCs w:val="28"/>
    </w:rPr>
  </w:style>
  <w:style w:type="paragraph" w:customStyle="1" w:styleId="73">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paragraph" w:customStyle="1" w:styleId="74">
    <w:name w:val="纯文本1"/>
    <w:basedOn w:val="75"/>
    <w:qFormat/>
    <w:uiPriority w:val="0"/>
    <w:rPr>
      <w:rFonts w:ascii="宋体" w:hAnsi="Courier New"/>
      <w:szCs w:val="20"/>
    </w:rPr>
  </w:style>
  <w:style w:type="paragraph" w:customStyle="1" w:styleId="75">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6">
    <w:name w:val="_Style 1"/>
    <w:basedOn w:val="1"/>
    <w:qFormat/>
    <w:uiPriority w:val="0"/>
    <w:pPr>
      <w:ind w:firstLine="420" w:firstLineChars="200"/>
    </w:pPr>
  </w:style>
  <w:style w:type="paragraph" w:customStyle="1" w:styleId="77">
    <w:name w:val="正文文本缩进1"/>
    <w:basedOn w:val="75"/>
    <w:qFormat/>
    <w:uiPriority w:val="0"/>
    <w:pPr>
      <w:spacing w:after="120"/>
      <w:ind w:left="420" w:leftChars="200"/>
    </w:p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79">
    <w:name w:val="p0"/>
    <w:basedOn w:val="1"/>
    <w:qFormat/>
    <w:uiPriority w:val="0"/>
    <w:rPr>
      <w:szCs w:val="21"/>
    </w:rPr>
  </w:style>
  <w:style w:type="paragraph" w:customStyle="1" w:styleId="80">
    <w:name w:val="列出段落2"/>
    <w:basedOn w:val="1"/>
    <w:qFormat/>
    <w:uiPriority w:val="0"/>
    <w:pPr>
      <w:ind w:firstLine="420" w:firstLineChars="200"/>
    </w:pPr>
  </w:style>
  <w:style w:type="paragraph" w:customStyle="1" w:styleId="81">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2">
    <w:name w:val="Table Paragraph"/>
    <w:basedOn w:val="1"/>
    <w:qFormat/>
    <w:uiPriority w:val="0"/>
  </w:style>
  <w:style w:type="paragraph" w:customStyle="1" w:styleId="83">
    <w:name w:val="正文文本缩进 21"/>
    <w:basedOn w:val="1"/>
    <w:qFormat/>
    <w:uiPriority w:val="0"/>
    <w:pPr>
      <w:spacing w:line="480" w:lineRule="auto"/>
      <w:ind w:firstLine="540"/>
    </w:pPr>
    <w:rPr>
      <w:rFonts w:ascii="Calibri" w:hAnsi="Calibri"/>
      <w:sz w:val="20"/>
      <w:szCs w:val="20"/>
    </w:rPr>
  </w:style>
  <w:style w:type="paragraph" w:customStyle="1" w:styleId="84">
    <w:name w:val="纯文本2"/>
    <w:basedOn w:val="75"/>
    <w:qFormat/>
    <w:uiPriority w:val="0"/>
    <w:rPr>
      <w:rFonts w:ascii="宋体" w:hAnsi="Courier New"/>
      <w:szCs w:val="20"/>
    </w:rPr>
  </w:style>
  <w:style w:type="paragraph" w:customStyle="1" w:styleId="85">
    <w:name w:val="msolistparagraph"/>
    <w:basedOn w:val="1"/>
    <w:qFormat/>
    <w:uiPriority w:val="0"/>
    <w:pPr>
      <w:ind w:firstLine="420" w:firstLineChars="200"/>
    </w:pPr>
    <w:rPr>
      <w:rFonts w:hint="eastAsia" w:hAnsi="宋体"/>
    </w:rPr>
  </w:style>
  <w:style w:type="paragraph" w:customStyle="1" w:styleId="86">
    <w:name w:val="_Style 2"/>
    <w:basedOn w:val="1"/>
    <w:qFormat/>
    <w:uiPriority w:val="0"/>
    <w:pPr>
      <w:ind w:firstLine="420" w:firstLineChars="200"/>
    </w:pPr>
  </w:style>
  <w:style w:type="paragraph" w:customStyle="1" w:styleId="87">
    <w:name w:val="修订1"/>
    <w:semiHidden/>
    <w:qFormat/>
    <w:uiPriority w:val="99"/>
    <w:rPr>
      <w:rFonts w:ascii="Tahoma" w:hAnsi="Tahoma" w:eastAsia="宋体" w:cs="Times New Roman"/>
      <w:sz w:val="21"/>
      <w:szCs w:val="22"/>
      <w:lang w:val="en-US" w:eastAsia="zh-CN" w:bidi="ar-SA"/>
    </w:rPr>
  </w:style>
  <w:style w:type="paragraph" w:customStyle="1" w:styleId="88">
    <w:name w:val="样式 小四 加粗 行距: 多倍行距 1.25 字行"/>
    <w:basedOn w:val="1"/>
    <w:qFormat/>
    <w:uiPriority w:val="0"/>
    <w:pPr>
      <w:widowControl w:val="0"/>
      <w:numPr>
        <w:ilvl w:val="0"/>
        <w:numId w:val="1"/>
      </w:numPr>
      <w:tabs>
        <w:tab w:val="left" w:pos="425"/>
        <w:tab w:val="left" w:pos="1527"/>
      </w:tabs>
      <w:adjustRightInd/>
      <w:snapToGrid/>
      <w:spacing w:before="50" w:beforeLines="50" w:after="50" w:afterLines="50" w:line="300" w:lineRule="auto"/>
      <w:ind w:left="1527"/>
      <w:jc w:val="both"/>
    </w:pPr>
    <w:rPr>
      <w:rFonts w:ascii="Times New Roman" w:hAnsi="Times New Roman" w:cs="宋体"/>
      <w:b/>
      <w:bCs/>
      <w:kern w:val="2"/>
      <w:sz w:val="24"/>
      <w:szCs w:val="20"/>
    </w:rPr>
  </w:style>
  <w:style w:type="table" w:customStyle="1" w:styleId="89">
    <w:name w:val="Table Normal"/>
    <w:unhideWhenUsed/>
    <w:qFormat/>
    <w:uiPriority w:val="2"/>
    <w:tblPr>
      <w:tblLayout w:type="fixed"/>
      <w:tblCellMar>
        <w:top w:w="0" w:type="dxa"/>
        <w:left w:w="0" w:type="dxa"/>
        <w:bottom w:w="0" w:type="dxa"/>
        <w:right w:w="0" w:type="dxa"/>
      </w:tblCellMar>
    </w:tblPr>
  </w:style>
  <w:style w:type="character" w:customStyle="1" w:styleId="90">
    <w:name w:val="font41"/>
    <w:basedOn w:val="27"/>
    <w:qFormat/>
    <w:uiPriority w:val="0"/>
    <w:rPr>
      <w:rFonts w:hint="default" w:ascii="Times New Roman" w:hAnsi="Times New Roman" w:cs="Times New Roman"/>
      <w:color w:val="000000"/>
      <w:sz w:val="21"/>
      <w:szCs w:val="21"/>
      <w:u w:val="none"/>
    </w:rPr>
  </w:style>
  <w:style w:type="character" w:customStyle="1" w:styleId="91">
    <w:name w:val="font31"/>
    <w:basedOn w:val="27"/>
    <w:qFormat/>
    <w:uiPriority w:val="0"/>
    <w:rPr>
      <w:rFonts w:hint="eastAsia" w:ascii="宋体" w:hAnsi="宋体" w:eastAsia="宋体" w:cs="宋体"/>
      <w:color w:val="000000"/>
      <w:sz w:val="21"/>
      <w:szCs w:val="21"/>
      <w:u w:val="none"/>
    </w:rPr>
  </w:style>
  <w:style w:type="paragraph" w:customStyle="1" w:styleId="92">
    <w:name w:val="null3"/>
    <w:hidden/>
    <w:qFormat/>
    <w:uiPriority w:val="0"/>
    <w:rPr>
      <w:rFonts w:hint="eastAsia" w:asciiTheme="minorHAnsi" w:hAnsiTheme="minorHAnsi" w:eastAsiaTheme="minorEastAsia" w:cstheme="minorBidi"/>
      <w:lang w:val="en-US" w:eastAsia="zh-Hans"/>
    </w:rPr>
  </w:style>
  <w:style w:type="paragraph" w:customStyle="1" w:styleId="93">
    <w:name w:val="table"/>
    <w:qFormat/>
    <w:uiPriority w:val="0"/>
    <w:pPr>
      <w:adjustRightInd w:val="0"/>
      <w:snapToGrid w:val="0"/>
    </w:pPr>
    <w:rPr>
      <w:rFonts w:hint="default"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33514</Words>
  <Characters>34760</Characters>
  <Lines>334</Lines>
  <Paragraphs>94</Paragraphs>
  <TotalTime>2</TotalTime>
  <ScaleCrop>false</ScaleCrop>
  <LinksUpToDate>false</LinksUpToDate>
  <CharactersWithSpaces>37176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2023-06-12T07:56:00Z</dcterms:created>
  <dc:creator>MyPC</dc:creator>
  <cp:lastModifiedBy>彬</cp:lastModifiedBy>
  <cp:lastPrinted>2023-07-07T08:19:00Z</cp:lastPrinted>
  <dcterms:modified xsi:type="dcterms:W3CDTF">2025-06-10T02:31:30Z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3FE1040BF2D24CB5890C02D130E86982_13</vt:lpwstr>
  </property>
  <property fmtid="{D5CDD505-2E9C-101B-9397-08002B2CF9AE}" pid="4" name="KSOTemplateDocerSaveRecord">
    <vt:lpwstr>eyJoZGlkIjoiOGNkMDhhZTExNjFiYTBkZmI2NzQwMzM2MTQ2YTBhMTYiLCJ1c2VySWQiOiI0NDc0OTc4NzgifQ==</vt:lpwstr>
  </property>
</Properties>
</file>