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eastAsia="宋体" w:cs="宋体"/>
          <w:color w:val="auto"/>
          <w:szCs w:val="21"/>
          <w:highlight w:val="none"/>
        </w:rPr>
      </w:pPr>
    </w:p>
    <w:p>
      <w:pPr>
        <w:pStyle w:val="40"/>
        <w:ind w:firstLine="400"/>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ind w:right="-28"/>
        <w:jc w:val="center"/>
        <w:textAlignment w:val="bottom"/>
        <w:rPr>
          <w:rFonts w:hint="eastAsia" w:ascii="宋体" w:hAnsi="宋体" w:eastAsia="宋体" w:cs="宋体"/>
          <w:bCs/>
          <w:color w:val="auto"/>
          <w:spacing w:val="57"/>
          <w:sz w:val="96"/>
          <w:szCs w:val="96"/>
          <w:highlight w:val="none"/>
        </w:rPr>
      </w:pPr>
      <w:r>
        <w:rPr>
          <w:rFonts w:hint="eastAsia" w:ascii="宋体" w:hAnsi="宋体" w:eastAsia="宋体" w:cs="宋体"/>
          <w:bCs/>
          <w:color w:val="auto"/>
          <w:spacing w:val="57"/>
          <w:sz w:val="96"/>
          <w:szCs w:val="96"/>
          <w:highlight w:val="none"/>
        </w:rPr>
        <w:t>公开采购文件</w:t>
      </w: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tbl>
      <w:tblPr>
        <w:tblStyle w:val="39"/>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7" w:hRule="atLeast"/>
        </w:trPr>
        <w:tc>
          <w:tcPr>
            <w:tcW w:w="2613" w:type="dxa"/>
            <w:noWrap/>
            <w:vAlign w:val="center"/>
          </w:tcPr>
          <w:p>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项目名称：</w:t>
            </w:r>
          </w:p>
        </w:tc>
        <w:tc>
          <w:tcPr>
            <w:tcW w:w="6203" w:type="dxa"/>
            <w:noWrap/>
            <w:vAlign w:val="center"/>
          </w:tcPr>
          <w:p>
            <w:pPr>
              <w:spacing w:before="200"/>
              <w:jc w:val="both"/>
              <w:rPr>
                <w:rFonts w:hint="eastAsia" w:ascii="宋体" w:hAnsi="宋体" w:eastAsia="宋体" w:cs="宋体"/>
                <w:bCs/>
                <w:color w:val="auto"/>
                <w:sz w:val="32"/>
                <w:szCs w:val="24"/>
                <w:highlight w:val="none"/>
                <w:lang w:eastAsia="zh-CN"/>
              </w:rPr>
            </w:pPr>
            <w:r>
              <w:rPr>
                <w:rFonts w:hint="eastAsia" w:ascii="宋体" w:hAnsi="宋体" w:cs="宋体"/>
                <w:bCs/>
                <w:color w:val="auto"/>
                <w:sz w:val="32"/>
                <w:szCs w:val="24"/>
                <w:highlight w:val="none"/>
                <w:lang w:eastAsia="zh-CN"/>
              </w:rPr>
              <w:t>莞城圳头城中村改造项目建设工程概念方案设计服务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trPr>
        <w:tc>
          <w:tcPr>
            <w:tcW w:w="2613" w:type="dxa"/>
            <w:noWrap/>
            <w:vAlign w:val="center"/>
          </w:tcPr>
          <w:p>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项目采购编号：</w:t>
            </w:r>
          </w:p>
        </w:tc>
        <w:tc>
          <w:tcPr>
            <w:tcW w:w="6203" w:type="dxa"/>
            <w:noWrap/>
            <w:vAlign w:val="center"/>
          </w:tcPr>
          <w:p>
            <w:pPr>
              <w:spacing w:before="200"/>
              <w:jc w:val="both"/>
              <w:rPr>
                <w:rFonts w:hint="eastAsia" w:ascii="宋体" w:hAnsi="宋体" w:eastAsia="宋体" w:cs="宋体"/>
                <w:bCs/>
                <w:color w:val="auto"/>
                <w:sz w:val="32"/>
                <w:szCs w:val="24"/>
                <w:highlight w:val="none"/>
                <w:lang w:eastAsia="zh-CN"/>
              </w:rPr>
            </w:pPr>
            <w:r>
              <w:rPr>
                <w:rFonts w:hint="eastAsia" w:ascii="宋体" w:hAnsi="宋体" w:cs="宋体"/>
                <w:bCs/>
                <w:color w:val="auto"/>
                <w:sz w:val="32"/>
                <w:szCs w:val="24"/>
                <w:highlight w:val="none"/>
                <w:u w:val="none"/>
                <w:lang w:eastAsia="zh-CN"/>
              </w:rPr>
              <w:t>DGQS-ZT-03-014-017（2024）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trPr>
        <w:tc>
          <w:tcPr>
            <w:tcW w:w="2613" w:type="dxa"/>
            <w:noWrap/>
            <w:vAlign w:val="center"/>
          </w:tcPr>
          <w:p>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采购人：</w:t>
            </w:r>
          </w:p>
        </w:tc>
        <w:tc>
          <w:tcPr>
            <w:tcW w:w="6203" w:type="dxa"/>
            <w:noWrap/>
            <w:vAlign w:val="center"/>
          </w:tcPr>
          <w:p>
            <w:pPr>
              <w:spacing w:before="200"/>
              <w:jc w:val="both"/>
              <w:rPr>
                <w:rFonts w:hint="eastAsia" w:ascii="宋体" w:hAnsi="宋体" w:eastAsia="宋体" w:cs="宋体"/>
                <w:bCs/>
                <w:color w:val="auto"/>
                <w:sz w:val="32"/>
                <w:szCs w:val="24"/>
                <w:highlight w:val="none"/>
                <w:lang w:eastAsia="zh-CN"/>
              </w:rPr>
            </w:pPr>
            <w:r>
              <w:rPr>
                <w:rFonts w:hint="eastAsia" w:ascii="宋体" w:hAnsi="宋体" w:cs="宋体"/>
                <w:bCs/>
                <w:color w:val="auto"/>
                <w:sz w:val="32"/>
                <w:szCs w:val="24"/>
                <w:highlight w:val="none"/>
                <w:lang w:eastAsia="zh-CN"/>
              </w:rPr>
              <w:t>东莞市旗圳投资发展有限公司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trPr>
        <w:tc>
          <w:tcPr>
            <w:tcW w:w="2613" w:type="dxa"/>
            <w:noWrap/>
            <w:vAlign w:val="center"/>
          </w:tcPr>
          <w:p>
            <w:pP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采购代理：</w:t>
            </w:r>
          </w:p>
        </w:tc>
        <w:tc>
          <w:tcPr>
            <w:tcW w:w="6203" w:type="dxa"/>
            <w:noWrap/>
            <w:vAlign w:val="center"/>
          </w:tcPr>
          <w:p>
            <w:pPr>
              <w:spacing w:before="200"/>
              <w:jc w:val="both"/>
              <w:rPr>
                <w:rFonts w:hint="eastAsia" w:ascii="宋体" w:hAnsi="宋体" w:eastAsia="宋体" w:cs="宋体"/>
                <w:bCs/>
                <w:color w:val="auto"/>
                <w:sz w:val="32"/>
                <w:szCs w:val="24"/>
                <w:highlight w:val="none"/>
                <w:lang w:val="en-US" w:eastAsia="zh-CN"/>
              </w:rPr>
            </w:pPr>
            <w:r>
              <w:rPr>
                <w:rFonts w:hint="eastAsia" w:ascii="宋体" w:hAnsi="宋体" w:eastAsia="宋体" w:cs="宋体"/>
                <w:bCs/>
                <w:color w:val="auto"/>
                <w:sz w:val="32"/>
                <w:szCs w:val="24"/>
                <w:highlight w:val="none"/>
                <w:lang w:val="en-US" w:eastAsia="zh-CN"/>
              </w:rPr>
              <w:t>广西同泽工程项目管理股份有限公司</w:t>
            </w:r>
          </w:p>
        </w:tc>
      </w:tr>
    </w:tbl>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p>
      <w:pPr>
        <w:pStyle w:val="40"/>
        <w:ind w:firstLine="400"/>
        <w:rPr>
          <w:rFonts w:hint="eastAsia" w:ascii="宋体" w:hAnsi="宋体" w:eastAsia="宋体" w:cs="宋体"/>
          <w:color w:val="auto"/>
          <w:highlight w:val="none"/>
        </w:rPr>
      </w:pPr>
    </w:p>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Cs w:val="21"/>
          <w:highlight w:val="none"/>
        </w:rPr>
      </w:pPr>
    </w:p>
    <w:p>
      <w:pPr>
        <w:spacing w:before="200"/>
        <w:jc w:val="center"/>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20</w:t>
      </w:r>
      <w:r>
        <w:rPr>
          <w:rFonts w:hint="eastAsia" w:ascii="宋体" w:hAnsi="宋体" w:eastAsia="宋体" w:cs="宋体"/>
          <w:bCs/>
          <w:color w:val="auto"/>
          <w:sz w:val="32"/>
          <w:szCs w:val="24"/>
          <w:highlight w:val="none"/>
          <w:lang w:val="en-US" w:eastAsia="zh-CN"/>
        </w:rPr>
        <w:t>25</w:t>
      </w:r>
      <w:r>
        <w:rPr>
          <w:rFonts w:hint="eastAsia" w:ascii="宋体" w:hAnsi="宋体" w:eastAsia="宋体" w:cs="宋体"/>
          <w:bCs/>
          <w:color w:val="auto"/>
          <w:sz w:val="32"/>
          <w:szCs w:val="24"/>
          <w:highlight w:val="none"/>
        </w:rPr>
        <w:t>年</w:t>
      </w:r>
      <w:r>
        <w:rPr>
          <w:rFonts w:hint="eastAsia" w:ascii="宋体" w:hAnsi="宋体" w:eastAsia="宋体" w:cs="宋体"/>
          <w:bCs/>
          <w:color w:val="auto"/>
          <w:sz w:val="32"/>
          <w:szCs w:val="24"/>
          <w:highlight w:val="none"/>
          <w:lang w:val="en-US" w:eastAsia="zh-CN"/>
        </w:rPr>
        <w:t>0</w:t>
      </w:r>
      <w:r>
        <w:rPr>
          <w:rFonts w:hint="eastAsia" w:ascii="宋体" w:hAnsi="宋体" w:cs="宋体"/>
          <w:bCs/>
          <w:color w:val="auto"/>
          <w:sz w:val="32"/>
          <w:szCs w:val="24"/>
          <w:highlight w:val="none"/>
          <w:lang w:val="en-US" w:eastAsia="zh-CN"/>
        </w:rPr>
        <w:t>5</w:t>
      </w:r>
      <w:r>
        <w:rPr>
          <w:rFonts w:hint="eastAsia" w:ascii="宋体" w:hAnsi="宋体" w:eastAsia="宋体" w:cs="宋体"/>
          <w:bCs/>
          <w:color w:val="auto"/>
          <w:sz w:val="32"/>
          <w:szCs w:val="24"/>
          <w:highlight w:val="none"/>
        </w:rPr>
        <w:t>月</w:t>
      </w:r>
    </w:p>
    <w:p>
      <w:pPr>
        <w:rPr>
          <w:rFonts w:hint="eastAsia" w:ascii="宋体" w:hAnsi="宋体" w:eastAsia="宋体" w:cs="宋体"/>
          <w:color w:val="auto"/>
          <w:highlight w:val="none"/>
        </w:rPr>
        <w:sectPr>
          <w:footerReference r:id="rId5" w:type="first"/>
          <w:headerReference r:id="rId3" w:type="even"/>
          <w:footerReference r:id="rId4" w:type="even"/>
          <w:pgSz w:w="11906" w:h="16838"/>
          <w:pgMar w:top="1440" w:right="1800" w:bottom="1440" w:left="1800" w:header="708" w:footer="708" w:gutter="0"/>
          <w:pgNumType w:start="1"/>
          <w:cols w:space="708" w:num="1"/>
          <w:titlePg/>
          <w:docGrid w:type="lines" w:linePitch="360" w:charSpace="0"/>
        </w:sectPr>
      </w:pPr>
    </w:p>
    <w:p>
      <w:pPr>
        <w:pStyle w:val="28"/>
        <w:keepNext w:val="0"/>
        <w:keepLines w:val="0"/>
        <w:pageBreakBefore w:val="0"/>
        <w:widowControl/>
        <w:kinsoku/>
        <w:wordWrap/>
        <w:overflowPunct/>
        <w:topLinePunct w:val="0"/>
        <w:autoSpaceDE/>
        <w:autoSpaceDN/>
        <w:bidi w:val="0"/>
        <w:adjustRightInd w:val="0"/>
        <w:snapToGrid w:val="0"/>
        <w:ind w:left="0" w:leftChars="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pPr>
        <w:pStyle w:val="28"/>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"1-4"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_Toc27686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第一部分投标邀请</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_Toc27686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_Toc6735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投标邀请书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_Toc6735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8"/>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_Toc17208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第二部分相关资料表格</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_Toc17208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_Toc23298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附表一：投标资料表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_Toc23298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_Toc5634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附表二：商务技术评分及价格权重表（满分100分）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_Toc5634 </w:instrText>
      </w:r>
      <w:r>
        <w:rPr>
          <w:rFonts w:hint="eastAsia" w:ascii="宋体" w:hAnsi="宋体" w:eastAsia="宋体" w:cs="宋体"/>
          <w:sz w:val="21"/>
          <w:szCs w:val="21"/>
        </w:rPr>
        <w:fldChar w:fldCharType="separate"/>
      </w:r>
      <w:r>
        <w:rPr>
          <w:rFonts w:hint="eastAsia" w:ascii="宋体" w:hAnsi="宋体" w:eastAsia="宋体" w:cs="宋体"/>
          <w:sz w:val="21"/>
          <w:szCs w:val="21"/>
        </w:rPr>
        <w:t>12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8"/>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_Toc28696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第三部分用户需求书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_Toc28696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_Toc18954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第一章 商务需求书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_Toc18954 </w:instrText>
      </w:r>
      <w:r>
        <w:rPr>
          <w:rFonts w:hint="eastAsia" w:ascii="宋体" w:hAnsi="宋体" w:eastAsia="宋体" w:cs="宋体"/>
          <w:sz w:val="21"/>
          <w:szCs w:val="21"/>
        </w:rPr>
        <w:fldChar w:fldCharType="separate"/>
      </w:r>
      <w:r>
        <w:rPr>
          <w:rFonts w:hint="eastAsia" w:ascii="宋体" w:hAnsi="宋体" w:eastAsia="宋体" w:cs="宋体"/>
          <w:sz w:val="21"/>
          <w:szCs w:val="21"/>
        </w:rPr>
        <w:t>16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_Toc10052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第二章 技术需求书</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_Toc10052 </w:instrText>
      </w:r>
      <w:r>
        <w:rPr>
          <w:rFonts w:hint="eastAsia" w:ascii="宋体" w:hAnsi="宋体" w:eastAsia="宋体" w:cs="宋体"/>
          <w:sz w:val="21"/>
          <w:szCs w:val="21"/>
        </w:rPr>
        <w:fldChar w:fldCharType="separate"/>
      </w:r>
      <w:r>
        <w:rPr>
          <w:rFonts w:hint="eastAsia" w:ascii="宋体" w:hAnsi="宋体" w:eastAsia="宋体" w:cs="宋体"/>
          <w:sz w:val="21"/>
          <w:szCs w:val="21"/>
        </w:rPr>
        <w:t>18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8"/>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_Toc9045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第四部分投标人须知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_Toc9045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_Toc13591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一、 </w:t>
      </w:r>
      <w:r>
        <w:rPr>
          <w:rFonts w:hint="eastAsia" w:ascii="宋体" w:hAnsi="宋体" w:eastAsia="宋体" w:cs="宋体"/>
          <w:sz w:val="21"/>
          <w:szCs w:val="21"/>
          <w:highlight w:val="none"/>
        </w:rPr>
        <w:t>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_Toc13591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_Toc27236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 </w:t>
      </w:r>
      <w:r>
        <w:rPr>
          <w:rFonts w:hint="eastAsia" w:ascii="宋体" w:hAnsi="宋体" w:eastAsia="宋体" w:cs="宋体"/>
          <w:sz w:val="21"/>
          <w:szCs w:val="21"/>
          <w:highlight w:val="none"/>
        </w:rPr>
        <w:t>适用范围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_Toc27236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_Toc21875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 </w:t>
      </w:r>
      <w:r>
        <w:rPr>
          <w:rFonts w:hint="eastAsia" w:ascii="宋体" w:hAnsi="宋体" w:eastAsia="宋体" w:cs="宋体"/>
          <w:sz w:val="21"/>
          <w:szCs w:val="21"/>
          <w:highlight w:val="none"/>
        </w:rPr>
        <w:t>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_Toc21875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_Toc21329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3. </w:t>
      </w:r>
      <w:r>
        <w:rPr>
          <w:rFonts w:hint="eastAsia" w:ascii="宋体" w:hAnsi="宋体" w:eastAsia="宋体" w:cs="宋体"/>
          <w:sz w:val="21"/>
          <w:szCs w:val="21"/>
          <w:highlight w:val="none"/>
        </w:rPr>
        <w:t>货物和服务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_Toc21329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_Toc15560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4. </w:t>
      </w:r>
      <w:r>
        <w:rPr>
          <w:rFonts w:hint="eastAsia" w:ascii="宋体" w:hAnsi="宋体" w:eastAsia="宋体" w:cs="宋体"/>
          <w:sz w:val="21"/>
          <w:szCs w:val="21"/>
          <w:highlight w:val="none"/>
        </w:rPr>
        <w:t>投标费用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_Toc15560 </w:instrText>
      </w:r>
      <w:r>
        <w:rPr>
          <w:rFonts w:hint="eastAsia" w:ascii="宋体" w:hAnsi="宋体" w:eastAsia="宋体" w:cs="宋体"/>
          <w:sz w:val="21"/>
          <w:szCs w:val="21"/>
        </w:rPr>
        <w:fldChar w:fldCharType="separate"/>
      </w:r>
      <w:r>
        <w:rPr>
          <w:rFonts w:hint="eastAsia" w:ascii="宋体" w:hAnsi="宋体" w:eastAsia="宋体" w:cs="宋体"/>
          <w:sz w:val="21"/>
          <w:szCs w:val="21"/>
        </w:rPr>
        <w:t>21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_Toc13983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5. </w:t>
      </w:r>
      <w:r>
        <w:rPr>
          <w:rFonts w:hint="eastAsia" w:ascii="宋体" w:hAnsi="宋体" w:eastAsia="宋体" w:cs="宋体"/>
          <w:sz w:val="21"/>
          <w:szCs w:val="21"/>
          <w:highlight w:val="none"/>
        </w:rPr>
        <w:t>知识产权</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_Toc13983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_Toc18452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6. </w:t>
      </w:r>
      <w:r>
        <w:rPr>
          <w:rFonts w:hint="eastAsia" w:ascii="宋体" w:hAnsi="宋体" w:eastAsia="宋体" w:cs="宋体"/>
          <w:sz w:val="21"/>
          <w:szCs w:val="21"/>
          <w:highlight w:val="none"/>
        </w:rPr>
        <w:t>关于联合体投标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_Toc18452 </w:instrText>
      </w:r>
      <w:r>
        <w:rPr>
          <w:rFonts w:hint="eastAsia" w:ascii="宋体" w:hAnsi="宋体" w:eastAsia="宋体" w:cs="宋体"/>
          <w:sz w:val="21"/>
          <w:szCs w:val="21"/>
        </w:rPr>
        <w:fldChar w:fldCharType="separate"/>
      </w:r>
      <w:r>
        <w:rPr>
          <w:rFonts w:hint="eastAsia" w:ascii="宋体" w:hAnsi="宋体" w:eastAsia="宋体" w:cs="宋体"/>
          <w:sz w:val="21"/>
          <w:szCs w:val="21"/>
        </w:rPr>
        <w:t>22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_Toc29112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7. </w:t>
      </w:r>
      <w:r>
        <w:rPr>
          <w:rFonts w:hint="eastAsia" w:ascii="宋体" w:hAnsi="宋体" w:eastAsia="宋体" w:cs="宋体"/>
          <w:sz w:val="21"/>
          <w:szCs w:val="21"/>
          <w:highlight w:val="none"/>
        </w:rPr>
        <w:t>关于分支机构投标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_Toc29112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_Toc2549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8. </w:t>
      </w:r>
      <w:r>
        <w:rPr>
          <w:rFonts w:hint="eastAsia" w:ascii="宋体" w:hAnsi="宋体" w:eastAsia="宋体" w:cs="宋体"/>
          <w:sz w:val="21"/>
          <w:szCs w:val="21"/>
          <w:highlight w:val="none"/>
        </w:rPr>
        <w:t>踏勘现场</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_Toc2549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_Toc13360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二、 </w:t>
      </w:r>
      <w:r>
        <w:rPr>
          <w:rFonts w:hint="eastAsia" w:ascii="宋体" w:hAnsi="宋体" w:eastAsia="宋体" w:cs="宋体"/>
          <w:sz w:val="21"/>
          <w:szCs w:val="21"/>
          <w:highlight w:val="none"/>
        </w:rPr>
        <w:t>采购文件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_Toc13360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_Toc1370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9. </w:t>
      </w:r>
      <w:r>
        <w:rPr>
          <w:rFonts w:hint="eastAsia" w:ascii="宋体" w:hAnsi="宋体" w:eastAsia="宋体" w:cs="宋体"/>
          <w:sz w:val="21"/>
          <w:szCs w:val="21"/>
          <w:highlight w:val="none"/>
        </w:rPr>
        <w:t>采购文件的组成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_Toc1370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_Toc26690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10. </w:t>
      </w:r>
      <w:r>
        <w:rPr>
          <w:rFonts w:hint="eastAsia" w:ascii="宋体" w:hAnsi="宋体" w:eastAsia="宋体" w:cs="宋体"/>
          <w:sz w:val="21"/>
          <w:szCs w:val="21"/>
          <w:highlight w:val="none"/>
        </w:rPr>
        <w:t>采购文件的澄清或修改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_Toc26690 </w:instrText>
      </w:r>
      <w:r>
        <w:rPr>
          <w:rFonts w:hint="eastAsia" w:ascii="宋体" w:hAnsi="宋体" w:eastAsia="宋体" w:cs="宋体"/>
          <w:sz w:val="21"/>
          <w:szCs w:val="21"/>
        </w:rPr>
        <w:fldChar w:fldCharType="separate"/>
      </w:r>
      <w:r>
        <w:rPr>
          <w:rFonts w:hint="eastAsia" w:ascii="宋体" w:hAnsi="宋体" w:eastAsia="宋体" w:cs="宋体"/>
          <w:sz w:val="21"/>
          <w:szCs w:val="21"/>
        </w:rPr>
        <w:t>23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_Toc10888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三、 </w:t>
      </w:r>
      <w:r>
        <w:rPr>
          <w:rFonts w:hint="eastAsia" w:ascii="宋体" w:hAnsi="宋体" w:eastAsia="宋体" w:cs="宋体"/>
          <w:sz w:val="21"/>
          <w:szCs w:val="21"/>
          <w:highlight w:val="none"/>
        </w:rPr>
        <w:t>投标文件的编制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_Toc10888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_Toc6185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11. </w:t>
      </w:r>
      <w:r>
        <w:rPr>
          <w:rFonts w:hint="eastAsia" w:ascii="宋体" w:hAnsi="宋体" w:eastAsia="宋体" w:cs="宋体"/>
          <w:sz w:val="21"/>
          <w:szCs w:val="21"/>
          <w:highlight w:val="none"/>
        </w:rPr>
        <w:t>投标文件的语言及度量衡单位</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_Toc6185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_Toc4505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12. </w:t>
      </w:r>
      <w:r>
        <w:rPr>
          <w:rFonts w:hint="eastAsia" w:ascii="宋体" w:hAnsi="宋体" w:eastAsia="宋体" w:cs="宋体"/>
          <w:sz w:val="21"/>
          <w:szCs w:val="21"/>
          <w:highlight w:val="none"/>
        </w:rPr>
        <w:t>投标文件的组成</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_Toc4505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_Toc32575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13. </w:t>
      </w:r>
      <w:r>
        <w:rPr>
          <w:rFonts w:hint="eastAsia" w:ascii="宋体" w:hAnsi="宋体" w:eastAsia="宋体" w:cs="宋体"/>
          <w:sz w:val="21"/>
          <w:szCs w:val="21"/>
          <w:highlight w:val="none"/>
        </w:rPr>
        <w:t>投标文件编制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_Toc32575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_Toc1438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14. </w:t>
      </w:r>
      <w:r>
        <w:rPr>
          <w:rFonts w:hint="eastAsia" w:ascii="宋体" w:hAnsi="宋体" w:eastAsia="宋体" w:cs="宋体"/>
          <w:sz w:val="21"/>
          <w:szCs w:val="21"/>
          <w:highlight w:val="none"/>
        </w:rPr>
        <w:t>投标报价说明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_Toc1438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_Toc11523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15. </w:t>
      </w:r>
      <w:r>
        <w:rPr>
          <w:rFonts w:hint="eastAsia" w:ascii="宋体" w:hAnsi="宋体" w:eastAsia="宋体" w:cs="宋体"/>
          <w:sz w:val="21"/>
          <w:szCs w:val="21"/>
          <w:highlight w:val="none"/>
        </w:rPr>
        <w:t>投标人所提供的服务或货物的证明文件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_Toc11523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_Toc19966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16. </w:t>
      </w:r>
      <w:r>
        <w:rPr>
          <w:rFonts w:hint="eastAsia" w:ascii="宋体" w:hAnsi="宋体" w:eastAsia="宋体" w:cs="宋体"/>
          <w:sz w:val="21"/>
          <w:szCs w:val="21"/>
          <w:highlight w:val="none"/>
        </w:rPr>
        <w:t>投标有效期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_Toc19966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_Toc4477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17. </w:t>
      </w:r>
      <w:r>
        <w:rPr>
          <w:rFonts w:hint="eastAsia" w:ascii="宋体" w:hAnsi="宋体" w:eastAsia="宋体" w:cs="宋体"/>
          <w:sz w:val="21"/>
          <w:szCs w:val="21"/>
          <w:highlight w:val="none"/>
        </w:rPr>
        <w:t>投标保证金</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_Toc4477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_Toc20444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四、 </w:t>
      </w:r>
      <w:r>
        <w:rPr>
          <w:rFonts w:hint="eastAsia" w:ascii="宋体" w:hAnsi="宋体" w:eastAsia="宋体" w:cs="宋体"/>
          <w:sz w:val="21"/>
          <w:szCs w:val="21"/>
          <w:highlight w:val="none"/>
        </w:rPr>
        <w:t>投标文件的递交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_Toc20444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_Toc17818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18. </w:t>
      </w:r>
      <w:r>
        <w:rPr>
          <w:rFonts w:hint="eastAsia" w:ascii="宋体" w:hAnsi="宋体" w:eastAsia="宋体" w:cs="宋体"/>
          <w:sz w:val="21"/>
          <w:szCs w:val="21"/>
          <w:highlight w:val="none"/>
        </w:rPr>
        <w:t>投标文件的装订，签署，密封和标记</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_Toc17818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_Toc12158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19. </w:t>
      </w:r>
      <w:r>
        <w:rPr>
          <w:rFonts w:hint="eastAsia" w:ascii="宋体" w:hAnsi="宋体" w:eastAsia="宋体" w:cs="宋体"/>
          <w:sz w:val="21"/>
          <w:szCs w:val="21"/>
          <w:highlight w:val="none"/>
        </w:rPr>
        <w:t>迟交的投标文件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_Toc12158 </w:instrText>
      </w:r>
      <w:r>
        <w:rPr>
          <w:rFonts w:hint="eastAsia" w:ascii="宋体" w:hAnsi="宋体" w:eastAsia="宋体" w:cs="宋体"/>
          <w:sz w:val="21"/>
          <w:szCs w:val="21"/>
        </w:rPr>
        <w:fldChar w:fldCharType="separate"/>
      </w:r>
      <w:r>
        <w:rPr>
          <w:rFonts w:hint="eastAsia" w:ascii="宋体" w:hAnsi="宋体" w:eastAsia="宋体" w:cs="宋体"/>
          <w:sz w:val="21"/>
          <w:szCs w:val="21"/>
        </w:rPr>
        <w:t>28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_Toc14188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20. </w:t>
      </w:r>
      <w:r>
        <w:rPr>
          <w:rFonts w:hint="eastAsia" w:ascii="宋体" w:hAnsi="宋体" w:eastAsia="宋体" w:cs="宋体"/>
          <w:sz w:val="21"/>
          <w:szCs w:val="21"/>
          <w:highlight w:val="none"/>
        </w:rPr>
        <w:t>投标样品（如需提交）</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_Toc14188 </w:instrText>
      </w:r>
      <w:r>
        <w:rPr>
          <w:rFonts w:hint="eastAsia" w:ascii="宋体" w:hAnsi="宋体" w:eastAsia="宋体" w:cs="宋体"/>
          <w:sz w:val="21"/>
          <w:szCs w:val="21"/>
        </w:rPr>
        <w:fldChar w:fldCharType="separate"/>
      </w:r>
      <w:r>
        <w:rPr>
          <w:rFonts w:hint="eastAsia" w:ascii="宋体" w:hAnsi="宋体" w:eastAsia="宋体" w:cs="宋体"/>
          <w:sz w:val="21"/>
          <w:szCs w:val="21"/>
        </w:rPr>
        <w:t>28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_Toc6662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21. </w:t>
      </w:r>
      <w:r>
        <w:rPr>
          <w:rFonts w:hint="eastAsia" w:ascii="宋体" w:hAnsi="宋体" w:eastAsia="宋体" w:cs="宋体"/>
          <w:sz w:val="21"/>
          <w:szCs w:val="21"/>
          <w:highlight w:val="none"/>
        </w:rPr>
        <w:t>投标截止期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_Toc6662 </w:instrText>
      </w:r>
      <w:r>
        <w:rPr>
          <w:rFonts w:hint="eastAsia" w:ascii="宋体" w:hAnsi="宋体" w:eastAsia="宋体" w:cs="宋体"/>
          <w:sz w:val="21"/>
          <w:szCs w:val="21"/>
        </w:rPr>
        <w:fldChar w:fldCharType="separate"/>
      </w:r>
      <w:r>
        <w:rPr>
          <w:rFonts w:hint="eastAsia" w:ascii="宋体" w:hAnsi="宋体" w:eastAsia="宋体" w:cs="宋体"/>
          <w:sz w:val="21"/>
          <w:szCs w:val="21"/>
        </w:rPr>
        <w:t>28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_Toc24953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22. </w:t>
      </w:r>
      <w:r>
        <w:rPr>
          <w:rFonts w:hint="eastAsia" w:ascii="宋体" w:hAnsi="宋体" w:eastAsia="宋体" w:cs="宋体"/>
          <w:sz w:val="21"/>
          <w:szCs w:val="21"/>
          <w:highlight w:val="none"/>
        </w:rPr>
        <w:t>投标文件的补充、修改与撤回</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_Toc24953 </w:instrText>
      </w:r>
      <w:r>
        <w:rPr>
          <w:rFonts w:hint="eastAsia" w:ascii="宋体" w:hAnsi="宋体" w:eastAsia="宋体" w:cs="宋体"/>
          <w:sz w:val="21"/>
          <w:szCs w:val="21"/>
        </w:rPr>
        <w:fldChar w:fldCharType="separate"/>
      </w:r>
      <w:r>
        <w:rPr>
          <w:rFonts w:hint="eastAsia" w:ascii="宋体" w:hAnsi="宋体" w:eastAsia="宋体" w:cs="宋体"/>
          <w:sz w:val="21"/>
          <w:szCs w:val="21"/>
        </w:rPr>
        <w:t>28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_Toc25100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五、 </w:t>
      </w:r>
      <w:r>
        <w:rPr>
          <w:rFonts w:hint="eastAsia" w:ascii="宋体" w:hAnsi="宋体" w:eastAsia="宋体" w:cs="宋体"/>
          <w:sz w:val="21"/>
          <w:szCs w:val="21"/>
          <w:highlight w:val="none"/>
        </w:rPr>
        <w:t>开标与评标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_Toc25100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_Toc11648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23. </w:t>
      </w:r>
      <w:r>
        <w:rPr>
          <w:rFonts w:hint="eastAsia" w:ascii="宋体" w:hAnsi="宋体" w:eastAsia="宋体" w:cs="宋体"/>
          <w:sz w:val="21"/>
          <w:szCs w:val="21"/>
          <w:highlight w:val="none"/>
        </w:rPr>
        <w:t>开标</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_Toc11648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_Toc11725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24. </w:t>
      </w:r>
      <w:r>
        <w:rPr>
          <w:rFonts w:hint="eastAsia" w:ascii="宋体" w:hAnsi="宋体" w:eastAsia="宋体" w:cs="宋体"/>
          <w:sz w:val="21"/>
          <w:szCs w:val="21"/>
          <w:highlight w:val="none"/>
        </w:rPr>
        <w:t>评标委员会及评标方法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_Toc11725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_Toc26200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25. </w:t>
      </w:r>
      <w:r>
        <w:rPr>
          <w:rFonts w:hint="eastAsia" w:ascii="宋体" w:hAnsi="宋体" w:eastAsia="宋体" w:cs="宋体"/>
          <w:sz w:val="21"/>
          <w:szCs w:val="21"/>
          <w:highlight w:val="none"/>
        </w:rPr>
        <w:t>评审原则及评标过程的保密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_Toc26200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_Toc11279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26. </w:t>
      </w:r>
      <w:r>
        <w:rPr>
          <w:rFonts w:hint="eastAsia" w:ascii="宋体" w:hAnsi="宋体" w:eastAsia="宋体" w:cs="宋体"/>
          <w:sz w:val="21"/>
          <w:szCs w:val="21"/>
          <w:highlight w:val="none"/>
        </w:rPr>
        <w:t>评标程序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_Toc11279 </w:instrText>
      </w:r>
      <w:r>
        <w:rPr>
          <w:rFonts w:hint="eastAsia" w:ascii="宋体" w:hAnsi="宋体" w:eastAsia="宋体" w:cs="宋体"/>
          <w:sz w:val="21"/>
          <w:szCs w:val="21"/>
        </w:rPr>
        <w:fldChar w:fldCharType="separate"/>
      </w:r>
      <w:r>
        <w:rPr>
          <w:rFonts w:hint="eastAsia" w:ascii="宋体" w:hAnsi="宋体" w:eastAsia="宋体" w:cs="宋体"/>
          <w:sz w:val="21"/>
          <w:szCs w:val="21"/>
        </w:rPr>
        <w:t>30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_Toc31191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27. </w:t>
      </w:r>
      <w:r>
        <w:rPr>
          <w:rFonts w:hint="eastAsia" w:ascii="宋体" w:hAnsi="宋体" w:eastAsia="宋体" w:cs="宋体"/>
          <w:sz w:val="21"/>
          <w:szCs w:val="21"/>
          <w:highlight w:val="none"/>
        </w:rPr>
        <w:t>商务、技术、价格评审（具体评审项目详见投标资料表）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_Toc31191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_Toc11497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28. </w:t>
      </w:r>
      <w:r>
        <w:rPr>
          <w:rFonts w:hint="eastAsia" w:ascii="宋体" w:hAnsi="宋体" w:eastAsia="宋体" w:cs="宋体"/>
          <w:sz w:val="21"/>
          <w:szCs w:val="21"/>
          <w:highlight w:val="none"/>
        </w:rPr>
        <w:t>纪律和保密事项</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_Toc11497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_Toc4835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六、 </w:t>
      </w:r>
      <w:r>
        <w:rPr>
          <w:rFonts w:hint="eastAsia" w:ascii="宋体" w:hAnsi="宋体" w:eastAsia="宋体" w:cs="宋体"/>
          <w:sz w:val="21"/>
          <w:szCs w:val="21"/>
          <w:highlight w:val="none"/>
        </w:rPr>
        <w:t>授予合同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_Toc4835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_Toc9747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29. </w:t>
      </w:r>
      <w:r>
        <w:rPr>
          <w:rFonts w:hint="eastAsia" w:ascii="宋体" w:hAnsi="宋体" w:eastAsia="宋体" w:cs="宋体"/>
          <w:sz w:val="21"/>
          <w:szCs w:val="21"/>
          <w:highlight w:val="none"/>
        </w:rPr>
        <w:t>合同授予标准</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_Toc9747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_Toc5404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30. </w:t>
      </w:r>
      <w:r>
        <w:rPr>
          <w:rFonts w:hint="eastAsia" w:ascii="宋体" w:hAnsi="宋体" w:eastAsia="宋体" w:cs="宋体"/>
          <w:sz w:val="21"/>
          <w:szCs w:val="21"/>
          <w:highlight w:val="none"/>
        </w:rPr>
        <w:t>发布中标结果</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_Toc5404 </w:instrText>
      </w:r>
      <w:r>
        <w:rPr>
          <w:rFonts w:hint="eastAsia" w:ascii="宋体" w:hAnsi="宋体" w:eastAsia="宋体" w:cs="宋体"/>
          <w:sz w:val="21"/>
          <w:szCs w:val="21"/>
        </w:rPr>
        <w:fldChar w:fldCharType="separate"/>
      </w:r>
      <w:r>
        <w:rPr>
          <w:rFonts w:hint="eastAsia" w:ascii="宋体" w:hAnsi="宋体" w:eastAsia="宋体" w:cs="宋体"/>
          <w:sz w:val="21"/>
          <w:szCs w:val="21"/>
        </w:rPr>
        <w:t>32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_Toc9832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31. </w:t>
      </w:r>
      <w:r>
        <w:rPr>
          <w:rFonts w:hint="eastAsia" w:ascii="宋体" w:hAnsi="宋体" w:eastAsia="宋体" w:cs="宋体"/>
          <w:sz w:val="21"/>
          <w:szCs w:val="21"/>
          <w:highlight w:val="none"/>
        </w:rPr>
        <w:t>资格后审</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_Toc9832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_Toc3773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32. </w:t>
      </w:r>
      <w:r>
        <w:rPr>
          <w:rFonts w:hint="eastAsia" w:ascii="宋体" w:hAnsi="宋体" w:eastAsia="宋体" w:cs="宋体"/>
          <w:sz w:val="21"/>
          <w:szCs w:val="21"/>
          <w:highlight w:val="none"/>
        </w:rPr>
        <w:t>合同的签订与履行</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_Toc3773 </w:instrText>
      </w:r>
      <w:r>
        <w:rPr>
          <w:rFonts w:hint="eastAsia" w:ascii="宋体" w:hAnsi="宋体" w:eastAsia="宋体" w:cs="宋体"/>
          <w:sz w:val="21"/>
          <w:szCs w:val="21"/>
        </w:rPr>
        <w:fldChar w:fldCharType="separate"/>
      </w:r>
      <w:r>
        <w:rPr>
          <w:rFonts w:hint="eastAsia" w:ascii="宋体" w:hAnsi="宋体" w:eastAsia="宋体" w:cs="宋体"/>
          <w:sz w:val="21"/>
          <w:szCs w:val="21"/>
        </w:rPr>
        <w:t>33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_Toc6846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33. </w:t>
      </w:r>
      <w:r>
        <w:rPr>
          <w:rFonts w:hint="eastAsia" w:ascii="宋体" w:hAnsi="宋体" w:eastAsia="宋体" w:cs="宋体"/>
          <w:sz w:val="21"/>
          <w:szCs w:val="21"/>
          <w:highlight w:val="none"/>
        </w:rPr>
        <w:t>履约担保</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_Toc6846 </w:instrText>
      </w:r>
      <w:r>
        <w:rPr>
          <w:rFonts w:hint="eastAsia" w:ascii="宋体" w:hAnsi="宋体" w:eastAsia="宋体" w:cs="宋体"/>
          <w:sz w:val="21"/>
          <w:szCs w:val="21"/>
        </w:rPr>
        <w:fldChar w:fldCharType="separate"/>
      </w:r>
      <w:r>
        <w:rPr>
          <w:rFonts w:hint="eastAsia"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_Toc6827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34. </w:t>
      </w:r>
      <w:r>
        <w:rPr>
          <w:rFonts w:hint="eastAsia" w:ascii="宋体" w:hAnsi="宋体" w:eastAsia="宋体" w:cs="宋体"/>
          <w:sz w:val="21"/>
          <w:szCs w:val="21"/>
          <w:highlight w:val="none"/>
        </w:rPr>
        <w:t>预付款保函（适用于预付款支付）</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_Toc6827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_Toc5702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七、 </w:t>
      </w:r>
      <w:r>
        <w:rPr>
          <w:rFonts w:hint="eastAsia" w:ascii="宋体" w:hAnsi="宋体" w:eastAsia="宋体" w:cs="宋体"/>
          <w:sz w:val="21"/>
          <w:szCs w:val="21"/>
          <w:highlight w:val="none"/>
        </w:rPr>
        <w:t>异议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_Toc5702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_Toc15301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35. </w:t>
      </w:r>
      <w:r>
        <w:rPr>
          <w:rFonts w:hint="eastAsia" w:ascii="宋体" w:hAnsi="宋体" w:eastAsia="宋体" w:cs="宋体"/>
          <w:sz w:val="21"/>
          <w:szCs w:val="21"/>
          <w:highlight w:val="none"/>
        </w:rPr>
        <w:t>异议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_Toc15301 </w:instrText>
      </w:r>
      <w:r>
        <w:rPr>
          <w:rFonts w:hint="eastAsia" w:ascii="宋体" w:hAnsi="宋体" w:eastAsia="宋体" w:cs="宋体"/>
          <w:sz w:val="21"/>
          <w:szCs w:val="21"/>
        </w:rPr>
        <w:fldChar w:fldCharType="separate"/>
      </w:r>
      <w:r>
        <w:rPr>
          <w:rFonts w:hint="eastAsia" w:ascii="宋体" w:hAnsi="宋体" w:eastAsia="宋体" w:cs="宋体"/>
          <w:sz w:val="21"/>
          <w:szCs w:val="21"/>
        </w:rPr>
        <w:t>35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17"/>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_Toc8966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八、 </w:t>
      </w:r>
      <w:r>
        <w:rPr>
          <w:rFonts w:hint="eastAsia" w:ascii="宋体" w:hAnsi="宋体" w:eastAsia="宋体" w:cs="宋体"/>
          <w:sz w:val="21"/>
          <w:szCs w:val="21"/>
          <w:highlight w:val="none"/>
        </w:rPr>
        <w:t>其他</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_Toc8966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_Toc17397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rPr>
        <w:t xml:space="preserve">36. </w:t>
      </w:r>
      <w:r>
        <w:rPr>
          <w:rFonts w:hint="eastAsia" w:ascii="宋体" w:hAnsi="宋体" w:eastAsia="宋体" w:cs="宋体"/>
          <w:sz w:val="21"/>
          <w:szCs w:val="21"/>
          <w:highlight w:val="none"/>
        </w:rPr>
        <w:t>采购文件的解释权</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_Toc17397 </w:instrText>
      </w:r>
      <w:r>
        <w:rPr>
          <w:rFonts w:hint="eastAsia" w:ascii="宋体" w:hAnsi="宋体" w:eastAsia="宋体" w:cs="宋体"/>
          <w:sz w:val="21"/>
          <w:szCs w:val="21"/>
        </w:rPr>
        <w:fldChar w:fldCharType="separate"/>
      </w:r>
      <w:r>
        <w:rPr>
          <w:rFonts w:hint="eastAsia" w:ascii="宋体" w:hAnsi="宋体" w:eastAsia="宋体" w:cs="宋体"/>
          <w:sz w:val="21"/>
          <w:szCs w:val="21"/>
        </w:rPr>
        <w:t>36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8"/>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_Toc829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第五部分  合同条款格式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_Toc829 </w:instrText>
      </w:r>
      <w:r>
        <w:rPr>
          <w:rFonts w:hint="eastAsia" w:ascii="宋体" w:hAnsi="宋体" w:eastAsia="宋体" w:cs="宋体"/>
          <w:sz w:val="21"/>
          <w:szCs w:val="21"/>
        </w:rPr>
        <w:fldChar w:fldCharType="separate"/>
      </w:r>
      <w:r>
        <w:rPr>
          <w:rFonts w:hint="eastAsia" w:ascii="宋体" w:hAnsi="宋体" w:eastAsia="宋体" w:cs="宋体"/>
          <w:sz w:val="21"/>
          <w:szCs w:val="21"/>
        </w:rPr>
        <w:t>37</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8"/>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_Toc11416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第六部分附件－投标文件格式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_Toc11416 </w:instrText>
      </w:r>
      <w:r>
        <w:rPr>
          <w:rFonts w:hint="eastAsia" w:ascii="宋体" w:hAnsi="宋体" w:eastAsia="宋体" w:cs="宋体"/>
          <w:sz w:val="21"/>
          <w:szCs w:val="21"/>
        </w:rPr>
        <w:fldChar w:fldCharType="separate"/>
      </w:r>
      <w:r>
        <w:rPr>
          <w:rFonts w:hint="eastAsia" w:ascii="宋体" w:hAnsi="宋体" w:eastAsia="宋体" w:cs="宋体"/>
          <w:sz w:val="21"/>
          <w:szCs w:val="21"/>
        </w:rPr>
        <w:t>52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_Toc21154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投标文件目录</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_Toc21154 </w:instrText>
      </w:r>
      <w:r>
        <w:rPr>
          <w:rFonts w:hint="eastAsia" w:ascii="宋体" w:hAnsi="宋体" w:eastAsia="宋体" w:cs="宋体"/>
          <w:sz w:val="21"/>
          <w:szCs w:val="21"/>
        </w:rPr>
        <w:fldChar w:fldCharType="separate"/>
      </w:r>
      <w:r>
        <w:rPr>
          <w:rFonts w:hint="eastAsia" w:ascii="宋体" w:hAnsi="宋体" w:eastAsia="宋体" w:cs="宋体"/>
          <w:sz w:val="21"/>
          <w:szCs w:val="21"/>
        </w:rPr>
        <w:t>52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8"/>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_Toc13094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价格文件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_Toc13094 </w:instrText>
      </w:r>
      <w:r>
        <w:rPr>
          <w:rFonts w:hint="eastAsia" w:ascii="宋体" w:hAnsi="宋体" w:eastAsia="宋体" w:cs="宋体"/>
          <w:sz w:val="21"/>
          <w:szCs w:val="21"/>
        </w:rPr>
        <w:fldChar w:fldCharType="separate"/>
      </w:r>
      <w:r>
        <w:rPr>
          <w:rFonts w:hint="eastAsia" w:ascii="宋体" w:hAnsi="宋体" w:eastAsia="宋体" w:cs="宋体"/>
          <w:sz w:val="21"/>
          <w:szCs w:val="21"/>
        </w:rPr>
        <w:t>53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_Toc11998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.开标一览表格式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_Toc11998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8"/>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_Toc25687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商务文件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_Toc25687 </w:instrText>
      </w:r>
      <w:r>
        <w:rPr>
          <w:rFonts w:hint="eastAsia" w:ascii="宋体" w:hAnsi="宋体" w:eastAsia="宋体" w:cs="宋体"/>
          <w:sz w:val="21"/>
          <w:szCs w:val="21"/>
        </w:rPr>
        <w:fldChar w:fldCharType="separate"/>
      </w:r>
      <w:r>
        <w:rPr>
          <w:rFonts w:hint="eastAsia" w:ascii="宋体" w:hAnsi="宋体" w:eastAsia="宋体" w:cs="宋体"/>
          <w:sz w:val="21"/>
          <w:szCs w:val="21"/>
        </w:rPr>
        <w:t>55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_Toc2238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.投标文件商务部分索引表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_Toc2238 </w:instrText>
      </w:r>
      <w:r>
        <w:rPr>
          <w:rFonts w:hint="eastAsia" w:ascii="宋体" w:hAnsi="宋体" w:eastAsia="宋体" w:cs="宋体"/>
          <w:sz w:val="21"/>
          <w:szCs w:val="21"/>
        </w:rPr>
        <w:fldChar w:fldCharType="separate"/>
      </w:r>
      <w:r>
        <w:rPr>
          <w:rFonts w:hint="eastAsia" w:ascii="宋体" w:hAnsi="宋体" w:eastAsia="宋体" w:cs="宋体"/>
          <w:sz w:val="21"/>
          <w:szCs w:val="21"/>
        </w:rPr>
        <w:t>56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_Toc20742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.投标书格式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_Toc20742 </w:instrText>
      </w:r>
      <w:r>
        <w:rPr>
          <w:rFonts w:hint="eastAsia" w:ascii="宋体" w:hAnsi="宋体" w:eastAsia="宋体" w:cs="宋体"/>
          <w:sz w:val="21"/>
          <w:szCs w:val="21"/>
        </w:rPr>
        <w:fldChar w:fldCharType="separate"/>
      </w:r>
      <w:r>
        <w:rPr>
          <w:rFonts w:hint="eastAsia" w:ascii="宋体" w:hAnsi="宋体" w:eastAsia="宋体" w:cs="宋体"/>
          <w:sz w:val="21"/>
          <w:szCs w:val="21"/>
        </w:rPr>
        <w:t>57</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_Toc3041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.法定代表人证明书格式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_Toc3041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_Toc17322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.法定代表人授权书格式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_Toc17322 </w:instrText>
      </w:r>
      <w:r>
        <w:rPr>
          <w:rFonts w:hint="eastAsia" w:ascii="宋体" w:hAnsi="宋体" w:eastAsia="宋体" w:cs="宋体"/>
          <w:sz w:val="21"/>
          <w:szCs w:val="21"/>
        </w:rPr>
        <w:fldChar w:fldCharType="separate"/>
      </w:r>
      <w:r>
        <w:rPr>
          <w:rFonts w:hint="eastAsia" w:ascii="宋体" w:hAnsi="宋体" w:eastAsia="宋体" w:cs="宋体"/>
          <w:sz w:val="21"/>
          <w:szCs w:val="21"/>
        </w:rPr>
        <w:t>59</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_Toc14579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.资格申明</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_Toc14579 </w:instrText>
      </w:r>
      <w:r>
        <w:rPr>
          <w:rFonts w:hint="eastAsia" w:ascii="宋体" w:hAnsi="宋体" w:eastAsia="宋体" w:cs="宋体"/>
          <w:sz w:val="21"/>
          <w:szCs w:val="21"/>
        </w:rPr>
        <w:fldChar w:fldCharType="separate"/>
      </w:r>
      <w:r>
        <w:rPr>
          <w:rFonts w:hint="eastAsia" w:ascii="宋体" w:hAnsi="宋体" w:eastAsia="宋体" w:cs="宋体"/>
          <w:sz w:val="21"/>
          <w:szCs w:val="21"/>
        </w:rPr>
        <w:t>60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_Toc16925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.营业执照</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_Toc16925 </w:instrText>
      </w:r>
      <w:r>
        <w:rPr>
          <w:rFonts w:hint="eastAsia" w:ascii="宋体" w:hAnsi="宋体" w:eastAsia="宋体" w:cs="宋体"/>
          <w:sz w:val="21"/>
          <w:szCs w:val="21"/>
        </w:rPr>
        <w:fldChar w:fldCharType="separate"/>
      </w:r>
      <w:r>
        <w:rPr>
          <w:rFonts w:hint="eastAsia" w:ascii="宋体" w:hAnsi="宋体" w:eastAsia="宋体" w:cs="宋体"/>
          <w:sz w:val="21"/>
          <w:szCs w:val="21"/>
        </w:rPr>
        <w:t>61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_Toc28346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.相关资质证明文件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_Toc28346 </w:instrText>
      </w:r>
      <w:r>
        <w:rPr>
          <w:rFonts w:hint="eastAsia" w:ascii="宋体" w:hAnsi="宋体" w:eastAsia="宋体" w:cs="宋体"/>
          <w:sz w:val="21"/>
          <w:szCs w:val="21"/>
        </w:rPr>
        <w:fldChar w:fldCharType="separate"/>
      </w:r>
      <w:r>
        <w:rPr>
          <w:rFonts w:hint="eastAsia" w:ascii="宋体" w:hAnsi="宋体" w:eastAsia="宋体" w:cs="宋体"/>
          <w:sz w:val="21"/>
          <w:szCs w:val="21"/>
        </w:rPr>
        <w:t>62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_Toc18180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.在经营活动中没有重大违法记录的书面声明格式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_Toc18180 </w:instrText>
      </w:r>
      <w:r>
        <w:rPr>
          <w:rFonts w:hint="eastAsia" w:ascii="宋体" w:hAnsi="宋体" w:eastAsia="宋体" w:cs="宋体"/>
          <w:sz w:val="21"/>
          <w:szCs w:val="21"/>
        </w:rPr>
        <w:fldChar w:fldCharType="separate"/>
      </w:r>
      <w:r>
        <w:rPr>
          <w:rFonts w:hint="eastAsia" w:ascii="宋体" w:hAnsi="宋体" w:eastAsia="宋体" w:cs="宋体"/>
          <w:sz w:val="21"/>
          <w:szCs w:val="21"/>
        </w:rPr>
        <w:t>63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_Toc16502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.承诺书格式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_Toc16502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_Toc14107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.商务需求条款偏离表格式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_Toc14107 </w:instrText>
      </w:r>
      <w:r>
        <w:rPr>
          <w:rFonts w:hint="eastAsia" w:ascii="宋体" w:hAnsi="宋体" w:eastAsia="宋体" w:cs="宋体"/>
          <w:sz w:val="21"/>
          <w:szCs w:val="21"/>
        </w:rPr>
        <w:fldChar w:fldCharType="separate"/>
      </w:r>
      <w:r>
        <w:rPr>
          <w:rFonts w:hint="eastAsia" w:ascii="宋体" w:hAnsi="宋体" w:eastAsia="宋体" w:cs="宋体"/>
          <w:sz w:val="21"/>
          <w:szCs w:val="21"/>
        </w:rPr>
        <w:t>65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_Toc11373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.业绩表</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_Toc11373 </w:instrText>
      </w:r>
      <w:r>
        <w:rPr>
          <w:rFonts w:hint="eastAsia" w:ascii="宋体" w:hAnsi="宋体" w:eastAsia="宋体" w:cs="宋体"/>
          <w:sz w:val="21"/>
          <w:szCs w:val="21"/>
        </w:rPr>
        <w:fldChar w:fldCharType="separate"/>
      </w:r>
      <w:r>
        <w:rPr>
          <w:rFonts w:hint="eastAsia" w:ascii="宋体" w:hAnsi="宋体" w:eastAsia="宋体" w:cs="宋体"/>
          <w:sz w:val="21"/>
          <w:szCs w:val="21"/>
        </w:rPr>
        <w:t>66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_Toc31273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.联合体协议书（如有）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_Toc31273 </w:instrText>
      </w:r>
      <w:r>
        <w:rPr>
          <w:rFonts w:hint="eastAsia" w:ascii="宋体" w:hAnsi="宋体" w:eastAsia="宋体" w:cs="宋体"/>
          <w:sz w:val="21"/>
          <w:szCs w:val="21"/>
        </w:rPr>
        <w:fldChar w:fldCharType="separate"/>
      </w:r>
      <w:r>
        <w:rPr>
          <w:rFonts w:hint="eastAsia" w:ascii="宋体" w:hAnsi="宋体" w:eastAsia="宋体" w:cs="宋体"/>
          <w:sz w:val="21"/>
          <w:szCs w:val="21"/>
        </w:rPr>
        <w:t>67</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8"/>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_Toc7056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技术文件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_Toc7056 </w:instrText>
      </w:r>
      <w:r>
        <w:rPr>
          <w:rFonts w:hint="eastAsia" w:ascii="宋体" w:hAnsi="宋体" w:eastAsia="宋体" w:cs="宋体"/>
          <w:sz w:val="21"/>
          <w:szCs w:val="21"/>
        </w:rPr>
        <w:fldChar w:fldCharType="separate"/>
      </w:r>
      <w:r>
        <w:rPr>
          <w:rFonts w:hint="eastAsia" w:ascii="宋体" w:hAnsi="宋体" w:eastAsia="宋体" w:cs="宋体"/>
          <w:sz w:val="21"/>
          <w:szCs w:val="21"/>
        </w:rPr>
        <w:t>69</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_Toc7287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.技术规格偏离表格式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_Toc7287 </w:instrText>
      </w:r>
      <w:r>
        <w:rPr>
          <w:rFonts w:hint="eastAsia" w:ascii="宋体" w:hAnsi="宋体" w:eastAsia="宋体" w:cs="宋体"/>
          <w:sz w:val="21"/>
          <w:szCs w:val="21"/>
        </w:rPr>
        <w:fldChar w:fldCharType="separate"/>
      </w:r>
      <w:r>
        <w:rPr>
          <w:rFonts w:hint="eastAsia" w:ascii="宋体" w:hAnsi="宋体" w:eastAsia="宋体" w:cs="宋体"/>
          <w:sz w:val="21"/>
          <w:szCs w:val="21"/>
        </w:rPr>
        <w:t>70</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_Toc7074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.项目实施方案格式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_Toc7074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_Toc17646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.实施本项目的有关人员资料表格式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_Toc17646 </w:instrText>
      </w:r>
      <w:r>
        <w:rPr>
          <w:rFonts w:hint="eastAsia" w:ascii="宋体" w:hAnsi="宋体" w:eastAsia="宋体" w:cs="宋体"/>
          <w:sz w:val="21"/>
          <w:szCs w:val="21"/>
        </w:rPr>
        <w:fldChar w:fldCharType="separate"/>
      </w:r>
      <w:r>
        <w:rPr>
          <w:rFonts w:hint="eastAsia" w:ascii="宋体" w:hAnsi="宋体" w:eastAsia="宋体" w:cs="宋体"/>
          <w:sz w:val="21"/>
          <w:szCs w:val="21"/>
        </w:rPr>
        <w:t>72</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_Toc3918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附件1</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.投标保证金汇入情况说明格式</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_Toc3918 </w:instrText>
      </w:r>
      <w:r>
        <w:rPr>
          <w:rFonts w:hint="eastAsia" w:ascii="宋体" w:hAnsi="宋体" w:eastAsia="宋体" w:cs="宋体"/>
          <w:sz w:val="21"/>
          <w:szCs w:val="21"/>
        </w:rPr>
        <w:fldChar w:fldCharType="separate"/>
      </w:r>
      <w:r>
        <w:rPr>
          <w:rFonts w:hint="eastAsia" w:ascii="宋体" w:hAnsi="宋体" w:eastAsia="宋体" w:cs="宋体"/>
          <w:sz w:val="21"/>
          <w:szCs w:val="21"/>
        </w:rPr>
        <w:t>73</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_Toc27989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18</w:t>
      </w:r>
      <w:r>
        <w:rPr>
          <w:rFonts w:hint="eastAsia" w:ascii="宋体" w:hAnsi="宋体" w:eastAsia="宋体" w:cs="宋体"/>
          <w:sz w:val="21"/>
          <w:szCs w:val="21"/>
          <w:highlight w:val="none"/>
        </w:rPr>
        <w:t>.不可撤销履约保函</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_Toc27989 </w:instrText>
      </w:r>
      <w:r>
        <w:rPr>
          <w:rFonts w:hint="eastAsia" w:ascii="宋体" w:hAnsi="宋体" w:eastAsia="宋体" w:cs="宋体"/>
          <w:sz w:val="21"/>
          <w:szCs w:val="21"/>
        </w:rPr>
        <w:fldChar w:fldCharType="separate"/>
      </w:r>
      <w:r>
        <w:rPr>
          <w:rFonts w:hint="eastAsia" w:ascii="宋体" w:hAnsi="宋体" w:eastAsia="宋体" w:cs="宋体"/>
          <w:sz w:val="21"/>
          <w:szCs w:val="21"/>
        </w:rPr>
        <w:t>75</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_Toc11260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w:t>
      </w:r>
      <w:r>
        <w:rPr>
          <w:rFonts w:hint="eastAsia" w:ascii="宋体" w:hAnsi="宋体" w:eastAsia="宋体" w:cs="宋体"/>
          <w:sz w:val="21"/>
          <w:szCs w:val="21"/>
          <w:highlight w:val="none"/>
          <w:lang w:val="en-US" w:eastAsia="zh-CN"/>
        </w:rPr>
        <w:t>19</w:t>
      </w:r>
      <w:r>
        <w:rPr>
          <w:rFonts w:hint="eastAsia" w:ascii="宋体" w:hAnsi="宋体" w:eastAsia="宋体" w:cs="宋体"/>
          <w:sz w:val="21"/>
          <w:szCs w:val="21"/>
          <w:highlight w:val="none"/>
        </w:rPr>
        <w:t>.预付款保函（适用于预付款支付）</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_Toc11260 </w:instrText>
      </w:r>
      <w:r>
        <w:rPr>
          <w:rFonts w:hint="eastAsia" w:ascii="宋体" w:hAnsi="宋体" w:eastAsia="宋体" w:cs="宋体"/>
          <w:sz w:val="21"/>
          <w:szCs w:val="21"/>
        </w:rPr>
        <w:fldChar w:fldCharType="separate"/>
      </w:r>
      <w:r>
        <w:rPr>
          <w:rFonts w:hint="eastAsia" w:ascii="宋体" w:hAnsi="宋体" w:eastAsia="宋体" w:cs="宋体"/>
          <w:sz w:val="21"/>
          <w:szCs w:val="21"/>
        </w:rPr>
        <w:t>76</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8"/>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_Toc30016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唱标信封</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_Toc30016 </w:instrText>
      </w:r>
      <w:r>
        <w:rPr>
          <w:rFonts w:hint="eastAsia" w:ascii="宋体" w:hAnsi="宋体" w:eastAsia="宋体" w:cs="宋体"/>
          <w:sz w:val="21"/>
          <w:szCs w:val="21"/>
        </w:rPr>
        <w:fldChar w:fldCharType="separate"/>
      </w:r>
      <w:r>
        <w:rPr>
          <w:rFonts w:hint="eastAsia" w:ascii="宋体" w:hAnsi="宋体" w:eastAsia="宋体" w:cs="宋体"/>
          <w:sz w:val="21"/>
          <w:szCs w:val="21"/>
        </w:rPr>
        <w:t>77</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5"/>
        <w:keepNext w:val="0"/>
        <w:keepLines w:val="0"/>
        <w:pageBreakBefore w:val="0"/>
        <w:widowControl/>
        <w:tabs>
          <w:tab w:val="right" w:leader="dot" w:pos="8312"/>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sz w:val="21"/>
          <w:szCs w:val="21"/>
          <w:highlight w:val="none"/>
        </w:rPr>
        <w:instrText xml:space="preserve"> HYPERLINK \l _Toc7033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附件2</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.唱标信封内装（内容务必与投标文件正本一致）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_Toc7033 </w:instrText>
      </w:r>
      <w:r>
        <w:rPr>
          <w:rFonts w:hint="eastAsia" w:ascii="宋体" w:hAnsi="宋体" w:eastAsia="宋体" w:cs="宋体"/>
          <w:sz w:val="21"/>
          <w:szCs w:val="21"/>
        </w:rPr>
        <w:fldChar w:fldCharType="separate"/>
      </w:r>
      <w:r>
        <w:rPr>
          <w:rFonts w:hint="eastAsia" w:ascii="宋体" w:hAnsi="宋体" w:eastAsia="宋体" w:cs="宋体"/>
          <w:sz w:val="21"/>
          <w:szCs w:val="21"/>
        </w:rPr>
        <w:t>78</w:t>
      </w:r>
      <w:r>
        <w:rPr>
          <w:rFonts w:hint="eastAsia" w:ascii="宋体" w:hAnsi="宋体" w:eastAsia="宋体" w:cs="宋体"/>
          <w:sz w:val="21"/>
          <w:szCs w:val="21"/>
        </w:rPr>
        <w:fldChar w:fldCharType="end"/>
      </w:r>
      <w:r>
        <w:rPr>
          <w:rFonts w:hint="eastAsia" w:ascii="宋体" w:hAnsi="宋体" w:eastAsia="宋体" w:cs="宋体"/>
          <w:color w:val="auto"/>
          <w:sz w:val="21"/>
          <w:szCs w:val="21"/>
          <w:highlight w:val="none"/>
        </w:rPr>
        <w:fldChar w:fldCharType="end"/>
      </w:r>
    </w:p>
    <w:p>
      <w:pPr>
        <w:pStyle w:val="28"/>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end"/>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2"/>
        <w:spacing w:before="0" w:after="0" w:line="240" w:lineRule="auto"/>
        <w:rPr>
          <w:rFonts w:hint="eastAsia" w:ascii="宋体" w:hAnsi="宋体" w:eastAsia="宋体" w:cs="宋体"/>
          <w:color w:val="auto"/>
          <w:sz w:val="28"/>
          <w:szCs w:val="28"/>
          <w:highlight w:val="none"/>
        </w:rPr>
      </w:pPr>
      <w:bookmarkStart w:id="0" w:name="_Toc27686"/>
      <w:r>
        <w:rPr>
          <w:rFonts w:hint="eastAsia" w:ascii="宋体" w:hAnsi="宋体" w:eastAsia="宋体" w:cs="宋体"/>
          <w:color w:val="auto"/>
          <w:sz w:val="28"/>
          <w:szCs w:val="28"/>
          <w:highlight w:val="none"/>
        </w:rPr>
        <w:t>第一部分投标邀请</w:t>
      </w:r>
      <w:bookmarkEnd w:id="0"/>
    </w:p>
    <w:p>
      <w:pPr>
        <w:pStyle w:val="4"/>
        <w:spacing w:before="0" w:after="0" w:line="360" w:lineRule="auto"/>
        <w:jc w:val="center"/>
        <w:rPr>
          <w:rFonts w:hint="eastAsia" w:ascii="宋体" w:hAnsi="宋体" w:eastAsia="宋体" w:cs="宋体"/>
          <w:color w:val="auto"/>
          <w:highlight w:val="none"/>
        </w:rPr>
      </w:pPr>
      <w:bookmarkStart w:id="1" w:name="_Toc6735"/>
      <w:r>
        <w:rPr>
          <w:rFonts w:hint="eastAsia" w:ascii="宋体" w:hAnsi="宋体" w:eastAsia="宋体" w:cs="宋体"/>
          <w:color w:val="auto"/>
          <w:highlight w:val="none"/>
        </w:rPr>
        <w:t>投标邀请书</w:t>
      </w:r>
      <w:bookmarkEnd w:id="1"/>
    </w:p>
    <w:p>
      <w:pPr>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广西同泽工程项目管理股份有限公司</w:t>
      </w:r>
      <w:r>
        <w:rPr>
          <w:rFonts w:hint="eastAsia" w:ascii="宋体" w:hAnsi="宋体" w:eastAsia="宋体" w:cs="宋体"/>
          <w:color w:val="auto"/>
          <w:szCs w:val="21"/>
          <w:highlight w:val="none"/>
        </w:rPr>
        <w:t>（以下简称“采购代理机构”）受</w:t>
      </w:r>
      <w:r>
        <w:rPr>
          <w:rFonts w:hint="eastAsia" w:ascii="宋体" w:hAnsi="宋体" w:cs="宋体"/>
          <w:b/>
          <w:bCs/>
          <w:color w:val="auto"/>
          <w:szCs w:val="21"/>
          <w:highlight w:val="none"/>
          <w:lang w:eastAsia="zh-CN"/>
        </w:rPr>
        <w:t>东莞市旗圳投资发展有限公司</w:t>
      </w:r>
      <w:r>
        <w:rPr>
          <w:rFonts w:hint="eastAsia" w:ascii="宋体" w:hAnsi="宋体" w:eastAsia="宋体" w:cs="宋体"/>
          <w:color w:val="auto"/>
          <w:szCs w:val="21"/>
          <w:highlight w:val="none"/>
        </w:rPr>
        <w:t>（以下简称“采购人”）委托，现就</w:t>
      </w:r>
      <w:r>
        <w:rPr>
          <w:rFonts w:hint="eastAsia" w:ascii="宋体" w:hAnsi="宋体" w:cs="宋体"/>
          <w:b/>
          <w:bCs/>
          <w:color w:val="auto"/>
          <w:szCs w:val="21"/>
          <w:highlight w:val="none"/>
          <w:lang w:eastAsia="zh-CN"/>
        </w:rPr>
        <w:t>莞城圳头城中村改造项目建设工程概念方案设计服务</w:t>
      </w: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DGQS-ZT-03-014-017（2024）</w:t>
      </w:r>
      <w:r>
        <w:rPr>
          <w:rFonts w:hint="eastAsia" w:ascii="宋体" w:hAnsi="宋体" w:eastAsia="宋体" w:cs="宋体"/>
          <w:color w:val="auto"/>
          <w:szCs w:val="21"/>
          <w:highlight w:val="none"/>
        </w:rPr>
        <w:t>）进行国内公开采购，欢迎符合采购文件要求的国内投标人参加投标。有关事项如下：</w:t>
      </w:r>
    </w:p>
    <w:p>
      <w:pPr>
        <w:ind w:firstLine="413" w:firstLineChars="196"/>
        <w:rPr>
          <w:rFonts w:hint="eastAsia" w:ascii="宋体" w:hAnsi="宋体" w:eastAsia="宋体" w:cs="宋体"/>
          <w:b/>
          <w:color w:val="auto"/>
          <w:szCs w:val="21"/>
          <w:highlight w:val="none"/>
        </w:rPr>
      </w:pPr>
    </w:p>
    <w:p>
      <w:pPr>
        <w:ind w:firstLine="41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一、采购项目概况</w:t>
      </w:r>
    </w:p>
    <w:p>
      <w:pP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1、采购项目名称：</w:t>
      </w:r>
      <w:r>
        <w:rPr>
          <w:rFonts w:hint="eastAsia" w:ascii="宋体" w:hAnsi="宋体" w:cs="宋体"/>
          <w:color w:val="auto"/>
          <w:szCs w:val="21"/>
          <w:highlight w:val="none"/>
          <w:lang w:eastAsia="zh-CN"/>
        </w:rPr>
        <w:t>莞城圳头城中村改造项目建设工程概念方案设计服务</w:t>
      </w:r>
    </w:p>
    <w:p>
      <w:pP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2、预算金额（元）：</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val="en-US" w:eastAsia="zh-CN"/>
        </w:rPr>
        <w:t>93</w:t>
      </w:r>
      <w:r>
        <w:rPr>
          <w:rFonts w:hint="eastAsia" w:ascii="宋体" w:hAnsi="宋体" w:eastAsia="宋体" w:cs="宋体"/>
          <w:color w:val="auto"/>
          <w:szCs w:val="21"/>
          <w:highlight w:val="none"/>
          <w:u w:val="single"/>
          <w:lang w:val="en-US" w:eastAsia="zh-CN"/>
        </w:rPr>
        <w:t>0,000.00</w:t>
      </w:r>
      <w:r>
        <w:rPr>
          <w:rFonts w:hint="eastAsia" w:ascii="宋体" w:hAnsi="宋体" w:eastAsia="宋体" w:cs="宋体"/>
          <w:color w:val="auto"/>
          <w:szCs w:val="21"/>
          <w:highlight w:val="none"/>
          <w:u w:val="single"/>
        </w:rPr>
        <w:t>元</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大写：人民币玖拾叁万元整</w:t>
      </w:r>
      <w:r>
        <w:rPr>
          <w:rFonts w:hint="eastAsia" w:ascii="宋体" w:hAnsi="宋体" w:cs="宋体"/>
          <w:color w:val="auto"/>
          <w:szCs w:val="21"/>
          <w:highlight w:val="none"/>
          <w:u w:val="single"/>
          <w:lang w:eastAsia="zh-CN"/>
        </w:rPr>
        <w:t>）</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、项目内容</w:t>
      </w:r>
    </w:p>
    <w:tbl>
      <w:tblPr>
        <w:tblStyle w:val="3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4139"/>
        <w:gridCol w:w="1595"/>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1194" w:type="dxa"/>
            <w:vAlign w:val="center"/>
          </w:tcPr>
          <w:p>
            <w:pPr>
              <w:spacing w:line="24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采购包号</w:t>
            </w:r>
          </w:p>
        </w:tc>
        <w:tc>
          <w:tcPr>
            <w:tcW w:w="4139" w:type="dxa"/>
            <w:vAlign w:val="center"/>
          </w:tcPr>
          <w:p>
            <w:pPr>
              <w:spacing w:line="24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项目内容</w:t>
            </w:r>
          </w:p>
        </w:tc>
        <w:tc>
          <w:tcPr>
            <w:tcW w:w="1595" w:type="dxa"/>
            <w:vAlign w:val="center"/>
          </w:tcPr>
          <w:p>
            <w:pPr>
              <w:spacing w:line="240" w:lineRule="auto"/>
              <w:jc w:val="center"/>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采购服务单位数量</w:t>
            </w:r>
          </w:p>
        </w:tc>
        <w:tc>
          <w:tcPr>
            <w:tcW w:w="1594" w:type="dxa"/>
            <w:shd w:val="clear" w:color="auto" w:fill="auto"/>
            <w:vAlign w:val="center"/>
          </w:tcPr>
          <w:p>
            <w:pPr>
              <w:spacing w:line="240" w:lineRule="auto"/>
              <w:jc w:val="center"/>
              <w:rPr>
                <w:rFonts w:hint="eastAsia" w:ascii="宋体" w:hAnsi="宋体" w:eastAsia="宋体" w:cs="宋体"/>
                <w:color w:val="auto"/>
                <w:kern w:val="28"/>
                <w:szCs w:val="21"/>
                <w:highlight w:val="none"/>
              </w:rPr>
            </w:pPr>
            <w:r>
              <w:rPr>
                <w:rFonts w:hint="eastAsia" w:ascii="宋体" w:hAnsi="宋体" w:cs="宋体"/>
                <w:color w:val="auto"/>
                <w:kern w:val="28"/>
                <w:szCs w:val="21"/>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jc w:val="center"/>
        </w:trPr>
        <w:tc>
          <w:tcPr>
            <w:tcW w:w="1194"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A</w:t>
            </w:r>
          </w:p>
        </w:tc>
        <w:tc>
          <w:tcPr>
            <w:tcW w:w="4139" w:type="dxa"/>
            <w:vAlign w:val="center"/>
          </w:tcPr>
          <w:p>
            <w:pPr>
              <w:spacing w:line="24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莞城圳头城中村改造项目建设工程概念方案设计服务</w:t>
            </w:r>
          </w:p>
        </w:tc>
        <w:tc>
          <w:tcPr>
            <w:tcW w:w="1595"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594" w:type="dxa"/>
            <w:shd w:val="clear" w:color="auto" w:fill="auto"/>
            <w:vAlign w:val="center"/>
          </w:tcPr>
          <w:p>
            <w:pPr>
              <w:spacing w:line="24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1年</w:t>
            </w:r>
          </w:p>
        </w:tc>
      </w:tr>
    </w:tbl>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、项目需求</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详细内容请参阅采购文件第三部分《用户需求书》。</w:t>
      </w:r>
    </w:p>
    <w:p>
      <w:pPr>
        <w:ind w:firstLine="413" w:firstLineChars="196"/>
        <w:rPr>
          <w:rFonts w:hint="eastAsia" w:ascii="宋体" w:hAnsi="宋体" w:eastAsia="宋体" w:cs="宋体"/>
          <w:b/>
          <w:color w:val="auto"/>
          <w:szCs w:val="21"/>
          <w:highlight w:val="none"/>
        </w:rPr>
      </w:pPr>
    </w:p>
    <w:p>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二、投标人资格要求</w:t>
      </w:r>
    </w:p>
    <w:p>
      <w:pPr>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1、一般要求：</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（3）投标人的单位负责人为同一人或者存在直接控股、管理关系的不同投标人，不得参加同一合同项下的采购活动。</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（4）未被列入“信用中国”网站(www.creditchina.gov.cn )“记录失信被执行人或</w:t>
      </w:r>
      <w:r>
        <w:rPr>
          <w:rFonts w:hint="eastAsia" w:ascii="宋体" w:hAnsi="宋体" w:eastAsia="宋体" w:cs="宋体"/>
          <w:color w:val="auto"/>
          <w:highlight w:val="none"/>
        </w:rPr>
        <w:t>重大税收违法失信主体</w:t>
      </w:r>
      <w:r>
        <w:rPr>
          <w:rFonts w:hint="eastAsia" w:ascii="宋体" w:hAnsi="宋体" w:eastAsia="宋体" w:cs="宋体"/>
          <w:color w:val="auto"/>
          <w:szCs w:val="21"/>
          <w:highlight w:val="none"/>
        </w:rPr>
        <w:t>或政府采购严重违法失信行为”记录名单。以代理机构于投标截止日当天在“信用中国”网站查询结果为准，如相关失信记录已失效，投标人需提供相关证明资料。</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（5）未被列入东实集团及下属企业相关领域黑名单。【以</w:t>
      </w:r>
      <w:r>
        <w:rPr>
          <w:rFonts w:hint="eastAsia" w:ascii="宋体" w:hAnsi="宋体" w:eastAsia="宋体" w:cs="宋体"/>
          <w:color w:val="auto"/>
          <w:kern w:val="2"/>
          <w:szCs w:val="21"/>
          <w:highlight w:val="none"/>
          <w:lang w:val="zh-CN"/>
        </w:rPr>
        <w:t>东莞实业投资控股集团有限公司</w:t>
      </w:r>
      <w:r>
        <w:rPr>
          <w:rFonts w:hint="eastAsia" w:ascii="宋体" w:hAnsi="宋体" w:eastAsia="宋体" w:cs="宋体"/>
          <w:color w:val="auto"/>
          <w:szCs w:val="21"/>
          <w:highlight w:val="none"/>
        </w:rPr>
        <w:t>发文（东实通〔2021〕44号）、（东实通〔2021〕98号）、（东实通〔2022〕75号）、（东实通〔2023〕37号）</w:t>
      </w:r>
      <w:r>
        <w:rPr>
          <w:rFonts w:hint="eastAsia" w:ascii="宋体" w:hAnsi="宋体" w:cs="宋体"/>
          <w:color w:val="auto"/>
          <w:szCs w:val="21"/>
          <w:highlight w:val="none"/>
          <w:lang w:eastAsia="zh-CN"/>
        </w:rPr>
        <w:t>、（东实通〔2024〕163号）、（东实通〔2024〕195号）</w:t>
      </w:r>
      <w:r>
        <w:rPr>
          <w:rFonts w:hint="eastAsia" w:ascii="宋体" w:hAnsi="宋体" w:eastAsia="宋体" w:cs="宋体"/>
          <w:color w:val="auto"/>
          <w:szCs w:val="21"/>
          <w:highlight w:val="none"/>
          <w:lang w:eastAsia="zh-CN"/>
        </w:rPr>
        <w:t>及下属企业发文</w:t>
      </w:r>
      <w:r>
        <w:rPr>
          <w:rFonts w:hint="eastAsia" w:ascii="宋体" w:hAnsi="宋体" w:eastAsia="宋体" w:cs="宋体"/>
          <w:color w:val="auto"/>
          <w:szCs w:val="21"/>
          <w:highlight w:val="none"/>
        </w:rPr>
        <w:t>为准，如有最新发文通知，按最新文件执行。】</w:t>
      </w:r>
    </w:p>
    <w:p>
      <w:pP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2、其他要求</w:t>
      </w:r>
      <w:r>
        <w:rPr>
          <w:rFonts w:hint="eastAsia" w:ascii="宋体" w:hAnsi="宋体" w:cs="宋体"/>
          <w:color w:val="auto"/>
          <w:szCs w:val="21"/>
          <w:highlight w:val="none"/>
          <w:lang w:eastAsia="zh-CN"/>
        </w:rPr>
        <w:t>：</w:t>
      </w:r>
    </w:p>
    <w:p>
      <w:pPr>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无。</w:t>
      </w:r>
    </w:p>
    <w:p>
      <w:pPr>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本项目不接受联合体投标。</w:t>
      </w:r>
    </w:p>
    <w:p>
      <w:pPr>
        <w:ind w:firstLine="413" w:firstLineChars="196"/>
        <w:rPr>
          <w:rFonts w:hint="eastAsia" w:ascii="宋体" w:hAnsi="宋体" w:eastAsia="宋体" w:cs="宋体"/>
          <w:b/>
          <w:color w:val="auto"/>
          <w:szCs w:val="21"/>
          <w:highlight w:val="none"/>
        </w:rPr>
      </w:pPr>
    </w:p>
    <w:p>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三、获取采购文件方式及要求：</w:t>
      </w:r>
    </w:p>
    <w:p>
      <w:pPr>
        <w:keepNext w:val="0"/>
        <w:keepLines w:val="0"/>
        <w:pageBreakBefore w:val="0"/>
        <w:widowControl/>
        <w:kinsoku w:val="0"/>
        <w:wordWrap w:val="0"/>
        <w:overflowPunct/>
        <w:topLinePunct w:val="0"/>
        <w:autoSpaceDE/>
        <w:autoSpaceDN/>
        <w:bidi w:val="0"/>
        <w:adjustRightInd w:val="0"/>
        <w:snapToGrid w:val="0"/>
        <w:ind w:firstLine="420" w:firstLineChars="200"/>
        <w:textAlignment w:val="auto"/>
        <w:rPr>
          <w:rFonts w:hint="eastAsia" w:ascii="宋体" w:hAnsi="宋体" w:eastAsia="宋体" w:cs="宋体"/>
          <w:bCs/>
          <w:color w:val="auto"/>
          <w:sz w:val="22"/>
          <w:szCs w:val="22"/>
          <w:highlight w:val="none"/>
        </w:rPr>
      </w:pPr>
      <w:r>
        <w:rPr>
          <w:rFonts w:hint="eastAsia" w:ascii="宋体" w:hAnsi="宋体" w:eastAsia="宋体" w:cs="宋体"/>
          <w:color w:val="auto"/>
          <w:szCs w:val="21"/>
          <w:highlight w:val="none"/>
          <w:lang w:val="en-US" w:eastAsia="zh-CN"/>
        </w:rPr>
        <w:t>本项目不进行实名登记报名，拟参加投标的投标人可于投标截止时间前自行网上下载采购文件</w:t>
      </w:r>
      <w:r>
        <w:rPr>
          <w:rFonts w:hint="eastAsia" w:ascii="宋体" w:hAnsi="宋体" w:eastAsia="宋体" w:cs="宋体"/>
          <w:bCs/>
          <w:color w:val="auto"/>
          <w:sz w:val="22"/>
          <w:szCs w:val="22"/>
          <w:highlight w:val="none"/>
        </w:rPr>
        <w:t>。</w:t>
      </w:r>
      <w:r>
        <w:rPr>
          <w:rFonts w:hint="eastAsia" w:ascii="宋体" w:hAnsi="宋体" w:cs="宋体"/>
          <w:bCs/>
          <w:color w:val="auto"/>
          <w:sz w:val="22"/>
          <w:szCs w:val="22"/>
          <w:highlight w:val="none"/>
          <w:lang w:val="en-US" w:eastAsia="zh-CN"/>
        </w:rPr>
        <w:t>采购文件</w:t>
      </w:r>
      <w:r>
        <w:rPr>
          <w:rFonts w:hint="eastAsia" w:ascii="宋体" w:hAnsi="宋体" w:eastAsia="宋体" w:cs="宋体"/>
          <w:bCs/>
          <w:color w:val="auto"/>
          <w:sz w:val="22"/>
          <w:szCs w:val="22"/>
          <w:highlight w:val="none"/>
        </w:rPr>
        <w:t>下载地址：中国招标投标公共服务平台（http://www.cebpubservice.com/）、东莞实业投资控股集团有限公司-招标采购栏目（http://www.dgsy.com.cn/）</w:t>
      </w:r>
      <w:r>
        <w:rPr>
          <w:rFonts w:hint="eastAsia" w:ascii="宋体" w:hAnsi="宋体" w:cs="宋体"/>
          <w:bCs/>
          <w:color w:val="auto"/>
          <w:sz w:val="22"/>
          <w:szCs w:val="22"/>
          <w:highlight w:val="none"/>
          <w:lang w:eastAsia="zh-CN"/>
        </w:rPr>
        <w:t>、广西同泽工程项目管理股份有限公司网（http://www.gxtzfz.cn/）</w:t>
      </w:r>
      <w:r>
        <w:rPr>
          <w:rFonts w:hint="eastAsia" w:ascii="宋体" w:hAnsi="宋体" w:eastAsia="宋体" w:cs="宋体"/>
          <w:bCs/>
          <w:color w:val="auto"/>
          <w:sz w:val="22"/>
          <w:szCs w:val="22"/>
          <w:highlight w:val="none"/>
        </w:rPr>
        <w:t>。</w:t>
      </w:r>
    </w:p>
    <w:p>
      <w:pPr>
        <w:rPr>
          <w:rFonts w:hint="eastAsia" w:ascii="宋体" w:hAnsi="宋体" w:eastAsia="宋体" w:cs="宋体"/>
          <w:color w:val="auto"/>
          <w:highlight w:val="none"/>
        </w:rPr>
      </w:pPr>
    </w:p>
    <w:p>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四、投标文件的递交</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1、递交投标文件时间：20</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06</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日（北京时间）</w:t>
      </w:r>
      <w:r>
        <w:rPr>
          <w:rFonts w:hint="eastAsia" w:ascii="宋体" w:hAnsi="宋体" w:cs="宋体"/>
          <w:color w:val="auto"/>
          <w:szCs w:val="21"/>
          <w:highlight w:val="none"/>
          <w:lang w:val="en-US" w:eastAsia="zh-CN"/>
        </w:rPr>
        <w:t>14</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none"/>
          <w:lang w:val="en-US" w:eastAsia="zh-CN"/>
        </w:rPr>
        <w:t>3</w:t>
      </w:r>
      <w:r>
        <w:rPr>
          <w:rFonts w:hint="eastAsia" w:ascii="宋体" w:hAnsi="宋体" w:eastAsia="宋体" w:cs="宋体"/>
          <w:color w:val="auto"/>
          <w:szCs w:val="21"/>
          <w:highlight w:val="none"/>
          <w:u w:val="none"/>
          <w:lang w:val="en-US" w:eastAsia="zh-CN"/>
        </w:rPr>
        <w:t>0</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none"/>
          <w:lang w:val="en-US" w:eastAsia="zh-CN"/>
        </w:rPr>
        <w:t>15</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none"/>
          <w:lang w:val="en-US" w:eastAsia="zh-CN"/>
        </w:rPr>
        <w:t>0</w:t>
      </w:r>
      <w:r>
        <w:rPr>
          <w:rFonts w:hint="eastAsia" w:ascii="宋体" w:hAnsi="宋体" w:eastAsia="宋体" w:cs="宋体"/>
          <w:color w:val="auto"/>
          <w:szCs w:val="21"/>
          <w:highlight w:val="none"/>
          <w:u w:val="none"/>
          <w:lang w:val="en-US" w:eastAsia="zh-CN"/>
        </w:rPr>
        <w:t>0</w:t>
      </w:r>
      <w:r>
        <w:rPr>
          <w:rFonts w:hint="eastAsia" w:ascii="宋体" w:hAnsi="宋体" w:eastAsia="宋体" w:cs="宋体"/>
          <w:color w:val="auto"/>
          <w:szCs w:val="21"/>
          <w:highlight w:val="none"/>
        </w:rPr>
        <w:t>。</w:t>
      </w:r>
    </w:p>
    <w:p>
      <w:pPr>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2、递交投标文件截止及开标时间：20</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06</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none"/>
          <w:lang w:val="en-US" w:eastAsia="zh-CN"/>
        </w:rPr>
        <w:t>0</w:t>
      </w:r>
      <w:r>
        <w:rPr>
          <w:rFonts w:hint="eastAsia" w:ascii="宋体" w:hAnsi="宋体" w:eastAsia="宋体" w:cs="宋体"/>
          <w:color w:val="auto"/>
          <w:szCs w:val="21"/>
          <w:highlight w:val="none"/>
          <w:u w:val="none"/>
          <w:lang w:val="en-US" w:eastAsia="zh-CN"/>
        </w:rPr>
        <w:t>0</w:t>
      </w:r>
      <w:r>
        <w:rPr>
          <w:rFonts w:hint="eastAsia" w:ascii="宋体" w:hAnsi="宋体" w:eastAsia="宋体" w:cs="宋体"/>
          <w:color w:val="auto"/>
          <w:szCs w:val="21"/>
          <w:highlight w:val="none"/>
        </w:rPr>
        <w:t>（北京时间），所有投标文件应于截止时间之前递交，迟交或以电报、传真形式的投标文件将拒绝接收。</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3、开标地点：</w:t>
      </w:r>
      <w:r>
        <w:rPr>
          <w:rFonts w:hint="eastAsia" w:ascii="宋体" w:hAnsi="宋体" w:eastAsia="宋体" w:cs="宋体"/>
          <w:color w:val="auto"/>
          <w:szCs w:val="21"/>
          <w:highlight w:val="none"/>
          <w:u w:val="single"/>
        </w:rPr>
        <w:t xml:space="preserve"> 广东省东莞市南城街道胜和路3号胜和广场2栋100</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室。</w:t>
      </w:r>
    </w:p>
    <w:p>
      <w:pPr>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4、开标事宜：</w:t>
      </w:r>
      <w:r>
        <w:rPr>
          <w:rFonts w:hint="eastAsia" w:ascii="宋体" w:hAnsi="宋体" w:eastAsia="宋体" w:cs="宋体"/>
          <w:b/>
          <w:bCs/>
          <w:color w:val="auto"/>
          <w:szCs w:val="21"/>
          <w:highlight w:val="none"/>
        </w:rPr>
        <w:t>届时请投标人的法定代表人或其授权代表务必携带有效身份证明出席开标会</w:t>
      </w:r>
      <w:r>
        <w:rPr>
          <w:rFonts w:hint="eastAsia" w:ascii="宋体" w:hAnsi="宋体" w:eastAsia="宋体" w:cs="宋体"/>
          <w:bCs/>
          <w:color w:val="auto"/>
          <w:szCs w:val="21"/>
          <w:highlight w:val="none"/>
        </w:rPr>
        <w:t>。</w:t>
      </w:r>
    </w:p>
    <w:p>
      <w:pPr>
        <w:pStyle w:val="4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5、出现以下情形时，采购代理机构不予接收投标（响应）文件：</w:t>
      </w:r>
    </w:p>
    <w:p>
      <w:pPr>
        <w:pStyle w:val="40"/>
        <w:spacing w:line="360" w:lineRule="auto"/>
        <w:rPr>
          <w:rFonts w:hint="eastAsia" w:ascii="宋体" w:hAnsi="宋体" w:eastAsia="宋体" w:cs="宋体"/>
          <w:color w:val="auto"/>
          <w:sz w:val="21"/>
          <w:szCs w:val="21"/>
          <w:highlight w:val="none"/>
          <w:u w:val="none"/>
        </w:rPr>
      </w:pP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rPr>
        <w:t>逾期送</w:t>
      </w:r>
      <w:r>
        <w:rPr>
          <w:rFonts w:hint="eastAsia" w:ascii="宋体" w:hAnsi="宋体" w:eastAsia="宋体" w:cs="宋体"/>
          <w:color w:val="auto"/>
          <w:sz w:val="21"/>
          <w:szCs w:val="21"/>
          <w:highlight w:val="none"/>
          <w:u w:val="none"/>
        </w:rPr>
        <w:t>达或者未送达指定地点的；</w:t>
      </w:r>
    </w:p>
    <w:p>
      <w:pPr>
        <w:pStyle w:val="40"/>
        <w:spacing w:line="360" w:lineRule="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未按采购文件要求密封的。</w:t>
      </w:r>
    </w:p>
    <w:p>
      <w:pPr>
        <w:pStyle w:val="40"/>
        <w:ind w:firstLine="400"/>
        <w:rPr>
          <w:rFonts w:hint="eastAsia" w:ascii="宋体" w:hAnsi="宋体" w:eastAsia="宋体" w:cs="宋体"/>
          <w:color w:val="auto"/>
          <w:highlight w:val="none"/>
        </w:rPr>
      </w:pPr>
    </w:p>
    <w:p>
      <w:pPr>
        <w:pStyle w:val="40"/>
        <w:ind w:firstLine="42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五、发布公告的媒介</w:t>
      </w:r>
    </w:p>
    <w:p>
      <w:pPr>
        <w:pStyle w:val="40"/>
        <w:spacing w:line="360" w:lineRule="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1、采购公告发布媒介：</w:t>
      </w:r>
    </w:p>
    <w:p>
      <w:pPr>
        <w:pStyle w:val="4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中国招标投标公共服务平台（http://www.cebpubservice.com/）</w:t>
      </w:r>
      <w:r>
        <w:rPr>
          <w:rFonts w:hint="eastAsia" w:ascii="宋体" w:hAnsi="宋体" w:eastAsia="宋体" w:cs="宋体"/>
          <w:color w:val="auto"/>
          <w:sz w:val="21"/>
          <w:szCs w:val="21"/>
          <w:highlight w:val="none"/>
          <w:lang w:eastAsia="zh-CN"/>
        </w:rPr>
        <w:t>；</w:t>
      </w:r>
    </w:p>
    <w:p>
      <w:pPr>
        <w:pStyle w:val="40"/>
        <w:keepNext w:val="0"/>
        <w:keepLines w:val="0"/>
        <w:pageBreakBefore w:val="0"/>
        <w:widowControl/>
        <w:kinsoku w:val="0"/>
        <w:wordWrap w:val="0"/>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东莞实业投资控股集团有限公司官网-招标采购栏目（http://www.dgsy.com.cn）</w:t>
      </w:r>
      <w:r>
        <w:rPr>
          <w:rFonts w:hint="eastAsia" w:ascii="宋体" w:hAnsi="宋体" w:eastAsia="宋体" w:cs="宋体"/>
          <w:color w:val="auto"/>
          <w:sz w:val="21"/>
          <w:szCs w:val="21"/>
          <w:highlight w:val="none"/>
          <w:lang w:eastAsia="zh-CN"/>
        </w:rPr>
        <w:t>；</w:t>
      </w:r>
    </w:p>
    <w:p>
      <w:pPr>
        <w:pStyle w:val="4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广西同泽工程项目管理股份有限公司网（http://www.gxtzfz.cn/）。</w:t>
      </w:r>
    </w:p>
    <w:p>
      <w:pPr>
        <w:pStyle w:val="4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结果公告发布媒介：</w:t>
      </w:r>
    </w:p>
    <w:p>
      <w:pPr>
        <w:pStyle w:val="4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东莞实业投资控股集团有限公司-招标采购栏目（http://www.dgsy.com.cn/）。</w:t>
      </w:r>
    </w:p>
    <w:p>
      <w:pPr>
        <w:pStyle w:val="40"/>
        <w:spacing w:line="360" w:lineRule="auto"/>
        <w:rPr>
          <w:rFonts w:hint="eastAsia" w:ascii="宋体" w:hAnsi="宋体" w:eastAsia="宋体" w:cs="宋体"/>
          <w:bCs/>
          <w:color w:val="auto"/>
          <w:sz w:val="21"/>
          <w:szCs w:val="21"/>
          <w:highlight w:val="none"/>
        </w:rPr>
      </w:pPr>
    </w:p>
    <w:p>
      <w:pPr>
        <w:ind w:firstLine="413" w:firstLineChars="196"/>
        <w:rPr>
          <w:rFonts w:hint="eastAsia" w:ascii="宋体" w:hAnsi="宋体" w:eastAsia="宋体" w:cs="宋体"/>
          <w:bCs/>
          <w:color w:val="auto"/>
          <w:szCs w:val="21"/>
          <w:highlight w:val="none"/>
        </w:rPr>
      </w:pPr>
      <w:r>
        <w:rPr>
          <w:rFonts w:hint="eastAsia" w:ascii="宋体" w:hAnsi="宋体" w:cs="宋体"/>
          <w:b/>
          <w:color w:val="auto"/>
          <w:szCs w:val="21"/>
          <w:highlight w:val="none"/>
          <w:lang w:val="en-US" w:eastAsia="zh-CN"/>
        </w:rPr>
        <w:t>六</w:t>
      </w:r>
      <w:r>
        <w:rPr>
          <w:rFonts w:hint="eastAsia" w:ascii="宋体" w:hAnsi="宋体" w:eastAsia="宋体" w:cs="宋体"/>
          <w:b/>
          <w:color w:val="auto"/>
          <w:szCs w:val="21"/>
          <w:highlight w:val="none"/>
        </w:rPr>
        <w:t>、采购人及采购代理机构的名称、地址和联系方法：</w:t>
      </w:r>
    </w:p>
    <w:p>
      <w:pPr>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采购人名称：</w:t>
      </w:r>
      <w:r>
        <w:rPr>
          <w:rFonts w:hint="eastAsia" w:ascii="宋体" w:hAnsi="宋体" w:cs="宋体"/>
          <w:bCs/>
          <w:color w:val="auto"/>
          <w:szCs w:val="21"/>
          <w:highlight w:val="none"/>
          <w:lang w:eastAsia="zh-CN"/>
        </w:rPr>
        <w:t>东莞市旗圳投资发展有限公司</w:t>
      </w:r>
    </w:p>
    <w:p>
      <w:pPr>
        <w:ind w:firstLine="420" w:firstLineChars="20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采购人联系人：</w:t>
      </w:r>
      <w:r>
        <w:rPr>
          <w:rFonts w:hint="eastAsia" w:ascii="宋体" w:hAnsi="宋体"/>
          <w:bCs/>
          <w:color w:val="auto"/>
          <w:szCs w:val="21"/>
          <w:highlight w:val="none"/>
          <w:lang w:val="en-US" w:eastAsia="zh-CN"/>
        </w:rPr>
        <w:t>吴先生</w:t>
      </w:r>
    </w:p>
    <w:p>
      <w:pPr>
        <w:ind w:firstLine="420" w:firstLineChars="200"/>
        <w:rPr>
          <w:rFonts w:ascii="宋体" w:hAnsi="宋体"/>
          <w:bCs/>
          <w:color w:val="auto"/>
          <w:szCs w:val="21"/>
          <w:highlight w:val="none"/>
        </w:rPr>
      </w:pPr>
      <w:r>
        <w:rPr>
          <w:rFonts w:hint="eastAsia" w:ascii="宋体" w:hAnsi="宋体"/>
          <w:bCs/>
          <w:color w:val="auto"/>
          <w:szCs w:val="21"/>
          <w:highlight w:val="none"/>
        </w:rPr>
        <w:t>采购人地址：东莞市东城区八一路机关二号大院9号楼</w:t>
      </w:r>
    </w:p>
    <w:p>
      <w:pPr>
        <w:ind w:firstLine="420" w:firstLineChars="200"/>
        <w:rPr>
          <w:rFonts w:hint="eastAsia" w:ascii="宋体" w:hAnsi="宋体" w:eastAsia="宋体" w:cs="宋体"/>
          <w:bCs/>
          <w:color w:val="auto"/>
          <w:szCs w:val="21"/>
          <w:highlight w:val="none"/>
        </w:rPr>
      </w:pPr>
      <w:r>
        <w:rPr>
          <w:rFonts w:hint="eastAsia" w:ascii="宋体" w:hAnsi="宋体"/>
          <w:bCs/>
          <w:color w:val="auto"/>
          <w:szCs w:val="21"/>
          <w:highlight w:val="none"/>
        </w:rPr>
        <w:t>采购人联系电话：0769-28681293</w:t>
      </w:r>
    </w:p>
    <w:p>
      <w:pPr>
        <w:outlineLvl w:val="9"/>
        <w:rPr>
          <w:rFonts w:hint="eastAsia" w:ascii="宋体" w:hAnsi="宋体" w:eastAsia="宋体" w:cs="宋体"/>
          <w:color w:val="auto"/>
          <w:highlight w:val="none"/>
        </w:rPr>
      </w:pPr>
    </w:p>
    <w:p>
      <w:pPr>
        <w:shd w:val="clea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采购代理机构名称：</w:t>
      </w:r>
      <w:r>
        <w:rPr>
          <w:rFonts w:hint="eastAsia" w:ascii="宋体" w:hAnsi="宋体" w:eastAsia="宋体" w:cs="宋体"/>
          <w:color w:val="auto"/>
          <w:szCs w:val="21"/>
          <w:highlight w:val="none"/>
          <w:lang w:eastAsia="zh-CN"/>
        </w:rPr>
        <w:t>广西同泽工程项目管理股份有限公司</w:t>
      </w:r>
    </w:p>
    <w:p>
      <w:pPr>
        <w:shd w:val="clea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采购代理机构地址：广东省东莞市南城街道胜和路3号胜和广场2栋1006室</w:t>
      </w:r>
    </w:p>
    <w:p>
      <w:pPr>
        <w:shd w:val="clear"/>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采购代理机构联系人：</w:t>
      </w:r>
      <w:r>
        <w:rPr>
          <w:rFonts w:hint="eastAsia" w:ascii="宋体" w:hAnsi="宋体" w:eastAsia="宋体" w:cs="宋体"/>
          <w:color w:val="auto"/>
          <w:szCs w:val="21"/>
          <w:highlight w:val="none"/>
          <w:lang w:val="en-US" w:eastAsia="zh-CN"/>
        </w:rPr>
        <w:t>张先生</w:t>
      </w:r>
    </w:p>
    <w:p>
      <w:pPr>
        <w:shd w:val="clea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采购代理机构联系电话：0769-</w:t>
      </w:r>
      <w:r>
        <w:rPr>
          <w:rFonts w:hint="eastAsia" w:ascii="宋体" w:hAnsi="宋体" w:eastAsia="宋体" w:cs="宋体"/>
          <w:color w:val="auto"/>
          <w:szCs w:val="21"/>
          <w:highlight w:val="none"/>
          <w:lang w:val="en-US" w:eastAsia="zh-CN"/>
        </w:rPr>
        <w:t>21688191</w:t>
      </w:r>
    </w:p>
    <w:p>
      <w:pPr>
        <w:shd w:val="clear"/>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采购代理机构邮箱：2195953904@qq.com</w:t>
      </w:r>
    </w:p>
    <w:p>
      <w:pPr>
        <w:ind w:firstLine="420" w:firstLineChars="200"/>
        <w:rPr>
          <w:rFonts w:hint="eastAsia" w:ascii="宋体" w:hAnsi="宋体" w:eastAsia="宋体" w:cs="宋体"/>
          <w:color w:val="auto"/>
          <w:highlight w:val="none"/>
        </w:rPr>
      </w:pPr>
    </w:p>
    <w:p>
      <w:pPr>
        <w:ind w:right="752" w:rightChars="358"/>
        <w:jc w:val="right"/>
        <w:rPr>
          <w:rFonts w:hint="eastAsia" w:ascii="宋体" w:hAnsi="宋体"/>
          <w:bCs/>
          <w:color w:val="auto"/>
          <w:szCs w:val="21"/>
          <w:highlight w:val="none"/>
          <w:lang w:eastAsia="zh-CN"/>
        </w:rPr>
      </w:pPr>
    </w:p>
    <w:p>
      <w:pPr>
        <w:ind w:right="752" w:rightChars="358"/>
        <w:jc w:val="right"/>
        <w:rPr>
          <w:rFonts w:hint="eastAsia" w:ascii="宋体" w:hAnsi="宋体" w:eastAsia="宋体" w:cs="宋体"/>
          <w:color w:val="auto"/>
          <w:highlight w:val="none"/>
        </w:rPr>
      </w:pPr>
      <w:r>
        <w:rPr>
          <w:rFonts w:hint="eastAsia" w:ascii="宋体" w:hAnsi="宋体"/>
          <w:bCs/>
          <w:color w:val="auto"/>
          <w:szCs w:val="21"/>
          <w:highlight w:val="none"/>
          <w:lang w:eastAsia="zh-CN"/>
        </w:rPr>
        <w:t>东莞市旗圳投资发展有限公司</w:t>
      </w:r>
    </w:p>
    <w:p>
      <w:pPr>
        <w:ind w:right="752" w:rightChars="358"/>
        <w:jc w:val="right"/>
        <w:rPr>
          <w:rFonts w:hint="eastAsia" w:ascii="宋体" w:hAnsi="宋体" w:eastAsia="宋体" w:cs="宋体"/>
          <w:color w:val="auto"/>
          <w:szCs w:val="21"/>
          <w:highlight w:val="none"/>
          <w:lang w:eastAsia="zh-CN"/>
        </w:rPr>
      </w:pPr>
    </w:p>
    <w:p>
      <w:pPr>
        <w:ind w:right="752" w:rightChars="358"/>
        <w:jc w:val="right"/>
        <w:rPr>
          <w:rFonts w:hint="eastAsia" w:ascii="宋体" w:hAnsi="宋体" w:eastAsia="宋体" w:cs="宋体"/>
          <w:color w:val="auto"/>
          <w:szCs w:val="21"/>
          <w:highlight w:val="none"/>
          <w:lang w:eastAsia="zh-CN"/>
        </w:rPr>
      </w:pPr>
    </w:p>
    <w:p>
      <w:pPr>
        <w:ind w:right="752" w:rightChars="358"/>
        <w:jc w:val="right"/>
        <w:rPr>
          <w:rFonts w:hint="eastAsia" w:ascii="宋体" w:hAnsi="宋体" w:eastAsia="宋体" w:cs="宋体"/>
          <w:color w:val="auto"/>
          <w:szCs w:val="21"/>
          <w:highlight w:val="none"/>
          <w:lang w:eastAsia="zh-CN"/>
        </w:rPr>
      </w:pPr>
    </w:p>
    <w:p>
      <w:pPr>
        <w:ind w:right="752" w:rightChars="358"/>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广西同泽工程项目管理股份有限公司</w:t>
      </w:r>
    </w:p>
    <w:p>
      <w:pPr>
        <w:ind w:right="752" w:rightChars="358"/>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 xml:space="preserve"> 05 </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 22 日</w:t>
      </w:r>
      <w:r>
        <w:rPr>
          <w:rFonts w:hint="eastAsia" w:ascii="宋体" w:hAnsi="宋体" w:eastAsia="宋体" w:cs="宋体"/>
          <w:color w:val="auto"/>
          <w:szCs w:val="21"/>
          <w:highlight w:val="none"/>
        </w:rPr>
        <w:t xml:space="preserve"> </w:t>
      </w:r>
    </w:p>
    <w:p>
      <w:pPr>
        <w:ind w:left="6205" w:leftChars="2755" w:hanging="420" w:hangingChars="20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pPr>
        <w:pStyle w:val="2"/>
        <w:spacing w:before="0" w:after="0" w:line="240" w:lineRule="auto"/>
        <w:rPr>
          <w:rFonts w:hint="eastAsia" w:ascii="宋体" w:hAnsi="宋体" w:eastAsia="宋体" w:cs="宋体"/>
          <w:color w:val="auto"/>
          <w:sz w:val="28"/>
          <w:szCs w:val="28"/>
          <w:highlight w:val="none"/>
        </w:rPr>
      </w:pPr>
      <w:bookmarkStart w:id="2" w:name="_Toc17208"/>
      <w:r>
        <w:rPr>
          <w:rFonts w:hint="eastAsia" w:ascii="宋体" w:hAnsi="宋体" w:eastAsia="宋体" w:cs="宋体"/>
          <w:color w:val="auto"/>
          <w:sz w:val="28"/>
          <w:szCs w:val="28"/>
          <w:highlight w:val="none"/>
        </w:rPr>
        <w:t>第二部分相关资料表格</w:t>
      </w:r>
      <w:bookmarkEnd w:id="2"/>
    </w:p>
    <w:p>
      <w:pPr>
        <w:pStyle w:val="4"/>
        <w:spacing w:before="0" w:after="0" w:line="240" w:lineRule="auto"/>
        <w:jc w:val="center"/>
        <w:rPr>
          <w:rFonts w:hint="eastAsia" w:ascii="宋体" w:hAnsi="宋体" w:eastAsia="宋体" w:cs="宋体"/>
          <w:color w:val="auto"/>
          <w:sz w:val="24"/>
          <w:szCs w:val="24"/>
          <w:highlight w:val="none"/>
        </w:rPr>
      </w:pPr>
      <w:bookmarkStart w:id="3" w:name="_Toc23298"/>
      <w:r>
        <w:rPr>
          <w:rFonts w:hint="eastAsia" w:ascii="宋体" w:hAnsi="宋体" w:eastAsia="宋体" w:cs="宋体"/>
          <w:color w:val="auto"/>
          <w:sz w:val="24"/>
          <w:szCs w:val="24"/>
          <w:highlight w:val="none"/>
        </w:rPr>
        <w:t>附表一：投标资料表</w:t>
      </w:r>
      <w:bookmarkEnd w:id="3"/>
    </w:p>
    <w:tbl>
      <w:tblPr>
        <w:tblStyle w:val="38"/>
        <w:tblW w:w="8410" w:type="dxa"/>
        <w:tblInd w:w="-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8"/>
        <w:gridCol w:w="2263"/>
        <w:gridCol w:w="526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trPr>
        <w:tc>
          <w:tcPr>
            <w:tcW w:w="878" w:type="dxa"/>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532" w:type="dxa"/>
            <w:gridSpan w:val="2"/>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51" w:hRule="atLeast"/>
        </w:trPr>
        <w:tc>
          <w:tcPr>
            <w:tcW w:w="8410" w:type="dxa"/>
            <w:gridSpan w:val="3"/>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532" w:type="dxa"/>
            <w:gridSpan w:val="2"/>
            <w:tcBorders>
              <w:tl2br w:val="nil"/>
              <w:tr2bl w:val="nil"/>
            </w:tcBorders>
            <w:vAlign w:val="center"/>
          </w:tcPr>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项目最高限价（</w:t>
            </w:r>
            <w:r>
              <w:rPr>
                <w:rFonts w:hint="eastAsia" w:ascii="宋体" w:hAnsi="宋体" w:eastAsia="宋体" w:cs="宋体"/>
                <w:b/>
                <w:bCs/>
                <w:color w:val="auto"/>
                <w:szCs w:val="21"/>
                <w:highlight w:val="none"/>
                <w:u w:val="single"/>
              </w:rPr>
              <w:t>单位：元</w:t>
            </w:r>
            <w:r>
              <w:rPr>
                <w:rFonts w:hint="eastAsia" w:ascii="宋体" w:hAnsi="宋体" w:eastAsia="宋体" w:cs="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rPr>
                <w:rFonts w:hint="eastAsia" w:ascii="宋体" w:hAnsi="宋体" w:eastAsia="宋体" w:cs="宋体"/>
                <w:b/>
                <w:bCs/>
                <w:color w:val="auto"/>
                <w:szCs w:val="21"/>
                <w:highlight w:val="none"/>
                <w:lang w:eastAsia="zh-CN"/>
              </w:rPr>
            </w:pPr>
            <w:r>
              <w:rPr>
                <w:rFonts w:hint="eastAsia" w:ascii="宋体" w:hAnsi="宋体" w:eastAsia="宋体" w:cs="宋体"/>
                <w:b w:val="0"/>
                <w:bCs w:val="0"/>
                <w:color w:val="auto"/>
                <w:szCs w:val="21"/>
                <w:highlight w:val="none"/>
              </w:rPr>
              <w:t>¥930,000.00元</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大写：人民币玖拾叁万元整</w:t>
            </w:r>
            <w:r>
              <w:rPr>
                <w:rFonts w:hint="eastAsia" w:ascii="宋体" w:hAnsi="宋体" w:cs="宋体"/>
                <w:color w:val="auto"/>
                <w:szCs w:val="21"/>
                <w:highlight w:val="none"/>
                <w:u w:val="singl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532" w:type="dxa"/>
            <w:gridSpan w:val="2"/>
            <w:tcBorders>
              <w:tl2br w:val="nil"/>
              <w:tr2bl w:val="nil"/>
            </w:tcBorders>
            <w:vAlign w:val="center"/>
          </w:tcPr>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发包方式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sym w:font="Wingdings" w:char="00FE"/>
            </w:r>
            <w:r>
              <w:rPr>
                <w:rFonts w:hint="eastAsia" w:ascii="宋体" w:hAnsi="宋体" w:eastAsia="宋体" w:cs="宋体"/>
                <w:b/>
                <w:bCs/>
                <w:color w:val="auto"/>
                <w:szCs w:val="21"/>
                <w:highlight w:val="none"/>
              </w:rPr>
              <w:t>固定总价包干；</w:t>
            </w:r>
          </w:p>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sym w:font="Wingdings" w:char="00A8"/>
            </w:r>
            <w:r>
              <w:rPr>
                <w:rFonts w:hint="eastAsia" w:ascii="宋体" w:hAnsi="宋体" w:eastAsia="宋体" w:cs="宋体"/>
                <w:b/>
                <w:bCs/>
                <w:color w:val="auto"/>
                <w:szCs w:val="21"/>
                <w:highlight w:val="none"/>
              </w:rPr>
              <w:t>固定单价暂定总价包干；</w:t>
            </w:r>
          </w:p>
          <w:p>
            <w:pPr>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rPr>
              <w:sym w:font="Wingdings" w:char="00A8"/>
            </w:r>
            <w:r>
              <w:rPr>
                <w:rFonts w:hint="eastAsia" w:ascii="宋体" w:hAnsi="宋体" w:eastAsia="宋体" w:cs="宋体"/>
                <w:b/>
                <w:bCs/>
                <w:color w:val="auto"/>
                <w:szCs w:val="21"/>
                <w:highlight w:val="none"/>
              </w:rPr>
              <w:t>费率</w:t>
            </w:r>
            <w:r>
              <w:rPr>
                <w:rFonts w:hint="eastAsia" w:ascii="宋体" w:hAnsi="宋体" w:eastAsia="宋体" w:cs="宋体"/>
                <w:b/>
                <w:bCs/>
                <w:color w:val="auto"/>
                <w:szCs w:val="21"/>
                <w:highlight w:val="none"/>
                <w:u w:val="single"/>
              </w:rPr>
              <w:t xml:space="preserve">         ；</w:t>
            </w:r>
          </w:p>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sym w:font="Wingdings" w:char="00A8"/>
            </w:r>
            <w:r>
              <w:rPr>
                <w:rFonts w:hint="eastAsia" w:ascii="宋体" w:hAnsi="宋体" w:eastAsia="宋体" w:cs="宋体"/>
                <w:b/>
                <w:bCs/>
                <w:color w:val="auto"/>
                <w:szCs w:val="21"/>
                <w:highlight w:val="none"/>
              </w:rPr>
              <w:t>其他</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下浮率</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532" w:type="dxa"/>
            <w:gridSpan w:val="2"/>
            <w:tcBorders>
              <w:tl2br w:val="nil"/>
              <w:tr2bl w:val="nil"/>
            </w:tcBorders>
            <w:vAlign w:val="center"/>
          </w:tcPr>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是否接受联合体投标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pStyle w:val="43"/>
              <w:ind w:firstLine="0" w:firstLineChars="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sym w:font="Wingdings" w:char="00A8"/>
            </w:r>
            <w:r>
              <w:rPr>
                <w:rFonts w:hint="eastAsia" w:ascii="宋体" w:hAnsi="宋体" w:eastAsia="宋体" w:cs="宋体"/>
                <w:color w:val="auto"/>
                <w:szCs w:val="21"/>
                <w:highlight w:val="none"/>
              </w:rPr>
              <w:t>是，联合体投标的，应满足下列要求：</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sym w:font="Wingdings" w:char="00FE"/>
            </w:r>
            <w:r>
              <w:rPr>
                <w:rFonts w:hint="eastAsia" w:ascii="宋体" w:hAnsi="宋体" w:eastAsia="宋体" w:cs="宋体"/>
                <w:color w:val="auto"/>
                <w:szCs w:val="21"/>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532" w:type="dxa"/>
            <w:gridSpan w:val="2"/>
            <w:tcBorders>
              <w:tl2br w:val="nil"/>
              <w:tr2bl w:val="nil"/>
            </w:tcBorders>
            <w:vAlign w:val="center"/>
          </w:tcPr>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资金来源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rPr>
                <w:rFonts w:hint="eastAsia" w:ascii="宋体" w:hAnsi="宋体" w:eastAsia="宋体" w:cs="宋体"/>
                <w:b/>
                <w:bCs/>
                <w:color w:val="auto"/>
                <w:szCs w:val="21"/>
                <w:highlight w:val="none"/>
              </w:rPr>
            </w:pPr>
            <w:r>
              <w:rPr>
                <w:rFonts w:hint="eastAsia" w:ascii="宋体" w:hAnsi="宋体" w:cs="宋体"/>
                <w:color w:val="auto"/>
                <w:szCs w:val="21"/>
                <w:highlight w:val="none"/>
                <w:u w:val="single"/>
                <w:lang w:val="en-US" w:eastAsia="zh-CN"/>
              </w:rPr>
              <w:t>企业</w:t>
            </w:r>
            <w:r>
              <w:rPr>
                <w:rFonts w:hint="eastAsia" w:ascii="宋体" w:hAnsi="宋体" w:eastAsia="宋体" w:cs="宋体"/>
                <w:color w:val="auto"/>
                <w:szCs w:val="21"/>
                <w:highlight w:val="none"/>
                <w:u w:val="single"/>
              </w:rPr>
              <w:t>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532" w:type="dxa"/>
            <w:gridSpan w:val="2"/>
            <w:tcBorders>
              <w:tl2br w:val="nil"/>
              <w:tr2bl w:val="nil"/>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踏勘现场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sym w:font="Wingdings" w:char="00FE"/>
            </w:r>
            <w:r>
              <w:rPr>
                <w:rFonts w:hint="eastAsia" w:ascii="宋体" w:hAnsi="宋体" w:eastAsia="宋体" w:cs="宋体"/>
                <w:bCs/>
                <w:color w:val="auto"/>
                <w:szCs w:val="21"/>
                <w:highlight w:val="none"/>
              </w:rPr>
              <w:t>不组织 。</w:t>
            </w:r>
          </w:p>
          <w:p>
            <w:pPr>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sym w:font="Wingdings" w:char="00A8"/>
            </w:r>
            <w:r>
              <w:rPr>
                <w:rFonts w:hint="eastAsia" w:ascii="宋体" w:hAnsi="宋体" w:eastAsia="宋体" w:cs="宋体"/>
                <w:bCs/>
                <w:color w:val="auto"/>
                <w:szCs w:val="21"/>
                <w:highlight w:val="none"/>
              </w:rPr>
              <w:t>组织，踏勘现场时间、地点：</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9" w:hRule="atLeast"/>
        </w:trPr>
        <w:tc>
          <w:tcPr>
            <w:tcW w:w="8410" w:type="dxa"/>
            <w:gridSpan w:val="3"/>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二、投标文件的编制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532" w:type="dxa"/>
            <w:gridSpan w:val="2"/>
            <w:tcBorders>
              <w:tl2br w:val="nil"/>
              <w:tr2bl w:val="nil"/>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投标语言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532" w:type="dxa"/>
            <w:gridSpan w:val="2"/>
            <w:tcBorders>
              <w:tl2br w:val="nil"/>
              <w:tr2bl w:val="nil"/>
            </w:tcBorders>
            <w:vAlign w:val="center"/>
          </w:tcPr>
          <w:p>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7532" w:type="dxa"/>
            <w:gridSpan w:val="2"/>
            <w:tcBorders>
              <w:tl2br w:val="nil"/>
              <w:tr2bl w:val="nil"/>
            </w:tcBorders>
            <w:vAlign w:val="center"/>
          </w:tcPr>
          <w:p>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（1）投标保证金金额：人民币</w:t>
            </w:r>
            <w:r>
              <w:rPr>
                <w:rFonts w:hint="eastAsia" w:ascii="宋体" w:hAnsi="宋体" w:eastAsia="宋体" w:cs="宋体"/>
                <w:b/>
                <w:color w:val="auto"/>
                <w:szCs w:val="21"/>
                <w:highlight w:val="none"/>
              </w:rPr>
              <w:t>（大写）</w:t>
            </w:r>
            <w:r>
              <w:rPr>
                <w:rFonts w:hint="eastAsia" w:ascii="宋体" w:hAnsi="宋体" w:cs="宋体"/>
                <w:b/>
                <w:color w:val="auto"/>
                <w:szCs w:val="21"/>
                <w:highlight w:val="none"/>
                <w:u w:val="single"/>
                <w:lang w:val="en-US" w:eastAsia="zh-CN"/>
              </w:rPr>
              <w:t>壹万捌仟陆佰元整</w:t>
            </w:r>
            <w:r>
              <w:rPr>
                <w:rFonts w:hint="eastAsia" w:ascii="宋体" w:hAnsi="宋体" w:eastAsia="宋体" w:cs="宋体"/>
                <w:b/>
                <w:color w:val="auto"/>
                <w:szCs w:val="21"/>
                <w:highlight w:val="none"/>
                <w:u w:val="single"/>
                <w:lang w:val="en-US" w:eastAsia="zh-CN"/>
              </w:rPr>
              <w:t xml:space="preserve"> </w:t>
            </w:r>
            <w:r>
              <w:rPr>
                <w:rFonts w:hint="eastAsia" w:ascii="宋体" w:hAnsi="宋体" w:cs="宋体"/>
                <w:b/>
                <w:color w:val="auto"/>
                <w:szCs w:val="21"/>
                <w:highlight w:val="none"/>
                <w:u w:val="single"/>
                <w:lang w:val="en-US" w:eastAsia="zh-CN"/>
              </w:rPr>
              <w:t>（</w:t>
            </w:r>
            <w:r>
              <w:rPr>
                <w:rFonts w:hint="eastAsia" w:ascii="宋体" w:hAnsi="宋体" w:eastAsia="宋体" w:cs="宋体"/>
                <w:b/>
                <w:bCs/>
                <w:color w:val="auto"/>
                <w:szCs w:val="21"/>
                <w:highlight w:val="none"/>
              </w:rPr>
              <w:t>￥</w:t>
            </w:r>
            <w:r>
              <w:rPr>
                <w:rFonts w:hint="eastAsia" w:ascii="宋体" w:hAnsi="宋体" w:cs="宋体"/>
                <w:b/>
                <w:color w:val="auto"/>
                <w:szCs w:val="21"/>
                <w:highlight w:val="none"/>
                <w:u w:val="single"/>
                <w:lang w:val="en-US" w:eastAsia="zh-CN"/>
              </w:rPr>
              <w:t>18</w:t>
            </w:r>
            <w:r>
              <w:rPr>
                <w:rFonts w:hint="eastAsia" w:ascii="宋体" w:hAnsi="宋体" w:eastAsia="宋体" w:cs="宋体"/>
                <w:b/>
                <w:color w:val="auto"/>
                <w:szCs w:val="21"/>
                <w:highlight w:val="none"/>
                <w:u w:val="single"/>
                <w:lang w:val="en-US" w:eastAsia="zh-CN"/>
              </w:rPr>
              <w:t xml:space="preserve">,600.00 </w:t>
            </w:r>
            <w:r>
              <w:rPr>
                <w:rFonts w:hint="eastAsia" w:ascii="宋体" w:hAnsi="宋体" w:eastAsia="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3"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tabs>
                <w:tab w:val="left" w:pos="567"/>
              </w:tabs>
              <w:jc w:val="both"/>
              <w:rPr>
                <w:rFonts w:hint="eastAsia" w:ascii="宋体" w:hAnsi="宋体" w:eastAsia="宋体" w:cs="宋体"/>
                <w:color w:val="auto"/>
                <w:kern w:val="2"/>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kern w:val="2"/>
                <w:szCs w:val="21"/>
                <w:highlight w:val="none"/>
                <w:lang w:val="zh-CN"/>
              </w:rPr>
              <w:t>投标保证金采用转</w:t>
            </w:r>
            <w:r>
              <w:rPr>
                <w:rFonts w:hint="eastAsia" w:ascii="宋体" w:hAnsi="宋体" w:eastAsia="宋体" w:cs="宋体"/>
                <w:color w:val="auto"/>
                <w:kern w:val="2"/>
                <w:szCs w:val="21"/>
                <w:highlight w:val="none"/>
                <w:lang w:val="en-US" w:eastAsia="zh-CN"/>
              </w:rPr>
              <w:t>账</w:t>
            </w:r>
            <w:r>
              <w:rPr>
                <w:rFonts w:hint="eastAsia" w:ascii="宋体" w:hAnsi="宋体" w:eastAsia="宋体" w:cs="宋体"/>
                <w:color w:val="auto"/>
                <w:kern w:val="2"/>
                <w:szCs w:val="21"/>
                <w:highlight w:val="none"/>
                <w:lang w:val="zh-CN"/>
              </w:rPr>
              <w:t>、电汇方式提交，应符合以下要求：采用银行转账、电汇方式提交的，保证金汇入以下投标保证金专用账户，不接收由以投标人分支机构、私人</w:t>
            </w:r>
            <w:r>
              <w:rPr>
                <w:rFonts w:hint="eastAsia" w:ascii="宋体" w:hAnsi="宋体" w:eastAsia="宋体" w:cs="宋体"/>
                <w:color w:val="auto"/>
                <w:kern w:val="2"/>
                <w:szCs w:val="21"/>
                <w:highlight w:val="none"/>
                <w:lang w:val="en-US" w:eastAsia="zh-CN"/>
              </w:rPr>
              <w:t>账</w:t>
            </w:r>
            <w:r>
              <w:rPr>
                <w:rFonts w:hint="eastAsia" w:ascii="宋体" w:hAnsi="宋体" w:eastAsia="宋体" w:cs="宋体"/>
                <w:color w:val="auto"/>
                <w:kern w:val="2"/>
                <w:szCs w:val="21"/>
                <w:highlight w:val="none"/>
                <w:lang w:val="zh-CN"/>
              </w:rPr>
              <w:t>户和其他单位转入的保证金。投标保证金必须在投标文件递交截止前到账，投标保证金未按规定时间到达指定账户或提交金额不足的，将被视为无效投标。且在备注或用途中注明本项目的项目编号。</w:t>
            </w:r>
          </w:p>
          <w:p>
            <w:pPr>
              <w:tabs>
                <w:tab w:val="left" w:pos="567"/>
              </w:tabs>
              <w:ind w:left="567" w:hanging="567"/>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投标保证金专用账户如下：</w:t>
            </w:r>
          </w:p>
          <w:p>
            <w:pPr>
              <w:tabs>
                <w:tab w:val="left" w:pos="567"/>
              </w:tabs>
              <w:ind w:firstLine="420" w:firstLineChars="200"/>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en-US" w:eastAsia="zh-CN"/>
              </w:rPr>
              <w:t>账</w:t>
            </w:r>
            <w:r>
              <w:rPr>
                <w:rFonts w:hint="eastAsia" w:ascii="宋体" w:hAnsi="宋体" w:eastAsia="宋体" w:cs="宋体"/>
                <w:color w:val="auto"/>
                <w:kern w:val="2"/>
                <w:szCs w:val="21"/>
                <w:highlight w:val="none"/>
                <w:lang w:val="zh-CN"/>
              </w:rPr>
              <w:t xml:space="preserve">户名称： </w:t>
            </w:r>
            <w:r>
              <w:rPr>
                <w:rFonts w:hint="eastAsia" w:ascii="宋体" w:hAnsi="宋体" w:eastAsia="宋体" w:cs="宋体"/>
                <w:color w:val="auto"/>
                <w:kern w:val="2"/>
                <w:szCs w:val="21"/>
                <w:highlight w:val="none"/>
                <w:u w:val="single"/>
              </w:rPr>
              <w:t xml:space="preserve"> </w:t>
            </w:r>
            <w:r>
              <w:rPr>
                <w:rFonts w:hint="eastAsia" w:ascii="宋体" w:hAnsi="宋体" w:eastAsia="宋体" w:cs="宋体"/>
                <w:color w:val="auto"/>
                <w:kern w:val="2"/>
                <w:sz w:val="21"/>
                <w:szCs w:val="21"/>
                <w:highlight w:val="none"/>
                <w:u w:val="single"/>
              </w:rPr>
              <w:t>广西同泽工程项目管理股份有限公司东莞分公司</w:t>
            </w:r>
            <w:r>
              <w:rPr>
                <w:rFonts w:hint="eastAsia" w:ascii="宋体" w:hAnsi="宋体" w:eastAsia="宋体" w:cs="宋体"/>
                <w:color w:val="auto"/>
                <w:kern w:val="2"/>
                <w:szCs w:val="21"/>
                <w:highlight w:val="none"/>
                <w:u w:val="single"/>
              </w:rPr>
              <w:t xml:space="preserve"> </w:t>
            </w:r>
            <w:r>
              <w:rPr>
                <w:rFonts w:hint="eastAsia" w:ascii="宋体" w:hAnsi="宋体" w:eastAsia="宋体" w:cs="宋体"/>
                <w:color w:val="auto"/>
                <w:kern w:val="2"/>
                <w:szCs w:val="21"/>
                <w:highlight w:val="none"/>
                <w:lang w:val="zh-CN"/>
              </w:rPr>
              <w:t>；</w:t>
            </w:r>
          </w:p>
          <w:p>
            <w:pPr>
              <w:tabs>
                <w:tab w:val="left" w:pos="567"/>
              </w:tabs>
              <w:ind w:firstLine="420" w:firstLineChars="200"/>
              <w:jc w:val="both"/>
              <w:rPr>
                <w:rFonts w:hint="eastAsia" w:ascii="宋体" w:hAnsi="宋体" w:eastAsia="宋体" w:cs="宋体"/>
                <w:color w:val="auto"/>
                <w:kern w:val="2"/>
                <w:szCs w:val="21"/>
                <w:highlight w:val="none"/>
                <w:lang w:val="en-US" w:eastAsia="zh-CN"/>
              </w:rPr>
            </w:pPr>
            <w:r>
              <w:rPr>
                <w:rFonts w:hint="eastAsia" w:ascii="宋体" w:hAnsi="宋体" w:eastAsia="宋体" w:cs="宋体"/>
                <w:color w:val="auto"/>
                <w:kern w:val="2"/>
                <w:szCs w:val="21"/>
                <w:highlight w:val="none"/>
                <w:lang w:val="zh-CN"/>
              </w:rPr>
              <w:t xml:space="preserve">开户银行： </w:t>
            </w:r>
            <w:r>
              <w:rPr>
                <w:rFonts w:hint="eastAsia" w:ascii="宋体" w:hAnsi="宋体" w:eastAsia="宋体" w:cs="宋体"/>
                <w:color w:val="auto"/>
                <w:kern w:val="2"/>
                <w:szCs w:val="21"/>
                <w:highlight w:val="none"/>
                <w:u w:val="single"/>
              </w:rPr>
              <w:t xml:space="preserve"> </w:t>
            </w:r>
            <w:r>
              <w:rPr>
                <w:rFonts w:hint="eastAsia" w:ascii="宋体" w:hAnsi="宋体" w:eastAsia="宋体" w:cs="宋体"/>
                <w:color w:val="auto"/>
                <w:kern w:val="2"/>
                <w:sz w:val="21"/>
                <w:szCs w:val="21"/>
                <w:highlight w:val="none"/>
                <w:u w:val="single"/>
              </w:rPr>
              <w:t>中国民生银行东莞松山湖支行</w:t>
            </w:r>
            <w:r>
              <w:rPr>
                <w:rFonts w:hint="eastAsia" w:ascii="宋体" w:hAnsi="宋体" w:eastAsia="宋体" w:cs="宋体"/>
                <w:color w:val="auto"/>
                <w:kern w:val="2"/>
                <w:szCs w:val="21"/>
                <w:highlight w:val="none"/>
                <w:u w:val="single"/>
              </w:rPr>
              <w:t xml:space="preserve"> </w:t>
            </w:r>
            <w:r>
              <w:rPr>
                <w:rFonts w:hint="eastAsia" w:ascii="宋体" w:hAnsi="宋体" w:eastAsia="宋体" w:cs="宋体"/>
                <w:color w:val="auto"/>
                <w:kern w:val="2"/>
                <w:szCs w:val="21"/>
                <w:highlight w:val="none"/>
                <w:lang w:val="zh-CN"/>
              </w:rPr>
              <w:t>；</w:t>
            </w:r>
          </w:p>
          <w:p>
            <w:pPr>
              <w:tabs>
                <w:tab w:val="left" w:pos="567"/>
              </w:tabs>
              <w:ind w:firstLine="420" w:firstLineChars="200"/>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银行</w:t>
            </w:r>
            <w:r>
              <w:rPr>
                <w:rFonts w:hint="eastAsia" w:ascii="宋体" w:hAnsi="宋体" w:eastAsia="宋体" w:cs="宋体"/>
                <w:color w:val="auto"/>
                <w:kern w:val="2"/>
                <w:szCs w:val="21"/>
                <w:highlight w:val="none"/>
                <w:lang w:val="en-US" w:eastAsia="zh-CN"/>
              </w:rPr>
              <w:t>账</w:t>
            </w:r>
            <w:r>
              <w:rPr>
                <w:rFonts w:hint="eastAsia" w:ascii="宋体" w:hAnsi="宋体" w:eastAsia="宋体" w:cs="宋体"/>
                <w:color w:val="auto"/>
                <w:kern w:val="2"/>
                <w:szCs w:val="21"/>
                <w:highlight w:val="none"/>
                <w:lang w:val="zh-CN"/>
              </w:rPr>
              <w:t xml:space="preserve">号： </w:t>
            </w:r>
            <w:r>
              <w:rPr>
                <w:rFonts w:hint="eastAsia" w:ascii="宋体" w:hAnsi="宋体" w:eastAsia="宋体" w:cs="宋体"/>
                <w:color w:val="auto"/>
                <w:kern w:val="2"/>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641169654</w:t>
            </w:r>
            <w:r>
              <w:rPr>
                <w:rFonts w:hint="eastAsia" w:ascii="宋体" w:hAnsi="宋体" w:eastAsia="宋体" w:cs="宋体"/>
                <w:color w:val="auto"/>
                <w:kern w:val="2"/>
                <w:szCs w:val="21"/>
                <w:highlight w:val="none"/>
                <w:u w:val="single"/>
              </w:rPr>
              <w:t xml:space="preserve"> </w:t>
            </w:r>
            <w:r>
              <w:rPr>
                <w:rFonts w:hint="eastAsia" w:ascii="宋体" w:hAnsi="宋体" w:eastAsia="宋体" w:cs="宋体"/>
                <w:color w:val="auto"/>
                <w:kern w:val="2"/>
                <w:szCs w:val="21"/>
                <w:highlight w:val="none"/>
                <w:lang w:val="zh-CN"/>
              </w:rPr>
              <w:t>；</w:t>
            </w:r>
          </w:p>
          <w:p>
            <w:pPr>
              <w:tabs>
                <w:tab w:val="left" w:pos="567"/>
              </w:tabs>
              <w:ind w:firstLine="42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eastAsia="宋体" w:cs="宋体"/>
                <w:b/>
                <w:bCs w:val="0"/>
                <w:color w:val="auto"/>
                <w:szCs w:val="21"/>
                <w:highlight w:val="none"/>
              </w:rPr>
              <w:t>：各投标人在转</w:t>
            </w:r>
            <w:r>
              <w:rPr>
                <w:rFonts w:hint="eastAsia" w:ascii="宋体" w:hAnsi="宋体" w:eastAsia="宋体" w:cs="宋体"/>
                <w:b/>
                <w:bCs w:val="0"/>
                <w:color w:val="auto"/>
                <w:kern w:val="2"/>
                <w:szCs w:val="21"/>
                <w:highlight w:val="none"/>
                <w:lang w:val="en-US" w:eastAsia="zh-CN"/>
              </w:rPr>
              <w:t>账</w:t>
            </w:r>
            <w:r>
              <w:rPr>
                <w:rFonts w:hint="eastAsia" w:ascii="宋体" w:hAnsi="宋体" w:eastAsia="宋体" w:cs="宋体"/>
                <w:b/>
                <w:bCs w:val="0"/>
                <w:color w:val="auto"/>
                <w:szCs w:val="21"/>
                <w:highlight w:val="none"/>
              </w:rPr>
              <w:t>或电汇时须在用途栏上备注项目编号，及项目名称，如有字数限制项目名称可简写。）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0"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7532" w:type="dxa"/>
            <w:gridSpan w:val="2"/>
            <w:tcBorders>
              <w:tl2br w:val="nil"/>
              <w:tr2bl w:val="nil"/>
            </w:tcBorders>
            <w:vAlign w:val="center"/>
          </w:tcPr>
          <w:p>
            <w:pPr>
              <w:jc w:val="both"/>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投标保证金退还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535"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jc w:val="both"/>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）未中标的投标人的保证金应当在中标通知书发出后退还，中标</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投标人的保证金应当在采购合同签订</w:t>
            </w:r>
            <w:r>
              <w:rPr>
                <w:rFonts w:hint="eastAsia" w:ascii="宋体" w:hAnsi="宋体" w:eastAsia="宋体" w:cs="宋体"/>
                <w:color w:val="auto"/>
                <w:szCs w:val="21"/>
                <w:highlight w:val="none"/>
              </w:rPr>
              <w:t>并缴纳履约保证金</w:t>
            </w:r>
            <w:r>
              <w:rPr>
                <w:rFonts w:hint="eastAsia" w:ascii="宋体" w:hAnsi="宋体" w:eastAsia="宋体" w:cs="宋体"/>
                <w:color w:val="auto"/>
                <w:szCs w:val="21"/>
                <w:highlight w:val="none"/>
                <w:lang w:val="zh-CN"/>
              </w:rPr>
              <w:t>后退还。</w:t>
            </w:r>
          </w:p>
          <w:p>
            <w:pPr>
              <w:jc w:val="both"/>
              <w:rPr>
                <w:rFonts w:hint="eastAsia" w:ascii="宋体" w:hAnsi="宋体" w:eastAsia="宋体" w:cs="宋体"/>
                <w:color w:val="auto"/>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）为方便退还未中标的投标人的保证金，投标人应制作《投标保证金汇入情况说明》随唱标信封一并递交。</w:t>
            </w:r>
            <w:bookmarkStart w:id="201" w:name="_GoBack"/>
            <w:bookmarkEnd w:id="201"/>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7532" w:type="dxa"/>
            <w:gridSpan w:val="2"/>
            <w:tcBorders>
              <w:tl2br w:val="nil"/>
              <w:tr2bl w:val="nil"/>
            </w:tcBorders>
            <w:vAlign w:val="center"/>
          </w:tcPr>
          <w:p>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九十天。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7532" w:type="dxa"/>
            <w:gridSpan w:val="2"/>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2263"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投标文件类型</w:t>
            </w:r>
          </w:p>
        </w:tc>
        <w:tc>
          <w:tcPr>
            <w:tcW w:w="5269"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份数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2263"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唱标信封</w:t>
            </w:r>
          </w:p>
        </w:tc>
        <w:tc>
          <w:tcPr>
            <w:tcW w:w="5269"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2263"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投标文件正本</w:t>
            </w:r>
          </w:p>
        </w:tc>
        <w:tc>
          <w:tcPr>
            <w:tcW w:w="5269"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7"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2263"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投标文件副本</w:t>
            </w:r>
          </w:p>
        </w:tc>
        <w:tc>
          <w:tcPr>
            <w:tcW w:w="5269"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sym w:font="Wingdings" w:char="00FE"/>
            </w:r>
            <w:r>
              <w:rPr>
                <w:rFonts w:hint="eastAsia" w:ascii="宋体" w:hAnsi="宋体" w:eastAsia="宋体" w:cs="宋体"/>
                <w:b/>
                <w:color w:val="auto"/>
                <w:szCs w:val="21"/>
                <w:highlight w:val="none"/>
              </w:rPr>
              <w:t xml:space="preserve">5  </w:t>
            </w:r>
            <w:r>
              <w:rPr>
                <w:rFonts w:hint="eastAsia" w:ascii="宋体" w:hAnsi="宋体" w:eastAsia="宋体" w:cs="宋体"/>
                <w:b/>
                <w:bCs/>
                <w:color w:val="auto"/>
                <w:szCs w:val="21"/>
                <w:highlight w:val="none"/>
              </w:rPr>
              <w:sym w:font="Wingdings" w:char="00A8"/>
            </w:r>
            <w:r>
              <w:rPr>
                <w:rFonts w:hint="eastAsia" w:ascii="宋体" w:hAnsi="宋体" w:eastAsia="宋体" w:cs="宋体"/>
                <w:b/>
                <w:color w:val="auto"/>
                <w:szCs w:val="21"/>
                <w:highlight w:val="none"/>
              </w:rPr>
              <w:t>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2263" w:type="dxa"/>
            <w:vMerge w:val="restart"/>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电子文档</w:t>
            </w:r>
          </w:p>
        </w:tc>
        <w:tc>
          <w:tcPr>
            <w:tcW w:w="5269"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2263" w:type="dxa"/>
            <w:vMerge w:val="continue"/>
            <w:tcBorders>
              <w:tl2br w:val="nil"/>
              <w:tr2bl w:val="nil"/>
            </w:tcBorders>
            <w:vAlign w:val="center"/>
          </w:tcPr>
          <w:p>
            <w:pPr>
              <w:jc w:val="center"/>
              <w:rPr>
                <w:rFonts w:hint="eastAsia" w:ascii="宋体" w:hAnsi="宋体" w:eastAsia="宋体" w:cs="宋体"/>
                <w:b/>
                <w:color w:val="auto"/>
                <w:szCs w:val="21"/>
                <w:highlight w:val="none"/>
              </w:rPr>
            </w:pPr>
          </w:p>
        </w:tc>
        <w:tc>
          <w:tcPr>
            <w:tcW w:w="5269" w:type="dxa"/>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U盘，须含盖章版PDF投标文件和WORD版投标文件各一版，文字采用WORD文档，计算表格采用 EXCEL文档。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7" w:hRule="atLeast"/>
        </w:trPr>
        <w:tc>
          <w:tcPr>
            <w:tcW w:w="8410" w:type="dxa"/>
            <w:gridSpan w:val="3"/>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三、开标与评标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7532" w:type="dxa"/>
            <w:gridSpan w:val="2"/>
            <w:tcBorders>
              <w:tl2br w:val="nil"/>
              <w:tr2bl w:val="nil"/>
            </w:tcBorders>
            <w:vAlign w:val="center"/>
          </w:tcPr>
          <w:p>
            <w:pPr>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本项目评标方法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7532" w:type="dxa"/>
            <w:gridSpan w:val="2"/>
            <w:tcBorders>
              <w:tl2br w:val="nil"/>
              <w:tr2bl w:val="nil"/>
            </w:tcBorders>
            <w:vAlign w:val="center"/>
          </w:tcPr>
          <w:p>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综合评分法评分因素和权重分值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见附表二。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7532" w:type="dxa"/>
            <w:gridSpan w:val="2"/>
            <w:tcBorders>
              <w:tl2br w:val="nil"/>
              <w:tr2bl w:val="nil"/>
            </w:tcBorders>
            <w:vAlign w:val="center"/>
          </w:tcPr>
          <w:p>
            <w:pPr>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评标委员会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五</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评标委员会由采购人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代表和</w:t>
            </w:r>
            <w:r>
              <w:rPr>
                <w:rFonts w:hint="eastAsia" w:ascii="宋体" w:hAnsi="宋体" w:eastAsia="宋体" w:cs="宋体"/>
                <w:color w:val="auto"/>
                <w:szCs w:val="21"/>
                <w:highlight w:val="none"/>
              </w:rPr>
              <w:t>有关方面的</w:t>
            </w:r>
            <w:r>
              <w:rPr>
                <w:rFonts w:hint="eastAsia" w:ascii="宋体" w:hAnsi="宋体" w:eastAsia="宋体" w:cs="宋体"/>
                <w:color w:val="auto"/>
                <w:szCs w:val="21"/>
                <w:highlight w:val="none"/>
                <w:lang w:val="zh-CN"/>
              </w:rPr>
              <w:t>专家组成，</w:t>
            </w:r>
            <w:r>
              <w:rPr>
                <w:rFonts w:hint="eastAsia" w:ascii="宋体" w:hAnsi="宋体" w:eastAsia="宋体" w:cs="宋体"/>
                <w:color w:val="auto"/>
                <w:szCs w:val="21"/>
                <w:highlight w:val="none"/>
              </w:rPr>
              <w:t>成员人数为五人或五人以上单数</w:t>
            </w:r>
            <w:r>
              <w:rPr>
                <w:rFonts w:hint="eastAsia" w:ascii="宋体" w:hAnsi="宋体" w:eastAsia="宋体" w:cs="宋体"/>
                <w:color w:val="auto"/>
                <w:szCs w:val="21"/>
                <w:highlight w:val="none"/>
                <w:lang w:val="zh-CN"/>
              </w:rPr>
              <w:t>，其中专家不得少于成员总数的三分之二。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48" w:hRule="atLeast"/>
        </w:trPr>
        <w:tc>
          <w:tcPr>
            <w:tcW w:w="8410" w:type="dxa"/>
            <w:gridSpan w:val="3"/>
            <w:tcBorders>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四、授予合同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9"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7532" w:type="dxa"/>
            <w:gridSpan w:val="2"/>
            <w:tcBorders>
              <w:tl2br w:val="nil"/>
              <w:tr2bl w:val="nil"/>
            </w:tcBorders>
            <w:shd w:val="clear" w:color="auto" w:fill="auto"/>
            <w:vAlign w:val="center"/>
          </w:tcPr>
          <w:p>
            <w:pPr>
              <w:jc w:val="both"/>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履约担保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0"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shd w:val="clear" w:color="auto" w:fill="auto"/>
            <w:vAlign w:val="center"/>
          </w:tcPr>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1.履约担保金额为：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 xml:space="preserve">  。</w:t>
            </w:r>
          </w:p>
          <w:p>
            <w:pPr>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2.履约保证金账户信息：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中标后采购人提供账号信息</w:t>
            </w:r>
            <w:r>
              <w:rPr>
                <w:rFonts w:hint="eastAsia" w:ascii="宋体" w:hAnsi="宋体" w:eastAsia="宋体" w:cs="宋体"/>
                <w:color w:val="auto"/>
                <w:szCs w:val="21"/>
                <w:highlight w:val="none"/>
                <w:lang w:eastAsia="zh-CN"/>
              </w:rPr>
              <w:t>）</w:t>
            </w:r>
          </w:p>
          <w:p>
            <w:pPr>
              <w:ind w:firstLine="420" w:firstLineChars="200"/>
              <w:jc w:val="both"/>
              <w:rPr>
                <w:rFonts w:hint="eastAsia" w:ascii="宋体" w:hAnsi="宋体"/>
                <w:color w:val="auto"/>
                <w:szCs w:val="21"/>
                <w:highlight w:val="none"/>
              </w:rPr>
            </w:pPr>
            <w:r>
              <w:rPr>
                <w:rFonts w:hint="eastAsia" w:ascii="宋体" w:hAnsi="宋体"/>
                <w:color w:val="auto"/>
                <w:szCs w:val="21"/>
                <w:highlight w:val="none"/>
              </w:rPr>
              <w:t>账户名称：</w:t>
            </w:r>
            <w:r>
              <w:rPr>
                <w:rFonts w:hint="eastAsia" w:ascii="宋体" w:hAnsi="宋体"/>
                <w:color w:val="auto"/>
                <w:szCs w:val="21"/>
                <w:highlight w:val="none"/>
                <w:u w:val="single"/>
                <w:lang w:eastAsia="zh-CN"/>
              </w:rPr>
              <w:t>东莞市旗圳投资发展有限公司</w:t>
            </w:r>
            <w:r>
              <w:rPr>
                <w:rFonts w:hint="eastAsia" w:hAnsi="宋体" w:cs="宋体"/>
                <w:color w:val="auto"/>
                <w:kern w:val="2"/>
                <w:szCs w:val="21"/>
                <w:highlight w:val="none"/>
                <w:lang w:val="zh-CN"/>
              </w:rPr>
              <w:t>；</w:t>
            </w:r>
          </w:p>
          <w:p>
            <w:pPr>
              <w:ind w:firstLine="420" w:firstLineChars="200"/>
              <w:jc w:val="both"/>
              <w:rPr>
                <w:rFonts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w:t>
            </w:r>
            <w:r>
              <w:rPr>
                <w:rFonts w:hint="eastAsia" w:ascii="宋体" w:hAnsi="宋体" w:eastAsia="宋体" w:cs="Times New Roman"/>
                <w:color w:val="auto"/>
                <w:sz w:val="21"/>
                <w:szCs w:val="21"/>
                <w:highlight w:val="none"/>
                <w:u w:val="single"/>
                <w:lang w:val="en-US" w:eastAsia="zh-CN"/>
              </w:rPr>
              <w:t>广发银行股份有限公司东莞华发支行</w:t>
            </w:r>
            <w:r>
              <w:rPr>
                <w:rFonts w:hint="eastAsia" w:ascii="宋体" w:hAnsi="宋体" w:cs="Times New Roman"/>
                <w:color w:val="auto"/>
                <w:kern w:val="0"/>
                <w:szCs w:val="21"/>
                <w:highlight w:val="none"/>
                <w:u w:val="single"/>
                <w:lang w:val="zh-CN"/>
              </w:rPr>
              <w:t>；</w:t>
            </w:r>
          </w:p>
          <w:p>
            <w:pPr>
              <w:ind w:firstLine="420" w:firstLineChars="200"/>
              <w:jc w:val="both"/>
              <w:rPr>
                <w:rFonts w:ascii="宋体" w:hAnsi="宋体"/>
                <w:color w:val="auto"/>
                <w:szCs w:val="21"/>
                <w:highlight w:val="none"/>
              </w:rPr>
            </w:pPr>
            <w:r>
              <w:rPr>
                <w:rFonts w:hint="eastAsia" w:ascii="宋体" w:hAnsi="宋体"/>
                <w:color w:val="auto"/>
                <w:szCs w:val="21"/>
                <w:highlight w:val="none"/>
              </w:rPr>
              <w:t>银行账号：</w:t>
            </w:r>
            <w:r>
              <w:rPr>
                <w:rFonts w:hint="eastAsia" w:ascii="宋体" w:hAnsi="宋体" w:eastAsia="宋体" w:cs="Times New Roman"/>
                <w:color w:val="auto"/>
                <w:sz w:val="21"/>
                <w:szCs w:val="21"/>
                <w:highlight w:val="none"/>
                <w:u w:val="single"/>
                <w:lang w:val="en-US" w:eastAsia="zh-CN"/>
              </w:rPr>
              <w:t>9550 8802 4639 6700 141</w:t>
            </w:r>
            <w:r>
              <w:rPr>
                <w:rFonts w:hint="eastAsia" w:ascii="宋体" w:hAnsi="宋体" w:cs="Times New Roman"/>
                <w:color w:val="auto"/>
                <w:kern w:val="0"/>
                <w:szCs w:val="21"/>
                <w:highlight w:val="none"/>
                <w:u w:val="single"/>
                <w:lang w:val="zh-CN"/>
              </w:rPr>
              <w:t>；</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3.中标人在采购（合同签署）时提交履约担保，履约担保金额不超过</w:t>
            </w:r>
            <w:r>
              <w:rPr>
                <w:rFonts w:hint="eastAsia" w:ascii="宋体" w:hAnsi="宋体" w:cs="宋体"/>
                <w:color w:val="auto"/>
                <w:szCs w:val="21"/>
                <w:highlight w:val="none"/>
                <w:lang w:val="en-US" w:eastAsia="zh-CN"/>
              </w:rPr>
              <w:t>中标</w:t>
            </w:r>
            <w:r>
              <w:rPr>
                <w:rFonts w:hint="eastAsia" w:ascii="宋体" w:hAnsi="宋体" w:eastAsia="宋体" w:cs="宋体"/>
                <w:color w:val="auto"/>
                <w:szCs w:val="21"/>
                <w:highlight w:val="none"/>
              </w:rPr>
              <w:t>合同金额的10%，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户。</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4.履约担保期限从合同签订之日起至项目完工验收合格并结算完毕后，经双方签字</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天内保持有效。</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5、履约担保要求：</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（1）履约保函。如果中标人的履约担保是以银行保函形式提供的，则该银行保函应：</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①保函应由银行支行或以上银行机构开具，非东莞市行政区内的银行开具的保函要由银行所在地公证部门出具的公证书。</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③履约保函必须打印，手写、涂改无效。</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（2）履约保证金。可采用电汇、银行汇票等银行转</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方式提交，但不可以采用现金方式提交。中标人必须保证履约保证金以中标人名称在签订合同前提交至采购人指定账户。</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中标人不能按本采购文件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（4）为取得履约担保所需的费用，由中标人承担；若工期延误，履约担保时间延长，延长费用由中标人承担。</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（6）下列任何情况发生时，采购人有权行使享有的担保权利：</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①中标人将本项目转让给他人，或者在投标文件中未说明，且未经采购人同意，将中标项目分包给他人的；</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②中标人在履行采购合同期间，违反有关法律法规的规定及合同约定的条款，损害了采购人的利益。</w:t>
            </w:r>
          </w:p>
          <w:p>
            <w:pP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（7）在整个项目验收合格后，中标人向采购人提交退回履约担保的申请，采购人办理履约担保退还手续。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2" w:hRule="atLeast"/>
        </w:trPr>
        <w:tc>
          <w:tcPr>
            <w:tcW w:w="878" w:type="dxa"/>
            <w:vMerge w:val="restart"/>
            <w:tcBorders>
              <w:tl2br w:val="nil"/>
              <w:tr2bl w:val="nil"/>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7532" w:type="dxa"/>
            <w:gridSpan w:val="2"/>
            <w:tcBorders>
              <w:tl2br w:val="nil"/>
              <w:tr2bl w:val="nil"/>
            </w:tcBorders>
            <w:vAlign w:val="center"/>
          </w:tcPr>
          <w:p>
            <w:pP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中标服务费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13" w:hRule="atLeast"/>
        </w:trPr>
        <w:tc>
          <w:tcPr>
            <w:tcW w:w="878" w:type="dxa"/>
            <w:vMerge w:val="continue"/>
            <w:tcBorders>
              <w:tl2br w:val="nil"/>
              <w:tr2bl w:val="nil"/>
            </w:tcBorders>
            <w:vAlign w:val="center"/>
          </w:tcPr>
          <w:p>
            <w:pPr>
              <w:jc w:val="center"/>
              <w:rPr>
                <w:rFonts w:hint="eastAsia" w:ascii="宋体" w:hAnsi="宋体" w:eastAsia="宋体" w:cs="宋体"/>
                <w:color w:val="auto"/>
                <w:szCs w:val="21"/>
                <w:highlight w:val="none"/>
              </w:rPr>
            </w:pPr>
          </w:p>
        </w:tc>
        <w:tc>
          <w:tcPr>
            <w:tcW w:w="7532" w:type="dxa"/>
            <w:gridSpan w:val="2"/>
            <w:tcBorders>
              <w:tl2br w:val="nil"/>
              <w:tr2bl w:val="nil"/>
            </w:tcBorders>
            <w:vAlign w:val="center"/>
          </w:tcPr>
          <w:p>
            <w:pPr>
              <w:widowControl/>
              <w:adjustRightInd/>
              <w:snapToGrid/>
              <w:spacing w:line="240" w:lineRule="auto"/>
              <w:jc w:val="both"/>
              <w:rPr>
                <w:rFonts w:hint="eastAsia" w:ascii="宋体" w:hAnsi="宋体" w:eastAsia="宋体" w:cs="宋体"/>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lang w:val="en-US" w:eastAsia="zh-CN"/>
              </w:rPr>
              <w:t>中标</w:t>
            </w:r>
            <w:r>
              <w:rPr>
                <w:rFonts w:hint="eastAsia" w:ascii="宋体" w:hAnsi="宋体"/>
                <w:color w:val="auto"/>
                <w:szCs w:val="21"/>
                <w:highlight w:val="none"/>
              </w:rPr>
              <w:t>服务费由</w:t>
            </w:r>
            <w:r>
              <w:rPr>
                <w:rFonts w:hint="eastAsia" w:ascii="宋体" w:hAnsi="宋体"/>
                <w:color w:val="auto"/>
                <w:szCs w:val="21"/>
                <w:highlight w:val="none"/>
                <w:lang w:val="en-US" w:eastAsia="zh-CN"/>
              </w:rPr>
              <w:t>采购人</w:t>
            </w:r>
            <w:r>
              <w:rPr>
                <w:rFonts w:hint="eastAsia" w:ascii="宋体" w:hAnsi="宋体"/>
                <w:color w:val="auto"/>
                <w:szCs w:val="21"/>
                <w:highlight w:val="none"/>
              </w:rPr>
              <w:t>支付。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20" w:hRule="atLeast"/>
        </w:trPr>
        <w:tc>
          <w:tcPr>
            <w:tcW w:w="8410" w:type="dxa"/>
            <w:gridSpan w:val="3"/>
            <w:tcBorders>
              <w:tl2br w:val="nil"/>
              <w:tr2bl w:val="nil"/>
            </w:tcBorders>
            <w:vAlign w:val="center"/>
          </w:tcPr>
          <w:p>
            <w:pPr>
              <w:widowControl w:val="0"/>
              <w:tabs>
                <w:tab w:val="left" w:pos="907"/>
              </w:tabs>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注：本表关于要采购项目的具体资料，是对投标人须知的具体补充和修改，如有矛盾，应以本资料表为准。不满足采购文件中 “★”条款的投标文件将作无效投标处理。</w:t>
            </w:r>
          </w:p>
        </w:tc>
      </w:tr>
    </w:tbl>
    <w:p>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spacing w:before="0" w:after="0" w:line="240" w:lineRule="auto"/>
        <w:jc w:val="center"/>
        <w:rPr>
          <w:rFonts w:hint="eastAsia" w:ascii="宋体" w:hAnsi="宋体" w:eastAsia="宋体" w:cs="宋体"/>
          <w:color w:val="auto"/>
          <w:sz w:val="21"/>
          <w:szCs w:val="21"/>
          <w:highlight w:val="none"/>
        </w:rPr>
      </w:pPr>
      <w:bookmarkStart w:id="4" w:name="_Toc5634"/>
      <w:r>
        <w:rPr>
          <w:rFonts w:hint="eastAsia" w:ascii="宋体" w:hAnsi="宋体" w:eastAsia="宋体" w:cs="宋体"/>
          <w:color w:val="auto"/>
          <w:sz w:val="24"/>
          <w:szCs w:val="24"/>
          <w:highlight w:val="none"/>
        </w:rPr>
        <w:t>附表二：商务技术评分及价格权重表（满分100分）</w:t>
      </w:r>
      <w:bookmarkEnd w:id="4"/>
    </w:p>
    <w:tbl>
      <w:tblPr>
        <w:tblStyle w:val="3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63"/>
        <w:gridCol w:w="690"/>
        <w:gridCol w:w="5879"/>
        <w:tblGridChange w:id="0">
          <w:tblGrid>
            <w:gridCol w:w="690"/>
            <w:gridCol w:w="1263"/>
            <w:gridCol w:w="690"/>
            <w:gridCol w:w="587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63"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690"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879"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pStyle w:val="46"/>
              <w:spacing w:line="360" w:lineRule="auto"/>
              <w:ind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商务评审（</w:t>
            </w:r>
            <w:r>
              <w:rPr>
                <w:rFonts w:hint="eastAsia" w:asci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5" w:hRule="atLeast"/>
          <w:jc w:val="center"/>
        </w:trPr>
        <w:tc>
          <w:tcPr>
            <w:tcW w:w="690"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263" w:type="dxa"/>
            <w:tcBorders>
              <w:top w:val="single" w:color="auto" w:sz="4" w:space="0"/>
              <w:left w:val="single" w:color="auto" w:sz="4" w:space="0"/>
              <w:right w:val="single" w:color="auto" w:sz="4" w:space="0"/>
            </w:tcBorders>
            <w:vAlign w:val="center"/>
          </w:tcPr>
          <w:p>
            <w:pPr>
              <w:pStyle w:val="89"/>
              <w:spacing w:after="0" w:afterLines="0" w:line="360" w:lineRule="auto"/>
              <w:ind w:firstLine="0" w:firstLineChars="0"/>
              <w:jc w:val="center"/>
              <w:rPr>
                <w:rFonts w:hint="eastAsia" w:ascii="宋体" w:hAnsi="宋体" w:eastAsia="宋体" w:cs="宋体"/>
                <w:color w:val="auto"/>
                <w:sz w:val="21"/>
                <w:szCs w:val="21"/>
                <w:highlight w:val="none"/>
                <w:u w:val="single"/>
              </w:rPr>
            </w:pPr>
            <w:r>
              <w:rPr>
                <w:rFonts w:hint="eastAsia" w:ascii="宋体" w:hAnsi="宋体" w:cs="宋体"/>
                <w:b w:val="0"/>
                <w:bCs w:val="0"/>
                <w:color w:val="auto"/>
                <w:sz w:val="21"/>
                <w:szCs w:val="21"/>
                <w:highlight w:val="none"/>
                <w:u w:val="single"/>
                <w:lang w:val="en-US" w:eastAsia="zh-CN"/>
              </w:rPr>
              <w:t>同类业绩</w:t>
            </w:r>
          </w:p>
        </w:tc>
        <w:tc>
          <w:tcPr>
            <w:tcW w:w="6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u w:val="none"/>
                <w:lang w:val="en-US" w:eastAsia="zh-CN"/>
              </w:rPr>
            </w:pPr>
            <w:r>
              <w:rPr>
                <w:rFonts w:hint="eastAsia" w:ascii="宋体" w:hAnsi="宋体" w:cs="宋体"/>
                <w:b w:val="0"/>
                <w:bCs w:val="0"/>
                <w:color w:val="auto"/>
                <w:sz w:val="21"/>
                <w:szCs w:val="21"/>
                <w:highlight w:val="none"/>
                <w:u w:val="single"/>
                <w:lang w:val="en-US" w:eastAsia="zh-CN"/>
              </w:rPr>
              <w:t>10分</w:t>
            </w:r>
          </w:p>
        </w:tc>
        <w:tc>
          <w:tcPr>
            <w:tcW w:w="5879"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color w:val="auto"/>
                <w:kern w:val="2"/>
                <w:sz w:val="21"/>
                <w:szCs w:val="21"/>
                <w:highlight w:val="none"/>
                <w:u w:val="single"/>
                <w:lang w:val="en-US" w:eastAsia="zh-CN" w:bidi="ar-SA"/>
              </w:rPr>
            </w:pPr>
            <w:r>
              <w:rPr>
                <w:rFonts w:hint="eastAsia" w:ascii="宋体" w:hAnsi="宋体" w:eastAsia="宋体" w:cs="宋体"/>
                <w:b w:val="0"/>
                <w:bCs/>
                <w:color w:val="auto"/>
                <w:kern w:val="2"/>
                <w:sz w:val="21"/>
                <w:szCs w:val="21"/>
                <w:highlight w:val="none"/>
                <w:u w:val="single"/>
                <w:lang w:val="en-US" w:eastAsia="zh-CN" w:bidi="ar-SA"/>
              </w:rPr>
              <w:t>投标人202</w:t>
            </w:r>
            <w:r>
              <w:rPr>
                <w:rFonts w:hint="eastAsia" w:ascii="宋体" w:eastAsia="宋体" w:cs="宋体"/>
                <w:b w:val="0"/>
                <w:bCs/>
                <w:color w:val="auto"/>
                <w:kern w:val="2"/>
                <w:sz w:val="21"/>
                <w:szCs w:val="21"/>
                <w:highlight w:val="none"/>
                <w:u w:val="single"/>
                <w:lang w:val="en-US" w:eastAsia="zh-CN" w:bidi="ar-SA"/>
              </w:rPr>
              <w:t>0</w:t>
            </w:r>
            <w:r>
              <w:rPr>
                <w:rFonts w:hint="eastAsia" w:ascii="宋体" w:hAnsi="宋体" w:eastAsia="宋体" w:cs="宋体"/>
                <w:b w:val="0"/>
                <w:bCs/>
                <w:color w:val="auto"/>
                <w:kern w:val="2"/>
                <w:sz w:val="21"/>
                <w:szCs w:val="21"/>
                <w:highlight w:val="none"/>
                <w:u w:val="single"/>
                <w:lang w:val="en-US" w:eastAsia="zh-CN" w:bidi="ar-SA"/>
              </w:rPr>
              <w:t>年</w:t>
            </w:r>
            <w:r>
              <w:rPr>
                <w:rFonts w:hint="eastAsia" w:ascii="宋体" w:eastAsia="宋体" w:cs="宋体"/>
                <w:b w:val="0"/>
                <w:bCs/>
                <w:color w:val="auto"/>
                <w:kern w:val="2"/>
                <w:sz w:val="21"/>
                <w:szCs w:val="21"/>
                <w:highlight w:val="none"/>
                <w:u w:val="single"/>
                <w:lang w:val="en-US" w:eastAsia="zh-CN" w:bidi="ar-SA"/>
              </w:rPr>
              <w:t>05</w:t>
            </w:r>
            <w:r>
              <w:rPr>
                <w:rFonts w:hint="eastAsia" w:ascii="宋体" w:hAnsi="宋体" w:eastAsia="宋体" w:cs="宋体"/>
                <w:b w:val="0"/>
                <w:bCs/>
                <w:color w:val="auto"/>
                <w:kern w:val="2"/>
                <w:sz w:val="21"/>
                <w:szCs w:val="21"/>
                <w:highlight w:val="none"/>
                <w:u w:val="single"/>
                <w:lang w:val="en-US" w:eastAsia="zh-CN" w:bidi="ar-SA"/>
              </w:rPr>
              <w:t>月</w:t>
            </w:r>
            <w:r>
              <w:rPr>
                <w:rFonts w:hint="eastAsia" w:ascii="宋体" w:eastAsia="宋体" w:cs="宋体"/>
                <w:b w:val="0"/>
                <w:bCs/>
                <w:color w:val="auto"/>
                <w:kern w:val="2"/>
                <w:sz w:val="21"/>
                <w:szCs w:val="21"/>
                <w:highlight w:val="none"/>
                <w:u w:val="single"/>
                <w:lang w:val="en-US" w:eastAsia="zh-CN" w:bidi="ar-SA"/>
              </w:rPr>
              <w:t>01</w:t>
            </w:r>
            <w:r>
              <w:rPr>
                <w:rFonts w:hint="eastAsia" w:ascii="宋体" w:hAnsi="宋体" w:eastAsia="宋体" w:cs="宋体"/>
                <w:b w:val="0"/>
                <w:bCs/>
                <w:color w:val="auto"/>
                <w:kern w:val="2"/>
                <w:sz w:val="21"/>
                <w:szCs w:val="21"/>
                <w:highlight w:val="none"/>
                <w:u w:val="single"/>
                <w:lang w:val="en-US" w:eastAsia="zh-CN" w:bidi="ar-SA"/>
              </w:rPr>
              <w:t>日至今</w:t>
            </w:r>
            <w:r>
              <w:rPr>
                <w:rFonts w:hint="eastAsia" w:ascii="宋体" w:eastAsia="宋体" w:cs="宋体"/>
                <w:b w:val="0"/>
                <w:bCs/>
                <w:color w:val="auto"/>
                <w:kern w:val="2"/>
                <w:sz w:val="21"/>
                <w:szCs w:val="21"/>
                <w:highlight w:val="none"/>
                <w:u w:val="single"/>
                <w:lang w:val="en-US" w:eastAsia="zh-CN" w:bidi="ar-SA"/>
              </w:rPr>
              <w:t>每</w:t>
            </w:r>
            <w:r>
              <w:rPr>
                <w:rFonts w:hint="eastAsia" w:ascii="宋体" w:hAnsi="宋体" w:eastAsia="宋体" w:cs="宋体"/>
                <w:b w:val="0"/>
                <w:bCs/>
                <w:color w:val="auto"/>
                <w:kern w:val="2"/>
                <w:sz w:val="21"/>
                <w:szCs w:val="21"/>
                <w:highlight w:val="none"/>
                <w:u w:val="single"/>
                <w:lang w:val="en-US" w:eastAsia="zh-CN" w:bidi="ar-SA"/>
              </w:rPr>
              <w:t>承接过一个</w:t>
            </w:r>
            <w:r>
              <w:rPr>
                <w:rFonts w:hint="eastAsia" w:ascii="宋体" w:eastAsia="宋体" w:cs="宋体"/>
                <w:b w:val="0"/>
                <w:bCs/>
                <w:color w:val="auto"/>
                <w:kern w:val="2"/>
                <w:sz w:val="21"/>
                <w:szCs w:val="21"/>
                <w:highlight w:val="none"/>
                <w:u w:val="single"/>
                <w:lang w:val="en-US" w:eastAsia="zh-CN" w:bidi="ar-SA"/>
              </w:rPr>
              <w:t>含</w:t>
            </w:r>
            <w:r>
              <w:rPr>
                <w:rFonts w:hint="eastAsia" w:ascii="宋体" w:hAnsi="宋体" w:eastAsia="宋体" w:cs="宋体"/>
                <w:b w:val="0"/>
                <w:bCs/>
                <w:color w:val="auto"/>
                <w:kern w:val="2"/>
                <w:sz w:val="21"/>
                <w:szCs w:val="21"/>
                <w:highlight w:val="none"/>
                <w:u w:val="single"/>
                <w:lang w:val="en-US" w:eastAsia="zh-CN" w:bidi="ar-SA"/>
              </w:rPr>
              <w:t>城市更新类</w:t>
            </w:r>
            <w:r>
              <w:rPr>
                <w:rFonts w:hint="eastAsia" w:ascii="宋体" w:eastAsia="宋体" w:cs="宋体"/>
                <w:b w:val="0"/>
                <w:bCs/>
                <w:color w:val="auto"/>
                <w:kern w:val="2"/>
                <w:sz w:val="21"/>
                <w:szCs w:val="21"/>
                <w:highlight w:val="none"/>
                <w:u w:val="single"/>
                <w:lang w:val="en-US" w:eastAsia="zh-CN" w:bidi="ar-SA"/>
              </w:rPr>
              <w:t>建设</w:t>
            </w:r>
            <w:r>
              <w:rPr>
                <w:rFonts w:hint="eastAsia" w:ascii="宋体" w:hAnsi="宋体" w:eastAsia="宋体" w:cs="宋体"/>
                <w:b w:val="0"/>
                <w:bCs/>
                <w:color w:val="auto"/>
                <w:kern w:val="2"/>
                <w:sz w:val="21"/>
                <w:szCs w:val="21"/>
                <w:highlight w:val="none"/>
                <w:u w:val="single"/>
                <w:lang w:val="en-US" w:eastAsia="zh-CN" w:bidi="ar-SA"/>
              </w:rPr>
              <w:t>工程概念方案设计</w:t>
            </w:r>
            <w:r>
              <w:rPr>
                <w:rFonts w:hint="eastAsia" w:ascii="宋体" w:eastAsia="宋体" w:cs="宋体"/>
                <w:b w:val="0"/>
                <w:bCs/>
                <w:color w:val="auto"/>
                <w:kern w:val="2"/>
                <w:sz w:val="21"/>
                <w:szCs w:val="21"/>
                <w:highlight w:val="none"/>
                <w:u w:val="single"/>
                <w:lang w:val="en-US" w:eastAsia="zh-CN" w:bidi="ar-SA"/>
              </w:rPr>
              <w:t>内容的</w:t>
            </w:r>
            <w:r>
              <w:rPr>
                <w:rFonts w:hint="eastAsia" w:ascii="宋体" w:hAnsi="宋体" w:eastAsia="宋体" w:cs="宋体"/>
                <w:b w:val="0"/>
                <w:bCs/>
                <w:color w:val="auto"/>
                <w:kern w:val="2"/>
                <w:sz w:val="21"/>
                <w:szCs w:val="21"/>
                <w:highlight w:val="none"/>
                <w:u w:val="single"/>
                <w:lang w:val="en-US" w:eastAsia="zh-CN" w:bidi="ar-SA"/>
              </w:rPr>
              <w:t>项目业绩</w:t>
            </w:r>
            <w:r>
              <w:rPr>
                <w:rFonts w:hint="eastAsia" w:ascii="宋体" w:eastAsia="宋体" w:cs="宋体"/>
                <w:b w:val="0"/>
                <w:bCs/>
                <w:color w:val="auto"/>
                <w:kern w:val="2"/>
                <w:sz w:val="21"/>
                <w:szCs w:val="21"/>
                <w:highlight w:val="none"/>
                <w:u w:val="single"/>
                <w:lang w:val="en-US" w:eastAsia="zh-CN" w:bidi="ar-SA"/>
              </w:rPr>
              <w:t>得2分，本项最高得10分。</w:t>
            </w:r>
          </w:p>
          <w:p>
            <w:pPr>
              <w:pStyle w:val="46"/>
              <w:keepNext w:val="0"/>
              <w:keepLines w:val="0"/>
              <w:pageBreakBefore w:val="0"/>
              <w:kinsoku/>
              <w:wordWrap/>
              <w:overflowPunct/>
              <w:topLinePunct w:val="0"/>
              <w:autoSpaceDE/>
              <w:autoSpaceDN/>
              <w:bidi w:val="0"/>
              <w:spacing w:line="360" w:lineRule="auto"/>
              <w:ind w:firstLine="422" w:firstLineChars="200"/>
              <w:textAlignment w:val="auto"/>
              <w:rPr>
                <w:rFonts w:hint="default" w:ascii="宋体" w:eastAsia="宋体" w:cs="宋体"/>
                <w:b/>
                <w:bCs w:val="0"/>
                <w:color w:val="auto"/>
                <w:kern w:val="2"/>
                <w:sz w:val="21"/>
                <w:szCs w:val="21"/>
                <w:highlight w:val="none"/>
                <w:u w:val="single"/>
                <w:lang w:val="en-US" w:eastAsia="zh-CN" w:bidi="ar-SA"/>
              </w:rPr>
            </w:pPr>
            <w:r>
              <w:rPr>
                <w:rFonts w:hint="eastAsia" w:ascii="宋体" w:eastAsia="宋体" w:cs="宋体"/>
                <w:b/>
                <w:bCs w:val="0"/>
                <w:color w:val="auto"/>
                <w:kern w:val="2"/>
                <w:sz w:val="21"/>
                <w:szCs w:val="21"/>
                <w:highlight w:val="none"/>
                <w:u w:val="single"/>
                <w:lang w:val="en-US" w:eastAsia="zh-CN" w:bidi="ar-SA"/>
              </w:rPr>
              <w:t>注：以</w:t>
            </w:r>
            <w:r>
              <w:rPr>
                <w:rFonts w:hint="eastAsia" w:ascii="宋体" w:hAnsi="宋体" w:eastAsia="宋体" w:cs="宋体"/>
                <w:b/>
                <w:bCs w:val="0"/>
                <w:color w:val="auto"/>
                <w:kern w:val="2"/>
                <w:sz w:val="21"/>
                <w:szCs w:val="21"/>
                <w:highlight w:val="none"/>
                <w:u w:val="single"/>
                <w:lang w:val="en-US" w:eastAsia="zh-CN" w:bidi="ar-SA"/>
              </w:rPr>
              <w:t>合同签订时间为准，须提供合同关键页复印件（包含但不限于合同首页、合同金额页、</w:t>
            </w:r>
            <w:r>
              <w:rPr>
                <w:rFonts w:hint="eastAsia" w:ascii="宋体" w:eastAsia="宋体" w:cs="宋体"/>
                <w:b/>
                <w:bCs w:val="0"/>
                <w:color w:val="auto"/>
                <w:kern w:val="2"/>
                <w:sz w:val="21"/>
                <w:szCs w:val="21"/>
                <w:highlight w:val="none"/>
                <w:u w:val="single"/>
                <w:lang w:val="en-US" w:eastAsia="zh-CN" w:bidi="ar-SA"/>
              </w:rPr>
              <w:t>合同内容、</w:t>
            </w:r>
            <w:r>
              <w:rPr>
                <w:rFonts w:hint="eastAsia" w:ascii="宋体" w:hAnsi="宋体" w:eastAsia="宋体" w:cs="宋体"/>
                <w:b/>
                <w:bCs w:val="0"/>
                <w:color w:val="auto"/>
                <w:kern w:val="2"/>
                <w:sz w:val="21"/>
                <w:szCs w:val="21"/>
                <w:highlight w:val="none"/>
                <w:u w:val="single"/>
                <w:lang w:val="en-US" w:eastAsia="zh-CN" w:bidi="ar-SA"/>
              </w:rPr>
              <w:t>合同签字页等）、该合同期内任意一期发票复印件，并加盖投标人公章</w:t>
            </w:r>
            <w:r>
              <w:rPr>
                <w:rFonts w:hint="eastAsia" w:ascii="宋体" w:eastAsia="宋体" w:cs="宋体"/>
                <w:b/>
                <w:bCs w:val="0"/>
                <w:color w:val="auto"/>
                <w:kern w:val="2"/>
                <w:sz w:val="21"/>
                <w:szCs w:val="21"/>
                <w:highlight w:val="none"/>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0"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lang w:val="en-US" w:eastAsia="zh-CN"/>
              </w:rPr>
              <w:t>2</w:t>
            </w:r>
          </w:p>
        </w:tc>
        <w:tc>
          <w:tcPr>
            <w:tcW w:w="1263" w:type="dxa"/>
            <w:tcBorders>
              <w:top w:val="single" w:color="auto" w:sz="4" w:space="0"/>
              <w:left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u w:val="single"/>
                <w:lang w:val="en-US" w:eastAsia="zh-CN"/>
              </w:rPr>
              <w:t>拟投入本项目负责人情况</w:t>
            </w:r>
          </w:p>
          <w:p>
            <w:pPr>
              <w:pStyle w:val="46"/>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lang w:val="en-US" w:eastAsia="zh-CN"/>
              </w:rPr>
            </w:pPr>
          </w:p>
        </w:tc>
        <w:tc>
          <w:tcPr>
            <w:tcW w:w="690"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lang w:val="en-US" w:eastAsia="zh-CN"/>
              </w:rPr>
            </w:pPr>
            <w:r>
              <w:rPr>
                <w:rFonts w:hint="default" w:asci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5879"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eastAsia="宋体" w:cs="宋体"/>
                <w:bCs/>
                <w:color w:val="auto"/>
                <w:sz w:val="21"/>
                <w:szCs w:val="21"/>
                <w:highlight w:val="none"/>
                <w:u w:val="single"/>
                <w:lang w:val="en-US" w:eastAsia="zh-CN"/>
              </w:rPr>
            </w:pPr>
            <w:r>
              <w:rPr>
                <w:rFonts w:hint="eastAsia" w:ascii="宋体" w:eastAsia="宋体" w:cs="宋体"/>
                <w:bCs/>
                <w:color w:val="auto"/>
                <w:sz w:val="21"/>
                <w:szCs w:val="21"/>
                <w:highlight w:val="none"/>
                <w:u w:val="single"/>
                <w:lang w:val="en-US" w:eastAsia="zh-CN"/>
              </w:rPr>
              <w:t>项目负责人具有城市（城乡）规划专业高级或以上职称、或国家注册城市（城乡）规划师资格证书、或建筑设计专业高级或以上职称、或一级注册建筑师证书的，得</w:t>
            </w:r>
            <w:r>
              <w:rPr>
                <w:rFonts w:hint="default" w:ascii="宋体" w:eastAsia="宋体" w:cs="宋体"/>
                <w:bCs/>
                <w:color w:val="auto"/>
                <w:sz w:val="21"/>
                <w:szCs w:val="21"/>
                <w:highlight w:val="none"/>
                <w:u w:val="single"/>
                <w:lang w:val="en-US" w:eastAsia="zh-CN"/>
              </w:rPr>
              <w:t>4</w:t>
            </w:r>
            <w:r>
              <w:rPr>
                <w:rFonts w:hint="eastAsia" w:ascii="宋体" w:eastAsia="宋体" w:cs="宋体"/>
                <w:bCs/>
                <w:color w:val="auto"/>
                <w:sz w:val="21"/>
                <w:szCs w:val="21"/>
                <w:highlight w:val="none"/>
                <w:u w:val="single"/>
                <w:lang w:val="en-US" w:eastAsia="zh-CN"/>
              </w:rPr>
              <w:t>分；本项最高得4分。</w:t>
            </w:r>
          </w:p>
          <w:p>
            <w:pPr>
              <w:pStyle w:val="46"/>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Cs/>
                <w:color w:val="auto"/>
                <w:sz w:val="21"/>
                <w:szCs w:val="21"/>
                <w:highlight w:val="none"/>
                <w:u w:val="single"/>
                <w:lang w:val="zh-CN"/>
              </w:rPr>
            </w:pPr>
            <w:r>
              <w:rPr>
                <w:rFonts w:hint="eastAsia" w:ascii="宋体" w:hAnsi="宋体" w:eastAsia="宋体" w:cs="宋体"/>
                <w:b/>
                <w:color w:val="auto"/>
                <w:sz w:val="21"/>
                <w:szCs w:val="21"/>
                <w:highlight w:val="none"/>
                <w:u w:val="single"/>
              </w:rPr>
              <w:t>注：须提供项目负责人</w:t>
            </w:r>
            <w:r>
              <w:rPr>
                <w:rFonts w:hint="eastAsia" w:ascii="宋体" w:hAnsi="宋体" w:eastAsia="宋体" w:cs="宋体"/>
                <w:b/>
                <w:color w:val="auto"/>
                <w:sz w:val="21"/>
                <w:szCs w:val="21"/>
                <w:highlight w:val="none"/>
                <w:u w:val="single"/>
                <w:lang w:val="en-US" w:eastAsia="zh-CN"/>
              </w:rPr>
              <w:t>相关</w:t>
            </w:r>
            <w:r>
              <w:rPr>
                <w:rFonts w:hint="eastAsia" w:ascii="宋体" w:hAnsi="宋体" w:eastAsia="宋体" w:cs="宋体"/>
                <w:b/>
                <w:color w:val="auto"/>
                <w:sz w:val="21"/>
                <w:szCs w:val="21"/>
                <w:highlight w:val="none"/>
                <w:u w:val="single"/>
              </w:rPr>
              <w:t>证书</w:t>
            </w:r>
            <w:r>
              <w:rPr>
                <w:rFonts w:hint="eastAsia" w:ascii="宋体" w:hAnsi="宋体" w:eastAsia="宋体" w:cs="宋体"/>
                <w:b/>
                <w:color w:val="auto"/>
                <w:sz w:val="21"/>
                <w:szCs w:val="21"/>
                <w:highlight w:val="none"/>
                <w:u w:val="single"/>
                <w:lang w:val="en-US" w:eastAsia="zh-CN"/>
              </w:rPr>
              <w:t>复印件</w:t>
            </w:r>
            <w:r>
              <w:rPr>
                <w:rFonts w:hint="eastAsia" w:ascii="宋体" w:hAnsi="宋体" w:eastAsia="宋体" w:cs="宋体"/>
                <w:b/>
                <w:color w:val="auto"/>
                <w:sz w:val="21"/>
                <w:szCs w:val="21"/>
                <w:highlight w:val="none"/>
                <w:u w:val="single"/>
              </w:rPr>
              <w:t>及近半年（不含开标当月）内</w:t>
            </w:r>
            <w:r>
              <w:rPr>
                <w:rFonts w:hint="eastAsia" w:ascii="宋体" w:eastAsia="宋体" w:cs="宋体"/>
                <w:b/>
                <w:color w:val="auto"/>
                <w:sz w:val="21"/>
                <w:szCs w:val="21"/>
                <w:highlight w:val="none"/>
                <w:u w:val="single"/>
                <w:lang w:eastAsia="zh-CN"/>
              </w:rPr>
              <w:t>投标人</w:t>
            </w:r>
            <w:r>
              <w:rPr>
                <w:rFonts w:hint="eastAsia" w:ascii="宋体" w:hAnsi="宋体" w:eastAsia="宋体" w:cs="宋体"/>
                <w:b/>
                <w:color w:val="auto"/>
                <w:sz w:val="21"/>
                <w:szCs w:val="21"/>
                <w:highlight w:val="none"/>
                <w:u w:val="single"/>
              </w:rPr>
              <w:t>为其购买的连续不少于3个月购买社保证明并加盖</w:t>
            </w:r>
            <w:r>
              <w:rPr>
                <w:rFonts w:hint="eastAsia" w:ascii="宋体" w:eastAsia="宋体" w:cs="宋体"/>
                <w:b/>
                <w:color w:val="auto"/>
                <w:sz w:val="21"/>
                <w:szCs w:val="21"/>
                <w:highlight w:val="none"/>
                <w:u w:val="single"/>
                <w:lang w:eastAsia="zh-CN"/>
              </w:rPr>
              <w:t>投标人</w:t>
            </w:r>
            <w:r>
              <w:rPr>
                <w:rFonts w:hint="eastAsia" w:ascii="宋体" w:hAnsi="宋体" w:eastAsia="宋体" w:cs="宋体"/>
                <w:b/>
                <w:color w:val="auto"/>
                <w:sz w:val="21"/>
                <w:szCs w:val="21"/>
                <w:highlight w:val="none"/>
                <w:u w:val="single"/>
              </w:rPr>
              <w:t>公章</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可以是在</w:t>
            </w:r>
            <w:r>
              <w:rPr>
                <w:rFonts w:hint="eastAsia" w:ascii="宋体" w:eastAsia="宋体" w:cs="宋体"/>
                <w:b/>
                <w:color w:val="auto"/>
                <w:sz w:val="21"/>
                <w:szCs w:val="21"/>
                <w:highlight w:val="none"/>
                <w:u w:val="single"/>
                <w:lang w:eastAsia="zh-CN"/>
              </w:rPr>
              <w:t>投标人</w:t>
            </w:r>
            <w:r>
              <w:rPr>
                <w:rFonts w:hint="eastAsia" w:ascii="宋体" w:hAnsi="宋体" w:eastAsia="宋体" w:cs="宋体"/>
                <w:b/>
                <w:color w:val="auto"/>
                <w:sz w:val="21"/>
                <w:szCs w:val="21"/>
                <w:highlight w:val="none"/>
                <w:u w:val="single"/>
              </w:rPr>
              <w:t>总公司或分公司的社保缴纳证明文件，不提供相关证明材料不得分。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 w:author="彬" w:date="2025-05-19T09:05:47Z">
            <w:tblPrEx>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368" w:hRule="atLeast"/>
          <w:jc w:val="center"/>
          <w:trPrChange w:id="1" w:author="彬" w:date="2025-05-19T09:05:47Z">
            <w:trPr>
              <w:trHeight w:val="2401" w:hRule="atLeast"/>
              <w:jc w:val="center"/>
            </w:trPr>
          </w:trPrChange>
        </w:trPr>
        <w:tc>
          <w:tcPr>
            <w:tcW w:w="690" w:type="dxa"/>
            <w:tcBorders>
              <w:top w:val="single" w:color="auto" w:sz="4" w:space="0"/>
              <w:left w:val="single" w:color="auto" w:sz="4" w:space="0"/>
              <w:bottom w:val="single" w:color="auto" w:sz="4" w:space="0"/>
              <w:right w:val="single" w:color="auto" w:sz="4" w:space="0"/>
            </w:tcBorders>
            <w:vAlign w:val="center"/>
            <w:tcPrChange w:id="2" w:author="彬" w:date="2025-05-19T09:05:47Z">
              <w:tcPr>
                <w:tcW w:w="690" w:type="dxa"/>
                <w:tcBorders>
                  <w:top w:val="single" w:color="auto" w:sz="4" w:space="0"/>
                  <w:left w:val="single" w:color="auto" w:sz="4" w:space="0"/>
                  <w:bottom w:val="single" w:color="auto" w:sz="4" w:space="0"/>
                  <w:right w:val="single" w:color="auto" w:sz="4" w:space="0"/>
                </w:tcBorders>
                <w:vAlign w:val="center"/>
              </w:tcPr>
            </w:tcPrChange>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lang w:val="en-US" w:eastAsia="zh-CN"/>
              </w:rPr>
              <w:t>3</w:t>
            </w:r>
          </w:p>
        </w:tc>
        <w:tc>
          <w:tcPr>
            <w:tcW w:w="1263" w:type="dxa"/>
            <w:tcBorders>
              <w:top w:val="single" w:color="auto" w:sz="4" w:space="0"/>
              <w:left w:val="single" w:color="auto" w:sz="4" w:space="0"/>
              <w:bottom w:val="single" w:color="auto" w:sz="4" w:space="0"/>
              <w:right w:val="single" w:color="auto" w:sz="4" w:space="0"/>
            </w:tcBorders>
            <w:vAlign w:val="center"/>
            <w:tcPrChange w:id="3" w:author="彬" w:date="2025-05-19T09:05:47Z">
              <w:tcPr>
                <w:tcW w:w="1263" w:type="dxa"/>
                <w:tcBorders>
                  <w:top w:val="single" w:color="auto" w:sz="4" w:space="0"/>
                  <w:left w:val="single" w:color="auto" w:sz="4" w:space="0"/>
                  <w:bottom w:val="single" w:color="auto" w:sz="4" w:space="0"/>
                  <w:right w:val="single" w:color="auto" w:sz="4" w:space="0"/>
                </w:tcBorders>
                <w:vAlign w:val="center"/>
              </w:tcPr>
            </w:tcPrChange>
          </w:tcPr>
          <w:p>
            <w:pPr>
              <w:pStyle w:val="46"/>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u w:val="single"/>
                <w:lang w:val="en-US" w:eastAsia="zh-CN"/>
              </w:rPr>
              <w:t>拟投入本项目主要人员配置</w:t>
            </w:r>
          </w:p>
          <w:p>
            <w:pPr>
              <w:pStyle w:val="46"/>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rPr>
            </w:pPr>
          </w:p>
        </w:tc>
        <w:tc>
          <w:tcPr>
            <w:tcW w:w="690" w:type="dxa"/>
            <w:tcBorders>
              <w:top w:val="single" w:color="auto" w:sz="4" w:space="0"/>
              <w:left w:val="single" w:color="auto" w:sz="4" w:space="0"/>
              <w:bottom w:val="single" w:color="auto" w:sz="4" w:space="0"/>
              <w:right w:val="single" w:color="auto" w:sz="4" w:space="0"/>
            </w:tcBorders>
            <w:vAlign w:val="center"/>
            <w:tcPrChange w:id="4" w:author="彬" w:date="2025-05-19T09:05:47Z">
              <w:tcPr>
                <w:tcW w:w="690" w:type="dxa"/>
                <w:tcBorders>
                  <w:top w:val="single" w:color="auto" w:sz="4" w:space="0"/>
                  <w:left w:val="single" w:color="auto" w:sz="4" w:space="0"/>
                  <w:bottom w:val="single" w:color="auto" w:sz="4" w:space="0"/>
                  <w:right w:val="single" w:color="auto" w:sz="4" w:space="0"/>
                </w:tcBorders>
                <w:vAlign w:val="center"/>
              </w:tcPr>
            </w:tcPrChange>
          </w:tcPr>
          <w:p>
            <w:pPr>
              <w:pStyle w:val="46"/>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rPr>
              <w:t>分</w:t>
            </w:r>
          </w:p>
        </w:tc>
        <w:tc>
          <w:tcPr>
            <w:tcW w:w="5879" w:type="dxa"/>
            <w:tcBorders>
              <w:top w:val="single" w:color="auto" w:sz="4" w:space="0"/>
              <w:left w:val="single" w:color="auto" w:sz="4" w:space="0"/>
              <w:bottom w:val="single" w:color="auto" w:sz="4" w:space="0"/>
              <w:right w:val="single" w:color="auto" w:sz="4" w:space="0"/>
            </w:tcBorders>
            <w:vAlign w:val="center"/>
            <w:tcPrChange w:id="5" w:author="彬" w:date="2025-05-19T09:05:47Z">
              <w:tcPr>
                <w:tcW w:w="5879" w:type="dxa"/>
                <w:tcBorders>
                  <w:top w:val="single" w:color="auto" w:sz="4" w:space="0"/>
                  <w:left w:val="single" w:color="auto" w:sz="4" w:space="0"/>
                  <w:bottom w:val="single" w:color="auto" w:sz="4" w:space="0"/>
                  <w:right w:val="single" w:color="auto" w:sz="4" w:space="0"/>
                </w:tcBorders>
                <w:vAlign w:val="center"/>
              </w:tcPr>
            </w:tcPrChange>
          </w:tcPr>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u w:val="single"/>
                <w:lang w:val="en-US" w:eastAsia="zh-CN"/>
              </w:rPr>
              <w:t>拟投入本项目主要人员（项目负责人除外）具有城市（城乡）规划专业高级或以上职称证书，或建筑设计专业高级或以上职称的每提供一人得</w:t>
            </w:r>
            <w:r>
              <w:rPr>
                <w:rFonts w:hint="default"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lang w:val="en-US" w:eastAsia="zh-CN"/>
              </w:rPr>
              <w:t>分；本</w:t>
            </w:r>
            <w:r>
              <w:rPr>
                <w:rFonts w:hint="eastAsia" w:ascii="宋体" w:eastAsia="宋体" w:cs="宋体"/>
                <w:color w:val="auto"/>
                <w:sz w:val="21"/>
                <w:szCs w:val="21"/>
                <w:highlight w:val="none"/>
                <w:u w:val="single"/>
                <w:lang w:val="en-US" w:eastAsia="zh-CN"/>
              </w:rPr>
              <w:t>小</w:t>
            </w:r>
            <w:r>
              <w:rPr>
                <w:rFonts w:hint="eastAsia" w:ascii="宋体" w:hAnsi="宋体" w:eastAsia="宋体" w:cs="宋体"/>
                <w:color w:val="auto"/>
                <w:sz w:val="21"/>
                <w:szCs w:val="21"/>
                <w:highlight w:val="none"/>
                <w:u w:val="single"/>
                <w:lang w:val="en-US" w:eastAsia="zh-CN"/>
              </w:rPr>
              <w:t>项最高得</w:t>
            </w:r>
            <w:r>
              <w:rPr>
                <w:rFonts w:hint="default"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分；</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u w:val="single"/>
                <w:lang w:val="en-US" w:eastAsia="zh-CN"/>
              </w:rPr>
              <w:t>拟投入本项目主要人员（项目负责人除外）具有城市规划及建筑设计除外的建筑类、交通类、电气类、给排水类专业高级职称证书的，每提供一人得</w:t>
            </w:r>
            <w:r>
              <w:rPr>
                <w:rFonts w:hint="default"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val="en-US" w:eastAsia="zh-CN"/>
              </w:rPr>
              <w:t>分；本小项最高得</w:t>
            </w:r>
            <w:r>
              <w:rPr>
                <w:rFonts w:hint="default"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分</w:t>
            </w:r>
            <w:r>
              <w:rPr>
                <w:rFonts w:hint="eastAsia" w:ascii="宋体" w:eastAsia="宋体" w:cs="宋体"/>
                <w:color w:val="auto"/>
                <w:sz w:val="21"/>
                <w:szCs w:val="21"/>
                <w:highlight w:val="none"/>
                <w:u w:val="single"/>
                <w:lang w:val="en-US" w:eastAsia="zh-CN"/>
              </w:rPr>
              <w:t>。</w:t>
            </w:r>
          </w:p>
          <w:p>
            <w:pPr>
              <w:pStyle w:val="46"/>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rPr>
              <w:t>注：以上须提供人员</w:t>
            </w:r>
            <w:r>
              <w:rPr>
                <w:rFonts w:hint="eastAsia" w:ascii="宋体" w:hAnsi="宋体" w:eastAsia="宋体" w:cs="宋体"/>
                <w:b/>
                <w:color w:val="auto"/>
                <w:sz w:val="21"/>
                <w:szCs w:val="21"/>
                <w:highlight w:val="none"/>
                <w:u w:val="single"/>
                <w:lang w:val="en-US" w:eastAsia="zh-CN"/>
              </w:rPr>
              <w:t>相关</w:t>
            </w:r>
            <w:r>
              <w:rPr>
                <w:rFonts w:hint="eastAsia" w:ascii="宋体" w:hAnsi="宋体" w:eastAsia="宋体" w:cs="宋体"/>
                <w:b/>
                <w:color w:val="auto"/>
                <w:sz w:val="21"/>
                <w:szCs w:val="21"/>
                <w:highlight w:val="none"/>
                <w:u w:val="single"/>
              </w:rPr>
              <w:t>证书</w:t>
            </w:r>
            <w:r>
              <w:rPr>
                <w:rFonts w:hint="eastAsia" w:ascii="宋体" w:hAnsi="宋体" w:eastAsia="宋体" w:cs="宋体"/>
                <w:b/>
                <w:color w:val="auto"/>
                <w:sz w:val="21"/>
                <w:szCs w:val="21"/>
                <w:highlight w:val="none"/>
                <w:u w:val="single"/>
                <w:lang w:val="en-US" w:eastAsia="zh-CN"/>
              </w:rPr>
              <w:t>复印件</w:t>
            </w:r>
            <w:r>
              <w:rPr>
                <w:rFonts w:hint="eastAsia" w:ascii="宋体" w:hAnsi="宋体" w:eastAsia="宋体" w:cs="宋体"/>
                <w:b/>
                <w:color w:val="auto"/>
                <w:sz w:val="21"/>
                <w:szCs w:val="21"/>
                <w:highlight w:val="none"/>
                <w:u w:val="single"/>
              </w:rPr>
              <w:t>及近半年（不含开标当月）内</w:t>
            </w:r>
            <w:r>
              <w:rPr>
                <w:rFonts w:hint="eastAsia" w:ascii="宋体" w:eastAsia="宋体" w:cs="宋体"/>
                <w:b/>
                <w:color w:val="auto"/>
                <w:sz w:val="21"/>
                <w:szCs w:val="21"/>
                <w:highlight w:val="none"/>
                <w:u w:val="single"/>
                <w:lang w:eastAsia="zh-CN"/>
              </w:rPr>
              <w:t>投标人</w:t>
            </w:r>
            <w:r>
              <w:rPr>
                <w:rFonts w:hint="eastAsia" w:ascii="宋体" w:hAnsi="宋体" w:eastAsia="宋体" w:cs="宋体"/>
                <w:b/>
                <w:color w:val="auto"/>
                <w:sz w:val="21"/>
                <w:szCs w:val="21"/>
                <w:highlight w:val="none"/>
                <w:u w:val="single"/>
              </w:rPr>
              <w:t>为其购买的连续不少于3个月购买社保证明并加盖</w:t>
            </w:r>
            <w:r>
              <w:rPr>
                <w:rFonts w:hint="eastAsia" w:ascii="宋体" w:eastAsia="宋体" w:cs="宋体"/>
                <w:b/>
                <w:color w:val="auto"/>
                <w:sz w:val="21"/>
                <w:szCs w:val="21"/>
                <w:highlight w:val="none"/>
                <w:u w:val="single"/>
                <w:lang w:val="en-US" w:eastAsia="zh-CN"/>
              </w:rPr>
              <w:t>投标人</w:t>
            </w:r>
            <w:r>
              <w:rPr>
                <w:rFonts w:hint="eastAsia" w:ascii="宋体" w:hAnsi="宋体" w:eastAsia="宋体" w:cs="宋体"/>
                <w:b/>
                <w:color w:val="auto"/>
                <w:sz w:val="21"/>
                <w:szCs w:val="21"/>
                <w:highlight w:val="none"/>
                <w:u w:val="single"/>
              </w:rPr>
              <w:t>公章</w:t>
            </w:r>
            <w:r>
              <w:rPr>
                <w:rFonts w:hint="eastAsia" w:ascii="宋体" w:hAnsi="宋体" w:eastAsia="宋体" w:cs="宋体"/>
                <w:b/>
                <w:color w:val="auto"/>
                <w:sz w:val="21"/>
                <w:szCs w:val="21"/>
                <w:highlight w:val="none"/>
                <w:u w:val="single"/>
                <w:lang w:eastAsia="zh-CN"/>
              </w:rPr>
              <w:t>，</w:t>
            </w:r>
            <w:r>
              <w:rPr>
                <w:rFonts w:hint="eastAsia" w:ascii="宋体" w:hAnsi="宋体" w:eastAsia="宋体" w:cs="宋体"/>
                <w:b/>
                <w:color w:val="auto"/>
                <w:sz w:val="21"/>
                <w:szCs w:val="21"/>
                <w:highlight w:val="none"/>
                <w:u w:val="single"/>
              </w:rPr>
              <w:t>可以是在</w:t>
            </w:r>
            <w:r>
              <w:rPr>
                <w:rFonts w:hint="eastAsia" w:ascii="宋体" w:eastAsia="宋体" w:cs="宋体"/>
                <w:b/>
                <w:color w:val="auto"/>
                <w:sz w:val="21"/>
                <w:szCs w:val="21"/>
                <w:highlight w:val="none"/>
                <w:u w:val="single"/>
                <w:lang w:eastAsia="zh-CN"/>
              </w:rPr>
              <w:t>投标人</w:t>
            </w:r>
            <w:r>
              <w:rPr>
                <w:rFonts w:hint="eastAsia" w:ascii="宋体" w:hAnsi="宋体" w:eastAsia="宋体" w:cs="宋体"/>
                <w:b/>
                <w:color w:val="auto"/>
                <w:sz w:val="21"/>
                <w:szCs w:val="21"/>
                <w:highlight w:val="none"/>
                <w:u w:val="single"/>
              </w:rPr>
              <w:t>总公司或分公司的社保缴纳证明文件，同一人员的多个专业职称证明材料不重复得分，不提供相关证明材料不得分。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pStyle w:val="46"/>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val="en-US" w:eastAsia="zh-CN"/>
              </w:rPr>
              <w:t>40</w:t>
            </w:r>
            <w:r>
              <w:rPr>
                <w:rFonts w:hint="eastAsia" w:ascii="宋体" w:hAnsi="宋体" w:eastAsia="宋体" w:cs="宋体"/>
                <w:b/>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89"/>
              <w:spacing w:after="0" w:afterLines="0"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263"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对招标项目</w:t>
            </w:r>
            <w:r>
              <w:rPr>
                <w:rFonts w:hint="eastAsia" w:ascii="宋体" w:hAnsi="宋体" w:eastAsia="宋体" w:cs="宋体"/>
                <w:color w:val="auto"/>
                <w:sz w:val="21"/>
                <w:szCs w:val="21"/>
                <w:highlight w:val="none"/>
                <w:u w:val="single"/>
                <w:lang w:eastAsia="zh-CN"/>
              </w:rPr>
              <w:t>政策背景</w:t>
            </w:r>
            <w:r>
              <w:rPr>
                <w:rFonts w:hint="eastAsia" w:ascii="宋体" w:hAnsi="宋体" w:eastAsia="宋体" w:cs="宋体"/>
                <w:color w:val="auto"/>
                <w:sz w:val="21"/>
                <w:szCs w:val="21"/>
                <w:highlight w:val="none"/>
                <w:u w:val="single"/>
              </w:rPr>
              <w:t>的认识</w:t>
            </w:r>
          </w:p>
        </w:tc>
        <w:tc>
          <w:tcPr>
            <w:tcW w:w="690"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5879"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根据各</w:t>
            </w:r>
            <w:r>
              <w:rPr>
                <w:rFonts w:hint="eastAsia" w:ascii="宋体" w:eastAsia="宋体" w:cs="宋体"/>
                <w:bCs/>
                <w:color w:val="auto"/>
                <w:sz w:val="21"/>
                <w:szCs w:val="21"/>
                <w:highlight w:val="none"/>
                <w:u w:val="single"/>
                <w:lang w:eastAsia="zh-CN"/>
              </w:rPr>
              <w:t>投标人</w:t>
            </w:r>
            <w:r>
              <w:rPr>
                <w:rFonts w:hint="eastAsia" w:ascii="宋体" w:hAnsi="宋体" w:eastAsia="宋体" w:cs="宋体"/>
                <w:bCs/>
                <w:color w:val="auto"/>
                <w:sz w:val="21"/>
                <w:szCs w:val="21"/>
                <w:highlight w:val="none"/>
                <w:u w:val="single"/>
              </w:rPr>
              <w:t>对项目</w:t>
            </w:r>
            <w:r>
              <w:rPr>
                <w:rFonts w:hint="eastAsia" w:ascii="宋体" w:hAnsi="宋体" w:eastAsia="宋体" w:cs="宋体"/>
                <w:bCs/>
                <w:color w:val="auto"/>
                <w:sz w:val="21"/>
                <w:szCs w:val="21"/>
                <w:highlight w:val="none"/>
                <w:u w:val="single"/>
                <w:lang w:eastAsia="zh-CN"/>
              </w:rPr>
              <w:t>背景、</w:t>
            </w:r>
            <w:r>
              <w:rPr>
                <w:rFonts w:hint="eastAsia" w:ascii="宋体" w:hAnsi="宋体" w:eastAsia="宋体" w:cs="宋体"/>
                <w:bCs/>
                <w:color w:val="auto"/>
                <w:sz w:val="21"/>
                <w:szCs w:val="21"/>
                <w:highlight w:val="none"/>
                <w:u w:val="single"/>
              </w:rPr>
              <w:t>现状</w:t>
            </w:r>
            <w:r>
              <w:rPr>
                <w:rFonts w:hint="eastAsia" w:ascii="宋体" w:eastAsia="宋体" w:cs="宋体"/>
                <w:bCs/>
                <w:color w:val="auto"/>
                <w:sz w:val="21"/>
                <w:szCs w:val="21"/>
                <w:highlight w:val="none"/>
                <w:u w:val="single"/>
              </w:rPr>
              <w:t>，回迁诉求</w:t>
            </w:r>
            <w:r>
              <w:rPr>
                <w:rFonts w:hint="eastAsia" w:ascii="宋体" w:hAnsi="宋体" w:eastAsia="宋体" w:cs="宋体"/>
                <w:bCs/>
                <w:color w:val="auto"/>
                <w:sz w:val="21"/>
                <w:szCs w:val="21"/>
                <w:highlight w:val="none"/>
                <w:u w:val="single"/>
              </w:rPr>
              <w:t>及概念方案设计的熟悉程度进行评审：</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①对项目</w:t>
            </w:r>
            <w:r>
              <w:rPr>
                <w:rFonts w:hint="eastAsia" w:ascii="宋体" w:hAnsi="宋体" w:eastAsia="宋体" w:cs="宋体"/>
                <w:bCs/>
                <w:color w:val="auto"/>
                <w:sz w:val="21"/>
                <w:szCs w:val="21"/>
                <w:highlight w:val="none"/>
                <w:u w:val="single"/>
                <w:lang w:eastAsia="zh-CN"/>
              </w:rPr>
              <w:t>背景的认识、</w:t>
            </w:r>
            <w:r>
              <w:rPr>
                <w:rFonts w:hint="eastAsia" w:ascii="宋体" w:hAnsi="宋体" w:eastAsia="宋体" w:cs="宋体"/>
                <w:bCs/>
                <w:color w:val="auto"/>
                <w:sz w:val="21"/>
                <w:szCs w:val="21"/>
                <w:highlight w:val="none"/>
                <w:u w:val="single"/>
              </w:rPr>
              <w:t>现状特征分析清晰</w:t>
            </w:r>
            <w:r>
              <w:rPr>
                <w:rFonts w:hint="eastAsia" w:ascii="宋体" w:eastAsia="宋体" w:cs="宋体"/>
                <w:bCs/>
                <w:color w:val="auto"/>
                <w:sz w:val="21"/>
                <w:szCs w:val="21"/>
                <w:highlight w:val="none"/>
                <w:u w:val="single"/>
                <w:lang w:eastAsia="zh-CN"/>
              </w:rPr>
              <w:t>、</w:t>
            </w:r>
            <w:r>
              <w:rPr>
                <w:rFonts w:hint="eastAsia" w:ascii="宋体" w:eastAsia="宋体" w:cs="宋体"/>
                <w:bCs/>
                <w:color w:val="auto"/>
                <w:sz w:val="21"/>
                <w:szCs w:val="21"/>
                <w:highlight w:val="none"/>
                <w:u w:val="single"/>
              </w:rPr>
              <w:t>对回迁诉求摸查</w:t>
            </w:r>
            <w:r>
              <w:rPr>
                <w:rFonts w:hint="eastAsia" w:ascii="宋体" w:hAnsi="宋体" w:eastAsia="宋体" w:cs="宋体"/>
                <w:bCs/>
                <w:color w:val="auto"/>
                <w:sz w:val="21"/>
                <w:szCs w:val="21"/>
                <w:highlight w:val="none"/>
                <w:u w:val="single"/>
              </w:rPr>
              <w:t>到位的，得</w:t>
            </w:r>
            <w:r>
              <w:rPr>
                <w:rFonts w:hint="eastAsia" w:ascii="宋体" w:hAnsi="宋体" w:eastAsia="宋体" w:cs="宋体"/>
                <w:bCs/>
                <w:color w:val="auto"/>
                <w:sz w:val="21"/>
                <w:szCs w:val="21"/>
                <w:highlight w:val="none"/>
                <w:u w:val="single"/>
                <w:lang w:val="en-US" w:eastAsia="zh-CN"/>
              </w:rPr>
              <w:t>8</w:t>
            </w:r>
            <w:r>
              <w:rPr>
                <w:rFonts w:hint="eastAsia" w:ascii="宋体" w:hAnsi="宋体" w:eastAsia="宋体" w:cs="宋体"/>
                <w:bCs/>
                <w:color w:val="auto"/>
                <w:sz w:val="21"/>
                <w:szCs w:val="21"/>
                <w:highlight w:val="none"/>
                <w:u w:val="single"/>
              </w:rPr>
              <w:t>分；</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②对项目</w:t>
            </w:r>
            <w:r>
              <w:rPr>
                <w:rFonts w:hint="eastAsia" w:ascii="宋体" w:hAnsi="宋体" w:eastAsia="宋体" w:cs="宋体"/>
                <w:bCs/>
                <w:color w:val="auto"/>
                <w:sz w:val="21"/>
                <w:szCs w:val="21"/>
                <w:highlight w:val="none"/>
                <w:u w:val="single"/>
                <w:lang w:eastAsia="zh-CN"/>
              </w:rPr>
              <w:t>背景的认识、</w:t>
            </w:r>
            <w:r>
              <w:rPr>
                <w:rFonts w:hint="eastAsia" w:ascii="宋体" w:hAnsi="宋体" w:eastAsia="宋体" w:cs="宋体"/>
                <w:bCs/>
                <w:color w:val="auto"/>
                <w:sz w:val="21"/>
                <w:szCs w:val="21"/>
                <w:highlight w:val="none"/>
                <w:u w:val="single"/>
              </w:rPr>
              <w:t>现状特征分析基本清晰</w:t>
            </w:r>
            <w:r>
              <w:rPr>
                <w:rFonts w:hint="eastAsia" w:ascii="宋体" w:eastAsia="宋体" w:cs="宋体"/>
                <w:bCs/>
                <w:color w:val="auto"/>
                <w:sz w:val="21"/>
                <w:szCs w:val="21"/>
                <w:highlight w:val="none"/>
                <w:u w:val="single"/>
                <w:lang w:eastAsia="zh-CN"/>
              </w:rPr>
              <w:t>、</w:t>
            </w:r>
            <w:r>
              <w:rPr>
                <w:rFonts w:hint="eastAsia" w:ascii="宋体" w:eastAsia="宋体" w:cs="宋体"/>
                <w:bCs/>
                <w:color w:val="auto"/>
                <w:sz w:val="21"/>
                <w:szCs w:val="21"/>
                <w:highlight w:val="none"/>
                <w:u w:val="single"/>
              </w:rPr>
              <w:t>对回迁诉求摸查</w:t>
            </w:r>
            <w:r>
              <w:rPr>
                <w:rFonts w:hint="eastAsia" w:ascii="宋体" w:eastAsia="宋体" w:cs="宋体"/>
                <w:bCs/>
                <w:color w:val="auto"/>
                <w:sz w:val="21"/>
                <w:szCs w:val="21"/>
                <w:highlight w:val="none"/>
                <w:u w:val="single"/>
                <w:lang w:val="en-US" w:eastAsia="zh-CN"/>
              </w:rPr>
              <w:t>基本</w:t>
            </w:r>
            <w:r>
              <w:rPr>
                <w:rFonts w:hint="eastAsia" w:ascii="宋体" w:hAnsi="宋体" w:eastAsia="宋体" w:cs="宋体"/>
                <w:bCs/>
                <w:color w:val="auto"/>
                <w:sz w:val="21"/>
                <w:szCs w:val="21"/>
                <w:highlight w:val="none"/>
                <w:u w:val="single"/>
              </w:rPr>
              <w:t>到位的，得</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分；</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u w:val="single"/>
              </w:rPr>
              <w:t>③对项目</w:t>
            </w:r>
            <w:r>
              <w:rPr>
                <w:rFonts w:hint="eastAsia" w:ascii="宋体" w:hAnsi="宋体" w:eastAsia="宋体" w:cs="宋体"/>
                <w:bCs/>
                <w:color w:val="auto"/>
                <w:sz w:val="21"/>
                <w:szCs w:val="21"/>
                <w:highlight w:val="none"/>
                <w:u w:val="single"/>
                <w:lang w:eastAsia="zh-CN"/>
              </w:rPr>
              <w:t>背景的认识、</w:t>
            </w:r>
            <w:r>
              <w:rPr>
                <w:rFonts w:hint="eastAsia" w:ascii="宋体" w:hAnsi="宋体" w:eastAsia="宋体" w:cs="宋体"/>
                <w:bCs/>
                <w:color w:val="auto"/>
                <w:sz w:val="21"/>
                <w:szCs w:val="21"/>
                <w:highlight w:val="none"/>
                <w:u w:val="single"/>
              </w:rPr>
              <w:t>现状特征分析不够清晰</w:t>
            </w:r>
            <w:r>
              <w:rPr>
                <w:rFonts w:hint="eastAsia" w:ascii="宋体" w:eastAsia="宋体" w:cs="宋体"/>
                <w:bCs/>
                <w:color w:val="auto"/>
                <w:sz w:val="21"/>
                <w:szCs w:val="21"/>
                <w:highlight w:val="none"/>
                <w:u w:val="single"/>
                <w:lang w:eastAsia="zh-CN"/>
              </w:rPr>
              <w:t>、</w:t>
            </w:r>
            <w:r>
              <w:rPr>
                <w:rFonts w:hint="eastAsia" w:ascii="宋体" w:eastAsia="宋体" w:cs="宋体"/>
                <w:bCs/>
                <w:color w:val="auto"/>
                <w:sz w:val="21"/>
                <w:szCs w:val="21"/>
                <w:highlight w:val="none"/>
                <w:u w:val="single"/>
              </w:rPr>
              <w:t>对回迁诉求摸查</w:t>
            </w:r>
            <w:r>
              <w:rPr>
                <w:rFonts w:hint="eastAsia" w:ascii="宋体" w:hAnsi="宋体" w:eastAsia="宋体" w:cs="宋体"/>
                <w:bCs/>
                <w:color w:val="auto"/>
                <w:sz w:val="21"/>
                <w:szCs w:val="21"/>
                <w:highlight w:val="none"/>
                <w:u w:val="single"/>
              </w:rPr>
              <w:t>不到位，得2分</w:t>
            </w:r>
            <w:r>
              <w:rPr>
                <w:rFonts w:hint="eastAsia" w:ascii="宋体" w:eastAsia="宋体" w:cs="宋体"/>
                <w:bCs/>
                <w:color w:val="auto"/>
                <w:sz w:val="21"/>
                <w:szCs w:val="21"/>
                <w:highlight w:val="none"/>
                <w:u w:val="single"/>
                <w:lang w:eastAsia="zh-CN"/>
              </w:rPr>
              <w:t>；</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u w:val="single"/>
              </w:rPr>
              <w:t>④未提供相关表述的得0分。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89"/>
              <w:spacing w:after="0" w:afterLines="0"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263"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eastAsia="zh-CN"/>
              </w:rPr>
              <w:t>项目的初步分析</w:t>
            </w:r>
          </w:p>
        </w:tc>
        <w:tc>
          <w:tcPr>
            <w:tcW w:w="690"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5879"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根据各</w:t>
            </w:r>
            <w:r>
              <w:rPr>
                <w:rFonts w:hint="eastAsia" w:ascii="宋体" w:eastAsia="宋体" w:cs="宋体"/>
                <w:bCs/>
                <w:color w:val="auto"/>
                <w:sz w:val="21"/>
                <w:szCs w:val="21"/>
                <w:highlight w:val="none"/>
                <w:u w:val="single"/>
                <w:lang w:eastAsia="zh-CN"/>
              </w:rPr>
              <w:t>投标人</w:t>
            </w:r>
            <w:r>
              <w:rPr>
                <w:rFonts w:hint="eastAsia" w:ascii="宋体" w:hAnsi="宋体" w:eastAsia="宋体" w:cs="宋体"/>
                <w:bCs/>
                <w:color w:val="auto"/>
                <w:sz w:val="21"/>
                <w:szCs w:val="21"/>
                <w:highlight w:val="none"/>
                <w:u w:val="single"/>
              </w:rPr>
              <w:t>对项目</w:t>
            </w:r>
            <w:r>
              <w:rPr>
                <w:rFonts w:hint="eastAsia" w:ascii="宋体" w:hAnsi="宋体" w:eastAsia="宋体" w:cs="宋体"/>
                <w:bCs/>
                <w:color w:val="auto"/>
                <w:sz w:val="21"/>
                <w:szCs w:val="21"/>
                <w:highlight w:val="none"/>
                <w:u w:val="single"/>
                <w:lang w:eastAsia="zh-CN"/>
              </w:rPr>
              <w:t>的需求理解、初步认识及</w:t>
            </w:r>
            <w:r>
              <w:rPr>
                <w:rFonts w:hint="eastAsia" w:ascii="宋体" w:hAnsi="宋体" w:eastAsia="宋体" w:cs="宋体"/>
                <w:bCs/>
                <w:color w:val="auto"/>
                <w:sz w:val="21"/>
                <w:szCs w:val="21"/>
                <w:highlight w:val="none"/>
                <w:u w:val="single"/>
              </w:rPr>
              <w:t>项目</w:t>
            </w:r>
            <w:r>
              <w:rPr>
                <w:rFonts w:hint="eastAsia" w:ascii="宋体" w:hAnsi="宋体" w:eastAsia="宋体" w:cs="宋体"/>
                <w:bCs/>
                <w:color w:val="auto"/>
                <w:sz w:val="21"/>
                <w:szCs w:val="21"/>
                <w:highlight w:val="none"/>
                <w:u w:val="single"/>
                <w:lang w:val="en-US" w:eastAsia="zh-CN"/>
              </w:rPr>
              <w:t>的</w:t>
            </w:r>
            <w:r>
              <w:rPr>
                <w:rFonts w:hint="eastAsia" w:ascii="宋体" w:hAnsi="宋体" w:eastAsia="宋体" w:cs="宋体"/>
                <w:bCs/>
                <w:color w:val="auto"/>
                <w:sz w:val="21"/>
                <w:szCs w:val="21"/>
                <w:highlight w:val="none"/>
                <w:u w:val="single"/>
              </w:rPr>
              <w:t>重点</w:t>
            </w:r>
            <w:r>
              <w:rPr>
                <w:rFonts w:hint="eastAsia" w:ascii="宋体" w:hAnsi="宋体" w:eastAsia="宋体" w:cs="宋体"/>
                <w:bCs/>
                <w:color w:val="auto"/>
                <w:sz w:val="21"/>
                <w:szCs w:val="21"/>
                <w:highlight w:val="none"/>
                <w:u w:val="single"/>
                <w:lang w:eastAsia="zh-CN"/>
              </w:rPr>
              <w:t>难点</w:t>
            </w:r>
            <w:r>
              <w:rPr>
                <w:rFonts w:hint="eastAsia" w:ascii="宋体" w:hAnsi="宋体" w:eastAsia="宋体" w:cs="宋体"/>
                <w:bCs/>
                <w:color w:val="auto"/>
                <w:sz w:val="21"/>
                <w:szCs w:val="21"/>
                <w:highlight w:val="none"/>
                <w:u w:val="single"/>
                <w:lang w:val="en-US" w:eastAsia="zh-CN"/>
              </w:rPr>
              <w:t>分析及</w:t>
            </w:r>
            <w:r>
              <w:rPr>
                <w:rFonts w:hint="eastAsia" w:ascii="宋体" w:hAnsi="宋体" w:eastAsia="宋体" w:cs="宋体"/>
                <w:bCs/>
                <w:color w:val="auto"/>
                <w:sz w:val="21"/>
                <w:szCs w:val="21"/>
                <w:highlight w:val="none"/>
                <w:u w:val="single"/>
                <w:lang w:eastAsia="zh-CN"/>
              </w:rPr>
              <w:t>解决</w:t>
            </w:r>
            <w:r>
              <w:rPr>
                <w:rFonts w:hint="eastAsia" w:ascii="宋体" w:hAnsi="宋体" w:eastAsia="宋体" w:cs="宋体"/>
                <w:bCs/>
                <w:color w:val="auto"/>
                <w:sz w:val="21"/>
                <w:szCs w:val="21"/>
                <w:highlight w:val="none"/>
                <w:u w:val="single"/>
              </w:rPr>
              <w:t>方案进行评审：</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①对项目</w:t>
            </w:r>
            <w:r>
              <w:rPr>
                <w:rFonts w:hint="eastAsia" w:ascii="宋体" w:hAnsi="宋体" w:eastAsia="宋体" w:cs="宋体"/>
                <w:bCs/>
                <w:color w:val="auto"/>
                <w:sz w:val="21"/>
                <w:szCs w:val="21"/>
                <w:highlight w:val="none"/>
                <w:u w:val="single"/>
                <w:lang w:eastAsia="zh-CN"/>
              </w:rPr>
              <w:t>的需求理解全面、初步认识深刻、项目基本情况</w:t>
            </w:r>
            <w:r>
              <w:rPr>
                <w:rFonts w:hint="eastAsia" w:ascii="宋体" w:hAnsi="宋体" w:eastAsia="宋体" w:cs="宋体"/>
                <w:bCs/>
                <w:color w:val="auto"/>
                <w:sz w:val="21"/>
                <w:szCs w:val="21"/>
                <w:highlight w:val="none"/>
                <w:u w:val="single"/>
              </w:rPr>
              <w:t>分析到</w:t>
            </w:r>
            <w:r>
              <w:rPr>
                <w:rFonts w:hint="eastAsia" w:asci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项目</w:t>
            </w:r>
            <w:r>
              <w:rPr>
                <w:rFonts w:hint="eastAsia" w:ascii="宋体" w:hAnsi="宋体" w:eastAsia="宋体" w:cs="宋体"/>
                <w:bCs/>
                <w:color w:val="auto"/>
                <w:sz w:val="21"/>
                <w:szCs w:val="21"/>
                <w:highlight w:val="none"/>
                <w:u w:val="single"/>
                <w:lang w:val="en-US" w:eastAsia="zh-CN"/>
              </w:rPr>
              <w:t>的</w:t>
            </w:r>
            <w:r>
              <w:rPr>
                <w:rFonts w:hint="eastAsia" w:ascii="宋体" w:hAnsi="宋体" w:eastAsia="宋体" w:cs="宋体"/>
                <w:bCs/>
                <w:color w:val="auto"/>
                <w:sz w:val="21"/>
                <w:szCs w:val="21"/>
                <w:highlight w:val="none"/>
                <w:u w:val="single"/>
              </w:rPr>
              <w:t>重点</w:t>
            </w:r>
            <w:r>
              <w:rPr>
                <w:rFonts w:hint="eastAsia" w:ascii="宋体" w:hAnsi="宋体" w:eastAsia="宋体" w:cs="宋体"/>
                <w:bCs/>
                <w:color w:val="auto"/>
                <w:sz w:val="21"/>
                <w:szCs w:val="21"/>
                <w:highlight w:val="none"/>
                <w:u w:val="single"/>
                <w:lang w:eastAsia="zh-CN"/>
              </w:rPr>
              <w:t>难点</w:t>
            </w:r>
            <w:r>
              <w:rPr>
                <w:rFonts w:hint="eastAsia" w:ascii="宋体" w:hAnsi="宋体" w:eastAsia="宋体" w:cs="宋体"/>
                <w:bCs/>
                <w:color w:val="auto"/>
                <w:sz w:val="21"/>
                <w:szCs w:val="21"/>
                <w:highlight w:val="none"/>
                <w:u w:val="single"/>
                <w:lang w:val="en-US" w:eastAsia="zh-CN"/>
              </w:rPr>
              <w:t>分析及</w:t>
            </w:r>
            <w:r>
              <w:rPr>
                <w:rFonts w:hint="eastAsia" w:ascii="宋体" w:hAnsi="宋体" w:eastAsia="宋体" w:cs="宋体"/>
                <w:bCs/>
                <w:color w:val="auto"/>
                <w:sz w:val="21"/>
                <w:szCs w:val="21"/>
                <w:highlight w:val="none"/>
                <w:u w:val="single"/>
                <w:lang w:eastAsia="zh-CN"/>
              </w:rPr>
              <w:t>解决</w:t>
            </w:r>
            <w:r>
              <w:rPr>
                <w:rFonts w:hint="eastAsia" w:ascii="宋体" w:hAnsi="宋体" w:eastAsia="宋体" w:cs="宋体"/>
                <w:bCs/>
                <w:color w:val="auto"/>
                <w:sz w:val="21"/>
                <w:szCs w:val="21"/>
                <w:highlight w:val="none"/>
                <w:u w:val="single"/>
              </w:rPr>
              <w:t>方案</w:t>
            </w:r>
            <w:r>
              <w:rPr>
                <w:rFonts w:hint="eastAsia" w:ascii="宋体" w:hAnsi="宋体" w:eastAsia="宋体" w:cs="宋体"/>
                <w:bCs/>
                <w:color w:val="auto"/>
                <w:sz w:val="21"/>
                <w:szCs w:val="21"/>
                <w:highlight w:val="none"/>
                <w:u w:val="single"/>
                <w:lang w:val="en-US" w:eastAsia="zh-CN"/>
              </w:rPr>
              <w:t>合理</w:t>
            </w:r>
            <w:r>
              <w:rPr>
                <w:rFonts w:hint="eastAsia" w:ascii="宋体" w:hAnsi="宋体" w:eastAsia="宋体" w:cs="宋体"/>
                <w:bCs/>
                <w:color w:val="auto"/>
                <w:sz w:val="21"/>
                <w:szCs w:val="21"/>
                <w:highlight w:val="none"/>
                <w:u w:val="single"/>
              </w:rPr>
              <w:t>，得</w:t>
            </w:r>
            <w:r>
              <w:rPr>
                <w:rFonts w:hint="eastAsia" w:ascii="宋体" w:eastAsia="宋体" w:cs="宋体"/>
                <w:bCs/>
                <w:color w:val="auto"/>
                <w:sz w:val="21"/>
                <w:szCs w:val="21"/>
                <w:highlight w:val="none"/>
                <w:u w:val="single"/>
                <w:lang w:val="en-US" w:eastAsia="zh-CN"/>
              </w:rPr>
              <w:t>6</w:t>
            </w:r>
            <w:r>
              <w:rPr>
                <w:rFonts w:hint="eastAsia" w:ascii="宋体" w:hAnsi="宋体" w:eastAsia="宋体" w:cs="宋体"/>
                <w:bCs/>
                <w:color w:val="auto"/>
                <w:sz w:val="21"/>
                <w:szCs w:val="21"/>
                <w:highlight w:val="none"/>
                <w:u w:val="single"/>
              </w:rPr>
              <w:t>分；</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②对项目</w:t>
            </w:r>
            <w:r>
              <w:rPr>
                <w:rFonts w:hint="eastAsia" w:ascii="宋体" w:hAnsi="宋体" w:eastAsia="宋体" w:cs="宋体"/>
                <w:bCs/>
                <w:color w:val="auto"/>
                <w:sz w:val="21"/>
                <w:szCs w:val="21"/>
                <w:highlight w:val="none"/>
                <w:u w:val="single"/>
                <w:lang w:eastAsia="zh-CN"/>
              </w:rPr>
              <w:t>的需求理解较为全面、初步认识较为深刻、项目基本情况</w:t>
            </w:r>
            <w:r>
              <w:rPr>
                <w:rFonts w:hint="eastAsia" w:ascii="宋体" w:hAnsi="宋体" w:eastAsia="宋体" w:cs="宋体"/>
                <w:bCs/>
                <w:color w:val="auto"/>
                <w:sz w:val="21"/>
                <w:szCs w:val="21"/>
                <w:highlight w:val="none"/>
                <w:u w:val="single"/>
              </w:rPr>
              <w:t>分析</w:t>
            </w:r>
            <w:r>
              <w:rPr>
                <w:rFonts w:hint="eastAsia" w:ascii="宋体" w:hAnsi="宋体" w:eastAsia="宋体" w:cs="宋体"/>
                <w:bCs/>
                <w:color w:val="auto"/>
                <w:sz w:val="21"/>
                <w:szCs w:val="21"/>
                <w:highlight w:val="none"/>
                <w:u w:val="single"/>
                <w:lang w:eastAsia="zh-CN"/>
              </w:rPr>
              <w:t>基本</w:t>
            </w:r>
            <w:r>
              <w:rPr>
                <w:rFonts w:hint="eastAsia" w:ascii="宋体" w:hAnsi="宋体" w:eastAsia="宋体" w:cs="宋体"/>
                <w:bCs/>
                <w:color w:val="auto"/>
                <w:sz w:val="21"/>
                <w:szCs w:val="21"/>
                <w:highlight w:val="none"/>
                <w:u w:val="single"/>
              </w:rPr>
              <w:t>到位的</w:t>
            </w:r>
            <w:r>
              <w:rPr>
                <w:rFonts w:hint="eastAsia" w:ascii="宋体" w:eastAsia="宋体" w:cs="宋体"/>
                <w:bCs/>
                <w:color w:val="auto"/>
                <w:sz w:val="21"/>
                <w:szCs w:val="21"/>
                <w:highlight w:val="none"/>
                <w:u w:val="single"/>
                <w:lang w:eastAsia="zh-CN"/>
              </w:rPr>
              <w:t>、</w:t>
            </w:r>
            <w:r>
              <w:rPr>
                <w:rFonts w:hint="eastAsia" w:ascii="宋体" w:hAnsi="宋体" w:eastAsia="宋体" w:cs="宋体"/>
                <w:bCs/>
                <w:color w:val="auto"/>
                <w:sz w:val="21"/>
                <w:szCs w:val="21"/>
                <w:highlight w:val="none"/>
                <w:u w:val="single"/>
              </w:rPr>
              <w:t>项目</w:t>
            </w:r>
            <w:r>
              <w:rPr>
                <w:rFonts w:hint="eastAsia" w:ascii="宋体" w:hAnsi="宋体" w:eastAsia="宋体" w:cs="宋体"/>
                <w:bCs/>
                <w:color w:val="auto"/>
                <w:sz w:val="21"/>
                <w:szCs w:val="21"/>
                <w:highlight w:val="none"/>
                <w:u w:val="single"/>
                <w:lang w:val="en-US" w:eastAsia="zh-CN"/>
              </w:rPr>
              <w:t>的</w:t>
            </w:r>
            <w:r>
              <w:rPr>
                <w:rFonts w:hint="eastAsia" w:ascii="宋体" w:hAnsi="宋体" w:eastAsia="宋体" w:cs="宋体"/>
                <w:bCs/>
                <w:color w:val="auto"/>
                <w:sz w:val="21"/>
                <w:szCs w:val="21"/>
                <w:highlight w:val="none"/>
                <w:u w:val="single"/>
              </w:rPr>
              <w:t>重点</w:t>
            </w:r>
            <w:r>
              <w:rPr>
                <w:rFonts w:hint="eastAsia" w:ascii="宋体" w:hAnsi="宋体" w:eastAsia="宋体" w:cs="宋体"/>
                <w:bCs/>
                <w:color w:val="auto"/>
                <w:sz w:val="21"/>
                <w:szCs w:val="21"/>
                <w:highlight w:val="none"/>
                <w:u w:val="single"/>
                <w:lang w:eastAsia="zh-CN"/>
              </w:rPr>
              <w:t>难点</w:t>
            </w:r>
            <w:r>
              <w:rPr>
                <w:rFonts w:hint="eastAsia" w:ascii="宋体" w:hAnsi="宋体" w:eastAsia="宋体" w:cs="宋体"/>
                <w:bCs/>
                <w:color w:val="auto"/>
                <w:sz w:val="21"/>
                <w:szCs w:val="21"/>
                <w:highlight w:val="none"/>
                <w:u w:val="single"/>
                <w:lang w:val="en-US" w:eastAsia="zh-CN"/>
              </w:rPr>
              <w:t>分析及</w:t>
            </w:r>
            <w:r>
              <w:rPr>
                <w:rFonts w:hint="eastAsia" w:ascii="宋体" w:hAnsi="宋体" w:eastAsia="宋体" w:cs="宋体"/>
                <w:bCs/>
                <w:color w:val="auto"/>
                <w:sz w:val="21"/>
                <w:szCs w:val="21"/>
                <w:highlight w:val="none"/>
                <w:u w:val="single"/>
                <w:lang w:eastAsia="zh-CN"/>
              </w:rPr>
              <w:t>解决</w:t>
            </w:r>
            <w:r>
              <w:rPr>
                <w:rFonts w:hint="eastAsia" w:ascii="宋体" w:hAnsi="宋体" w:eastAsia="宋体" w:cs="宋体"/>
                <w:bCs/>
                <w:color w:val="auto"/>
                <w:sz w:val="21"/>
                <w:szCs w:val="21"/>
                <w:highlight w:val="none"/>
                <w:u w:val="single"/>
              </w:rPr>
              <w:t>方案</w:t>
            </w:r>
            <w:r>
              <w:rPr>
                <w:rFonts w:hint="eastAsia" w:ascii="宋体" w:hAnsi="宋体" w:eastAsia="宋体" w:cs="宋体"/>
                <w:bCs/>
                <w:color w:val="auto"/>
                <w:sz w:val="21"/>
                <w:szCs w:val="21"/>
                <w:highlight w:val="none"/>
                <w:u w:val="single"/>
                <w:lang w:val="en-US" w:eastAsia="zh-CN"/>
              </w:rPr>
              <w:t>一般</w:t>
            </w:r>
            <w:r>
              <w:rPr>
                <w:rFonts w:hint="eastAsia" w:ascii="宋体" w:hAnsi="宋体" w:eastAsia="宋体" w:cs="宋体"/>
                <w:bCs/>
                <w:color w:val="auto"/>
                <w:sz w:val="21"/>
                <w:szCs w:val="21"/>
                <w:highlight w:val="none"/>
                <w:u w:val="single"/>
              </w:rPr>
              <w:t>，得</w:t>
            </w:r>
            <w:r>
              <w:rPr>
                <w:rFonts w:hint="eastAsia" w:ascii="宋体" w:eastAsia="宋体" w:cs="宋体"/>
                <w:bCs/>
                <w:color w:val="auto"/>
                <w:sz w:val="21"/>
                <w:szCs w:val="21"/>
                <w:highlight w:val="none"/>
                <w:u w:val="single"/>
                <w:lang w:val="en-US" w:eastAsia="zh-CN"/>
              </w:rPr>
              <w:t>4</w:t>
            </w:r>
            <w:r>
              <w:rPr>
                <w:rFonts w:hint="eastAsia" w:ascii="宋体" w:hAnsi="宋体" w:eastAsia="宋体" w:cs="宋体"/>
                <w:bCs/>
                <w:color w:val="auto"/>
                <w:sz w:val="21"/>
                <w:szCs w:val="21"/>
                <w:highlight w:val="none"/>
                <w:u w:val="single"/>
              </w:rPr>
              <w:t>分；</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u w:val="single"/>
              </w:rPr>
              <w:t>③对项目</w:t>
            </w:r>
            <w:r>
              <w:rPr>
                <w:rFonts w:hint="eastAsia" w:ascii="宋体" w:hAnsi="宋体" w:eastAsia="宋体" w:cs="宋体"/>
                <w:bCs/>
                <w:color w:val="auto"/>
                <w:sz w:val="21"/>
                <w:szCs w:val="21"/>
                <w:highlight w:val="none"/>
                <w:u w:val="single"/>
                <w:lang w:eastAsia="zh-CN"/>
              </w:rPr>
              <w:t>的需求理解不够全面、初步认识不够深刻、项目基本情况</w:t>
            </w:r>
            <w:r>
              <w:rPr>
                <w:rFonts w:hint="eastAsia" w:ascii="宋体" w:hAnsi="宋体" w:eastAsia="宋体" w:cs="宋体"/>
                <w:bCs/>
                <w:color w:val="auto"/>
                <w:sz w:val="21"/>
                <w:szCs w:val="21"/>
                <w:highlight w:val="none"/>
                <w:u w:val="single"/>
              </w:rPr>
              <w:t>分析</w:t>
            </w:r>
            <w:r>
              <w:rPr>
                <w:rFonts w:hint="eastAsia" w:ascii="宋体" w:eastAsia="宋体" w:cs="宋体"/>
                <w:bCs/>
                <w:color w:val="auto"/>
                <w:sz w:val="21"/>
                <w:szCs w:val="21"/>
                <w:highlight w:val="none"/>
                <w:u w:val="single"/>
                <w:lang w:val="en-US" w:eastAsia="zh-CN"/>
              </w:rPr>
              <w:t>较差、</w:t>
            </w:r>
            <w:r>
              <w:rPr>
                <w:rFonts w:hint="eastAsia" w:ascii="宋体" w:hAnsi="宋体" w:eastAsia="宋体" w:cs="宋体"/>
                <w:bCs/>
                <w:color w:val="auto"/>
                <w:sz w:val="21"/>
                <w:szCs w:val="21"/>
                <w:highlight w:val="none"/>
                <w:u w:val="single"/>
              </w:rPr>
              <w:t>项目</w:t>
            </w:r>
            <w:r>
              <w:rPr>
                <w:rFonts w:hint="eastAsia" w:ascii="宋体" w:hAnsi="宋体" w:eastAsia="宋体" w:cs="宋体"/>
                <w:bCs/>
                <w:color w:val="auto"/>
                <w:sz w:val="21"/>
                <w:szCs w:val="21"/>
                <w:highlight w:val="none"/>
                <w:u w:val="single"/>
                <w:lang w:val="en-US" w:eastAsia="zh-CN"/>
              </w:rPr>
              <w:t>的</w:t>
            </w:r>
            <w:r>
              <w:rPr>
                <w:rFonts w:hint="eastAsia" w:ascii="宋体" w:hAnsi="宋体" w:eastAsia="宋体" w:cs="宋体"/>
                <w:bCs/>
                <w:color w:val="auto"/>
                <w:sz w:val="21"/>
                <w:szCs w:val="21"/>
                <w:highlight w:val="none"/>
                <w:u w:val="single"/>
              </w:rPr>
              <w:t>重点</w:t>
            </w:r>
            <w:r>
              <w:rPr>
                <w:rFonts w:hint="eastAsia" w:ascii="宋体" w:hAnsi="宋体" w:eastAsia="宋体" w:cs="宋体"/>
                <w:bCs/>
                <w:color w:val="auto"/>
                <w:sz w:val="21"/>
                <w:szCs w:val="21"/>
                <w:highlight w:val="none"/>
                <w:u w:val="single"/>
                <w:lang w:eastAsia="zh-CN"/>
              </w:rPr>
              <w:t>难点</w:t>
            </w:r>
            <w:r>
              <w:rPr>
                <w:rFonts w:hint="eastAsia" w:ascii="宋体" w:hAnsi="宋体" w:eastAsia="宋体" w:cs="宋体"/>
                <w:bCs/>
                <w:color w:val="auto"/>
                <w:sz w:val="21"/>
                <w:szCs w:val="21"/>
                <w:highlight w:val="none"/>
                <w:u w:val="single"/>
                <w:lang w:val="en-US" w:eastAsia="zh-CN"/>
              </w:rPr>
              <w:t>分析及</w:t>
            </w:r>
            <w:r>
              <w:rPr>
                <w:rFonts w:hint="eastAsia" w:ascii="宋体" w:hAnsi="宋体" w:eastAsia="宋体" w:cs="宋体"/>
                <w:bCs/>
                <w:color w:val="auto"/>
                <w:sz w:val="21"/>
                <w:szCs w:val="21"/>
                <w:highlight w:val="none"/>
                <w:u w:val="single"/>
                <w:lang w:eastAsia="zh-CN"/>
              </w:rPr>
              <w:t>解决</w:t>
            </w:r>
            <w:r>
              <w:rPr>
                <w:rFonts w:hint="eastAsia" w:ascii="宋体" w:hAnsi="宋体" w:eastAsia="宋体" w:cs="宋体"/>
                <w:bCs/>
                <w:color w:val="auto"/>
                <w:sz w:val="21"/>
                <w:szCs w:val="21"/>
                <w:highlight w:val="none"/>
                <w:u w:val="single"/>
              </w:rPr>
              <w:t>方案</w:t>
            </w:r>
            <w:r>
              <w:rPr>
                <w:rFonts w:hint="eastAsia" w:ascii="宋体" w:hAnsi="宋体" w:eastAsia="宋体" w:cs="宋体"/>
                <w:bCs/>
                <w:color w:val="auto"/>
                <w:sz w:val="21"/>
                <w:szCs w:val="21"/>
                <w:highlight w:val="none"/>
                <w:u w:val="single"/>
                <w:lang w:val="en-US" w:eastAsia="zh-CN"/>
              </w:rPr>
              <w:t>不合理</w:t>
            </w:r>
            <w:r>
              <w:rPr>
                <w:rFonts w:hint="eastAsia" w:ascii="宋体" w:hAnsi="宋体" w:eastAsia="宋体" w:cs="宋体"/>
                <w:bCs/>
                <w:color w:val="auto"/>
                <w:sz w:val="21"/>
                <w:szCs w:val="21"/>
                <w:highlight w:val="none"/>
                <w:u w:val="single"/>
              </w:rPr>
              <w:t>，得</w:t>
            </w:r>
            <w:r>
              <w:rPr>
                <w:rFonts w:hint="eastAsia" w:ascii="宋体" w:eastAsia="宋体" w:cs="宋体"/>
                <w:bCs/>
                <w:color w:val="auto"/>
                <w:sz w:val="21"/>
                <w:szCs w:val="21"/>
                <w:highlight w:val="none"/>
                <w:u w:val="single"/>
                <w:lang w:val="en-US" w:eastAsia="zh-CN"/>
              </w:rPr>
              <w:t>2</w:t>
            </w:r>
            <w:r>
              <w:rPr>
                <w:rFonts w:hint="eastAsia" w:ascii="宋体" w:hAnsi="宋体" w:eastAsia="宋体" w:cs="宋体"/>
                <w:bCs/>
                <w:color w:val="auto"/>
                <w:sz w:val="21"/>
                <w:szCs w:val="21"/>
                <w:highlight w:val="none"/>
                <w:u w:val="single"/>
              </w:rPr>
              <w:t>分</w:t>
            </w:r>
            <w:r>
              <w:rPr>
                <w:rFonts w:hint="eastAsia" w:ascii="宋体" w:eastAsia="宋体" w:cs="宋体"/>
                <w:bCs/>
                <w:color w:val="auto"/>
                <w:sz w:val="21"/>
                <w:szCs w:val="21"/>
                <w:highlight w:val="none"/>
                <w:u w:val="single"/>
                <w:lang w:eastAsia="zh-CN"/>
              </w:rPr>
              <w:t>；</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lang w:val="zh-CN" w:eastAsia="zh-CN"/>
              </w:rPr>
            </w:pPr>
            <w:r>
              <w:rPr>
                <w:rFonts w:hint="eastAsia" w:ascii="宋体" w:hAnsi="宋体" w:eastAsia="宋体" w:cs="宋体"/>
                <w:bCs/>
                <w:color w:val="auto"/>
                <w:sz w:val="21"/>
                <w:szCs w:val="21"/>
                <w:highlight w:val="none"/>
                <w:u w:val="single"/>
              </w:rPr>
              <w:t>④未提供相关表述的得0分。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89"/>
              <w:spacing w:after="0" w:afterLines="0"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263"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bCs/>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项目实施方案</w:t>
            </w:r>
          </w:p>
        </w:tc>
        <w:tc>
          <w:tcPr>
            <w:tcW w:w="690"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5879"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根据各</w:t>
            </w:r>
            <w:r>
              <w:rPr>
                <w:rFonts w:hint="eastAsia" w:ascii="宋体" w:eastAsia="宋体" w:cs="宋体"/>
                <w:bCs/>
                <w:color w:val="auto"/>
                <w:sz w:val="21"/>
                <w:szCs w:val="21"/>
                <w:highlight w:val="none"/>
                <w:u w:val="single"/>
                <w:lang w:eastAsia="zh-CN"/>
              </w:rPr>
              <w:t>投标人</w:t>
            </w:r>
            <w:r>
              <w:rPr>
                <w:rFonts w:hint="eastAsia" w:ascii="宋体" w:hAnsi="宋体" w:eastAsia="宋体" w:cs="宋体"/>
                <w:bCs/>
                <w:color w:val="auto"/>
                <w:sz w:val="21"/>
                <w:szCs w:val="21"/>
                <w:highlight w:val="none"/>
                <w:u w:val="single"/>
              </w:rPr>
              <w:t>对本项目实施方案（包括但不限于概念方案设计</w:t>
            </w:r>
            <w:r>
              <w:rPr>
                <w:rFonts w:hint="eastAsia" w:ascii="宋体" w:hAnsi="宋体" w:eastAsia="宋体" w:cs="宋体"/>
                <w:bCs/>
                <w:color w:val="auto"/>
                <w:sz w:val="21"/>
                <w:szCs w:val="21"/>
                <w:highlight w:val="none"/>
                <w:u w:val="single"/>
                <w:lang w:val="en-US" w:eastAsia="zh-CN"/>
              </w:rPr>
              <w:t>思路</w:t>
            </w:r>
            <w:r>
              <w:rPr>
                <w:rFonts w:hint="eastAsia" w:ascii="宋体" w:hAnsi="宋体" w:eastAsia="宋体" w:cs="宋体"/>
                <w:bCs/>
                <w:color w:val="auto"/>
                <w:sz w:val="21"/>
                <w:szCs w:val="21"/>
                <w:highlight w:val="none"/>
                <w:u w:val="single"/>
              </w:rPr>
              <w:t>、</w:t>
            </w:r>
            <w:r>
              <w:rPr>
                <w:rFonts w:hint="eastAsia" w:ascii="宋体" w:eastAsia="宋体" w:cs="宋体"/>
                <w:bCs/>
                <w:color w:val="auto"/>
                <w:sz w:val="21"/>
                <w:szCs w:val="21"/>
                <w:highlight w:val="none"/>
                <w:u w:val="single"/>
              </w:rPr>
              <w:t>户型设计满足容积率计算新规，</w:t>
            </w:r>
            <w:r>
              <w:rPr>
                <w:rFonts w:hint="eastAsia" w:ascii="宋体" w:hAnsi="宋体" w:eastAsia="宋体" w:cs="宋体"/>
                <w:bCs/>
                <w:color w:val="auto"/>
                <w:sz w:val="21"/>
                <w:szCs w:val="21"/>
                <w:highlight w:val="none"/>
                <w:u w:val="single"/>
              </w:rPr>
              <w:t>设计进度安排</w:t>
            </w:r>
            <w:r>
              <w:rPr>
                <w:rFonts w:hint="eastAsia" w:ascii="宋体" w:hAnsi="宋体" w:eastAsia="宋体" w:cs="宋体"/>
                <w:bCs/>
                <w:color w:val="auto"/>
                <w:sz w:val="21"/>
                <w:szCs w:val="21"/>
                <w:highlight w:val="none"/>
                <w:u w:val="single"/>
                <w:lang w:val="en-US" w:eastAsia="zh-CN"/>
              </w:rPr>
              <w:t>及设计成果</w:t>
            </w:r>
            <w:r>
              <w:rPr>
                <w:rFonts w:hint="eastAsia" w:ascii="宋体" w:hAnsi="宋体" w:eastAsia="宋体" w:cs="宋体"/>
                <w:bCs/>
                <w:color w:val="auto"/>
                <w:sz w:val="21"/>
                <w:szCs w:val="21"/>
                <w:highlight w:val="none"/>
                <w:u w:val="single"/>
              </w:rPr>
              <w:t>方案）进行</w:t>
            </w:r>
            <w:r>
              <w:rPr>
                <w:rFonts w:hint="eastAsia" w:ascii="宋体" w:hAnsi="宋体" w:eastAsia="宋体" w:cs="宋体"/>
                <w:bCs/>
                <w:color w:val="auto"/>
                <w:sz w:val="21"/>
                <w:szCs w:val="21"/>
                <w:highlight w:val="none"/>
                <w:u w:val="single"/>
                <w:lang w:eastAsia="zh-CN"/>
              </w:rPr>
              <w:t>评审</w:t>
            </w:r>
            <w:r>
              <w:rPr>
                <w:rFonts w:hint="eastAsia" w:ascii="宋体" w:hAnsi="宋体" w:eastAsia="宋体" w:cs="宋体"/>
                <w:bCs/>
                <w:color w:val="auto"/>
                <w:sz w:val="21"/>
                <w:szCs w:val="21"/>
                <w:highlight w:val="none"/>
                <w:u w:val="single"/>
              </w:rPr>
              <w:t>：</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①充分结合项目特点，概念方案</w:t>
            </w:r>
            <w:r>
              <w:rPr>
                <w:rFonts w:hint="eastAsia" w:ascii="宋体" w:eastAsia="宋体" w:cs="宋体"/>
                <w:bCs/>
                <w:color w:val="auto"/>
                <w:sz w:val="21"/>
                <w:szCs w:val="21"/>
                <w:highlight w:val="none"/>
                <w:u w:val="single"/>
              </w:rPr>
              <w:t>户型设计满足东莞容积率计算新规，</w:t>
            </w:r>
            <w:r>
              <w:rPr>
                <w:rFonts w:hint="eastAsia" w:ascii="宋体" w:hAnsi="宋体" w:eastAsia="宋体" w:cs="宋体"/>
                <w:bCs/>
                <w:color w:val="auto"/>
                <w:sz w:val="21"/>
                <w:szCs w:val="21"/>
                <w:highlight w:val="none"/>
                <w:u w:val="single"/>
              </w:rPr>
              <w:t>设计</w:t>
            </w:r>
            <w:r>
              <w:rPr>
                <w:rFonts w:hint="eastAsia" w:ascii="宋体" w:hAnsi="宋体" w:eastAsia="宋体" w:cs="宋体"/>
                <w:bCs/>
                <w:color w:val="auto"/>
                <w:sz w:val="21"/>
                <w:szCs w:val="21"/>
                <w:highlight w:val="none"/>
                <w:u w:val="single"/>
                <w:lang w:val="en-US" w:eastAsia="zh-CN"/>
              </w:rPr>
              <w:t>思路</w:t>
            </w:r>
            <w:r>
              <w:rPr>
                <w:rFonts w:hint="eastAsia" w:ascii="宋体" w:hAnsi="宋体" w:eastAsia="宋体" w:cs="宋体"/>
                <w:bCs/>
                <w:color w:val="auto"/>
                <w:sz w:val="21"/>
                <w:szCs w:val="21"/>
                <w:highlight w:val="none"/>
                <w:u w:val="single"/>
              </w:rPr>
              <w:t>、设计进度安排</w:t>
            </w:r>
            <w:r>
              <w:rPr>
                <w:rFonts w:hint="eastAsia" w:ascii="宋体" w:hAnsi="宋体" w:eastAsia="宋体" w:cs="宋体"/>
                <w:bCs/>
                <w:color w:val="auto"/>
                <w:sz w:val="21"/>
                <w:szCs w:val="21"/>
                <w:highlight w:val="none"/>
                <w:u w:val="single"/>
                <w:lang w:val="en-US" w:eastAsia="zh-CN"/>
              </w:rPr>
              <w:t>及设计成果</w:t>
            </w:r>
            <w:r>
              <w:rPr>
                <w:rFonts w:hint="eastAsia" w:ascii="宋体" w:hAnsi="宋体" w:eastAsia="宋体" w:cs="宋体"/>
                <w:bCs/>
                <w:color w:val="auto"/>
                <w:sz w:val="21"/>
                <w:szCs w:val="21"/>
                <w:highlight w:val="none"/>
                <w:u w:val="single"/>
              </w:rPr>
              <w:t>方案完善、合理且可行性强的，得</w:t>
            </w:r>
            <w:r>
              <w:rPr>
                <w:rFonts w:hint="eastAsia" w:ascii="宋体" w:hAnsi="宋体" w:eastAsia="宋体" w:cs="宋体"/>
                <w:bCs/>
                <w:color w:val="auto"/>
                <w:sz w:val="21"/>
                <w:szCs w:val="21"/>
                <w:highlight w:val="none"/>
                <w:u w:val="single"/>
                <w:lang w:val="en-US" w:eastAsia="zh-CN"/>
              </w:rPr>
              <w:t>6</w:t>
            </w:r>
            <w:r>
              <w:rPr>
                <w:rFonts w:hint="eastAsia" w:ascii="宋体" w:hAnsi="宋体" w:eastAsia="宋体" w:cs="宋体"/>
                <w:bCs/>
                <w:color w:val="auto"/>
                <w:sz w:val="21"/>
                <w:szCs w:val="21"/>
                <w:highlight w:val="none"/>
                <w:u w:val="single"/>
              </w:rPr>
              <w:t>分；</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②能结合项目特点，概念方案</w:t>
            </w:r>
            <w:r>
              <w:rPr>
                <w:rFonts w:hint="eastAsia" w:ascii="宋体" w:eastAsia="宋体" w:cs="宋体"/>
                <w:bCs/>
                <w:color w:val="auto"/>
                <w:sz w:val="21"/>
                <w:szCs w:val="21"/>
                <w:highlight w:val="none"/>
                <w:u w:val="single"/>
              </w:rPr>
              <w:t>户型设计满足东莞容积率计算新规，</w:t>
            </w:r>
            <w:r>
              <w:rPr>
                <w:rFonts w:hint="eastAsia" w:ascii="宋体" w:hAnsi="宋体" w:eastAsia="宋体" w:cs="宋体"/>
                <w:bCs/>
                <w:color w:val="auto"/>
                <w:sz w:val="21"/>
                <w:szCs w:val="21"/>
                <w:highlight w:val="none"/>
                <w:u w:val="single"/>
              </w:rPr>
              <w:t>设计</w:t>
            </w:r>
            <w:r>
              <w:rPr>
                <w:rFonts w:hint="eastAsia" w:ascii="宋体" w:hAnsi="宋体" w:eastAsia="宋体" w:cs="宋体"/>
                <w:bCs/>
                <w:color w:val="auto"/>
                <w:sz w:val="21"/>
                <w:szCs w:val="21"/>
                <w:highlight w:val="none"/>
                <w:u w:val="single"/>
                <w:lang w:val="en-US" w:eastAsia="zh-CN"/>
              </w:rPr>
              <w:t>思路</w:t>
            </w:r>
            <w:r>
              <w:rPr>
                <w:rFonts w:hint="eastAsia" w:ascii="宋体" w:hAnsi="宋体" w:eastAsia="宋体" w:cs="宋体"/>
                <w:bCs/>
                <w:color w:val="auto"/>
                <w:sz w:val="21"/>
                <w:szCs w:val="21"/>
                <w:highlight w:val="none"/>
                <w:u w:val="single"/>
              </w:rPr>
              <w:t>、设计进度安排</w:t>
            </w:r>
            <w:r>
              <w:rPr>
                <w:rFonts w:hint="eastAsia" w:ascii="宋体" w:hAnsi="宋体" w:eastAsia="宋体" w:cs="宋体"/>
                <w:bCs/>
                <w:color w:val="auto"/>
                <w:sz w:val="21"/>
                <w:szCs w:val="21"/>
                <w:highlight w:val="none"/>
                <w:u w:val="single"/>
                <w:lang w:val="en-US" w:eastAsia="zh-CN"/>
              </w:rPr>
              <w:t>及设计成果</w:t>
            </w:r>
            <w:r>
              <w:rPr>
                <w:rFonts w:hint="eastAsia" w:ascii="宋体" w:hAnsi="宋体" w:eastAsia="宋体" w:cs="宋体"/>
                <w:bCs/>
                <w:color w:val="auto"/>
                <w:sz w:val="21"/>
                <w:szCs w:val="21"/>
                <w:highlight w:val="none"/>
                <w:u w:val="single"/>
              </w:rPr>
              <w:t>方案较完善、较合理且可行性一般的，得</w:t>
            </w:r>
            <w:r>
              <w:rPr>
                <w:rFonts w:hint="eastAsia" w:ascii="宋体" w:hAnsi="宋体" w:eastAsia="宋体" w:cs="宋体"/>
                <w:bCs/>
                <w:color w:val="auto"/>
                <w:sz w:val="21"/>
                <w:szCs w:val="21"/>
                <w:highlight w:val="none"/>
                <w:u w:val="single"/>
                <w:lang w:val="en-US" w:eastAsia="zh-CN"/>
              </w:rPr>
              <w:t>4</w:t>
            </w:r>
            <w:r>
              <w:rPr>
                <w:rFonts w:hint="eastAsia" w:ascii="宋体" w:hAnsi="宋体" w:eastAsia="宋体" w:cs="宋体"/>
                <w:bCs/>
                <w:color w:val="auto"/>
                <w:sz w:val="21"/>
                <w:szCs w:val="21"/>
                <w:highlight w:val="none"/>
                <w:u w:val="single"/>
              </w:rPr>
              <w:t>分；</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③</w:t>
            </w:r>
            <w:r>
              <w:rPr>
                <w:rFonts w:hint="eastAsia" w:ascii="宋体" w:hAnsi="宋体" w:eastAsia="宋体" w:cs="宋体"/>
                <w:bCs/>
                <w:color w:val="auto"/>
                <w:sz w:val="21"/>
                <w:szCs w:val="21"/>
                <w:highlight w:val="none"/>
                <w:u w:val="single"/>
                <w:lang w:val="en-US" w:eastAsia="zh-CN"/>
              </w:rPr>
              <w:t>未</w:t>
            </w:r>
            <w:r>
              <w:rPr>
                <w:rFonts w:hint="eastAsia" w:ascii="宋体" w:hAnsi="宋体" w:eastAsia="宋体" w:cs="宋体"/>
                <w:bCs/>
                <w:color w:val="auto"/>
                <w:sz w:val="21"/>
                <w:szCs w:val="21"/>
                <w:highlight w:val="none"/>
                <w:u w:val="single"/>
              </w:rPr>
              <w:t>能结合项目特点，概念方案</w:t>
            </w:r>
            <w:r>
              <w:rPr>
                <w:rFonts w:hint="eastAsia" w:ascii="宋体" w:eastAsia="宋体" w:cs="宋体"/>
                <w:bCs/>
                <w:color w:val="auto"/>
                <w:sz w:val="21"/>
                <w:szCs w:val="21"/>
                <w:highlight w:val="none"/>
                <w:u w:val="single"/>
              </w:rPr>
              <w:t>户型设计不满足东莞容积率计算新规，</w:t>
            </w:r>
            <w:r>
              <w:rPr>
                <w:rFonts w:hint="eastAsia" w:ascii="宋体" w:hAnsi="宋体" w:eastAsia="宋体" w:cs="宋体"/>
                <w:bCs/>
                <w:color w:val="auto"/>
                <w:sz w:val="21"/>
                <w:szCs w:val="21"/>
                <w:highlight w:val="none"/>
                <w:u w:val="single"/>
              </w:rPr>
              <w:t>设计</w:t>
            </w:r>
            <w:r>
              <w:rPr>
                <w:rFonts w:hint="eastAsia" w:ascii="宋体" w:hAnsi="宋体" w:eastAsia="宋体" w:cs="宋体"/>
                <w:bCs/>
                <w:color w:val="auto"/>
                <w:sz w:val="21"/>
                <w:szCs w:val="21"/>
                <w:highlight w:val="none"/>
                <w:u w:val="single"/>
                <w:lang w:val="en-US" w:eastAsia="zh-CN"/>
              </w:rPr>
              <w:t>思路</w:t>
            </w:r>
            <w:r>
              <w:rPr>
                <w:rFonts w:hint="eastAsia" w:ascii="宋体" w:hAnsi="宋体" w:eastAsia="宋体" w:cs="宋体"/>
                <w:bCs/>
                <w:color w:val="auto"/>
                <w:sz w:val="21"/>
                <w:szCs w:val="21"/>
                <w:highlight w:val="none"/>
                <w:u w:val="single"/>
              </w:rPr>
              <w:t>、设计进度安排</w:t>
            </w:r>
            <w:r>
              <w:rPr>
                <w:rFonts w:hint="eastAsia" w:ascii="宋体" w:hAnsi="宋体" w:eastAsia="宋体" w:cs="宋体"/>
                <w:bCs/>
                <w:color w:val="auto"/>
                <w:sz w:val="21"/>
                <w:szCs w:val="21"/>
                <w:highlight w:val="none"/>
                <w:u w:val="single"/>
                <w:lang w:val="en-US" w:eastAsia="zh-CN"/>
              </w:rPr>
              <w:t>及设计成果</w:t>
            </w:r>
            <w:r>
              <w:rPr>
                <w:rFonts w:hint="eastAsia" w:ascii="宋体" w:hAnsi="宋体" w:eastAsia="宋体" w:cs="宋体"/>
                <w:bCs/>
                <w:color w:val="auto"/>
                <w:sz w:val="21"/>
                <w:szCs w:val="21"/>
                <w:highlight w:val="none"/>
                <w:u w:val="single"/>
              </w:rPr>
              <w:t>方案</w:t>
            </w:r>
            <w:r>
              <w:rPr>
                <w:rFonts w:hint="eastAsia" w:ascii="宋体" w:hAnsi="宋体" w:eastAsia="宋体" w:cs="宋体"/>
                <w:bCs/>
                <w:color w:val="auto"/>
                <w:sz w:val="21"/>
                <w:szCs w:val="21"/>
                <w:highlight w:val="none"/>
                <w:u w:val="single"/>
                <w:lang w:val="en-US" w:eastAsia="zh-CN"/>
              </w:rPr>
              <w:t>不够完善</w:t>
            </w:r>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u w:val="single"/>
                <w:lang w:val="en-US" w:eastAsia="zh-CN"/>
              </w:rPr>
              <w:t>合理且</w:t>
            </w:r>
            <w:r>
              <w:rPr>
                <w:rFonts w:hint="eastAsia" w:ascii="宋体" w:hAnsi="宋体" w:eastAsia="宋体" w:cs="宋体"/>
                <w:bCs/>
                <w:color w:val="auto"/>
                <w:sz w:val="21"/>
                <w:szCs w:val="21"/>
                <w:highlight w:val="none"/>
                <w:u w:val="single"/>
              </w:rPr>
              <w:t>可行性差的，得</w:t>
            </w:r>
            <w:r>
              <w:rPr>
                <w:rFonts w:hint="eastAsia" w:ascii="宋体" w:hAnsi="宋体" w:eastAsia="宋体" w:cs="宋体"/>
                <w:bCs/>
                <w:color w:val="auto"/>
                <w:sz w:val="21"/>
                <w:szCs w:val="21"/>
                <w:highlight w:val="none"/>
                <w:u w:val="single"/>
                <w:lang w:val="en-US" w:eastAsia="zh-CN"/>
              </w:rPr>
              <w:t>2</w:t>
            </w:r>
            <w:r>
              <w:rPr>
                <w:rFonts w:hint="eastAsia" w:ascii="宋体" w:hAnsi="宋体" w:eastAsia="宋体" w:cs="宋体"/>
                <w:bCs/>
                <w:color w:val="auto"/>
                <w:sz w:val="21"/>
                <w:szCs w:val="21"/>
                <w:highlight w:val="none"/>
                <w:u w:val="single"/>
              </w:rPr>
              <w:t>分；</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④未提供对应方案的得</w:t>
            </w:r>
            <w:r>
              <w:rPr>
                <w:rFonts w:hint="eastAsia" w:ascii="宋体" w:hAnsi="宋体" w:eastAsia="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89"/>
              <w:spacing w:after="0" w:afterLines="0"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263"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u w:val="single"/>
                <w:lang w:val="en-US" w:eastAsia="zh-CN"/>
              </w:rPr>
              <w:t>建设工程概念方案设计服务</w:t>
            </w:r>
            <w:r>
              <w:rPr>
                <w:rFonts w:hint="eastAsia" w:ascii="宋体" w:hAnsi="宋体" w:eastAsia="宋体" w:cs="宋体"/>
                <w:color w:val="auto"/>
                <w:sz w:val="21"/>
                <w:szCs w:val="21"/>
                <w:highlight w:val="none"/>
                <w:u w:val="single"/>
                <w:lang w:eastAsia="zh-CN"/>
              </w:rPr>
              <w:t>方案</w:t>
            </w:r>
          </w:p>
        </w:tc>
        <w:tc>
          <w:tcPr>
            <w:tcW w:w="690"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5879"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根据各</w:t>
            </w:r>
            <w:r>
              <w:rPr>
                <w:rFonts w:hint="eastAsia" w:ascii="宋体" w:eastAsia="宋体" w:cs="宋体"/>
                <w:bCs/>
                <w:color w:val="auto"/>
                <w:sz w:val="21"/>
                <w:szCs w:val="21"/>
                <w:highlight w:val="none"/>
                <w:u w:val="single"/>
                <w:lang w:eastAsia="zh-CN"/>
              </w:rPr>
              <w:t>投标人</w:t>
            </w:r>
            <w:r>
              <w:rPr>
                <w:rFonts w:hint="eastAsia" w:ascii="宋体" w:eastAsia="宋体" w:cs="宋体"/>
                <w:bCs/>
                <w:color w:val="auto"/>
                <w:sz w:val="21"/>
                <w:szCs w:val="21"/>
                <w:highlight w:val="none"/>
                <w:u w:val="single"/>
                <w:lang w:val="en-US" w:eastAsia="zh-CN"/>
              </w:rPr>
              <w:t>提供的</w:t>
            </w:r>
            <w:r>
              <w:rPr>
                <w:rFonts w:hint="eastAsia" w:ascii="宋体" w:hAnsi="宋体" w:eastAsia="宋体" w:cs="宋体"/>
                <w:bCs/>
                <w:color w:val="auto"/>
                <w:sz w:val="21"/>
                <w:szCs w:val="21"/>
                <w:highlight w:val="none"/>
                <w:u w:val="single"/>
              </w:rPr>
              <w:t>建设工程概念方案设计服务</w:t>
            </w:r>
            <w:r>
              <w:rPr>
                <w:rFonts w:hint="eastAsia" w:ascii="宋体" w:hAnsi="宋体" w:eastAsia="宋体" w:cs="宋体"/>
                <w:color w:val="auto"/>
                <w:sz w:val="21"/>
                <w:szCs w:val="21"/>
                <w:highlight w:val="none"/>
                <w:u w:val="single"/>
                <w:lang w:eastAsia="zh-CN"/>
              </w:rPr>
              <w:t>方案</w:t>
            </w:r>
            <w:r>
              <w:rPr>
                <w:rFonts w:hint="eastAsia" w:ascii="宋体" w:hAnsi="宋体" w:eastAsia="宋体" w:cs="宋体"/>
                <w:bCs/>
                <w:color w:val="auto"/>
                <w:sz w:val="21"/>
                <w:szCs w:val="21"/>
                <w:highlight w:val="none"/>
                <w:u w:val="single"/>
              </w:rPr>
              <w:t>（包括</w:t>
            </w:r>
            <w:r>
              <w:rPr>
                <w:rFonts w:hint="eastAsia" w:ascii="宋体" w:eastAsia="宋体" w:cs="宋体"/>
                <w:bCs/>
                <w:color w:val="auto"/>
                <w:sz w:val="21"/>
                <w:szCs w:val="21"/>
                <w:highlight w:val="none"/>
                <w:u w:val="single"/>
              </w:rPr>
              <w:t>概念方案对规划条件的落实，符合上位城市设计要求，</w:t>
            </w:r>
            <w:r>
              <w:rPr>
                <w:rFonts w:hint="eastAsia" w:ascii="宋体" w:eastAsia="宋体" w:cs="宋体"/>
                <w:bCs/>
                <w:color w:val="auto"/>
                <w:sz w:val="21"/>
                <w:szCs w:val="21"/>
                <w:highlight w:val="none"/>
                <w:u w:val="single"/>
                <w:lang w:val="en-US" w:eastAsia="zh-CN"/>
              </w:rPr>
              <w:t>设计方案的合理性</w:t>
            </w:r>
            <w:r>
              <w:rPr>
                <w:rFonts w:hint="eastAsia" w:ascii="宋体" w:hAnsi="宋体" w:eastAsia="宋体" w:cs="宋体"/>
                <w:bCs/>
                <w:color w:val="auto"/>
                <w:sz w:val="21"/>
                <w:szCs w:val="21"/>
                <w:highlight w:val="none"/>
                <w:u w:val="single"/>
              </w:rPr>
              <w:t>、艺术性、可行性和可操作性等）进行</w:t>
            </w:r>
            <w:r>
              <w:rPr>
                <w:rFonts w:hint="eastAsia" w:ascii="宋体" w:hAnsi="宋体" w:eastAsia="宋体" w:cs="宋体"/>
                <w:bCs/>
                <w:color w:val="auto"/>
                <w:sz w:val="21"/>
                <w:szCs w:val="21"/>
                <w:highlight w:val="none"/>
                <w:u w:val="single"/>
                <w:lang w:eastAsia="zh-CN"/>
              </w:rPr>
              <w:t>评审</w:t>
            </w:r>
            <w:r>
              <w:rPr>
                <w:rFonts w:hint="eastAsia" w:ascii="宋体" w:hAnsi="宋体" w:eastAsia="宋体" w:cs="宋体"/>
                <w:bCs/>
                <w:color w:val="auto"/>
                <w:sz w:val="21"/>
                <w:szCs w:val="21"/>
                <w:highlight w:val="none"/>
                <w:u w:val="single"/>
              </w:rPr>
              <w:t>：</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①充分结合项目特点，</w:t>
            </w:r>
            <w:r>
              <w:rPr>
                <w:rFonts w:hint="eastAsia" w:ascii="宋体" w:eastAsia="宋体" w:cs="宋体"/>
                <w:bCs/>
                <w:color w:val="auto"/>
                <w:sz w:val="21"/>
                <w:szCs w:val="21"/>
                <w:highlight w:val="none"/>
                <w:u w:val="single"/>
              </w:rPr>
              <w:t>对满足规划条件，符合上位城市设计要求，</w:t>
            </w:r>
            <w:r>
              <w:rPr>
                <w:rFonts w:hint="eastAsia" w:ascii="宋体" w:eastAsia="宋体" w:cs="宋体"/>
                <w:color w:val="auto"/>
                <w:sz w:val="21"/>
                <w:szCs w:val="21"/>
                <w:highlight w:val="none"/>
                <w:u w:val="single"/>
                <w:lang w:val="en-US" w:eastAsia="zh-CN"/>
              </w:rPr>
              <w:t>设计</w:t>
            </w:r>
            <w:r>
              <w:rPr>
                <w:rFonts w:hint="eastAsia" w:ascii="宋体" w:hAnsi="宋体" w:eastAsia="宋体" w:cs="宋体"/>
                <w:color w:val="auto"/>
                <w:sz w:val="21"/>
                <w:szCs w:val="21"/>
                <w:highlight w:val="none"/>
                <w:u w:val="single"/>
                <w:lang w:eastAsia="zh-CN"/>
              </w:rPr>
              <w:t>方案</w:t>
            </w:r>
            <w:r>
              <w:rPr>
                <w:rFonts w:hint="eastAsia" w:ascii="宋体" w:eastAsia="宋体" w:cs="宋体"/>
                <w:bCs/>
                <w:color w:val="auto"/>
                <w:sz w:val="21"/>
                <w:szCs w:val="21"/>
                <w:highlight w:val="none"/>
                <w:u w:val="single"/>
                <w:lang w:val="en-US" w:eastAsia="zh-CN"/>
              </w:rPr>
              <w:t>的合理性</w:t>
            </w:r>
            <w:r>
              <w:rPr>
                <w:rFonts w:hint="eastAsia" w:ascii="宋体" w:hAnsi="宋体" w:eastAsia="宋体" w:cs="宋体"/>
                <w:bCs/>
                <w:color w:val="auto"/>
                <w:sz w:val="21"/>
                <w:szCs w:val="21"/>
                <w:highlight w:val="none"/>
                <w:u w:val="single"/>
              </w:rPr>
              <w:t>、艺术性、可行性和可操作性强的，得</w:t>
            </w:r>
            <w:r>
              <w:rPr>
                <w:rFonts w:hint="eastAsia" w:ascii="宋体" w:eastAsia="宋体" w:cs="宋体"/>
                <w:bCs/>
                <w:color w:val="auto"/>
                <w:sz w:val="21"/>
                <w:szCs w:val="21"/>
                <w:highlight w:val="none"/>
                <w:u w:val="single"/>
                <w:lang w:val="en-US" w:eastAsia="zh-CN"/>
              </w:rPr>
              <w:t>15</w:t>
            </w:r>
            <w:r>
              <w:rPr>
                <w:rFonts w:hint="eastAsia" w:ascii="宋体" w:hAnsi="宋体" w:eastAsia="宋体" w:cs="宋体"/>
                <w:bCs/>
                <w:color w:val="auto"/>
                <w:sz w:val="21"/>
                <w:szCs w:val="21"/>
                <w:highlight w:val="none"/>
                <w:u w:val="single"/>
              </w:rPr>
              <w:t>分；</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②能结合项目特点，</w:t>
            </w:r>
            <w:r>
              <w:rPr>
                <w:rFonts w:hint="eastAsia" w:ascii="宋体" w:eastAsia="宋体" w:cs="宋体"/>
                <w:bCs/>
                <w:color w:val="auto"/>
                <w:sz w:val="21"/>
                <w:szCs w:val="21"/>
                <w:highlight w:val="none"/>
                <w:u w:val="single"/>
              </w:rPr>
              <w:t>对满足规划条件，符合上位城市设计要求</w:t>
            </w:r>
            <w:r>
              <w:rPr>
                <w:rFonts w:hint="eastAsia" w:ascii="宋体" w:eastAsia="宋体" w:cs="宋体"/>
                <w:bCs/>
                <w:color w:val="auto"/>
                <w:sz w:val="21"/>
                <w:szCs w:val="21"/>
                <w:highlight w:val="none"/>
                <w:u w:val="single"/>
                <w:lang w:eastAsia="zh-CN"/>
              </w:rPr>
              <w:t>，</w:t>
            </w:r>
            <w:r>
              <w:rPr>
                <w:rFonts w:hint="eastAsia" w:ascii="宋体" w:eastAsia="宋体" w:cs="宋体"/>
                <w:color w:val="auto"/>
                <w:sz w:val="21"/>
                <w:szCs w:val="21"/>
                <w:highlight w:val="none"/>
                <w:u w:val="single"/>
                <w:lang w:val="en-US" w:eastAsia="zh-CN"/>
              </w:rPr>
              <w:t>设计</w:t>
            </w:r>
            <w:r>
              <w:rPr>
                <w:rFonts w:hint="eastAsia" w:ascii="宋体" w:hAnsi="宋体" w:eastAsia="宋体" w:cs="宋体"/>
                <w:color w:val="auto"/>
                <w:sz w:val="21"/>
                <w:szCs w:val="21"/>
                <w:highlight w:val="none"/>
                <w:u w:val="single"/>
                <w:lang w:eastAsia="zh-CN"/>
              </w:rPr>
              <w:t>方案</w:t>
            </w:r>
            <w:r>
              <w:rPr>
                <w:rFonts w:hint="eastAsia" w:ascii="宋体" w:eastAsia="宋体" w:cs="宋体"/>
                <w:bCs/>
                <w:color w:val="auto"/>
                <w:sz w:val="21"/>
                <w:szCs w:val="21"/>
                <w:highlight w:val="none"/>
                <w:u w:val="single"/>
                <w:lang w:val="en-US" w:eastAsia="zh-CN"/>
              </w:rPr>
              <w:t>的合理性</w:t>
            </w:r>
            <w:r>
              <w:rPr>
                <w:rFonts w:hint="eastAsia" w:ascii="宋体" w:hAnsi="宋体" w:eastAsia="宋体" w:cs="宋体"/>
                <w:bCs/>
                <w:color w:val="auto"/>
                <w:sz w:val="21"/>
                <w:szCs w:val="21"/>
                <w:highlight w:val="none"/>
                <w:u w:val="single"/>
              </w:rPr>
              <w:t>、艺术性、可行性和可操作性</w:t>
            </w:r>
            <w:r>
              <w:rPr>
                <w:rFonts w:hint="eastAsia" w:ascii="宋体" w:hAnsi="宋体" w:eastAsia="宋体" w:cs="宋体"/>
                <w:bCs/>
                <w:color w:val="auto"/>
                <w:sz w:val="21"/>
                <w:szCs w:val="21"/>
                <w:highlight w:val="none"/>
                <w:u w:val="single"/>
                <w:lang w:val="en-US" w:eastAsia="zh-CN"/>
              </w:rPr>
              <w:t>较好</w:t>
            </w:r>
            <w:r>
              <w:rPr>
                <w:rFonts w:hint="eastAsia" w:ascii="宋体" w:hAnsi="宋体" w:eastAsia="宋体" w:cs="宋体"/>
                <w:bCs/>
                <w:color w:val="auto"/>
                <w:sz w:val="21"/>
                <w:szCs w:val="21"/>
                <w:highlight w:val="none"/>
                <w:u w:val="single"/>
              </w:rPr>
              <w:t>的，得</w:t>
            </w:r>
            <w:r>
              <w:rPr>
                <w:rFonts w:hint="eastAsia" w:ascii="宋体" w:hAnsi="宋体" w:eastAsia="宋体" w:cs="宋体"/>
                <w:bCs/>
                <w:color w:val="auto"/>
                <w:sz w:val="21"/>
                <w:szCs w:val="21"/>
                <w:highlight w:val="none"/>
                <w:u w:val="single"/>
                <w:lang w:val="en-US" w:eastAsia="zh-CN"/>
              </w:rPr>
              <w:t>10</w:t>
            </w:r>
            <w:r>
              <w:rPr>
                <w:rFonts w:hint="eastAsia" w:ascii="宋体" w:hAnsi="宋体" w:eastAsia="宋体" w:cs="宋体"/>
                <w:bCs/>
                <w:color w:val="auto"/>
                <w:sz w:val="21"/>
                <w:szCs w:val="21"/>
                <w:highlight w:val="none"/>
                <w:u w:val="single"/>
              </w:rPr>
              <w:t>分；</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②能</w:t>
            </w:r>
            <w:r>
              <w:rPr>
                <w:rFonts w:hint="eastAsia" w:ascii="宋体" w:eastAsia="宋体" w:cs="宋体"/>
                <w:bCs/>
                <w:color w:val="auto"/>
                <w:sz w:val="21"/>
                <w:szCs w:val="21"/>
                <w:highlight w:val="none"/>
                <w:u w:val="single"/>
                <w:lang w:val="en-US" w:eastAsia="zh-CN"/>
              </w:rPr>
              <w:t>基本</w:t>
            </w:r>
            <w:r>
              <w:rPr>
                <w:rFonts w:hint="eastAsia" w:ascii="宋体" w:hAnsi="宋体" w:eastAsia="宋体" w:cs="宋体"/>
                <w:bCs/>
                <w:color w:val="auto"/>
                <w:sz w:val="21"/>
                <w:szCs w:val="21"/>
                <w:highlight w:val="none"/>
                <w:u w:val="single"/>
              </w:rPr>
              <w:t>结合项目特点，</w:t>
            </w:r>
            <w:r>
              <w:rPr>
                <w:rFonts w:hint="eastAsia" w:ascii="宋体" w:eastAsia="宋体" w:cs="宋体"/>
                <w:bCs/>
                <w:color w:val="auto"/>
                <w:sz w:val="21"/>
                <w:szCs w:val="21"/>
                <w:highlight w:val="none"/>
                <w:u w:val="single"/>
              </w:rPr>
              <w:t>对满足规划条件，符合上位城市设计要求，</w:t>
            </w:r>
            <w:r>
              <w:rPr>
                <w:rFonts w:hint="eastAsia" w:ascii="宋体" w:eastAsia="宋体" w:cs="宋体"/>
                <w:color w:val="auto"/>
                <w:sz w:val="21"/>
                <w:szCs w:val="21"/>
                <w:highlight w:val="none"/>
                <w:u w:val="single"/>
                <w:lang w:val="en-US" w:eastAsia="zh-CN"/>
              </w:rPr>
              <w:t>设计</w:t>
            </w:r>
            <w:r>
              <w:rPr>
                <w:rFonts w:hint="eastAsia" w:ascii="宋体" w:hAnsi="宋体" w:eastAsia="宋体" w:cs="宋体"/>
                <w:color w:val="auto"/>
                <w:sz w:val="21"/>
                <w:szCs w:val="21"/>
                <w:highlight w:val="none"/>
                <w:u w:val="single"/>
                <w:lang w:eastAsia="zh-CN"/>
              </w:rPr>
              <w:t>方案</w:t>
            </w:r>
            <w:r>
              <w:rPr>
                <w:rFonts w:hint="eastAsia" w:ascii="宋体" w:eastAsia="宋体" w:cs="宋体"/>
                <w:bCs/>
                <w:color w:val="auto"/>
                <w:sz w:val="21"/>
                <w:szCs w:val="21"/>
                <w:highlight w:val="none"/>
                <w:u w:val="single"/>
                <w:lang w:val="en-US" w:eastAsia="zh-CN"/>
              </w:rPr>
              <w:t>的合理性</w:t>
            </w:r>
            <w:r>
              <w:rPr>
                <w:rFonts w:hint="eastAsia" w:ascii="宋体" w:hAnsi="宋体" w:eastAsia="宋体" w:cs="宋体"/>
                <w:bCs/>
                <w:color w:val="auto"/>
                <w:sz w:val="21"/>
                <w:szCs w:val="21"/>
                <w:highlight w:val="none"/>
                <w:u w:val="single"/>
              </w:rPr>
              <w:t>、艺术性、可行性和可操作性一般的，得</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分；</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③</w:t>
            </w:r>
            <w:r>
              <w:rPr>
                <w:rFonts w:hint="eastAsia" w:ascii="宋体" w:hAnsi="宋体" w:eastAsia="宋体" w:cs="宋体"/>
                <w:bCs/>
                <w:color w:val="auto"/>
                <w:sz w:val="21"/>
                <w:szCs w:val="21"/>
                <w:highlight w:val="none"/>
                <w:u w:val="single"/>
                <w:lang w:val="en-US" w:eastAsia="zh-CN"/>
              </w:rPr>
              <w:t>未</w:t>
            </w:r>
            <w:r>
              <w:rPr>
                <w:rFonts w:hint="eastAsia" w:ascii="宋体" w:hAnsi="宋体" w:eastAsia="宋体" w:cs="宋体"/>
                <w:bCs/>
                <w:color w:val="auto"/>
                <w:sz w:val="21"/>
                <w:szCs w:val="21"/>
                <w:highlight w:val="none"/>
                <w:u w:val="single"/>
              </w:rPr>
              <w:t>能结合项目特点，</w:t>
            </w:r>
            <w:r>
              <w:rPr>
                <w:rFonts w:hint="eastAsia" w:ascii="宋体" w:eastAsia="宋体" w:cs="宋体"/>
                <w:bCs/>
                <w:color w:val="auto"/>
                <w:sz w:val="21"/>
                <w:szCs w:val="21"/>
                <w:highlight w:val="none"/>
                <w:u w:val="single"/>
              </w:rPr>
              <w:t>不能满足规划条件，不符合上位城市设计要求，</w:t>
            </w:r>
            <w:r>
              <w:rPr>
                <w:rFonts w:hint="eastAsia" w:ascii="宋体" w:eastAsia="宋体" w:cs="宋体"/>
                <w:color w:val="auto"/>
                <w:sz w:val="21"/>
                <w:szCs w:val="21"/>
                <w:highlight w:val="none"/>
                <w:u w:val="single"/>
                <w:lang w:val="en-US" w:eastAsia="zh-CN"/>
              </w:rPr>
              <w:t>设计</w:t>
            </w:r>
            <w:r>
              <w:rPr>
                <w:rFonts w:hint="eastAsia" w:ascii="宋体" w:hAnsi="宋体" w:eastAsia="宋体" w:cs="宋体"/>
                <w:color w:val="auto"/>
                <w:sz w:val="21"/>
                <w:szCs w:val="21"/>
                <w:highlight w:val="none"/>
                <w:u w:val="single"/>
                <w:lang w:eastAsia="zh-CN"/>
              </w:rPr>
              <w:t>方案</w:t>
            </w:r>
            <w:r>
              <w:rPr>
                <w:rFonts w:hint="eastAsia" w:ascii="宋体" w:eastAsia="宋体" w:cs="宋体"/>
                <w:bCs/>
                <w:color w:val="auto"/>
                <w:sz w:val="21"/>
                <w:szCs w:val="21"/>
                <w:highlight w:val="none"/>
                <w:u w:val="single"/>
                <w:lang w:val="en-US" w:eastAsia="zh-CN"/>
              </w:rPr>
              <w:t>的合理性</w:t>
            </w:r>
            <w:r>
              <w:rPr>
                <w:rFonts w:hint="eastAsia" w:ascii="宋体" w:hAnsi="宋体" w:eastAsia="宋体" w:cs="宋体"/>
                <w:bCs/>
                <w:color w:val="auto"/>
                <w:sz w:val="21"/>
                <w:szCs w:val="21"/>
                <w:highlight w:val="none"/>
                <w:u w:val="single"/>
              </w:rPr>
              <w:t>、艺术性、可行性和可操作性差的，得</w:t>
            </w:r>
            <w:r>
              <w:rPr>
                <w:rFonts w:hint="eastAsia" w:ascii="宋体" w:hAnsi="宋体" w:eastAsia="宋体" w:cs="宋体"/>
                <w:bCs/>
                <w:color w:val="auto"/>
                <w:sz w:val="21"/>
                <w:szCs w:val="21"/>
                <w:highlight w:val="none"/>
                <w:u w:val="single"/>
                <w:lang w:val="en-US" w:eastAsia="zh-CN"/>
              </w:rPr>
              <w:t>1</w:t>
            </w:r>
            <w:r>
              <w:rPr>
                <w:rFonts w:hint="eastAsia" w:ascii="宋体" w:hAnsi="宋体" w:eastAsia="宋体" w:cs="宋体"/>
                <w:bCs/>
                <w:color w:val="auto"/>
                <w:sz w:val="21"/>
                <w:szCs w:val="21"/>
                <w:highlight w:val="none"/>
                <w:u w:val="single"/>
              </w:rPr>
              <w:t>分；</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lang w:val="zh-CN" w:eastAsia="zh-CN"/>
              </w:rPr>
            </w:pPr>
            <w:r>
              <w:rPr>
                <w:rFonts w:hint="eastAsia" w:ascii="宋体" w:hAnsi="宋体" w:eastAsia="宋体" w:cs="宋体"/>
                <w:bCs/>
                <w:color w:val="auto"/>
                <w:sz w:val="21"/>
                <w:szCs w:val="21"/>
                <w:highlight w:val="none"/>
                <w:u w:val="single"/>
              </w:rPr>
              <w:t>④未提供对应方案的得</w:t>
            </w:r>
            <w:r>
              <w:rPr>
                <w:rFonts w:hint="eastAsia" w:ascii="宋体" w:hAnsi="宋体" w:eastAsia="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89"/>
              <w:spacing w:after="0" w:afterLines="0"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263"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eastAsia="zh-CN"/>
              </w:rPr>
              <w:t>后续服务配合</w:t>
            </w:r>
          </w:p>
        </w:tc>
        <w:tc>
          <w:tcPr>
            <w:tcW w:w="690"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879" w:type="dxa"/>
            <w:tcBorders>
              <w:top w:val="single" w:color="auto" w:sz="4" w:space="0"/>
              <w:left w:val="single" w:color="auto" w:sz="4" w:space="0"/>
              <w:bottom w:val="single" w:color="auto" w:sz="4" w:space="0"/>
              <w:right w:val="single" w:color="auto" w:sz="4" w:space="0"/>
            </w:tcBorders>
            <w:vAlign w:val="center"/>
          </w:tcPr>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根据各</w:t>
            </w:r>
            <w:r>
              <w:rPr>
                <w:rFonts w:hint="eastAsia" w:ascii="宋体" w:eastAsia="宋体" w:cs="宋体"/>
                <w:bCs/>
                <w:color w:val="auto"/>
                <w:sz w:val="21"/>
                <w:szCs w:val="21"/>
                <w:highlight w:val="none"/>
                <w:u w:val="single"/>
                <w:lang w:eastAsia="zh-CN"/>
              </w:rPr>
              <w:t>投标人</w:t>
            </w:r>
            <w:r>
              <w:rPr>
                <w:rFonts w:hint="eastAsia" w:ascii="宋体" w:hAnsi="宋体" w:eastAsia="宋体" w:cs="宋体"/>
                <w:bCs/>
                <w:color w:val="auto"/>
                <w:sz w:val="21"/>
                <w:szCs w:val="21"/>
                <w:highlight w:val="none"/>
                <w:u w:val="single"/>
                <w:lang w:eastAsia="zh-CN"/>
              </w:rPr>
              <w:t>提供的后续配合</w:t>
            </w:r>
            <w:r>
              <w:rPr>
                <w:rFonts w:hint="eastAsia" w:ascii="宋体" w:hAnsi="宋体" w:eastAsia="宋体" w:cs="宋体"/>
                <w:bCs/>
                <w:color w:val="auto"/>
                <w:sz w:val="21"/>
                <w:szCs w:val="21"/>
                <w:highlight w:val="none"/>
                <w:u w:val="single"/>
              </w:rPr>
              <w:t>服务方案及承诺、工作计划</w:t>
            </w:r>
            <w:r>
              <w:rPr>
                <w:rFonts w:hint="eastAsia" w:ascii="宋体" w:hAnsi="宋体" w:eastAsia="宋体" w:cs="宋体"/>
                <w:bCs/>
                <w:color w:val="auto"/>
                <w:sz w:val="21"/>
                <w:szCs w:val="21"/>
                <w:highlight w:val="none"/>
                <w:u w:val="single"/>
                <w:lang w:eastAsia="zh-CN"/>
              </w:rPr>
              <w:t>、可行性建议方案</w:t>
            </w:r>
            <w:r>
              <w:rPr>
                <w:rFonts w:hint="eastAsia" w:ascii="宋体" w:hAnsi="宋体" w:eastAsia="宋体" w:cs="宋体"/>
                <w:bCs/>
                <w:color w:val="auto"/>
                <w:sz w:val="21"/>
                <w:szCs w:val="21"/>
                <w:highlight w:val="none"/>
                <w:u w:val="single"/>
              </w:rPr>
              <w:t>进行评审：</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①项目</w:t>
            </w:r>
            <w:r>
              <w:rPr>
                <w:rFonts w:hint="eastAsia" w:ascii="宋体" w:hAnsi="宋体" w:eastAsia="宋体" w:cs="宋体"/>
                <w:bCs/>
                <w:color w:val="auto"/>
                <w:sz w:val="21"/>
                <w:szCs w:val="21"/>
                <w:highlight w:val="none"/>
                <w:u w:val="single"/>
                <w:lang w:eastAsia="zh-CN"/>
              </w:rPr>
              <w:t>后续配合</w:t>
            </w:r>
            <w:r>
              <w:rPr>
                <w:rFonts w:hint="eastAsia" w:ascii="宋体" w:hAnsi="宋体" w:eastAsia="宋体" w:cs="宋体"/>
                <w:bCs/>
                <w:color w:val="auto"/>
                <w:sz w:val="21"/>
                <w:szCs w:val="21"/>
                <w:highlight w:val="none"/>
                <w:u w:val="single"/>
              </w:rPr>
              <w:t>服务方案及承诺保障措施具体、合理、可行，工作计划及方案详细周密的，可行性建议方案</w:t>
            </w:r>
            <w:r>
              <w:rPr>
                <w:rFonts w:hint="eastAsia" w:ascii="宋体" w:hAnsi="宋体" w:eastAsia="宋体" w:cs="宋体"/>
                <w:bCs/>
                <w:color w:val="auto"/>
                <w:sz w:val="21"/>
                <w:szCs w:val="21"/>
                <w:highlight w:val="none"/>
                <w:u w:val="single"/>
                <w:lang w:eastAsia="zh-CN"/>
              </w:rPr>
              <w:t>针对性强，</w:t>
            </w:r>
            <w:r>
              <w:rPr>
                <w:rFonts w:hint="eastAsia" w:ascii="宋体" w:hAnsi="宋体" w:eastAsia="宋体" w:cs="宋体"/>
                <w:bCs/>
                <w:color w:val="auto"/>
                <w:sz w:val="21"/>
                <w:szCs w:val="21"/>
                <w:highlight w:val="none"/>
                <w:u w:val="single"/>
              </w:rPr>
              <w:t>得</w:t>
            </w:r>
            <w:r>
              <w:rPr>
                <w:rFonts w:hint="eastAsia" w:asci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分；</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②项目</w:t>
            </w:r>
            <w:r>
              <w:rPr>
                <w:rFonts w:hint="eastAsia" w:ascii="宋体" w:hAnsi="宋体" w:eastAsia="宋体" w:cs="宋体"/>
                <w:bCs/>
                <w:color w:val="auto"/>
                <w:sz w:val="21"/>
                <w:szCs w:val="21"/>
                <w:highlight w:val="none"/>
                <w:u w:val="single"/>
                <w:lang w:eastAsia="zh-CN"/>
              </w:rPr>
              <w:t>后续配合</w:t>
            </w:r>
            <w:r>
              <w:rPr>
                <w:rFonts w:hint="eastAsia" w:ascii="宋体" w:hAnsi="宋体" w:eastAsia="宋体" w:cs="宋体"/>
                <w:bCs/>
                <w:color w:val="auto"/>
                <w:sz w:val="21"/>
                <w:szCs w:val="21"/>
                <w:highlight w:val="none"/>
                <w:u w:val="single"/>
              </w:rPr>
              <w:t>服务方案及承诺保障措施基本可行，工作流程及进度计划一般的，可行性建议方案</w:t>
            </w:r>
            <w:r>
              <w:rPr>
                <w:rFonts w:hint="eastAsia" w:ascii="宋体" w:hAnsi="宋体" w:eastAsia="宋体" w:cs="宋体"/>
                <w:bCs/>
                <w:color w:val="auto"/>
                <w:sz w:val="21"/>
                <w:szCs w:val="21"/>
                <w:highlight w:val="none"/>
                <w:u w:val="single"/>
                <w:lang w:eastAsia="zh-CN"/>
              </w:rPr>
              <w:t>一般，</w:t>
            </w:r>
            <w:r>
              <w:rPr>
                <w:rFonts w:hint="eastAsia" w:ascii="宋体" w:hAnsi="宋体" w:eastAsia="宋体" w:cs="宋体"/>
                <w:bCs/>
                <w:color w:val="auto"/>
                <w:sz w:val="21"/>
                <w:szCs w:val="21"/>
                <w:highlight w:val="none"/>
                <w:u w:val="single"/>
              </w:rPr>
              <w:t>得</w:t>
            </w:r>
            <w:r>
              <w:rPr>
                <w:rFonts w:hint="eastAsia" w:ascii="宋体" w:eastAsia="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u w:val="single"/>
              </w:rPr>
              <w:t>分；</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lang w:eastAsia="zh-CN"/>
              </w:rPr>
            </w:pPr>
            <w:r>
              <w:rPr>
                <w:rFonts w:hint="eastAsia" w:ascii="宋体" w:hAnsi="宋体" w:eastAsia="宋体" w:cs="宋体"/>
                <w:bCs/>
                <w:color w:val="auto"/>
                <w:sz w:val="21"/>
                <w:szCs w:val="21"/>
                <w:highlight w:val="none"/>
                <w:u w:val="single"/>
              </w:rPr>
              <w:t>③项目</w:t>
            </w:r>
            <w:r>
              <w:rPr>
                <w:rFonts w:hint="eastAsia" w:ascii="宋体" w:hAnsi="宋体" w:eastAsia="宋体" w:cs="宋体"/>
                <w:bCs/>
                <w:color w:val="auto"/>
                <w:sz w:val="21"/>
                <w:szCs w:val="21"/>
                <w:highlight w:val="none"/>
                <w:u w:val="single"/>
                <w:lang w:eastAsia="zh-CN"/>
              </w:rPr>
              <w:t>后续配合</w:t>
            </w:r>
            <w:r>
              <w:rPr>
                <w:rFonts w:hint="eastAsia" w:ascii="宋体" w:hAnsi="宋体" w:eastAsia="宋体" w:cs="宋体"/>
                <w:bCs/>
                <w:color w:val="auto"/>
                <w:sz w:val="21"/>
                <w:szCs w:val="21"/>
                <w:highlight w:val="none"/>
                <w:u w:val="single"/>
              </w:rPr>
              <w:t>服务方案及承诺保障措施不可行的或未提供相关表述的，可行性建议方案</w:t>
            </w:r>
            <w:r>
              <w:rPr>
                <w:rFonts w:hint="eastAsia" w:ascii="宋体" w:hAnsi="宋体" w:eastAsia="宋体" w:cs="宋体"/>
                <w:bCs/>
                <w:color w:val="auto"/>
                <w:sz w:val="21"/>
                <w:szCs w:val="21"/>
                <w:highlight w:val="none"/>
                <w:u w:val="single"/>
                <w:lang w:eastAsia="zh-CN"/>
              </w:rPr>
              <w:t>不强，</w:t>
            </w:r>
            <w:r>
              <w:rPr>
                <w:rFonts w:hint="eastAsia" w:ascii="宋体" w:hAnsi="宋体" w:eastAsia="宋体" w:cs="宋体"/>
                <w:bCs/>
                <w:color w:val="auto"/>
                <w:sz w:val="21"/>
                <w:szCs w:val="21"/>
                <w:highlight w:val="none"/>
                <w:u w:val="single"/>
              </w:rPr>
              <w:t>得</w:t>
            </w:r>
            <w:r>
              <w:rPr>
                <w:rFonts w:hint="eastAsia" w:ascii="宋体" w:eastAsia="宋体" w:cs="宋体"/>
                <w:bCs/>
                <w:color w:val="auto"/>
                <w:sz w:val="21"/>
                <w:szCs w:val="21"/>
                <w:highlight w:val="none"/>
                <w:u w:val="single"/>
                <w:lang w:val="en-US" w:eastAsia="zh-CN"/>
              </w:rPr>
              <w:t>1</w:t>
            </w:r>
            <w:r>
              <w:rPr>
                <w:rFonts w:hint="eastAsia" w:ascii="宋体" w:hAnsi="宋体" w:eastAsia="宋体" w:cs="宋体"/>
                <w:bCs/>
                <w:color w:val="auto"/>
                <w:sz w:val="21"/>
                <w:szCs w:val="21"/>
                <w:highlight w:val="none"/>
                <w:u w:val="single"/>
              </w:rPr>
              <w:t>分</w:t>
            </w:r>
            <w:r>
              <w:rPr>
                <w:rFonts w:hint="eastAsia" w:ascii="宋体" w:eastAsia="宋体" w:cs="宋体"/>
                <w:bCs/>
                <w:color w:val="auto"/>
                <w:sz w:val="21"/>
                <w:szCs w:val="21"/>
                <w:highlight w:val="none"/>
                <w:u w:val="single"/>
                <w:lang w:eastAsia="zh-CN"/>
              </w:rPr>
              <w:t>；</w:t>
            </w:r>
          </w:p>
          <w:p>
            <w:pPr>
              <w:pStyle w:val="4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 w:val="21"/>
                <w:szCs w:val="21"/>
                <w:highlight w:val="none"/>
                <w:u w:val="single"/>
                <w:lang w:val="en-US" w:eastAsia="zh-CN"/>
              </w:rPr>
            </w:pPr>
            <w:r>
              <w:rPr>
                <w:rFonts w:hint="eastAsia" w:ascii="宋体" w:hAnsi="宋体" w:eastAsia="宋体" w:cs="宋体"/>
                <w:bCs/>
                <w:color w:val="auto"/>
                <w:sz w:val="21"/>
                <w:szCs w:val="21"/>
                <w:highlight w:val="none"/>
                <w:u w:val="single"/>
              </w:rPr>
              <w:t>④未提供对应方案的得</w:t>
            </w:r>
            <w:r>
              <w:rPr>
                <w:rFonts w:hint="eastAsia" w:ascii="宋体" w:hAnsi="宋体" w:eastAsia="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（1）无特殊说明外，以上评审项，同一证明文件不重复计分。</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（2）投标人根据以上评分要求提供的投标材料因模糊不清导致评标委员会无法清晰辨认进行评审的，视为无效材料。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pStyle w:val="46"/>
              <w:spacing w:line="360" w:lineRule="auto"/>
              <w:ind w:firstLine="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b/>
                <w:bCs/>
                <w:color w:val="auto"/>
                <w:sz w:val="21"/>
                <w:szCs w:val="21"/>
                <w:highlight w:val="none"/>
                <w:u w:val="none"/>
              </w:rPr>
              <w:t>价格评审（</w:t>
            </w:r>
            <w:r>
              <w:rPr>
                <w:rFonts w:hint="eastAsia" w:ascii="宋体" w:eastAsia="宋体" w:cs="宋体"/>
                <w:b/>
                <w:bCs/>
                <w:color w:val="auto"/>
                <w:sz w:val="21"/>
                <w:szCs w:val="21"/>
                <w:highlight w:val="none"/>
                <w:u w:val="none"/>
                <w:lang w:val="en-US" w:eastAsia="zh-CN"/>
              </w:rPr>
              <w:t>40</w:t>
            </w:r>
            <w:r>
              <w:rPr>
                <w:rFonts w:hint="eastAsia" w:ascii="宋体" w:hAnsi="宋体" w:eastAsia="宋体" w:cs="宋体"/>
                <w:b/>
                <w:bCs/>
                <w:color w:val="auto"/>
                <w:sz w:val="21"/>
                <w:szCs w:val="21"/>
                <w:highlight w:val="none"/>
                <w:u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pStyle w:val="46"/>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63"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none"/>
              </w:rPr>
              <w:t>投标总价</w:t>
            </w:r>
          </w:p>
        </w:tc>
        <w:tc>
          <w:tcPr>
            <w:tcW w:w="69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jc w:val="center"/>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u w:val="none"/>
                <w:lang w:val="en-US" w:eastAsia="zh-CN"/>
              </w:rPr>
              <w:t>4</w:t>
            </w:r>
            <w:r>
              <w:rPr>
                <w:rFonts w:hint="eastAsia" w:ascii="宋体" w:hAnsi="宋体" w:eastAsia="宋体" w:cs="宋体"/>
                <w:color w:val="auto"/>
                <w:kern w:val="2"/>
                <w:sz w:val="21"/>
                <w:szCs w:val="21"/>
                <w:highlight w:val="none"/>
                <w:u w:val="none"/>
                <w:lang w:val="en-US" w:eastAsia="zh-CN"/>
              </w:rPr>
              <w:t>0</w:t>
            </w:r>
            <w:r>
              <w:rPr>
                <w:rFonts w:hint="eastAsia" w:ascii="宋体" w:hAnsi="宋体" w:eastAsia="宋体" w:cs="宋体"/>
                <w:color w:val="auto"/>
                <w:kern w:val="2"/>
                <w:sz w:val="21"/>
                <w:szCs w:val="21"/>
                <w:highlight w:val="none"/>
                <w:u w:val="none"/>
              </w:rPr>
              <w:t>分</w:t>
            </w:r>
          </w:p>
        </w:tc>
        <w:tc>
          <w:tcPr>
            <w:tcW w:w="58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u w:val="none"/>
              </w:rPr>
              <w:t>价格分计算方法：满足投标文件要求且投标价格（含税报价）最低的投标报价为评标基准价，其价格分为满分。其他投标人的价格分统一按照下列公式计算：投标报价得分=</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评标基准价／投标报价</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×价格权重×100。</w:t>
            </w:r>
          </w:p>
        </w:tc>
      </w:tr>
    </w:tbl>
    <w:p>
      <w:pPr>
        <w:ind w:firstLine="420" w:firstLineChars="200"/>
        <w:rPr>
          <w:rFonts w:hint="eastAsia" w:ascii="宋体" w:hAnsi="宋体" w:eastAsia="宋体" w:cs="宋体"/>
          <w:color w:val="auto"/>
          <w:sz w:val="28"/>
          <w:szCs w:val="28"/>
          <w:highlight w:val="none"/>
        </w:rPr>
      </w:pPr>
      <w:r>
        <w:rPr>
          <w:rFonts w:hint="eastAsia"/>
          <w:color w:val="auto"/>
          <w:highlight w:val="none"/>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r>
        <w:rPr>
          <w:rFonts w:hint="eastAsia" w:ascii="宋体" w:hAnsi="宋体" w:eastAsia="宋体" w:cs="宋体"/>
          <w:color w:val="auto"/>
          <w:sz w:val="28"/>
          <w:szCs w:val="28"/>
          <w:highlight w:val="none"/>
        </w:rPr>
        <w:br w:type="page"/>
      </w:r>
    </w:p>
    <w:p>
      <w:pPr>
        <w:pStyle w:val="2"/>
        <w:spacing w:before="0" w:after="0" w:line="240" w:lineRule="auto"/>
        <w:rPr>
          <w:rFonts w:hint="eastAsia" w:ascii="宋体" w:hAnsi="宋体" w:eastAsia="宋体" w:cs="宋体"/>
          <w:color w:val="auto"/>
          <w:sz w:val="36"/>
          <w:szCs w:val="36"/>
          <w:highlight w:val="none"/>
        </w:rPr>
      </w:pPr>
      <w:bookmarkStart w:id="5" w:name="_Toc28696"/>
      <w:r>
        <w:rPr>
          <w:rFonts w:hint="eastAsia" w:ascii="宋体" w:hAnsi="宋体" w:eastAsia="宋体" w:cs="宋体"/>
          <w:color w:val="auto"/>
          <w:sz w:val="28"/>
          <w:szCs w:val="28"/>
          <w:highlight w:val="none"/>
        </w:rPr>
        <w:t>第三部分用户需求书</w:t>
      </w:r>
      <w:bookmarkEnd w:id="5"/>
    </w:p>
    <w:p>
      <w:pPr>
        <w:pStyle w:val="4"/>
        <w:spacing w:before="0" w:after="0" w:line="360" w:lineRule="auto"/>
        <w:jc w:val="center"/>
        <w:rPr>
          <w:rFonts w:hint="eastAsia" w:ascii="宋体" w:hAnsi="宋体" w:eastAsia="宋体" w:cs="宋体"/>
          <w:color w:val="auto"/>
          <w:highlight w:val="none"/>
        </w:rPr>
      </w:pPr>
      <w:bookmarkStart w:id="6" w:name="_Toc18954"/>
      <w:bookmarkStart w:id="7" w:name="_Toc1593"/>
      <w:bookmarkStart w:id="8" w:name="_Toc308786492"/>
      <w:bookmarkStart w:id="9" w:name="_Toc31278"/>
      <w:bookmarkStart w:id="10" w:name="_Toc24679"/>
      <w:bookmarkStart w:id="11" w:name="_Toc13112"/>
      <w:bookmarkStart w:id="12" w:name="_Toc14462"/>
      <w:r>
        <w:rPr>
          <w:rFonts w:hint="eastAsia" w:ascii="宋体" w:hAnsi="宋体" w:eastAsia="宋体" w:cs="宋体"/>
          <w:color w:val="auto"/>
          <w:highlight w:val="none"/>
        </w:rPr>
        <w:t>第一章 商务需求书</w:t>
      </w:r>
      <w:bookmarkEnd w:id="6"/>
      <w:bookmarkEnd w:id="7"/>
    </w:p>
    <w:tbl>
      <w:tblPr>
        <w:tblStyle w:val="38"/>
        <w:tblW w:w="86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341"/>
        <w:gridCol w:w="66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18"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4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条款名称</w:t>
            </w:r>
          </w:p>
        </w:tc>
        <w:tc>
          <w:tcPr>
            <w:tcW w:w="6626"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1" w:hRule="atLeast"/>
        </w:trPr>
        <w:tc>
          <w:tcPr>
            <w:tcW w:w="718"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4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合格投标人</w:t>
            </w:r>
          </w:p>
        </w:tc>
        <w:tc>
          <w:tcPr>
            <w:tcW w:w="6626"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详见“第一部分 投标邀请”中“二、投标人资格要求”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1" w:hRule="atLeast"/>
        </w:trPr>
        <w:tc>
          <w:tcPr>
            <w:tcW w:w="718"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41" w:type="dxa"/>
            <w:shd w:val="clear" w:color="auto" w:fill="auto"/>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6626" w:type="dxa"/>
            <w:shd w:val="clear" w:color="auto" w:fill="auto"/>
            <w:vAlign w:val="center"/>
          </w:tcPr>
          <w:p>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8" w:hRule="atLeast"/>
        </w:trPr>
        <w:tc>
          <w:tcPr>
            <w:tcW w:w="718"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4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6626" w:type="dxa"/>
            <w:vAlign w:val="center"/>
          </w:tcPr>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本项目合同金额用由</w:t>
            </w:r>
            <w:r>
              <w:rPr>
                <w:rFonts w:hint="eastAsia" w:ascii="宋体" w:hAnsi="宋体" w:eastAsia="宋体" w:cs="宋体"/>
                <w:color w:val="auto"/>
                <w:sz w:val="21"/>
                <w:szCs w:val="21"/>
                <w:highlight w:val="none"/>
                <w:lang w:eastAsia="zh-CN"/>
              </w:rPr>
              <w:t>采购人</w:t>
            </w:r>
            <w:r>
              <w:rPr>
                <w:rFonts w:hint="eastAsia" w:ascii="宋体" w:hAnsi="宋体" w:eastAsia="宋体" w:cs="宋体"/>
                <w:b/>
                <w:color w:val="auto"/>
                <w:sz w:val="21"/>
                <w:szCs w:val="21"/>
                <w:highlight w:val="none"/>
                <w:u w:val="single"/>
              </w:rPr>
              <w:t>按以下支付计划按阶段</w:t>
            </w:r>
            <w:r>
              <w:rPr>
                <w:rFonts w:hint="eastAsia" w:ascii="宋体" w:hAnsi="宋体" w:eastAsia="宋体" w:cs="宋体"/>
                <w:color w:val="auto"/>
                <w:sz w:val="21"/>
                <w:szCs w:val="21"/>
                <w:highlight w:val="none"/>
              </w:rPr>
              <w:t>支付给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，具体支付方式和支付时间如下：</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第一期：合同签订后，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提交请款报告，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在收到前述材料之日起30个工作日内向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支付至合同总金额的10％，作为项目首期款；</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第二期：</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按要求完成建设工程概念方案初步成果，配合单元规划成果通过街道领导班子联席会议并取得会议纪要后，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提交请款报告，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在收到前述材料之日起30工作日内向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支付至合同总金额的40％；</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第三期：</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完成建设工程概念方案，配合单元规划成果通过市自然资源局技术审查并取得会议纪要后，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提交请款报告，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在收到前述材料之日起30个工作日内向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支付至合同总金额的70％；</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第四期：配合控规调整成果通过市详规委会并取得会议纪要后，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提交请款报告，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在收到前述材料之日起30个工作日内向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支付至合同总金额的90%；</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第五期：项目提交正式控规调整成果通过市政府审批并取得规划批复文件后，且办理完结算手续后，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提交请款报告，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在收到前述材料之日起30个工作日内向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支付至结算价的 100%。</w:t>
            </w:r>
          </w:p>
          <w:p>
            <w:pPr>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每次付款前，</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必须提供合法、有效、与本合同总价款条款中增值税税率一致的增值税专用发票给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，否则</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有权拒绝付款且不构成违约。若合同执行期间，遇国家税务政策调整所引起的合同价格变化，按照不含税价格调整结算价格。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1" w:hRule="atLeast"/>
        </w:trPr>
        <w:tc>
          <w:tcPr>
            <w:tcW w:w="718"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4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项目地点</w:t>
            </w:r>
          </w:p>
        </w:tc>
        <w:tc>
          <w:tcPr>
            <w:tcW w:w="6626"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60" w:hRule="atLeast"/>
        </w:trPr>
        <w:tc>
          <w:tcPr>
            <w:tcW w:w="718" w:type="dxa"/>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34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6626" w:type="dxa"/>
            <w:vAlign w:val="center"/>
          </w:tcPr>
          <w:p>
            <w:pP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报价应包括本次采购所有服务内容的费用，包括但不限于人工、材料、成本、利润、机械设备使用费、评审会费、差旅费、模型制作费、效果图制作及动画演示制作费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措施费、税费以及</w:t>
            </w:r>
            <w:r>
              <w:rPr>
                <w:rFonts w:hint="eastAsia" w:ascii="宋体" w:hAnsi="宋体" w:eastAsia="宋体" w:cs="宋体"/>
                <w:color w:val="auto"/>
                <w:sz w:val="21"/>
                <w:szCs w:val="21"/>
                <w:highlight w:val="none"/>
                <w:lang w:val="en-US" w:eastAsia="zh-CN"/>
              </w:rPr>
              <w:t>合同实施过程中的可预见或不可预见费用等全部费用</w:t>
            </w:r>
            <w:r>
              <w:rPr>
                <w:rFonts w:hint="eastAsia" w:ascii="宋体" w:hAnsi="宋体" w:eastAsia="宋体" w:cs="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01" w:hRule="atLeast"/>
        </w:trPr>
        <w:tc>
          <w:tcPr>
            <w:tcW w:w="718" w:type="dxa"/>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34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626"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自开标之日起90天。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01" w:hRule="atLeast"/>
        </w:trPr>
        <w:tc>
          <w:tcPr>
            <w:tcW w:w="718" w:type="dxa"/>
            <w:vAlign w:val="center"/>
          </w:tcPr>
          <w:p>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341"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合同条款</w:t>
            </w:r>
          </w:p>
        </w:tc>
        <w:tc>
          <w:tcPr>
            <w:tcW w:w="6626"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投标人实质响应合同各条款。</w:t>
            </w: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bookmarkStart w:id="13" w:name="_Toc19316"/>
      <w:r>
        <w:rPr>
          <w:rFonts w:hint="eastAsia" w:ascii="宋体" w:hAnsi="宋体" w:eastAsia="宋体" w:cs="宋体"/>
          <w:color w:val="auto"/>
          <w:highlight w:val="none"/>
        </w:rPr>
        <w:br w:type="page"/>
      </w:r>
    </w:p>
    <w:p>
      <w:pPr>
        <w:pStyle w:val="4"/>
        <w:spacing w:before="0" w:after="0" w:line="360" w:lineRule="auto"/>
        <w:jc w:val="center"/>
        <w:rPr>
          <w:rFonts w:hint="eastAsia" w:ascii="宋体" w:hAnsi="宋体" w:eastAsia="宋体" w:cs="宋体"/>
          <w:color w:val="auto"/>
          <w:highlight w:val="none"/>
        </w:rPr>
      </w:pPr>
      <w:bookmarkStart w:id="14" w:name="_Toc10052"/>
      <w:r>
        <w:rPr>
          <w:rFonts w:hint="eastAsia" w:ascii="宋体" w:hAnsi="宋体" w:eastAsia="宋体" w:cs="宋体"/>
          <w:color w:val="auto"/>
          <w:highlight w:val="none"/>
        </w:rPr>
        <w:t>第二章 技术需求书</w:t>
      </w:r>
      <w:bookmarkEnd w:id="13"/>
      <w:bookmarkEnd w:id="14"/>
    </w:p>
    <w:bookmarkEnd w:id="8"/>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一、项目背景与概述</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2022年市委市政府提出东莞市中心城区以东莞大道时代发展轴和鸿福路山水文化轴为“黄金双轴“战略布局，本项目位于两轴交汇处西北面的行政中心北片区西北侧，地理位置优越，交通便捷且景观资源优越。项目属于大型成熟生活社区，各项配套完善，生活便利，3km范围内有鸿福路口商圈、国贸商圈两个核心商圈，市体育馆、文化广场、人民公园、影剧院、可园、可园中学，莞城人民医院等。项目未来城市干道贯穿，确保单元内部各功能地块交通的可达性及满足消防的安全性。东莞运河沿线北侧为连续建成小区，分别为恒大华府、塞纳河畔、碧桂园东江月，南侧为东运河1号小区，唯独项目区域是低矮老旧居民聚集区，急需改造，未来项目建成将提升运河东界面的城市风貌。</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br w:type="textWrapping"/>
      </w:r>
      <w:r>
        <w:rPr>
          <w:rFonts w:hint="eastAsia" w:ascii="宋体" w:hAnsi="宋体" w:eastAsia="宋体" w:cs="宋体"/>
          <w:b/>
          <w:bCs/>
          <w:color w:val="auto"/>
          <w:highlight w:val="none"/>
        </w:rPr>
        <w:t>二、设计目标</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明确本次</w:t>
      </w:r>
      <w:r>
        <w:rPr>
          <w:rFonts w:hint="eastAsia" w:ascii="宋体" w:hAnsi="宋体" w:cs="宋体"/>
          <w:color w:val="auto"/>
          <w:highlight w:val="none"/>
          <w:lang w:val="en-US" w:eastAsia="zh-CN"/>
        </w:rPr>
        <w:t>建设工程概念方案设计</w:t>
      </w:r>
      <w:r>
        <w:rPr>
          <w:rFonts w:hint="eastAsia" w:ascii="宋体" w:hAnsi="宋体" w:eastAsia="宋体" w:cs="宋体"/>
          <w:color w:val="auto"/>
          <w:highlight w:val="none"/>
        </w:rPr>
        <w:t>的总体目标，包括但不限于：</w:t>
      </w:r>
    </w:p>
    <w:p>
      <w:pPr>
        <w:ind w:firstLine="420" w:firstLineChars="200"/>
        <w:rPr>
          <w:rFonts w:hint="eastAsia" w:ascii="宋体" w:hAnsi="宋体" w:cs="宋体"/>
          <w:color w:val="auto"/>
          <w:highlight w:val="none"/>
        </w:rPr>
      </w:pPr>
      <w:r>
        <w:rPr>
          <w:rFonts w:hint="eastAsia" w:ascii="宋体" w:hAnsi="宋体" w:cs="宋体"/>
          <w:color w:val="auto"/>
          <w:highlight w:val="none"/>
        </w:rPr>
        <w:t>2.1落实单元规划需求：在满足片区统筹及其单元规划条件的基础上，进行改造后建筑方案设计，重点展示改造后建筑布局、空间形象及技术指标等内容。</w:t>
      </w:r>
    </w:p>
    <w:p>
      <w:pPr>
        <w:ind w:firstLine="420" w:firstLineChars="200"/>
        <w:rPr>
          <w:rFonts w:hint="eastAsia" w:ascii="宋体" w:hAnsi="宋体" w:cs="宋体"/>
          <w:color w:val="auto"/>
          <w:highlight w:val="none"/>
        </w:rPr>
      </w:pPr>
      <w:r>
        <w:rPr>
          <w:rFonts w:hint="eastAsia" w:ascii="宋体" w:hAnsi="宋体" w:cs="宋体"/>
          <w:color w:val="auto"/>
          <w:highlight w:val="none"/>
        </w:rPr>
        <w:t>2.2优化城市空间布局：结合上位城市设计条件，合理布局建筑，提高土地利用效率。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highlight w:val="none"/>
        </w:rPr>
        <w:t>2.3 提升城市品质：通过改造后建筑概念方案论证，完善居民居住品质，提升城市品质，打造具有文化内涵、艺术品味的新社区。</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三</w:t>
      </w:r>
      <w:r>
        <w:rPr>
          <w:rFonts w:hint="eastAsia" w:ascii="宋体" w:hAnsi="宋体" w:eastAsia="宋体" w:cs="宋体"/>
          <w:b/>
          <w:bCs/>
          <w:color w:val="auto"/>
          <w:highlight w:val="none"/>
        </w:rPr>
        <w:t>、范围及内容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 设计范围</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设计范围包括圳头及电化厂两个更新改造单元，总面积18.5公顷。其中，圳头单元为主体单元，需重点设计；电化厂单元为辅助表达单元。</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 设计内容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设计内容和深度须满足《东莞市“三旧”改造（城市更新）实施操作细则》的报批报审要求：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3.2.1 编制方案资料图册，包含项目设计、项目定位、彩色总平面图、效果图、交通分析图、日照分析图、单体户型图（标准层）、必要的流线、空间、消防、竖向和绿化率等分析图。</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3.2.2 制作方案模型，包括建模模型、数据包。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3.2.3 绘制技术总平面图，包括经济技术指标表，标注建筑物与道路、用地红线间距；建筑物间距、建筑物的尺寸、建筑高度等技术指标。</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3.2.3 完成3D动画展示（60-120秒）。</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rPr>
        <w:t>、设计原则与要求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 以人为本：充分考虑人的需求，创造宜居、宜业、宜游的城市环境。</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4.2 生态优先：注重生态环境保护，实现人与自然的和谐共生。</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 文化传承：尊重历史文化，传承城市文脉，体现地方特色。</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4.4 经济合理：合理规划投资，提高资金使用效率，确保项目的经济可行性。</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 可操作性：建设工程概念方案应具有可操作性，便于实施和管理。</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rPr>
        <w:t>、设计成果要求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5.1 本项目成果组成如下：</w:t>
      </w:r>
    </w:p>
    <w:tbl>
      <w:tblPr>
        <w:tblStyle w:val="38"/>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
      <w:tblGrid>
        <w:gridCol w:w="1295"/>
        <w:gridCol w:w="4426"/>
        <w:gridCol w:w="1500"/>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231" w:hRule="atLeast"/>
          <w:jc w:val="center"/>
        </w:trPr>
        <w:tc>
          <w:tcPr>
            <w:tcW w:w="129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42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成果名称</w:t>
            </w:r>
          </w:p>
        </w:tc>
        <w:tc>
          <w:tcPr>
            <w:tcW w:w="1500"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1307"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212" w:hRule="atLeast"/>
          <w:jc w:val="center"/>
        </w:trPr>
        <w:tc>
          <w:tcPr>
            <w:tcW w:w="129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42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建筑文本、图纸及附件合订本</w:t>
            </w:r>
          </w:p>
        </w:tc>
        <w:tc>
          <w:tcPr>
            <w:tcW w:w="1500"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A4幅面</w:t>
            </w:r>
          </w:p>
        </w:tc>
        <w:tc>
          <w:tcPr>
            <w:tcW w:w="1307"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jc w:val="center"/>
        </w:trPr>
        <w:tc>
          <w:tcPr>
            <w:tcW w:w="129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42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成果电子文件</w:t>
            </w:r>
          </w:p>
        </w:tc>
        <w:tc>
          <w:tcPr>
            <w:tcW w:w="1500"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光盘</w:t>
            </w:r>
          </w:p>
        </w:tc>
        <w:tc>
          <w:tcPr>
            <w:tcW w:w="1307"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70" w:hRule="atLeast"/>
          <w:jc w:val="center"/>
        </w:trPr>
        <w:tc>
          <w:tcPr>
            <w:tcW w:w="1295"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7233" w:type="dxa"/>
            <w:gridSpan w:val="3"/>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需要额外增加成果数量，应支付相关费用。</w:t>
            </w:r>
          </w:p>
        </w:tc>
      </w:tr>
    </w:tbl>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5.2 本项目成果按以下标准和方式验收：</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5.2.1 内容和深度须按《城市规划编制办法》及国家、省、市现行的有关文件和规定执行；</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5.2.2 由中标人负责协助采购人组织有关部门和专家进行评议、评审，如规划成果符合相关要求的，中标人负责推进有关部门和专家进行评议、评审相关进程直至取得相关评审意见书。</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需将评审意见书（副本）交付予中标人。</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rPr>
        <w:t>、设计目标</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6.1 本项目从合同生效后开始，具体进度安排如下：</w:t>
      </w:r>
    </w:p>
    <w:tbl>
      <w:tblPr>
        <w:tblStyle w:val="38"/>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
      <w:tblGrid>
        <w:gridCol w:w="1178"/>
        <w:gridCol w:w="2074"/>
        <w:gridCol w:w="5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296" w:hRule="atLeast"/>
          <w:jc w:val="center"/>
        </w:trPr>
        <w:tc>
          <w:tcPr>
            <w:tcW w:w="117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阶段划分</w:t>
            </w:r>
          </w:p>
        </w:tc>
        <w:tc>
          <w:tcPr>
            <w:tcW w:w="207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阶段成果</w:t>
            </w:r>
          </w:p>
        </w:tc>
        <w:tc>
          <w:tcPr>
            <w:tcW w:w="527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提交方式及时间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296" w:hRule="atLeast"/>
          <w:jc w:val="center"/>
        </w:trPr>
        <w:tc>
          <w:tcPr>
            <w:tcW w:w="117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第一阶段</w:t>
            </w:r>
          </w:p>
        </w:tc>
        <w:tc>
          <w:tcPr>
            <w:tcW w:w="207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基础工作</w:t>
            </w:r>
          </w:p>
        </w:tc>
        <w:tc>
          <w:tcPr>
            <w:tcW w:w="5276" w:type="dxa"/>
            <w:vAlign w:val="center"/>
          </w:tcPr>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现状调研、分析等基础工作，与莞城街道主管部门开展工作协调，统一工作基础和共识，明确工作内容和目标。本合同签订后10个</w:t>
            </w:r>
            <w:r>
              <w:rPr>
                <w:rFonts w:hint="eastAsia" w:ascii="宋体" w:hAnsi="宋体" w:cs="宋体"/>
                <w:color w:val="auto"/>
                <w:sz w:val="21"/>
                <w:szCs w:val="21"/>
                <w:highlight w:val="none"/>
                <w:lang w:val="en-US" w:eastAsia="zh-CN"/>
              </w:rPr>
              <w:t>自然</w:t>
            </w:r>
            <w:r>
              <w:rPr>
                <w:rFonts w:hint="eastAsia" w:ascii="宋体" w:hAnsi="宋体" w:eastAsia="宋体" w:cs="宋体"/>
                <w:color w:val="auto"/>
                <w:sz w:val="21"/>
                <w:szCs w:val="21"/>
                <w:highlight w:val="none"/>
              </w:rPr>
              <w:t>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290" w:hRule="atLeast"/>
          <w:jc w:val="center"/>
        </w:trPr>
        <w:tc>
          <w:tcPr>
            <w:tcW w:w="117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第二阶段</w:t>
            </w:r>
          </w:p>
        </w:tc>
        <w:tc>
          <w:tcPr>
            <w:tcW w:w="207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街道领导班子联席会议版概念方案</w:t>
            </w:r>
          </w:p>
        </w:tc>
        <w:tc>
          <w:tcPr>
            <w:tcW w:w="5276" w:type="dxa"/>
            <w:vAlign w:val="center"/>
          </w:tcPr>
          <w:p>
            <w:pPr>
              <w:spacing w:line="360" w:lineRule="auto"/>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rPr>
              <w:t>在收齐</w:t>
            </w:r>
            <w:r>
              <w:rPr>
                <w:rFonts w:hint="eastAsia" w:ascii="宋体" w:hAnsi="宋体" w:eastAsia="宋体" w:cs="宋体"/>
                <w:b/>
                <w:color w:val="auto"/>
                <w:sz w:val="21"/>
                <w:szCs w:val="21"/>
                <w:highlight w:val="none"/>
                <w:u w:val="single"/>
              </w:rPr>
              <w:t xml:space="preserve"> 本</w:t>
            </w:r>
            <w:r>
              <w:rPr>
                <w:rFonts w:hint="eastAsia" w:ascii="宋体" w:hAnsi="宋体" w:cs="宋体"/>
                <w:b/>
                <w:color w:val="auto"/>
                <w:sz w:val="21"/>
                <w:szCs w:val="21"/>
                <w:highlight w:val="none"/>
                <w:u w:val="single"/>
                <w:lang w:val="en-US" w:eastAsia="zh-CN"/>
              </w:rPr>
              <w:t>需求书</w:t>
            </w:r>
            <w:r>
              <w:rPr>
                <w:rFonts w:hint="eastAsia" w:ascii="宋体" w:hAnsi="宋体" w:eastAsia="宋体" w:cs="宋体"/>
                <w:b/>
                <w:color w:val="auto"/>
                <w:sz w:val="21"/>
                <w:szCs w:val="21"/>
                <w:highlight w:val="none"/>
                <w:u w:val="single"/>
              </w:rPr>
              <w:t xml:space="preserve">第5.1项所列全部资料 </w:t>
            </w:r>
            <w:r>
              <w:rPr>
                <w:rFonts w:hint="eastAsia" w:ascii="宋体" w:hAnsi="宋体" w:eastAsia="宋体" w:cs="宋体"/>
                <w:color w:val="auto"/>
                <w:sz w:val="21"/>
                <w:szCs w:val="21"/>
                <w:highlight w:val="none"/>
              </w:rPr>
              <w:t>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0个自然日内提交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jc w:val="center"/>
        </w:trPr>
        <w:tc>
          <w:tcPr>
            <w:tcW w:w="117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第三阶段</w:t>
            </w:r>
          </w:p>
        </w:tc>
        <w:tc>
          <w:tcPr>
            <w:tcW w:w="2074" w:type="dxa"/>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市自然资源局技术审查版概念方案</w:t>
            </w:r>
          </w:p>
        </w:tc>
        <w:tc>
          <w:tcPr>
            <w:tcW w:w="5276" w:type="dxa"/>
            <w:vAlign w:val="center"/>
          </w:tcPr>
          <w:p>
            <w:pPr>
              <w:spacing w:line="360" w:lineRule="auto"/>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rPr>
              <w:t>在收到</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街道领导班子联席会议</w:t>
            </w:r>
            <w:r>
              <w:rPr>
                <w:rFonts w:hint="eastAsia" w:ascii="宋体" w:hAnsi="宋体" w:eastAsia="宋体" w:cs="宋体"/>
                <w:b/>
                <w:color w:val="auto"/>
                <w:sz w:val="21"/>
                <w:szCs w:val="21"/>
                <w:highlight w:val="none"/>
                <w:u w:val="single"/>
              </w:rPr>
              <w:t xml:space="preserve">意见  </w:t>
            </w:r>
            <w:r>
              <w:rPr>
                <w:rFonts w:hint="eastAsia" w:ascii="宋体" w:hAnsi="宋体" w:eastAsia="宋体" w:cs="宋体"/>
                <w:color w:val="auto"/>
                <w:sz w:val="21"/>
                <w:szCs w:val="21"/>
                <w:highlight w:val="none"/>
              </w:rPr>
              <w:t>后</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个自然日内提交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jc w:val="center"/>
        </w:trPr>
        <w:tc>
          <w:tcPr>
            <w:tcW w:w="117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第四阶段</w:t>
            </w:r>
          </w:p>
        </w:tc>
        <w:tc>
          <w:tcPr>
            <w:tcW w:w="2074" w:type="dxa"/>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市详规委会版概念方案</w:t>
            </w:r>
          </w:p>
        </w:tc>
        <w:tc>
          <w:tcPr>
            <w:tcW w:w="5276" w:type="dxa"/>
            <w:vAlign w:val="center"/>
          </w:tcPr>
          <w:p>
            <w:pPr>
              <w:spacing w:line="360" w:lineRule="auto"/>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rPr>
              <w:t>在收到</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bCs/>
                <w:color w:val="auto"/>
                <w:sz w:val="21"/>
                <w:szCs w:val="21"/>
                <w:highlight w:val="none"/>
                <w:u w:val="single"/>
              </w:rPr>
              <w:t>市自然资源局技术审查</w:t>
            </w:r>
            <w:r>
              <w:rPr>
                <w:rFonts w:hint="eastAsia" w:ascii="宋体" w:hAnsi="宋体" w:eastAsia="宋体" w:cs="宋体"/>
                <w:b/>
                <w:color w:val="auto"/>
                <w:sz w:val="21"/>
                <w:szCs w:val="21"/>
                <w:highlight w:val="none"/>
                <w:u w:val="single"/>
              </w:rPr>
              <w:t xml:space="preserve">评审意见 </w:t>
            </w:r>
            <w:r>
              <w:rPr>
                <w:rFonts w:hint="eastAsia" w:ascii="宋体" w:hAnsi="宋体" w:eastAsia="宋体" w:cs="宋体"/>
                <w:color w:val="auto"/>
                <w:sz w:val="21"/>
                <w:szCs w:val="21"/>
                <w:highlight w:val="none"/>
              </w:rPr>
              <w:t>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0个自然日内提交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jc w:val="center"/>
        </w:trPr>
        <w:tc>
          <w:tcPr>
            <w:tcW w:w="117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第五阶段</w:t>
            </w:r>
          </w:p>
        </w:tc>
        <w:tc>
          <w:tcPr>
            <w:tcW w:w="207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征求意见及上报审批工作</w:t>
            </w:r>
          </w:p>
        </w:tc>
        <w:tc>
          <w:tcPr>
            <w:tcW w:w="5276" w:type="dxa"/>
            <w:vAlign w:val="center"/>
          </w:tcPr>
          <w:p>
            <w:pPr>
              <w:spacing w:line="360" w:lineRule="auto"/>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rPr>
              <w:t>在收到</w:t>
            </w:r>
            <w:r>
              <w:rPr>
                <w:rFonts w:hint="eastAsia" w:ascii="宋体" w:hAnsi="宋体" w:eastAsia="宋体" w:cs="宋体"/>
                <w:b/>
                <w:bCs/>
                <w:color w:val="auto"/>
                <w:sz w:val="21"/>
                <w:szCs w:val="21"/>
                <w:highlight w:val="none"/>
                <w:u w:val="single"/>
              </w:rPr>
              <w:t xml:space="preserve"> 市详规委会</w:t>
            </w:r>
            <w:r>
              <w:rPr>
                <w:rFonts w:hint="eastAsia" w:ascii="宋体" w:hAnsi="宋体" w:eastAsia="宋体" w:cs="宋体"/>
                <w:b/>
                <w:color w:val="auto"/>
                <w:sz w:val="21"/>
                <w:szCs w:val="21"/>
                <w:highlight w:val="none"/>
                <w:u w:val="single"/>
              </w:rPr>
              <w:t>评审意见及</w:t>
            </w:r>
            <w:r>
              <w:rPr>
                <w:rFonts w:hint="eastAsia" w:ascii="宋体" w:hAnsi="宋体" w:eastAsia="宋体" w:cs="宋体"/>
                <w:b/>
                <w:bCs/>
                <w:color w:val="auto"/>
                <w:sz w:val="21"/>
                <w:szCs w:val="21"/>
                <w:highlight w:val="none"/>
                <w:u w:val="single"/>
              </w:rPr>
              <w:t xml:space="preserve">相关材料成果 </w:t>
            </w:r>
            <w:r>
              <w:rPr>
                <w:rFonts w:hint="eastAsia" w:ascii="宋体" w:hAnsi="宋体" w:eastAsia="宋体" w:cs="宋体"/>
                <w:color w:val="auto"/>
                <w:sz w:val="21"/>
                <w:szCs w:val="21"/>
                <w:highlight w:val="none"/>
              </w:rPr>
              <w:t>后</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个自然日内提交</w:t>
            </w:r>
          </w:p>
        </w:tc>
      </w:tr>
    </w:tbl>
    <w:p>
      <w:pPr>
        <w:spacing w:before="0" w:beforeLines="-2147483648" w:after="0" w:afterLines="-2147483648"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6</w:t>
      </w:r>
      <w:r>
        <w:rPr>
          <w:rFonts w:hint="eastAsia" w:ascii="宋体" w:hAnsi="宋体" w:eastAsia="宋体" w:cs="宋体"/>
          <w:color w:val="auto"/>
          <w:sz w:val="21"/>
          <w:szCs w:val="22"/>
          <w:highlight w:val="none"/>
        </w:rPr>
        <w:t>.2 以上时间为</w:t>
      </w:r>
      <w:r>
        <w:rPr>
          <w:rFonts w:hint="eastAsia" w:ascii="宋体" w:hAnsi="宋体" w:eastAsia="宋体" w:cs="宋体"/>
          <w:color w:val="auto"/>
          <w:sz w:val="21"/>
          <w:szCs w:val="22"/>
          <w:highlight w:val="none"/>
          <w:lang w:val="en-US" w:eastAsia="zh-CN"/>
        </w:rPr>
        <w:t>中标人</w:t>
      </w:r>
      <w:r>
        <w:rPr>
          <w:rFonts w:hint="eastAsia" w:ascii="宋体" w:hAnsi="宋体" w:eastAsia="宋体" w:cs="宋体"/>
          <w:color w:val="auto"/>
          <w:sz w:val="21"/>
          <w:szCs w:val="22"/>
          <w:highlight w:val="none"/>
        </w:rPr>
        <w:t>工作时间，不包括因方案讨论、评审、报批而发生的时间，不包括因</w:t>
      </w:r>
      <w:r>
        <w:rPr>
          <w:rFonts w:hint="eastAsia" w:ascii="宋体" w:hAnsi="宋体" w:eastAsia="宋体" w:cs="宋体"/>
          <w:color w:val="auto"/>
          <w:sz w:val="21"/>
          <w:szCs w:val="22"/>
          <w:highlight w:val="none"/>
          <w:lang w:val="en-US" w:eastAsia="zh-CN"/>
        </w:rPr>
        <w:t>采购人</w:t>
      </w:r>
      <w:r>
        <w:rPr>
          <w:rFonts w:hint="eastAsia" w:ascii="宋体" w:hAnsi="宋体" w:eastAsia="宋体" w:cs="宋体"/>
          <w:color w:val="auto"/>
          <w:sz w:val="21"/>
          <w:szCs w:val="22"/>
          <w:highlight w:val="none"/>
        </w:rPr>
        <w:t>原因造成工作延误而发生的时间。</w:t>
      </w:r>
    </w:p>
    <w:p>
      <w:pPr>
        <w:spacing w:before="0" w:beforeLines="-2147483648" w:after="0" w:afterLines="-2147483648"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6</w:t>
      </w:r>
      <w:r>
        <w:rPr>
          <w:rFonts w:hint="eastAsia" w:ascii="宋体" w:hAnsi="宋体" w:eastAsia="宋体" w:cs="宋体"/>
          <w:color w:val="auto"/>
          <w:sz w:val="21"/>
          <w:szCs w:val="22"/>
          <w:highlight w:val="none"/>
        </w:rPr>
        <w:t>.3 如双方认为有必要，经协商一致，可对各阶段成果提交时间进行调整。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七、双方责任与义务</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提供真实、准确、完整的基础资料，及时支付设计费用，参与设计评审等。</w:t>
      </w:r>
      <w:r>
        <w:rPr>
          <w:rFonts w:hint="eastAsia" w:ascii="宋体" w:hAnsi="宋体" w:eastAsia="宋体" w:cs="宋体"/>
          <w:color w:val="auto"/>
          <w:highlight w:val="none"/>
          <w:lang w:val="en-US" w:eastAsia="zh-CN"/>
        </w:rPr>
        <w:t>中标人</w:t>
      </w:r>
      <w:r>
        <w:rPr>
          <w:rFonts w:hint="eastAsia" w:ascii="宋体" w:hAnsi="宋体" w:eastAsia="宋体" w:cs="宋体"/>
          <w:color w:val="auto"/>
          <w:highlight w:val="none"/>
        </w:rPr>
        <w:t>按时完成设计任务，提交符合要求的设计成果，对设计成果的质量负责等。</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color w:val="auto"/>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bookmarkEnd w:id="9"/>
    <w:bookmarkEnd w:id="10"/>
    <w:bookmarkEnd w:id="11"/>
    <w:bookmarkEnd w:id="12"/>
    <w:p>
      <w:pPr>
        <w:pStyle w:val="2"/>
        <w:spacing w:before="0" w:after="0" w:line="240" w:lineRule="auto"/>
        <w:rPr>
          <w:rFonts w:hint="eastAsia" w:ascii="宋体" w:hAnsi="宋体" w:eastAsia="宋体" w:cs="宋体"/>
          <w:color w:val="auto"/>
          <w:sz w:val="24"/>
          <w:szCs w:val="24"/>
          <w:highlight w:val="none"/>
        </w:rPr>
      </w:pPr>
      <w:bookmarkStart w:id="15" w:name="_Toc9045"/>
      <w:r>
        <w:rPr>
          <w:rFonts w:hint="eastAsia" w:ascii="宋体" w:hAnsi="宋体" w:eastAsia="宋体" w:cs="宋体"/>
          <w:color w:val="auto"/>
          <w:sz w:val="28"/>
          <w:szCs w:val="28"/>
          <w:highlight w:val="none"/>
        </w:rPr>
        <w:t>第四部分投标人须知</w:t>
      </w:r>
      <w:bookmarkEnd w:id="15"/>
    </w:p>
    <w:p>
      <w:pPr>
        <w:pStyle w:val="4"/>
        <w:numPr>
          <w:ilvl w:val="0"/>
          <w:numId w:val="1"/>
        </w:numPr>
        <w:spacing w:before="0" w:after="0" w:line="480" w:lineRule="auto"/>
        <w:jc w:val="center"/>
        <w:rPr>
          <w:rFonts w:hint="eastAsia" w:ascii="宋体" w:hAnsi="宋体" w:eastAsia="宋体" w:cs="宋体"/>
          <w:color w:val="auto"/>
          <w:highlight w:val="none"/>
        </w:rPr>
      </w:pPr>
      <w:bookmarkStart w:id="16" w:name="_Toc13591"/>
      <w:r>
        <w:rPr>
          <w:rFonts w:hint="eastAsia" w:ascii="宋体" w:hAnsi="宋体" w:eastAsia="宋体" w:cs="宋体"/>
          <w:color w:val="auto"/>
          <w:highlight w:val="none"/>
        </w:rPr>
        <w:t>说明</w:t>
      </w:r>
      <w:bookmarkEnd w:id="16"/>
    </w:p>
    <w:p>
      <w:pPr>
        <w:pStyle w:val="5"/>
        <w:widowControl w:val="0"/>
        <w:numPr>
          <w:ilvl w:val="0"/>
          <w:numId w:val="2"/>
        </w:numPr>
        <w:overflowPunct w:val="0"/>
        <w:rPr>
          <w:rFonts w:hint="eastAsia" w:ascii="宋体" w:hAnsi="宋体" w:eastAsia="宋体" w:cs="宋体"/>
          <w:color w:val="auto"/>
          <w:sz w:val="21"/>
          <w:szCs w:val="21"/>
          <w:highlight w:val="none"/>
        </w:rPr>
      </w:pPr>
      <w:bookmarkStart w:id="17" w:name="_Toc3534"/>
      <w:bookmarkStart w:id="18" w:name="_Toc27236"/>
      <w:r>
        <w:rPr>
          <w:rFonts w:hint="eastAsia" w:ascii="宋体" w:hAnsi="宋体" w:eastAsia="宋体" w:cs="宋体"/>
          <w:color w:val="auto"/>
          <w:sz w:val="21"/>
          <w:szCs w:val="21"/>
          <w:highlight w:val="none"/>
        </w:rPr>
        <w:t>适用范围</w:t>
      </w:r>
      <w:bookmarkEnd w:id="17"/>
      <w:bookmarkEnd w:id="18"/>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采购范围：见本文件《用户需求书》</w:t>
      </w:r>
    </w:p>
    <w:p>
      <w:pPr>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19" w:name="_Toc1530"/>
      <w:bookmarkStart w:id="20" w:name="_Toc298847174"/>
      <w:bookmarkStart w:id="21" w:name="_Toc20286"/>
      <w:bookmarkStart w:id="22" w:name="_Toc303084246"/>
      <w:bookmarkStart w:id="23" w:name="_Toc382049092"/>
      <w:bookmarkStart w:id="24" w:name="_Toc21875"/>
      <w:r>
        <w:rPr>
          <w:rFonts w:hint="eastAsia" w:ascii="宋体" w:hAnsi="宋体" w:eastAsia="宋体" w:cs="宋体"/>
          <w:color w:val="auto"/>
          <w:sz w:val="21"/>
          <w:szCs w:val="21"/>
          <w:highlight w:val="none"/>
        </w:rPr>
        <w:t>定义</w:t>
      </w:r>
      <w:bookmarkEnd w:id="19"/>
      <w:bookmarkEnd w:id="20"/>
      <w:bookmarkEnd w:id="21"/>
      <w:bookmarkEnd w:id="22"/>
      <w:bookmarkEnd w:id="23"/>
      <w:bookmarkEnd w:id="24"/>
    </w:p>
    <w:p>
      <w:pPr>
        <w:pStyle w:val="43"/>
        <w:widowControl w:val="0"/>
        <w:adjustRightInd/>
        <w:snapToGrid/>
        <w:ind w:left="425" w:hanging="425"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采购人：见投标邀请书。</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投标人：响应采购并且符合采购文件规定资格条件和参加投标竞争的法人、其他组织或者自然人。</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法人：法人是依法在国内进行注册并具有民事权利能力和民事行为能力，依法独立享有民事权利和承担民事义务的组织。</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中标人：指经评标委员会评审推荐、采购人确认的获得本项目中标资格的投标人。</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采购代理机构：见投标邀请书。</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评标委员会：评标委员会是依据相关规定组建的专门负责本次采购其评标工作的临时性机构。</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合同：指由本次采购所产生的合同或合约文件。</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时间：本文件规定按日计算期间的，开始当天不计入，从次日开始计算。期限的最后一日是国家法定节假日的，顺延到节假日后的次日为期限的最后一日。</w:t>
      </w:r>
    </w:p>
    <w:p>
      <w:pPr>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25" w:name="_Toc11624"/>
      <w:bookmarkStart w:id="26" w:name="_Toc21329"/>
      <w:r>
        <w:rPr>
          <w:rFonts w:hint="eastAsia" w:ascii="宋体" w:hAnsi="宋体" w:eastAsia="宋体" w:cs="宋体"/>
          <w:color w:val="auto"/>
          <w:sz w:val="21"/>
          <w:szCs w:val="21"/>
          <w:highlight w:val="none"/>
        </w:rPr>
        <w:t>货物和服务</w:t>
      </w:r>
      <w:bookmarkEnd w:id="25"/>
      <w:bookmarkEnd w:id="26"/>
    </w:p>
    <w:p>
      <w:pPr>
        <w:pStyle w:val="43"/>
        <w:widowControl w:val="0"/>
        <w:adjustRightInd/>
        <w:snapToGrid/>
        <w:ind w:left="425" w:hanging="425"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货物是指各种形态和种类的物品，包括原材料、燃料、设备、产品等。</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服务是指除货物和工程以外的其他采购对象。</w:t>
      </w:r>
    </w:p>
    <w:p>
      <w:pPr>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27" w:name="_Toc15560"/>
      <w:bookmarkStart w:id="28" w:name="_Toc15719"/>
      <w:r>
        <w:rPr>
          <w:rFonts w:hint="eastAsia" w:ascii="宋体" w:hAnsi="宋体" w:eastAsia="宋体" w:cs="宋体"/>
          <w:color w:val="auto"/>
          <w:sz w:val="21"/>
          <w:szCs w:val="21"/>
          <w:highlight w:val="none"/>
        </w:rPr>
        <w:t>投标费用</w:t>
      </w:r>
      <w:bookmarkEnd w:id="27"/>
      <w:bookmarkEnd w:id="28"/>
    </w:p>
    <w:p>
      <w:pPr>
        <w:pStyle w:val="43"/>
        <w:widowControl w:val="0"/>
        <w:adjustRightInd/>
        <w:snapToGrid/>
        <w:ind w:left="425" w:hanging="425"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pPr>
        <w:widowControl w:val="0"/>
        <w:adjustRightInd/>
        <w:snapToGrid/>
        <w:jc w:val="both"/>
        <w:rPr>
          <w:rFonts w:hint="eastAsia" w:ascii="宋体" w:hAnsi="宋体" w:eastAsia="宋体" w:cs="宋体"/>
          <w:color w:val="auto"/>
          <w:szCs w:val="21"/>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29" w:name="_Toc13983"/>
      <w:bookmarkStart w:id="30" w:name="_Toc6180"/>
      <w:r>
        <w:rPr>
          <w:rFonts w:hint="eastAsia" w:ascii="宋体" w:hAnsi="宋体" w:eastAsia="宋体" w:cs="宋体"/>
          <w:color w:val="auto"/>
          <w:sz w:val="21"/>
          <w:szCs w:val="21"/>
          <w:highlight w:val="none"/>
        </w:rPr>
        <w:t>知识产权</w:t>
      </w:r>
      <w:bookmarkEnd w:id="29"/>
      <w:bookmarkEnd w:id="30"/>
    </w:p>
    <w:p>
      <w:pPr>
        <w:pStyle w:val="43"/>
        <w:widowControl w:val="0"/>
        <w:adjustRightInd/>
        <w:snapToGrid/>
        <w:ind w:left="425" w:hanging="425"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采购人享有本项目实施过程中产生的知识成果及知识产权。</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采购货物为计算机办公设备时，投标人提供的产品必须是预装正版操作系统软件的计算机产品。</w:t>
      </w:r>
    </w:p>
    <w:p>
      <w:pPr>
        <w:widowControl w:val="0"/>
        <w:adjustRightInd/>
        <w:snapToGrid/>
        <w:ind w:left="567"/>
        <w:jc w:val="both"/>
        <w:rPr>
          <w:rFonts w:hint="eastAsia" w:ascii="宋体" w:hAnsi="宋体" w:eastAsia="宋体" w:cs="宋体"/>
          <w:color w:val="auto"/>
          <w:szCs w:val="21"/>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31" w:name="_Toc18452"/>
      <w:bookmarkStart w:id="32" w:name="_Toc2352"/>
      <w:r>
        <w:rPr>
          <w:rFonts w:hint="eastAsia" w:ascii="宋体" w:hAnsi="宋体" w:eastAsia="宋体" w:cs="宋体"/>
          <w:color w:val="auto"/>
          <w:sz w:val="21"/>
          <w:szCs w:val="21"/>
          <w:highlight w:val="none"/>
        </w:rPr>
        <w:t>关于联合体投标</w:t>
      </w:r>
      <w:bookmarkEnd w:id="31"/>
      <w:bookmarkEnd w:id="32"/>
    </w:p>
    <w:p>
      <w:pPr>
        <w:pStyle w:val="43"/>
        <w:widowControl w:val="0"/>
        <w:adjustRightInd/>
        <w:snapToGrid/>
        <w:ind w:left="425" w:hanging="425"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对接受联合体投标的项目：两个以上的自然人、法人或者其他组织可以组成一个联合体，以一个投标人的身份共同参加采购活动。</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以联合体形式参与项目的供应商在领购采购文件时，应提供所有联合体组成成员的营业执照复印件，并加盖各联合体组成成员的公章。</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联合体各方均应具有独立承担民事责任能力的法人或其他组织。</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供应商为联合体的，可以由联合体中的任意一方交纳保证金，其交纳的保证金对联合体各方均具有约束力。</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除联合体协议明确授权盖章单位外，联合体投标时投标文件中所有要求盖章的地方均须加盖联合体所有组成成员的公章，否则该处盖章无效。</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widowControl w:val="0"/>
        <w:adjustRightInd/>
        <w:snapToGrid/>
        <w:ind w:left="567"/>
        <w:jc w:val="both"/>
        <w:rPr>
          <w:rFonts w:hint="eastAsia" w:ascii="宋体" w:hAnsi="宋体" w:eastAsia="宋体" w:cs="宋体"/>
          <w:color w:val="auto"/>
          <w:szCs w:val="21"/>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33" w:name="_Toc3572"/>
      <w:bookmarkStart w:id="34" w:name="_Toc29112"/>
      <w:r>
        <w:rPr>
          <w:rFonts w:hint="eastAsia" w:ascii="宋体" w:hAnsi="宋体" w:eastAsia="宋体" w:cs="宋体"/>
          <w:color w:val="auto"/>
          <w:sz w:val="21"/>
          <w:szCs w:val="21"/>
          <w:highlight w:val="none"/>
        </w:rPr>
        <w:t>关于分支机构投标</w:t>
      </w:r>
      <w:bookmarkEnd w:id="33"/>
      <w:bookmarkEnd w:id="34"/>
    </w:p>
    <w:p>
      <w:pPr>
        <w:pStyle w:val="43"/>
        <w:widowControl w:val="0"/>
        <w:adjustRightInd/>
        <w:snapToGrid/>
        <w:ind w:left="425" w:hanging="425" w:firstLineChars="0"/>
        <w:jc w:val="both"/>
        <w:rPr>
          <w:rFonts w:hint="eastAsia" w:ascii="宋体" w:hAnsi="宋体" w:eastAsia="宋体" w:cs="宋体"/>
          <w:vanish/>
          <w:color w:val="auto"/>
          <w:szCs w:val="21"/>
          <w:highlight w:val="none"/>
        </w:rPr>
      </w:pPr>
      <w:bookmarkStart w:id="35" w:name="EB389f116341dd4693875bc7987e7327f3"/>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35"/>
    </w:p>
    <w:p>
      <w:pPr>
        <w:widowControl w:val="0"/>
        <w:adjustRightInd/>
        <w:snapToGrid/>
        <w:ind w:left="567"/>
        <w:jc w:val="both"/>
        <w:rPr>
          <w:rFonts w:hint="eastAsia" w:ascii="宋体" w:hAnsi="宋体" w:eastAsia="宋体" w:cs="宋体"/>
          <w:color w:val="auto"/>
          <w:szCs w:val="21"/>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36" w:name="_Toc2549"/>
      <w:r>
        <w:rPr>
          <w:rFonts w:hint="eastAsia" w:ascii="宋体" w:hAnsi="宋体" w:eastAsia="宋体" w:cs="宋体"/>
          <w:color w:val="auto"/>
          <w:sz w:val="21"/>
          <w:szCs w:val="21"/>
          <w:highlight w:val="none"/>
        </w:rPr>
        <w:t>踏勘现场</w:t>
      </w:r>
      <w:bookmarkEnd w:id="36"/>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《投标资料表》规定组织踏勘现场的，采购人按《投标资料表》规定的时间、地点组织响应人踏勘项目现场；</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响应人踏勘现场发生的费用自理；</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除采购人的原因外，响应人自行负责在踏勘现场中所发生的人员伤亡和财产损失；</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采购人在踏勘现场中介绍的实施地点和相关的周边环境情况，供响应人在编制响应文件时参考，采购人不对响应人据此作出的判断和决策负责；</w:t>
      </w:r>
    </w:p>
    <w:p>
      <w:pPr>
        <w:rPr>
          <w:rFonts w:hint="eastAsia" w:ascii="宋体" w:hAnsi="宋体" w:eastAsia="宋体" w:cs="宋体"/>
          <w:color w:val="auto"/>
          <w:highlight w:val="none"/>
        </w:rPr>
      </w:pPr>
    </w:p>
    <w:p>
      <w:pPr>
        <w:pStyle w:val="4"/>
        <w:numPr>
          <w:ilvl w:val="0"/>
          <w:numId w:val="1"/>
        </w:numPr>
        <w:spacing w:before="0" w:after="0" w:line="360" w:lineRule="auto"/>
        <w:jc w:val="center"/>
        <w:rPr>
          <w:rFonts w:hint="eastAsia" w:ascii="宋体" w:hAnsi="宋体" w:eastAsia="宋体" w:cs="宋体"/>
          <w:color w:val="auto"/>
          <w:highlight w:val="none"/>
        </w:rPr>
      </w:pPr>
      <w:bookmarkStart w:id="37" w:name="_Toc13360"/>
      <w:bookmarkStart w:id="38" w:name="_Toc9444"/>
      <w:r>
        <w:rPr>
          <w:rFonts w:hint="eastAsia" w:ascii="宋体" w:hAnsi="宋体" w:eastAsia="宋体" w:cs="宋体"/>
          <w:color w:val="auto"/>
          <w:highlight w:val="none"/>
        </w:rPr>
        <w:t>采购文件</w:t>
      </w:r>
      <w:bookmarkEnd w:id="37"/>
      <w:bookmarkEnd w:id="38"/>
    </w:p>
    <w:p>
      <w:pPr>
        <w:pStyle w:val="5"/>
        <w:widowControl w:val="0"/>
        <w:numPr>
          <w:ilvl w:val="0"/>
          <w:numId w:val="2"/>
        </w:numPr>
        <w:overflowPunct w:val="0"/>
        <w:rPr>
          <w:rFonts w:hint="eastAsia" w:ascii="宋体" w:hAnsi="宋体" w:eastAsia="宋体" w:cs="宋体"/>
          <w:color w:val="auto"/>
          <w:sz w:val="21"/>
          <w:szCs w:val="21"/>
          <w:highlight w:val="none"/>
        </w:rPr>
      </w:pPr>
      <w:bookmarkStart w:id="39" w:name="_Toc10638"/>
      <w:bookmarkStart w:id="40" w:name="_Toc1370"/>
      <w:r>
        <w:rPr>
          <w:rFonts w:hint="eastAsia" w:ascii="宋体" w:hAnsi="宋体" w:eastAsia="宋体" w:cs="宋体"/>
          <w:color w:val="auto"/>
          <w:sz w:val="21"/>
          <w:szCs w:val="21"/>
          <w:highlight w:val="none"/>
        </w:rPr>
        <w:t>采购文件的组成</w:t>
      </w:r>
      <w:bookmarkEnd w:id="39"/>
      <w:bookmarkEnd w:id="40"/>
    </w:p>
    <w:p>
      <w:pPr>
        <w:pStyle w:val="43"/>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采购文件包括：</w:t>
      </w:r>
    </w:p>
    <w:p>
      <w:pPr>
        <w:widowControl w:val="0"/>
        <w:numPr>
          <w:ilvl w:val="0"/>
          <w:numId w:val="0"/>
        </w:numPr>
        <w:shd w:val="clea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（1）投标邀请书；</w:t>
      </w:r>
    </w:p>
    <w:p>
      <w:pPr>
        <w:widowControl w:val="0"/>
        <w:numPr>
          <w:ilvl w:val="0"/>
          <w:numId w:val="0"/>
        </w:numPr>
        <w:shd w:val="clea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（2）投标资料表；</w:t>
      </w:r>
    </w:p>
    <w:p>
      <w:pPr>
        <w:widowControl w:val="0"/>
        <w:numPr>
          <w:ilvl w:val="0"/>
          <w:numId w:val="0"/>
        </w:numPr>
        <w:shd w:val="clea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（3）用户需求书；</w:t>
      </w:r>
    </w:p>
    <w:p>
      <w:pPr>
        <w:widowControl w:val="0"/>
        <w:numPr>
          <w:ilvl w:val="0"/>
          <w:numId w:val="0"/>
        </w:numPr>
        <w:shd w:val="clea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（4）投标人须知；</w:t>
      </w:r>
    </w:p>
    <w:p>
      <w:pPr>
        <w:widowControl w:val="0"/>
        <w:numPr>
          <w:ilvl w:val="0"/>
          <w:numId w:val="0"/>
        </w:numPr>
        <w:shd w:val="clea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（5）拟签订的合同文本；</w:t>
      </w:r>
    </w:p>
    <w:p>
      <w:pPr>
        <w:widowControl w:val="0"/>
        <w:numPr>
          <w:ilvl w:val="0"/>
          <w:numId w:val="0"/>
        </w:numPr>
        <w:shd w:val="clea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pPr>
        <w:widowControl w:val="0"/>
        <w:numPr>
          <w:ilvl w:val="0"/>
          <w:numId w:val="0"/>
        </w:numPr>
        <w:shd w:val="clear"/>
        <w:overflowPunct w:val="0"/>
        <w:ind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（7）在采购过程中由采购代理机构发出的澄清更正文件等。</w:t>
      </w:r>
    </w:p>
    <w:p>
      <w:pPr>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41" w:name="_Toc26690"/>
      <w:bookmarkStart w:id="42" w:name="_Toc21392"/>
      <w:r>
        <w:rPr>
          <w:rFonts w:hint="eastAsia" w:ascii="宋体" w:hAnsi="宋体" w:eastAsia="宋体" w:cs="宋体"/>
          <w:color w:val="auto"/>
          <w:sz w:val="21"/>
          <w:szCs w:val="21"/>
          <w:highlight w:val="none"/>
        </w:rPr>
        <w:t>采购文件的澄清或修改</w:t>
      </w:r>
      <w:bookmarkEnd w:id="41"/>
      <w:bookmarkEnd w:id="42"/>
    </w:p>
    <w:p>
      <w:pPr>
        <w:pStyle w:val="43"/>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pPr>
        <w:widowControl w:val="0"/>
        <w:numPr>
          <w:ilvl w:val="1"/>
          <w:numId w:val="2"/>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采购期间，投标人有义务上网查看，公告一经上网发布，即视为送达。因投标人未及时上网查看而造成的所有后果，由投标人自行承担。</w:t>
      </w:r>
    </w:p>
    <w:p>
      <w:pPr>
        <w:widowControl w:val="0"/>
        <w:adjustRightInd/>
        <w:snapToGrid/>
        <w:ind w:left="567"/>
        <w:jc w:val="both"/>
        <w:rPr>
          <w:rFonts w:hint="eastAsia" w:ascii="宋体" w:hAnsi="宋体" w:eastAsia="宋体" w:cs="宋体"/>
          <w:color w:val="auto"/>
          <w:szCs w:val="21"/>
          <w:highlight w:val="none"/>
        </w:rPr>
      </w:pPr>
    </w:p>
    <w:p>
      <w:pPr>
        <w:pStyle w:val="4"/>
        <w:numPr>
          <w:ilvl w:val="0"/>
          <w:numId w:val="1"/>
        </w:numPr>
        <w:spacing w:before="0" w:after="0" w:line="360" w:lineRule="auto"/>
        <w:jc w:val="center"/>
        <w:rPr>
          <w:rFonts w:hint="eastAsia" w:ascii="宋体" w:hAnsi="宋体" w:eastAsia="宋体" w:cs="宋体"/>
          <w:color w:val="auto"/>
          <w:highlight w:val="none"/>
        </w:rPr>
      </w:pPr>
      <w:bookmarkStart w:id="43" w:name="_Toc12343"/>
      <w:bookmarkStart w:id="44" w:name="_Toc10888"/>
      <w:r>
        <w:rPr>
          <w:rFonts w:hint="eastAsia" w:ascii="宋体" w:hAnsi="宋体" w:eastAsia="宋体" w:cs="宋体"/>
          <w:color w:val="auto"/>
          <w:highlight w:val="none"/>
        </w:rPr>
        <w:t>投标文件的编制</w:t>
      </w:r>
      <w:bookmarkEnd w:id="43"/>
      <w:bookmarkEnd w:id="44"/>
    </w:p>
    <w:p>
      <w:pPr>
        <w:pStyle w:val="5"/>
        <w:widowControl w:val="0"/>
        <w:numPr>
          <w:ilvl w:val="0"/>
          <w:numId w:val="2"/>
        </w:numPr>
        <w:overflowPunct w:val="0"/>
        <w:rPr>
          <w:rFonts w:hint="eastAsia" w:ascii="宋体" w:hAnsi="宋体" w:eastAsia="宋体" w:cs="宋体"/>
          <w:color w:val="auto"/>
          <w:sz w:val="21"/>
          <w:szCs w:val="21"/>
          <w:highlight w:val="none"/>
        </w:rPr>
      </w:pPr>
      <w:bookmarkStart w:id="45" w:name="_Toc16938"/>
      <w:bookmarkStart w:id="46" w:name="_Toc6185"/>
      <w:r>
        <w:rPr>
          <w:rFonts w:hint="eastAsia" w:ascii="宋体" w:hAnsi="宋体" w:eastAsia="宋体" w:cs="宋体"/>
          <w:color w:val="auto"/>
          <w:sz w:val="21"/>
          <w:szCs w:val="21"/>
          <w:highlight w:val="none"/>
        </w:rPr>
        <w:t>投标文件的语言及度量衡单位</w:t>
      </w:r>
      <w:bookmarkEnd w:id="45"/>
      <w:bookmarkEnd w:id="46"/>
    </w:p>
    <w:p>
      <w:pPr>
        <w:pStyle w:val="43"/>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pPr>
        <w:widowControl w:val="0"/>
        <w:adjustRightInd/>
        <w:snapToGrid/>
        <w:ind w:left="567"/>
        <w:jc w:val="both"/>
        <w:rPr>
          <w:rFonts w:hint="eastAsia" w:ascii="宋体" w:hAnsi="宋体" w:eastAsia="宋体" w:cs="宋体"/>
          <w:color w:val="auto"/>
          <w:szCs w:val="21"/>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47" w:name="_Toc28866"/>
      <w:bookmarkStart w:id="48" w:name="_Toc4505"/>
      <w:bookmarkStart w:id="49" w:name="_Toc11466"/>
      <w:bookmarkStart w:id="50" w:name="_Toc303084256"/>
      <w:bookmarkStart w:id="51" w:name="_Toc382049103"/>
      <w:bookmarkStart w:id="52" w:name="_Toc307934854"/>
      <w:r>
        <w:rPr>
          <w:rFonts w:hint="eastAsia" w:ascii="宋体" w:hAnsi="宋体" w:eastAsia="宋体" w:cs="宋体"/>
          <w:color w:val="auto"/>
          <w:sz w:val="21"/>
          <w:szCs w:val="21"/>
          <w:highlight w:val="none"/>
        </w:rPr>
        <w:t>投标文件的组成</w:t>
      </w:r>
      <w:bookmarkEnd w:id="47"/>
      <w:bookmarkEnd w:id="48"/>
      <w:bookmarkEnd w:id="49"/>
      <w:bookmarkEnd w:id="50"/>
      <w:bookmarkEnd w:id="51"/>
      <w:bookmarkEnd w:id="52"/>
    </w:p>
    <w:p>
      <w:pPr>
        <w:pStyle w:val="43"/>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包括但不限于采购文件附件格式中要求提供的表格。</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pPr>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53" w:name="_Toc755"/>
      <w:bookmarkStart w:id="54" w:name="_Toc32575"/>
      <w:r>
        <w:rPr>
          <w:rFonts w:hint="eastAsia" w:ascii="宋体" w:hAnsi="宋体" w:eastAsia="宋体" w:cs="宋体"/>
          <w:color w:val="auto"/>
          <w:sz w:val="21"/>
          <w:szCs w:val="21"/>
          <w:highlight w:val="none"/>
        </w:rPr>
        <w:t>投标文件编制</w:t>
      </w:r>
      <w:bookmarkEnd w:id="53"/>
      <w:bookmarkEnd w:id="54"/>
    </w:p>
    <w:p>
      <w:pPr>
        <w:pStyle w:val="43"/>
        <w:widowControl w:val="0"/>
        <w:numPr>
          <w:ilvl w:val="0"/>
          <w:numId w:val="3"/>
        </w:numPr>
        <w:adjustRightInd/>
        <w:snapToGrid/>
        <w:ind w:firstLineChars="0"/>
        <w:jc w:val="both"/>
        <w:rPr>
          <w:rFonts w:hint="eastAsia" w:ascii="宋体" w:hAnsi="宋体" w:eastAsia="宋体" w:cs="宋体"/>
          <w:vanish/>
          <w:color w:val="auto"/>
          <w:szCs w:val="21"/>
          <w:highlight w:val="none"/>
        </w:rPr>
      </w:pPr>
      <w:bookmarkStart w:id="55" w:name="_Toc303084258"/>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因投标文件编制存在歧义对投标人产生负面影响的，投标人自行承担后果。</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投标单位名称与投标人公章不一致，若投标单位名称已进行变更，应在投标文件中提供相应的证明材料并加盖公章，否则投标文件无效。</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投标文件密封、标记及内容与本项目采购信息不符，导致无法分辨所投项目为本项目的，投标文件无效。</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投标人须客观撰写投标人简介（格式自理，并提供相关证明）以及所投的产品或服务说明。</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投标文件若出现以下内容，经评标委员会认定有可能间接影响评审秩序，作废标处理。</w:t>
      </w:r>
    </w:p>
    <w:p>
      <w:pPr>
        <w:pStyle w:val="43"/>
        <w:pageBreakBefore w:val="0"/>
        <w:widowControl w:val="0"/>
        <w:kinsoku/>
        <w:wordWrap/>
        <w:topLinePunct w:val="0"/>
        <w:autoSpaceDE/>
        <w:autoSpaceDN/>
        <w:bidi w:val="0"/>
        <w:adjustRightInd w:val="0"/>
        <w:snapToGrid w:val="0"/>
        <w:spacing w:line="360" w:lineRule="auto"/>
        <w:ind w:left="425" w:firstLine="0" w:firstLine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投标文件内出现无官方证明文件的行业地域排名或使用“国家级”、“最高级”、“最佳”等用语字眼的。</w:t>
      </w:r>
    </w:p>
    <w:p>
      <w:pPr>
        <w:pStyle w:val="43"/>
        <w:pageBreakBefore w:val="0"/>
        <w:widowControl w:val="0"/>
        <w:kinsoku/>
        <w:wordWrap/>
        <w:topLinePunct w:val="0"/>
        <w:autoSpaceDE/>
        <w:autoSpaceDN/>
        <w:bidi w:val="0"/>
        <w:adjustRightInd w:val="0"/>
        <w:snapToGrid w:val="0"/>
        <w:spacing w:line="360" w:lineRule="auto"/>
        <w:ind w:left="425" w:firstLine="0" w:firstLineChars="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投标文件内出现</w:t>
      </w:r>
      <w:r>
        <w:rPr>
          <w:rFonts w:hint="eastAsia" w:ascii="宋体" w:hAnsi="宋体" w:eastAsia="宋体" w:cs="宋体"/>
          <w:color w:val="auto"/>
          <w:highlight w:val="none"/>
        </w:rPr>
        <w:t>恶意</w:t>
      </w:r>
      <w:r>
        <w:rPr>
          <w:rFonts w:hint="eastAsia" w:ascii="宋体" w:hAnsi="宋体" w:eastAsia="宋体" w:cs="宋体"/>
          <w:color w:val="auto"/>
          <w:szCs w:val="21"/>
          <w:highlight w:val="none"/>
        </w:rPr>
        <w:t>诋毁、贬低其他生产经营者的商品或者服务的内容。</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有下列情形之一的，视为投标人串通投标，其投标无效：</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（3）不同投标人的投标文件载明的项目管理成员或者联系人员为同一人；</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（6）不同投标人的投标保证金从同一单位或者个人的账户转出。</w:t>
      </w:r>
    </w:p>
    <w:bookmarkEnd w:id="55"/>
    <w:p>
      <w:pPr>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56" w:name="_Toc6154"/>
      <w:bookmarkStart w:id="57" w:name="_Toc1438"/>
      <w:r>
        <w:rPr>
          <w:rFonts w:hint="eastAsia" w:ascii="宋体" w:hAnsi="宋体" w:eastAsia="宋体" w:cs="宋体"/>
          <w:color w:val="auto"/>
          <w:sz w:val="21"/>
          <w:szCs w:val="21"/>
          <w:highlight w:val="none"/>
        </w:rPr>
        <w:t>投标报价说明</w:t>
      </w:r>
      <w:bookmarkEnd w:id="56"/>
      <w:bookmarkEnd w:id="57"/>
    </w:p>
    <w:p>
      <w:pPr>
        <w:pStyle w:val="43"/>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本次采购，投标人应按用户需求中的要求进行投标报价，少报无效。</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投标人所提供的货物或服务均以人民币（或相关费率）报价。</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投标报价应包含完成本次采购所有服务内容的费用，包含各种税务费及合同实施过程中的全部费用和售后服务费等。</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中标后开出的所有发票必须与中标人的名称一致。</w:t>
      </w:r>
    </w:p>
    <w:p>
      <w:pPr>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58" w:name="_Toc17669"/>
      <w:bookmarkStart w:id="59" w:name="_Toc11523"/>
      <w:r>
        <w:rPr>
          <w:rFonts w:hint="eastAsia" w:ascii="宋体" w:hAnsi="宋体" w:eastAsia="宋体" w:cs="宋体"/>
          <w:color w:val="auto"/>
          <w:sz w:val="21"/>
          <w:szCs w:val="21"/>
          <w:highlight w:val="none"/>
        </w:rPr>
        <w:t>投标人所提供的服务或货物的证明文件</w:t>
      </w:r>
      <w:bookmarkEnd w:id="58"/>
      <w:bookmarkEnd w:id="59"/>
    </w:p>
    <w:p>
      <w:pPr>
        <w:pStyle w:val="43"/>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bookmarkStart w:id="60" w:name="_Hlt107925638"/>
      <w:bookmarkEnd w:id="60"/>
      <w:bookmarkStart w:id="61" w:name="_Hlt107925668"/>
      <w:bookmarkEnd w:id="61"/>
      <w:r>
        <w:rPr>
          <w:rFonts w:hint="eastAsia" w:ascii="宋体" w:hAnsi="宋体" w:eastAsia="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有下列情形之一的，视为投标人弄虚作假，其投标无效：</w:t>
      </w:r>
    </w:p>
    <w:p>
      <w:pPr>
        <w:pStyle w:val="43"/>
        <w:pageBreakBefore w:val="0"/>
        <w:widowControl w:val="0"/>
        <w:kinsoku/>
        <w:wordWrap/>
        <w:topLinePunct w:val="0"/>
        <w:autoSpaceDE/>
        <w:autoSpaceDN/>
        <w:bidi w:val="0"/>
        <w:adjustRightInd w:val="0"/>
        <w:snapToGrid w:val="0"/>
        <w:spacing w:line="360" w:lineRule="auto"/>
        <w:ind w:left="425"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1、使用通过受让或者租借等方式获取的资格、资质证书投标的，属于以他人名义投标。</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2、投标人有下列情形之一的，属于以其他方式弄虚作假的行为：</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（1）使用伪造、变造的许可证件；</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（2）提供虚假的财务状况或者业绩；</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（3）提供虚假的项目负责人或者主要技术人员简历、劳动关系证明；</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（4）提供虚假的信用状况；</w:t>
      </w:r>
    </w:p>
    <w:p>
      <w:pPr>
        <w:keepNext w:val="0"/>
        <w:keepLines w:val="0"/>
        <w:pageBreakBefore w:val="0"/>
        <w:widowControl w:val="0"/>
        <w:shd w:val="clear"/>
        <w:kinsoku/>
        <w:wordWrap/>
        <w:topLinePunct w:val="0"/>
        <w:autoSpaceDE/>
        <w:autoSpaceDN/>
        <w:bidi w:val="0"/>
        <w:adjustRightInd/>
        <w:snapToGrid/>
        <w:spacing w:line="264" w:lineRule="auto"/>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（5）其他弄虚作假的行为。</w:t>
      </w:r>
    </w:p>
    <w:p>
      <w:pPr>
        <w:widowControl w:val="0"/>
        <w:numPr>
          <w:ilvl w:val="0"/>
          <w:numId w:val="0"/>
        </w:numPr>
        <w:overflowPunct w:val="0"/>
        <w:ind w:leftChars="0"/>
        <w:outlineLvl w:val="9"/>
        <w:rPr>
          <w:rFonts w:hint="eastAsia" w:ascii="宋体" w:hAnsi="宋体" w:eastAsia="宋体" w:cs="宋体"/>
          <w:color w:val="auto"/>
          <w:sz w:val="21"/>
          <w:szCs w:val="21"/>
          <w:highlight w:val="none"/>
        </w:rPr>
      </w:pPr>
      <w:bookmarkStart w:id="62" w:name="_Toc8324"/>
    </w:p>
    <w:p>
      <w:pPr>
        <w:pStyle w:val="5"/>
        <w:widowControl w:val="0"/>
        <w:numPr>
          <w:ilvl w:val="0"/>
          <w:numId w:val="2"/>
        </w:numPr>
        <w:overflowPunct w:val="0"/>
        <w:rPr>
          <w:rFonts w:hint="eastAsia" w:ascii="宋体" w:hAnsi="宋体" w:eastAsia="宋体" w:cs="宋体"/>
          <w:color w:val="auto"/>
          <w:sz w:val="21"/>
          <w:szCs w:val="21"/>
          <w:highlight w:val="none"/>
        </w:rPr>
      </w:pPr>
      <w:bookmarkStart w:id="63" w:name="_Toc19966"/>
      <w:r>
        <w:rPr>
          <w:rFonts w:hint="eastAsia" w:ascii="宋体" w:hAnsi="宋体" w:eastAsia="宋体" w:cs="宋体"/>
          <w:color w:val="auto"/>
          <w:sz w:val="21"/>
          <w:szCs w:val="21"/>
          <w:highlight w:val="none"/>
        </w:rPr>
        <w:t>投标有效期</w:t>
      </w:r>
      <w:bookmarkEnd w:id="62"/>
      <w:bookmarkEnd w:id="63"/>
    </w:p>
    <w:p>
      <w:pPr>
        <w:pStyle w:val="43"/>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投标文件应根据投标人须知的规定在投标截止日后的90天内保持有效。</w:t>
      </w:r>
    </w:p>
    <w:p>
      <w:pPr>
        <w:widowControl w:val="0"/>
        <w:adjustRightInd/>
        <w:snapToGrid/>
        <w:ind w:left="567"/>
        <w:jc w:val="both"/>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64" w:name="_Toc4477"/>
      <w:bookmarkStart w:id="65" w:name="_Toc12582"/>
      <w:r>
        <w:rPr>
          <w:rFonts w:hint="eastAsia" w:ascii="宋体" w:hAnsi="宋体" w:eastAsia="宋体" w:cs="宋体"/>
          <w:color w:val="auto"/>
          <w:sz w:val="21"/>
          <w:szCs w:val="21"/>
          <w:highlight w:val="none"/>
        </w:rPr>
        <w:t>投标保证金</w:t>
      </w:r>
      <w:bookmarkEnd w:id="64"/>
      <w:bookmarkEnd w:id="65"/>
    </w:p>
    <w:p>
      <w:pPr>
        <w:pStyle w:val="43"/>
        <w:widowControl w:val="0"/>
        <w:numPr>
          <w:ilvl w:val="0"/>
          <w:numId w:val="3"/>
        </w:numPr>
        <w:adjustRightInd/>
        <w:snapToGrid/>
        <w:ind w:firstLineChars="0"/>
        <w:jc w:val="both"/>
        <w:rPr>
          <w:rFonts w:hint="eastAsia" w:ascii="宋体" w:hAnsi="宋体" w:eastAsia="宋体" w:cs="宋体"/>
          <w:vanish/>
          <w:color w:val="auto"/>
          <w:szCs w:val="21"/>
          <w:highlight w:val="none"/>
        </w:rPr>
      </w:pPr>
      <w:bookmarkStart w:id="66" w:name="_Ref179619405"/>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投标人应在投标文件递交截止前提交相应的投标保证金，并作为其投标的一部分。</w:t>
      </w:r>
      <w:bookmarkEnd w:id="66"/>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凡没有根据本须知（17.1和17.3）的规定随附有效的投标保证金的投标，将被视为非响应性投标予以拒绝。</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投标保证金有效期应当与投标有效期一致。采购人如果按照采购文件另外规定延长了投标文件有效期，则投标担保的有效期也相应延长。</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中标人在签订采购合同并按采购文件第（33）条规定提交履约担保金后，携带退保证金声明函、投标保证金汇款单复印件（加盖公章）和合同正本到采购人处办理投标保证金（无息）退回手续。</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下列任何情况发生时，投标保证金将不予退还：</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（1）投标人在采购文件中规定的投标有效期内撤回其投标；</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（2）中标人无正当理由不与采购人订立合同，在签订合同时向采购人提出附加条件，或者不按照采购文件要求提交履约保证金的；</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（3）中标人将本项目转让给他人，或者在投标文件中未说明，且未经采购人同意，将中标项目分包给他人的；</w:t>
      </w:r>
    </w:p>
    <w:p>
      <w:pPr>
        <w:pStyle w:val="43"/>
        <w:keepNext w:val="0"/>
        <w:keepLines w:val="0"/>
        <w:pageBreakBefore w:val="0"/>
        <w:widowControl w:val="0"/>
        <w:shd w:val="clear"/>
        <w:kinsoku/>
        <w:wordWrap/>
        <w:overflowPunct/>
        <w:topLinePunct w:val="0"/>
        <w:autoSpaceDE/>
        <w:autoSpaceDN/>
        <w:bidi w:val="0"/>
        <w:adjustRightInd/>
        <w:snapToGrid/>
        <w:spacing w:line="264" w:lineRule="auto"/>
        <w:ind w:left="425" w:firstLine="0" w:firstLineChars="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（4）投标人提供虚假投标文件或虚假补充文件的。</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在中标通知书发出后，未中标投标人的投标保证金，由采购人自行返还至投标人的原转出账户。</w:t>
      </w:r>
    </w:p>
    <w:p>
      <w:pPr>
        <w:rPr>
          <w:rFonts w:hint="eastAsia" w:ascii="宋体" w:hAnsi="宋体" w:eastAsia="宋体" w:cs="宋体"/>
          <w:color w:val="auto"/>
          <w:highlight w:val="none"/>
        </w:rPr>
      </w:pPr>
    </w:p>
    <w:p>
      <w:pPr>
        <w:pStyle w:val="4"/>
        <w:numPr>
          <w:ilvl w:val="0"/>
          <w:numId w:val="1"/>
        </w:numPr>
        <w:spacing w:before="0" w:after="0" w:line="360" w:lineRule="auto"/>
        <w:jc w:val="center"/>
        <w:rPr>
          <w:rFonts w:hint="eastAsia" w:ascii="宋体" w:hAnsi="宋体" w:eastAsia="宋体" w:cs="宋体"/>
          <w:color w:val="auto"/>
          <w:highlight w:val="none"/>
        </w:rPr>
      </w:pPr>
      <w:bookmarkStart w:id="67" w:name="_Toc30352"/>
      <w:bookmarkStart w:id="68" w:name="_Toc20444"/>
      <w:r>
        <w:rPr>
          <w:rFonts w:hint="eastAsia" w:ascii="宋体" w:hAnsi="宋体" w:eastAsia="宋体" w:cs="宋体"/>
          <w:color w:val="auto"/>
          <w:highlight w:val="none"/>
        </w:rPr>
        <w:t>投标文件的递交</w:t>
      </w:r>
      <w:bookmarkEnd w:id="67"/>
      <w:bookmarkEnd w:id="68"/>
    </w:p>
    <w:p>
      <w:pPr>
        <w:pStyle w:val="5"/>
        <w:widowControl w:val="0"/>
        <w:numPr>
          <w:ilvl w:val="0"/>
          <w:numId w:val="2"/>
        </w:numPr>
        <w:overflowPunct w:val="0"/>
        <w:rPr>
          <w:rFonts w:hint="eastAsia" w:ascii="宋体" w:hAnsi="宋体" w:eastAsia="宋体" w:cs="宋体"/>
          <w:color w:val="auto"/>
          <w:sz w:val="21"/>
          <w:szCs w:val="21"/>
          <w:highlight w:val="none"/>
        </w:rPr>
      </w:pPr>
      <w:bookmarkStart w:id="69" w:name="_Toc303084264"/>
      <w:bookmarkStart w:id="70" w:name="_Toc382049111"/>
      <w:bookmarkStart w:id="71" w:name="_Toc17818"/>
      <w:bookmarkStart w:id="72" w:name="_Toc24997"/>
      <w:bookmarkStart w:id="73" w:name="_Toc24150"/>
      <w:r>
        <w:rPr>
          <w:rFonts w:hint="eastAsia" w:ascii="宋体" w:hAnsi="宋体" w:eastAsia="宋体" w:cs="宋体"/>
          <w:color w:val="auto"/>
          <w:sz w:val="21"/>
          <w:szCs w:val="21"/>
          <w:highlight w:val="none"/>
        </w:rPr>
        <w:t>投标文件的装订，签署，密封和标记</w:t>
      </w:r>
      <w:bookmarkEnd w:id="69"/>
      <w:bookmarkEnd w:id="70"/>
      <w:bookmarkEnd w:id="71"/>
      <w:bookmarkEnd w:id="72"/>
      <w:bookmarkEnd w:id="73"/>
    </w:p>
    <w:p>
      <w:pPr>
        <w:pStyle w:val="43"/>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投标人应按《投标资料表》的份数准备价格文件、商务文件、技术文件、唱标信封和电子文件（</w:t>
      </w:r>
      <w:r>
        <w:rPr>
          <w:rFonts w:hint="eastAsia" w:ascii="宋体" w:hAnsi="宋体" w:eastAsia="宋体" w:cs="宋体"/>
          <w:b/>
          <w:color w:val="auto"/>
          <w:szCs w:val="21"/>
          <w:highlight w:val="none"/>
        </w:rPr>
        <w:t>价格文件、商务文件、技术文件分别单独装订成册</w:t>
      </w:r>
      <w:r>
        <w:rPr>
          <w:rFonts w:hint="eastAsia" w:ascii="宋体" w:hAnsi="宋体" w:eastAsia="宋体" w:cs="宋体"/>
          <w:color w:val="auto"/>
          <w:szCs w:val="21"/>
          <w:highlight w:val="none"/>
        </w:rPr>
        <w:t>），每一份投标文件均需编上页次，装订成册（不允许使用活页夹，否则由此产生的风险由投标人自行承担）。所有投标文件必须封入密封完好的信封或包装，封口加盖公章。</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联合体投标文件的【正本】及【副本】的封面及骑缝均须加盖所有联合体组成成员的公章。（文件每页盖章等同于盖骑缝章）</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除投标人对错误处修改外，全套投标文件应无涂改或行间插字和增删。如有修改，修改处须由法定代表人或其正式授权代表在旁边签字及盖章。</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投标人应将投标文件进行非透明的封装，以防止投标文件内容的泄露。采购代理机构将拒绝接收采用透明包装进行密封的投标文件。</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密封破损导致投标文件内容直接或间接泄露的投标文件，采购代理机构将拒绝接收。</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pPr>
        <w:widowControl w:val="0"/>
        <w:numPr>
          <w:ilvl w:val="1"/>
          <w:numId w:val="2"/>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未单独提交唱标信封的投标人投标文件不进行唱标，投标文件作无效处理。</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所有的信封均应注明： </w:t>
      </w:r>
    </w:p>
    <w:p>
      <w:pPr>
        <w:pageBreakBefore w:val="0"/>
        <w:widowControl w:val="0"/>
        <w:numPr>
          <w:ilvl w:val="0"/>
          <w:numId w:val="4"/>
        </w:numPr>
        <w:kinsoku/>
        <w:wordWrap/>
        <w:topLinePunct w:val="0"/>
        <w:autoSpaceDE/>
        <w:autoSpaceDN/>
        <w:bidi w:val="0"/>
        <w:adjustRightInd w:val="0"/>
        <w:snapToGrid w:val="0"/>
        <w:spacing w:line="360" w:lineRule="auto"/>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收件人： </w:t>
      </w:r>
    </w:p>
    <w:p>
      <w:pPr>
        <w:pageBreakBefore w:val="0"/>
        <w:widowControl w:val="0"/>
        <w:numPr>
          <w:ilvl w:val="0"/>
          <w:numId w:val="4"/>
        </w:numPr>
        <w:kinsoku/>
        <w:wordWrap/>
        <w:topLinePunct w:val="0"/>
        <w:autoSpaceDE/>
        <w:autoSpaceDN/>
        <w:bidi w:val="0"/>
        <w:adjustRightInd w:val="0"/>
        <w:snapToGrid w:val="0"/>
        <w:spacing w:line="360" w:lineRule="auto"/>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投标单位名称：</w:t>
      </w:r>
    </w:p>
    <w:p>
      <w:pPr>
        <w:pageBreakBefore w:val="0"/>
        <w:widowControl w:val="0"/>
        <w:numPr>
          <w:ilvl w:val="0"/>
          <w:numId w:val="4"/>
        </w:numPr>
        <w:kinsoku/>
        <w:wordWrap/>
        <w:topLinePunct w:val="0"/>
        <w:autoSpaceDE/>
        <w:autoSpaceDN/>
        <w:bidi w:val="0"/>
        <w:adjustRightInd w:val="0"/>
        <w:snapToGrid w:val="0"/>
        <w:spacing w:line="360" w:lineRule="auto"/>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pPr>
        <w:pageBreakBefore w:val="0"/>
        <w:widowControl w:val="0"/>
        <w:numPr>
          <w:ilvl w:val="0"/>
          <w:numId w:val="4"/>
        </w:numPr>
        <w:kinsoku/>
        <w:wordWrap/>
        <w:topLinePunct w:val="0"/>
        <w:autoSpaceDE/>
        <w:autoSpaceDN/>
        <w:bidi w:val="0"/>
        <w:adjustRightInd w:val="0"/>
        <w:snapToGrid w:val="0"/>
        <w:spacing w:line="360" w:lineRule="auto"/>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项目采购项目编号：</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密封信封上的项目编号错误或项目名称出现严重歧义的（包括采购内容不符），采购代理机构将拒绝接收。</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采购代理机构对所有投标文件的误投或提前启封概不负责。</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投标人同时参加几个包投标时必须按采购文件要求按包号分别制作投标文件，分别密封递交。</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传真、电传的投标文件将被拒绝。</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递交的投标文件中所提供的通讯方式应保持联络畅通，因联系不上而导致的所有后果由投标人自行承担。</w:t>
      </w:r>
    </w:p>
    <w:p>
      <w:pPr>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74" w:name="_Toc25895"/>
      <w:bookmarkStart w:id="75" w:name="_Toc12158"/>
      <w:r>
        <w:rPr>
          <w:rFonts w:hint="eastAsia" w:ascii="宋体" w:hAnsi="宋体" w:eastAsia="宋体" w:cs="宋体"/>
          <w:color w:val="auto"/>
          <w:sz w:val="21"/>
          <w:szCs w:val="21"/>
          <w:highlight w:val="none"/>
        </w:rPr>
        <w:t>迟交的投标文件</w:t>
      </w:r>
      <w:bookmarkEnd w:id="74"/>
      <w:bookmarkEnd w:id="75"/>
    </w:p>
    <w:p>
      <w:pPr>
        <w:pStyle w:val="43"/>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投标人在投标截止时间之后提交的投标文件，采购代理机构将拒绝接收。</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有违反其他法律规定情形的，采购代理机构将拒绝接收。</w:t>
      </w:r>
    </w:p>
    <w:p>
      <w:pPr>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76" w:name="_Toc14188"/>
      <w:bookmarkStart w:id="77" w:name="_Toc9143"/>
      <w:r>
        <w:rPr>
          <w:rFonts w:hint="eastAsia" w:ascii="宋体" w:hAnsi="宋体" w:eastAsia="宋体" w:cs="宋体"/>
          <w:color w:val="auto"/>
          <w:sz w:val="21"/>
          <w:szCs w:val="21"/>
          <w:highlight w:val="none"/>
        </w:rPr>
        <w:t>投标样品（如需提交）</w:t>
      </w:r>
      <w:bookmarkEnd w:id="76"/>
      <w:bookmarkEnd w:id="77"/>
    </w:p>
    <w:p>
      <w:pPr>
        <w:pStyle w:val="43"/>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如有必要，采购代理机构可以要求投标人提供本服务项目涉及的部分设备或产品样品，投标人在投标时应提交《样品清单》。</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为方便评标，投标人在提供样品时，应在所提供的样品表面显著位置标注投标人的名称、包号、样品名称、采购文件规定的服务或货物编号。</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78" w:name="_Toc382049112"/>
      <w:bookmarkStart w:id="79" w:name="_Toc303084265"/>
      <w:bookmarkStart w:id="80" w:name="_Toc9777"/>
      <w:bookmarkStart w:id="81" w:name="_Toc6662"/>
      <w:bookmarkStart w:id="82" w:name="_Toc1712"/>
      <w:r>
        <w:rPr>
          <w:rFonts w:hint="eastAsia" w:ascii="宋体" w:hAnsi="宋体" w:eastAsia="宋体" w:cs="宋体"/>
          <w:color w:val="auto"/>
          <w:sz w:val="21"/>
          <w:szCs w:val="21"/>
          <w:highlight w:val="none"/>
        </w:rPr>
        <w:t>投标截止期</w:t>
      </w:r>
      <w:bookmarkEnd w:id="78"/>
      <w:bookmarkEnd w:id="79"/>
      <w:bookmarkEnd w:id="80"/>
      <w:bookmarkEnd w:id="81"/>
      <w:bookmarkEnd w:id="82"/>
    </w:p>
    <w:p>
      <w:pPr>
        <w:pStyle w:val="43"/>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投标人应在采购文件规定的截止日期和时间内，将投标文件送达到指定地点。</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pPr>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83" w:name="_Toc24953"/>
      <w:bookmarkStart w:id="84" w:name="_Toc31417"/>
      <w:r>
        <w:rPr>
          <w:rFonts w:hint="eastAsia" w:ascii="宋体" w:hAnsi="宋体" w:eastAsia="宋体" w:cs="宋体"/>
          <w:color w:val="auto"/>
          <w:sz w:val="21"/>
          <w:szCs w:val="21"/>
          <w:highlight w:val="none"/>
        </w:rPr>
        <w:t>投标文件的补充、修改与撤回</w:t>
      </w:r>
      <w:bookmarkEnd w:id="83"/>
      <w:bookmarkEnd w:id="84"/>
    </w:p>
    <w:p>
      <w:pPr>
        <w:pStyle w:val="43"/>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投标文件一经递交不予退还。</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在提交投标文件截止时间至投标有效期满之前，投标人不得撤回其投标，否则其投标保证金将不予退还。</w:t>
      </w:r>
    </w:p>
    <w:p>
      <w:pPr>
        <w:pStyle w:val="11"/>
        <w:rPr>
          <w:rFonts w:hint="eastAsia" w:ascii="宋体" w:hAnsi="宋体" w:eastAsia="宋体" w:cs="宋体"/>
          <w:color w:val="auto"/>
          <w:highlight w:val="none"/>
        </w:rPr>
      </w:pPr>
    </w:p>
    <w:p>
      <w:pPr>
        <w:pStyle w:val="4"/>
        <w:numPr>
          <w:ilvl w:val="0"/>
          <w:numId w:val="1"/>
        </w:numPr>
        <w:spacing w:before="0" w:after="0" w:line="360" w:lineRule="auto"/>
        <w:jc w:val="center"/>
        <w:rPr>
          <w:rFonts w:hint="eastAsia" w:ascii="宋体" w:hAnsi="宋体" w:eastAsia="宋体" w:cs="宋体"/>
          <w:color w:val="auto"/>
          <w:highlight w:val="none"/>
        </w:rPr>
      </w:pPr>
      <w:bookmarkStart w:id="85" w:name="_Toc25100"/>
      <w:bookmarkStart w:id="86" w:name="_Toc7410"/>
      <w:r>
        <w:rPr>
          <w:rFonts w:hint="eastAsia" w:ascii="宋体" w:hAnsi="宋体" w:eastAsia="宋体" w:cs="宋体"/>
          <w:color w:val="auto"/>
          <w:highlight w:val="none"/>
        </w:rPr>
        <w:t>开标与评标</w:t>
      </w:r>
      <w:bookmarkEnd w:id="85"/>
      <w:bookmarkEnd w:id="86"/>
    </w:p>
    <w:p>
      <w:pPr>
        <w:pStyle w:val="5"/>
        <w:widowControl w:val="0"/>
        <w:numPr>
          <w:ilvl w:val="0"/>
          <w:numId w:val="2"/>
        </w:numPr>
        <w:overflowPunct w:val="0"/>
        <w:rPr>
          <w:rFonts w:hint="eastAsia" w:ascii="宋体" w:hAnsi="宋体" w:eastAsia="宋体" w:cs="宋体"/>
          <w:color w:val="auto"/>
          <w:sz w:val="21"/>
          <w:szCs w:val="21"/>
          <w:highlight w:val="none"/>
        </w:rPr>
      </w:pPr>
      <w:bookmarkStart w:id="87" w:name="_Toc31671"/>
      <w:bookmarkStart w:id="88" w:name="_Toc11648"/>
      <w:r>
        <w:rPr>
          <w:rFonts w:hint="eastAsia" w:ascii="宋体" w:hAnsi="宋体" w:eastAsia="宋体" w:cs="宋体"/>
          <w:color w:val="auto"/>
          <w:sz w:val="21"/>
          <w:szCs w:val="21"/>
          <w:highlight w:val="none"/>
        </w:rPr>
        <w:t>开标</w:t>
      </w:r>
      <w:bookmarkEnd w:id="87"/>
      <w:bookmarkEnd w:id="88"/>
    </w:p>
    <w:p>
      <w:pPr>
        <w:pStyle w:val="43"/>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采购代理机构按本采购文件所规定的时间和地点公开开标，并邀请所有投标人代表参加。</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开标会由采购代理机构主持，投标人的法定代表人或其授权代表携带有效身份证明准时参加开标会并签名报到。</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投标人未参加开标的，视同认可开标结果。</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合格投标人不足3家的，不得开标；</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开标过程应当由采购人或者采购代理机构负责记录，由参加开标的各投标人代表和相关工作人员签字确认。</w:t>
      </w:r>
    </w:p>
    <w:p>
      <w:pPr>
        <w:widowControl w:val="0"/>
        <w:adjustRightInd/>
        <w:snapToGrid/>
        <w:ind w:left="567"/>
        <w:jc w:val="both"/>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89" w:name="_Toc3528"/>
      <w:bookmarkStart w:id="90" w:name="_Toc11725"/>
      <w:r>
        <w:rPr>
          <w:rFonts w:hint="eastAsia" w:ascii="宋体" w:hAnsi="宋体" w:eastAsia="宋体" w:cs="宋体"/>
          <w:color w:val="auto"/>
          <w:sz w:val="21"/>
          <w:szCs w:val="21"/>
          <w:highlight w:val="none"/>
        </w:rPr>
        <w:t>评标委员会及评标方法</w:t>
      </w:r>
      <w:bookmarkEnd w:id="89"/>
      <w:bookmarkEnd w:id="90"/>
    </w:p>
    <w:p>
      <w:pPr>
        <w:pStyle w:val="43"/>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评审方法：本次采购的评审方法采用综合评分法。</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评标委员会和采购人在评审过程中有权核对投标文件中相关材料的原件，投标人在接到通知后应在评标委员会规定的时间内提交原件核查。</w:t>
      </w:r>
    </w:p>
    <w:p>
      <w:pPr>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91" w:name="_Toc26200"/>
      <w:bookmarkStart w:id="92" w:name="_Toc4198"/>
      <w:r>
        <w:rPr>
          <w:rFonts w:hint="eastAsia" w:ascii="宋体" w:hAnsi="宋体" w:eastAsia="宋体" w:cs="宋体"/>
          <w:color w:val="auto"/>
          <w:sz w:val="21"/>
          <w:szCs w:val="21"/>
          <w:highlight w:val="none"/>
        </w:rPr>
        <w:t>评审原则及评标过程的保密</w:t>
      </w:r>
      <w:bookmarkEnd w:id="91"/>
      <w:bookmarkEnd w:id="92"/>
    </w:p>
    <w:p>
      <w:pPr>
        <w:pStyle w:val="43"/>
        <w:widowControl w:val="0"/>
        <w:numPr>
          <w:ilvl w:val="0"/>
          <w:numId w:val="3"/>
        </w:numPr>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评审的基本原则：评标委员会将依据采购文件的规定，遵循“公开、公平、公正、择优、信用”的原则进行评审工作。</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从公开开标到签订合同，凡与审查、澄清、评审和投标有关的资料以及定标意见相关的事项，均不得向投标人及与评标无关的其他人透露。</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任何单位和个人不得非法干预、影响评标的过程和结果。</w:t>
      </w:r>
    </w:p>
    <w:p>
      <w:pPr>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93" w:name="_Toc11279"/>
      <w:r>
        <w:rPr>
          <w:rFonts w:hint="eastAsia" w:ascii="宋体" w:hAnsi="宋体" w:eastAsia="宋体" w:cs="宋体"/>
          <w:color w:val="auto"/>
          <w:sz w:val="21"/>
          <w:szCs w:val="21"/>
          <w:highlight w:val="none"/>
        </w:rPr>
        <w:t>评标程序</w:t>
      </w:r>
      <w:bookmarkEnd w:id="93"/>
    </w:p>
    <w:p>
      <w:pPr>
        <w:widowControl w:val="0"/>
        <w:numPr>
          <w:ilvl w:val="1"/>
          <w:numId w:val="2"/>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资格性、符合性审查</w:t>
      </w:r>
    </w:p>
    <w:p>
      <w:pPr>
        <w:widowControl w:val="0"/>
        <w:overflowPunct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评标阶段的评审。</w:t>
      </w:r>
    </w:p>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《资格性、符合性审查表》</w:t>
      </w:r>
    </w:p>
    <w:tbl>
      <w:tblPr>
        <w:tblStyle w:val="3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restart"/>
            <w:tcBorders>
              <w:top w:val="single" w:color="auto" w:sz="4" w:space="0"/>
              <w:left w:val="single" w:color="auto" w:sz="4" w:space="0"/>
              <w:right w:val="single" w:color="auto" w:sz="4" w:space="0"/>
              <w:tl2br w:val="nil"/>
              <w:tr2bl w:val="nil"/>
            </w:tcBorders>
            <w:vAlign w:val="center"/>
          </w:tcPr>
          <w:p>
            <w:pPr>
              <w:numPr>
                <w:ilvl w:val="0"/>
                <w:numId w:val="5"/>
              </w:numPr>
              <w:tabs>
                <w:tab w:val="left" w:pos="176"/>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（2）参加采购活动前三年内，在经营活动中没有重大违法记录（须提供书面声明）；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（3）投标人的单位负责人为同一人或者存在直接控股、管理关系的不同投标人，不得参加同一合同项下的采购活动；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（5）未被列入东实集团及下属企业相关领域黑名单。【以</w:t>
            </w:r>
            <w:r>
              <w:rPr>
                <w:rFonts w:hint="eastAsia" w:ascii="宋体" w:hAnsi="宋体" w:eastAsia="宋体" w:cs="宋体"/>
                <w:color w:val="auto"/>
                <w:kern w:val="2"/>
                <w:szCs w:val="21"/>
                <w:highlight w:val="none"/>
                <w:lang w:val="zh-CN"/>
              </w:rPr>
              <w:t>东莞实业投资控股集团有限公司</w:t>
            </w:r>
            <w:r>
              <w:rPr>
                <w:rFonts w:hint="eastAsia" w:ascii="宋体" w:hAnsi="宋体" w:eastAsia="宋体" w:cs="宋体"/>
                <w:color w:val="auto"/>
                <w:szCs w:val="21"/>
                <w:highlight w:val="none"/>
              </w:rPr>
              <w:t>发文（东实通〔2021〕44号）、（东实通〔2021〕98号）、（东实通〔2022〕75号）、（东实通〔2023〕37号）</w:t>
            </w:r>
            <w:r>
              <w:rPr>
                <w:rFonts w:hint="eastAsia" w:ascii="宋体" w:hAnsi="宋体" w:cs="宋体"/>
                <w:color w:val="auto"/>
                <w:szCs w:val="21"/>
                <w:highlight w:val="none"/>
                <w:lang w:eastAsia="zh-CN"/>
              </w:rPr>
              <w:t>、（东实通〔2024〕163号）、（东实通〔2024〕195号）</w:t>
            </w:r>
            <w:r>
              <w:rPr>
                <w:rFonts w:hint="eastAsia" w:ascii="宋体" w:hAnsi="宋体" w:eastAsia="宋体" w:cs="宋体"/>
                <w:color w:val="auto"/>
                <w:szCs w:val="21"/>
                <w:highlight w:val="none"/>
                <w:lang w:eastAsia="zh-CN"/>
              </w:rPr>
              <w:t>及下属企业发文</w:t>
            </w:r>
            <w:r>
              <w:rPr>
                <w:rFonts w:hint="eastAsia" w:ascii="宋体" w:hAnsi="宋体" w:eastAsia="宋体" w:cs="宋体"/>
                <w:color w:val="auto"/>
                <w:szCs w:val="21"/>
                <w:highlight w:val="none"/>
              </w:rPr>
              <w:t>为准，如有最新发文通知，按最新文件执行。。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bottom w:val="single" w:color="auto" w:sz="4" w:space="0"/>
              <w:right w:val="single" w:color="auto" w:sz="4" w:space="0"/>
              <w:tl2br w:val="nil"/>
              <w:tr2bl w:val="nil"/>
            </w:tcBorders>
            <w:vAlign w:val="center"/>
          </w:tcPr>
          <w:p>
            <w:pPr>
              <w:tabs>
                <w:tab w:val="left" w:pos="176"/>
                <w:tab w:val="left" w:pos="420"/>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612"/>
              </w:tabs>
              <w:rPr>
                <w:rFonts w:hint="eastAsia" w:ascii="宋体" w:hAnsi="宋体" w:eastAsia="宋体" w:cs="宋体"/>
                <w:color w:val="auto"/>
                <w:szCs w:val="21"/>
                <w:highlight w:val="none"/>
              </w:rPr>
            </w:pPr>
            <w:r>
              <w:rPr>
                <w:rFonts w:hint="eastAsia" w:ascii="宋体" w:hAnsi="宋体" w:eastAsia="宋体" w:cs="宋体"/>
                <w:color w:val="auto"/>
                <w:szCs w:val="21"/>
                <w:highlight w:val="none"/>
              </w:rPr>
              <w:t>（6）符合投标人资格要求中其他要求（如有）。（提供《附件</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.相关资质证明文件》中对应证明文件。）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5"/>
              </w:numPr>
              <w:tabs>
                <w:tab w:val="left" w:pos="176"/>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投标人按照采购文件要求提交投标保证金；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5"/>
              </w:numPr>
              <w:tabs>
                <w:tab w:val="left" w:pos="176"/>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投标文件按照采购文件要求签署盖章；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numPr>
                <w:ilvl w:val="0"/>
                <w:numId w:val="5"/>
              </w:numPr>
              <w:tabs>
                <w:tab w:val="left" w:pos="176"/>
                <w:tab w:val="left" w:pos="612"/>
              </w:tabs>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投标总价未超出采购预算或最高限价；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612"/>
              </w:tabs>
              <w:ind w:firstLine="210" w:firstLineChars="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612"/>
              </w:tabs>
              <w:ind w:firstLine="210" w:firstLineChars="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无负偏离标注“★”符号的条款。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tabs>
                <w:tab w:val="left" w:pos="176"/>
                <w:tab w:val="left" w:pos="612"/>
              </w:tabs>
              <w:ind w:firstLine="210" w:firstLineChars="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未出现</w:t>
            </w:r>
            <w:r>
              <w:rPr>
                <w:rFonts w:hint="eastAsia" w:ascii="宋体" w:hAnsi="宋体" w:eastAsia="宋体" w:cs="宋体"/>
                <w:color w:val="auto"/>
                <w:szCs w:val="21"/>
                <w:highlight w:val="none"/>
                <w:lang w:bidi="ar"/>
              </w:rPr>
              <w:t>法律、法规和招标文件规定的其他无效情形。</w:t>
            </w:r>
          </w:p>
        </w:tc>
      </w:tr>
    </w:tbl>
    <w:p>
      <w:pPr>
        <w:widowControl w:val="0"/>
        <w:overflowPunct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pPr>
        <w:widowControl w:val="0"/>
        <w:numPr>
          <w:ilvl w:val="1"/>
          <w:numId w:val="2"/>
        </w:numPr>
        <w:overflowPunct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投标文件报价出现前后不一致的，评标委员会按照下列规定修正：</w:t>
      </w:r>
    </w:p>
    <w:p>
      <w:pPr>
        <w:widowControl w:val="0"/>
        <w:numPr>
          <w:ilvl w:val="0"/>
          <w:numId w:val="6"/>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投标文件中开标一览表（报价表）内容与投标文件中相应内容不一致的，以开标一览表（报价表）为准；</w:t>
      </w:r>
    </w:p>
    <w:p>
      <w:pPr>
        <w:widowControl w:val="0"/>
        <w:numPr>
          <w:ilvl w:val="0"/>
          <w:numId w:val="6"/>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大写金额和小写金额不一致的，以大写金额为准；</w:t>
      </w:r>
    </w:p>
    <w:p>
      <w:pPr>
        <w:widowControl w:val="0"/>
        <w:numPr>
          <w:ilvl w:val="0"/>
          <w:numId w:val="6"/>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单价金额小数点或者百分比有明显错位的，以开标一览表的总价为准，并修改单价；</w:t>
      </w:r>
    </w:p>
    <w:p>
      <w:pPr>
        <w:widowControl w:val="0"/>
        <w:numPr>
          <w:ilvl w:val="0"/>
          <w:numId w:val="6"/>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总价金额与按单价汇总金额不一致的，以单价金额计算结果为准。</w:t>
      </w:r>
    </w:p>
    <w:p>
      <w:pPr>
        <w:widowControl w:val="0"/>
        <w:numPr>
          <w:ilvl w:val="0"/>
          <w:numId w:val="6"/>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同时出现两种以上不一致的，按照前款规定的顺序修正。修正后的报价按照经投标人确认后产生约束力，投标人不确认的，其投标无效。</w:t>
      </w:r>
    </w:p>
    <w:p>
      <w:pPr>
        <w:widowControl w:val="0"/>
        <w:overflowPunct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widowControl w:val="0"/>
        <w:overflowPunct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  对于投标文件中不构成实质性偏差的不正规、不一致或不规则，评标委员会可以接受，但这种接受不能损害或影响任何投标人的相对排序。</w:t>
      </w:r>
    </w:p>
    <w:p>
      <w:pPr>
        <w:widowControl w:val="0"/>
        <w:overflowPunct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pStyle w:val="11"/>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94" w:name="_Toc4799"/>
      <w:bookmarkStart w:id="95" w:name="_Toc31191"/>
      <w:r>
        <w:rPr>
          <w:rFonts w:hint="eastAsia" w:ascii="宋体" w:hAnsi="宋体" w:eastAsia="宋体" w:cs="宋体"/>
          <w:color w:val="auto"/>
          <w:sz w:val="21"/>
          <w:szCs w:val="21"/>
          <w:highlight w:val="none"/>
        </w:rPr>
        <w:t>商务、技术、价格评审（具体评审项目详见投标资料表）</w:t>
      </w:r>
      <w:bookmarkEnd w:id="94"/>
      <w:bookmarkEnd w:id="95"/>
    </w:p>
    <w:p>
      <w:pPr>
        <w:pStyle w:val="43"/>
        <w:widowControl w:val="0"/>
        <w:numPr>
          <w:ilvl w:val="0"/>
          <w:numId w:val="3"/>
        </w:numPr>
        <w:tabs>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对通过资格性、符合性审查的有效供应商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综合得分相同的，按价格评分由高到低顺序排列。综合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p>
    <w:p>
      <w:pPr>
        <w:widowControl w:val="0"/>
        <w:tabs>
          <w:tab w:val="left" w:pos="907"/>
        </w:tabs>
        <w:adjustRightInd/>
        <w:snapToGrid/>
        <w:ind w:left="567"/>
        <w:jc w:val="both"/>
        <w:rPr>
          <w:rFonts w:hint="eastAsia" w:ascii="宋体" w:hAnsi="宋体" w:eastAsia="宋体" w:cs="宋体"/>
          <w:color w:val="auto"/>
          <w:szCs w:val="21"/>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96" w:name="_Toc316375620"/>
      <w:bookmarkStart w:id="97" w:name="_Toc382049120"/>
      <w:bookmarkStart w:id="98" w:name="_Toc20328"/>
      <w:bookmarkStart w:id="99" w:name="_Toc21663"/>
      <w:bookmarkStart w:id="100" w:name="_Toc11497"/>
      <w:r>
        <w:rPr>
          <w:rFonts w:hint="eastAsia" w:ascii="宋体" w:hAnsi="宋体" w:eastAsia="宋体" w:cs="宋体"/>
          <w:color w:val="auto"/>
          <w:sz w:val="21"/>
          <w:szCs w:val="21"/>
          <w:highlight w:val="none"/>
        </w:rPr>
        <w:t>纪律和保密</w:t>
      </w:r>
      <w:bookmarkEnd w:id="96"/>
      <w:r>
        <w:rPr>
          <w:rFonts w:hint="eastAsia" w:ascii="宋体" w:hAnsi="宋体" w:eastAsia="宋体" w:cs="宋体"/>
          <w:color w:val="auto"/>
          <w:sz w:val="21"/>
          <w:szCs w:val="21"/>
          <w:highlight w:val="none"/>
        </w:rPr>
        <w:t>事项</w:t>
      </w:r>
      <w:bookmarkEnd w:id="97"/>
      <w:bookmarkEnd w:id="98"/>
      <w:bookmarkEnd w:id="99"/>
      <w:bookmarkEnd w:id="100"/>
    </w:p>
    <w:p>
      <w:pPr>
        <w:pStyle w:val="43"/>
        <w:widowControl w:val="0"/>
        <w:numPr>
          <w:ilvl w:val="0"/>
          <w:numId w:val="3"/>
        </w:numPr>
        <w:tabs>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投标人不得串通作弊，以不正当的手段妨碍、排挤其他投标人，扰乱采购市场，破坏公平竞争原则。否则将按相关法律规定严肃处理。</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获得本采购文件的投标人，应对文件进行保密，不得用作本次投标以外的任何用途。开标后，投标人应归还采购文件中要求保密的文件和资料。</w:t>
      </w:r>
    </w:p>
    <w:p>
      <w:pPr>
        <w:rPr>
          <w:rFonts w:hint="eastAsia" w:ascii="宋体" w:hAnsi="宋体" w:eastAsia="宋体" w:cs="宋体"/>
          <w:color w:val="auto"/>
          <w:highlight w:val="none"/>
        </w:rPr>
      </w:pPr>
    </w:p>
    <w:p>
      <w:pPr>
        <w:pStyle w:val="4"/>
        <w:numPr>
          <w:ilvl w:val="0"/>
          <w:numId w:val="1"/>
        </w:numPr>
        <w:spacing w:before="0" w:after="0" w:line="360" w:lineRule="auto"/>
        <w:jc w:val="center"/>
        <w:rPr>
          <w:rFonts w:hint="eastAsia" w:ascii="宋体" w:hAnsi="宋体" w:eastAsia="宋体" w:cs="宋体"/>
          <w:color w:val="auto"/>
          <w:highlight w:val="none"/>
        </w:rPr>
      </w:pPr>
      <w:bookmarkStart w:id="101" w:name="_Toc4835"/>
      <w:bookmarkStart w:id="102" w:name="_Toc1109"/>
      <w:r>
        <w:rPr>
          <w:rFonts w:hint="eastAsia" w:ascii="宋体" w:hAnsi="宋体" w:eastAsia="宋体" w:cs="宋体"/>
          <w:color w:val="auto"/>
          <w:highlight w:val="none"/>
        </w:rPr>
        <w:t>授予合同</w:t>
      </w:r>
      <w:bookmarkEnd w:id="101"/>
      <w:bookmarkEnd w:id="102"/>
    </w:p>
    <w:p>
      <w:pPr>
        <w:pStyle w:val="5"/>
        <w:widowControl w:val="0"/>
        <w:numPr>
          <w:ilvl w:val="0"/>
          <w:numId w:val="2"/>
        </w:numPr>
        <w:overflowPunct w:val="0"/>
        <w:rPr>
          <w:rFonts w:hint="eastAsia" w:ascii="宋体" w:hAnsi="宋体" w:eastAsia="宋体" w:cs="宋体"/>
          <w:color w:val="auto"/>
          <w:sz w:val="21"/>
          <w:szCs w:val="21"/>
          <w:highlight w:val="none"/>
        </w:rPr>
      </w:pPr>
      <w:bookmarkStart w:id="103" w:name="_Toc508284011"/>
      <w:bookmarkStart w:id="104" w:name="_Toc22623"/>
      <w:bookmarkStart w:id="105" w:name="_Toc9747"/>
      <w:r>
        <w:rPr>
          <w:rFonts w:hint="eastAsia" w:ascii="宋体" w:hAnsi="宋体" w:eastAsia="宋体" w:cs="宋体"/>
          <w:color w:val="auto"/>
          <w:sz w:val="21"/>
          <w:szCs w:val="21"/>
          <w:highlight w:val="none"/>
        </w:rPr>
        <w:t>合同授予标准</w:t>
      </w:r>
      <w:bookmarkEnd w:id="103"/>
      <w:bookmarkEnd w:id="104"/>
      <w:bookmarkEnd w:id="105"/>
    </w:p>
    <w:p>
      <w:pPr>
        <w:pStyle w:val="43"/>
        <w:widowControl w:val="0"/>
        <w:numPr>
          <w:ilvl w:val="0"/>
          <w:numId w:val="3"/>
        </w:numPr>
        <w:tabs>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根据评标委员会的评审结果，采购人按照评审报告推荐的中标候选人中按顺序依法确定中标人。</w:t>
      </w:r>
    </w:p>
    <w:p>
      <w:pPr>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106" w:name="_Toc508284013"/>
      <w:bookmarkStart w:id="107" w:name="_Toc5404"/>
      <w:bookmarkStart w:id="108" w:name="_Toc10545"/>
      <w:r>
        <w:rPr>
          <w:rFonts w:hint="eastAsia" w:ascii="宋体" w:hAnsi="宋体" w:eastAsia="宋体" w:cs="宋体"/>
          <w:color w:val="auto"/>
          <w:sz w:val="21"/>
          <w:szCs w:val="21"/>
          <w:highlight w:val="none"/>
        </w:rPr>
        <w:t>发布中标结果</w:t>
      </w:r>
      <w:bookmarkEnd w:id="106"/>
      <w:bookmarkEnd w:id="107"/>
      <w:bookmarkEnd w:id="108"/>
    </w:p>
    <w:p>
      <w:pPr>
        <w:pStyle w:val="43"/>
        <w:widowControl w:val="0"/>
        <w:numPr>
          <w:ilvl w:val="0"/>
          <w:numId w:val="3"/>
        </w:numPr>
        <w:tabs>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评标委员会提出评标书面报告和推荐中标意见报采购人确认后，采购代理机构将在指定的信息发布媒体上发布公告。</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中标公告期限为3个日历日。</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《中标通知书》是合同的一个组成部分，《中标通知书》对采购人和中标人均具有同等法律效力。</w:t>
      </w:r>
    </w:p>
    <w:p>
      <w:pPr>
        <w:widowControl w:val="0"/>
        <w:tabs>
          <w:tab w:val="left" w:pos="907"/>
        </w:tabs>
        <w:adjustRightInd/>
        <w:snapToGrid/>
        <w:jc w:val="both"/>
        <w:rPr>
          <w:rFonts w:hint="eastAsia" w:ascii="宋体" w:hAnsi="宋体" w:eastAsia="宋体" w:cs="宋体"/>
          <w:color w:val="auto"/>
          <w:szCs w:val="21"/>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109" w:name="_Toc11420"/>
      <w:bookmarkStart w:id="110" w:name="_Toc9832"/>
      <w:r>
        <w:rPr>
          <w:rFonts w:hint="eastAsia" w:ascii="宋体" w:hAnsi="宋体" w:eastAsia="宋体" w:cs="宋体"/>
          <w:color w:val="auto"/>
          <w:sz w:val="21"/>
          <w:szCs w:val="21"/>
          <w:highlight w:val="none"/>
        </w:rPr>
        <w:t>资格后审</w:t>
      </w:r>
      <w:bookmarkEnd w:id="109"/>
      <w:bookmarkEnd w:id="110"/>
    </w:p>
    <w:p>
      <w:pPr>
        <w:pStyle w:val="43"/>
        <w:widowControl w:val="0"/>
        <w:numPr>
          <w:ilvl w:val="0"/>
          <w:numId w:val="3"/>
        </w:numPr>
        <w:tabs>
          <w:tab w:val="left" w:pos="567"/>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采购人将有权根据本文件中的要求，对评委会推荐的中标候选人进行资格后审。</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中标候选人须无条件配合资格后审，否则采购人有权取消其中标资格，且投标保证金可不予退还。</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pPr>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111" w:name="_Toc27302"/>
      <w:bookmarkStart w:id="112" w:name="_Toc3773"/>
      <w:r>
        <w:rPr>
          <w:rFonts w:hint="eastAsia" w:ascii="宋体" w:hAnsi="宋体" w:eastAsia="宋体" w:cs="宋体"/>
          <w:color w:val="auto"/>
          <w:sz w:val="21"/>
          <w:szCs w:val="21"/>
          <w:highlight w:val="none"/>
        </w:rPr>
        <w:t>合同的签订与履行</w:t>
      </w:r>
      <w:bookmarkEnd w:id="111"/>
      <w:bookmarkEnd w:id="112"/>
    </w:p>
    <w:p>
      <w:pPr>
        <w:pStyle w:val="43"/>
        <w:widowControl w:val="0"/>
        <w:numPr>
          <w:ilvl w:val="0"/>
          <w:numId w:val="3"/>
        </w:numPr>
        <w:tabs>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采购人与中标人应当根据合同的约定依法履行合同义务。</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采购合同的履行、违约责任和解决争议的方法等适用《中华人民共和国民法典》。</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pPr>
        <w:widowControl w:val="0"/>
        <w:tabs>
          <w:tab w:val="left" w:pos="907"/>
        </w:tabs>
        <w:adjustRightInd/>
        <w:snapToGrid/>
        <w:jc w:val="both"/>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113" w:name="_Toc382049124"/>
      <w:bookmarkStart w:id="114" w:name="_Toc303084277"/>
      <w:bookmarkStart w:id="115" w:name="_Toc29009"/>
      <w:bookmarkStart w:id="116" w:name="_Toc6617"/>
      <w:bookmarkStart w:id="117" w:name="_Toc6846"/>
      <w:r>
        <w:rPr>
          <w:rFonts w:hint="eastAsia" w:ascii="宋体" w:hAnsi="宋体" w:eastAsia="宋体" w:cs="宋体"/>
          <w:color w:val="auto"/>
          <w:sz w:val="21"/>
          <w:szCs w:val="21"/>
          <w:highlight w:val="none"/>
        </w:rPr>
        <w:t>履约</w:t>
      </w:r>
      <w:bookmarkEnd w:id="113"/>
      <w:bookmarkEnd w:id="114"/>
      <w:bookmarkEnd w:id="115"/>
      <w:r>
        <w:rPr>
          <w:rFonts w:hint="eastAsia" w:ascii="宋体" w:hAnsi="宋体" w:eastAsia="宋体" w:cs="宋体"/>
          <w:color w:val="auto"/>
          <w:sz w:val="21"/>
          <w:szCs w:val="21"/>
          <w:highlight w:val="none"/>
        </w:rPr>
        <w:t>担保</w:t>
      </w:r>
      <w:bookmarkEnd w:id="116"/>
      <w:bookmarkEnd w:id="117"/>
    </w:p>
    <w:p>
      <w:pPr>
        <w:pStyle w:val="43"/>
        <w:widowControl w:val="0"/>
        <w:numPr>
          <w:ilvl w:val="0"/>
          <w:numId w:val="3"/>
        </w:numPr>
        <w:tabs>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采购（合同签署）时提交履约担保，履约担保金额不超过中标合同金额的10%，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履约担保期限从合同签订之日起至项目服务期结束验收合格并结算完毕后，经双方签字</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天内保持有效。</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履约担保可以采用下列任何一种形式：</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（1）履约保函。如果中标人的履约担保是以银行保函形式提供的，则该银行保函应：</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①保函应由银行支行或以上银行机构开具，非东莞市行政区内的银行开具的保函要由银行所在地公证部门出具的公证书。</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③履约保函必须打印，手写、涂改无效。</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可采用电汇、银行汇票等银行转账方式提交，但不可以采用现金方式提交。履约保证金金额为中标价的10%。中标人人必须保证履约保证金以中标人的名称在（合同约定的日期）前提交至采购人指定账户。</w:t>
      </w:r>
    </w:p>
    <w:p>
      <w:pPr>
        <w:widowControl w:val="0"/>
        <w:numPr>
          <w:ilvl w:val="1"/>
          <w:numId w:val="2"/>
        </w:numPr>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widowControl w:val="0"/>
        <w:numPr>
          <w:ilvl w:val="1"/>
          <w:numId w:val="2"/>
        </w:numPr>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为取得履约担保所需的费用，由中标人承担；若工期延误，履约担保时间延长，延长费用由中标人承担。</w:t>
      </w:r>
    </w:p>
    <w:p>
      <w:pPr>
        <w:widowControl w:val="0"/>
        <w:numPr>
          <w:ilvl w:val="1"/>
          <w:numId w:val="2"/>
        </w:numPr>
        <w:overflowPunct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下列任何情况发生时，采购人有权行使享有的担保权利：</w:t>
      </w:r>
    </w:p>
    <w:p>
      <w:pPr>
        <w:widowControl w:val="0"/>
        <w:numPr>
          <w:ilvl w:val="0"/>
          <w:numId w:val="0"/>
        </w:numPr>
        <w:tabs>
          <w:tab w:val="left" w:pos="420"/>
        </w:tabs>
        <w:overflowPunct w:val="0"/>
        <w:spacing w:line="360" w:lineRule="auto"/>
        <w:ind w:left="436" w:leftChars="200" w:hanging="16" w:hangingChars="8"/>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（1）中标人将本项目转让给他人，或者在投标文件中未说明，且未经采购人同意，将中标项目分包给他人的；</w:t>
      </w:r>
    </w:p>
    <w:p>
      <w:pPr>
        <w:widowControl w:val="0"/>
        <w:numPr>
          <w:ilvl w:val="0"/>
          <w:numId w:val="0"/>
        </w:numPr>
        <w:tabs>
          <w:tab w:val="left" w:pos="420"/>
        </w:tabs>
        <w:overflowPunct w:val="0"/>
        <w:spacing w:line="360" w:lineRule="auto"/>
        <w:ind w:left="436" w:leftChars="200" w:hanging="16" w:hangingChars="8"/>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（2）中标人在履行采购合同期间，违反有关法律法规的规定及合同约定的条款，损害了采购人的利益。</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在整个项目验收合格后，中标人向采购人提交退回履约担保的申请，采购人办理履约担保退还手续。</w:t>
      </w:r>
    </w:p>
    <w:p>
      <w:pPr>
        <w:widowControl w:val="0"/>
        <w:tabs>
          <w:tab w:val="left" w:pos="907"/>
        </w:tabs>
        <w:adjustRightInd/>
        <w:snapToGrid/>
        <w:jc w:val="both"/>
        <w:rPr>
          <w:rFonts w:hint="eastAsia" w:ascii="宋体" w:hAnsi="宋体" w:eastAsia="宋体" w:cs="宋体"/>
          <w:color w:val="auto"/>
          <w:highlight w:val="none"/>
        </w:rPr>
      </w:pPr>
    </w:p>
    <w:p>
      <w:pPr>
        <w:pStyle w:val="5"/>
        <w:widowControl w:val="0"/>
        <w:numPr>
          <w:ilvl w:val="0"/>
          <w:numId w:val="2"/>
        </w:numPr>
        <w:overflowPunct w:val="0"/>
        <w:rPr>
          <w:rFonts w:hint="eastAsia" w:ascii="宋体" w:hAnsi="宋体" w:eastAsia="宋体" w:cs="宋体"/>
          <w:color w:val="auto"/>
          <w:sz w:val="21"/>
          <w:szCs w:val="21"/>
          <w:highlight w:val="none"/>
        </w:rPr>
      </w:pPr>
      <w:bookmarkStart w:id="118" w:name="_Toc6827"/>
      <w:bookmarkStart w:id="119" w:name="_Toc18880"/>
      <w:r>
        <w:rPr>
          <w:rFonts w:hint="eastAsia" w:ascii="宋体" w:hAnsi="宋体" w:eastAsia="宋体" w:cs="宋体"/>
          <w:color w:val="auto"/>
          <w:sz w:val="21"/>
          <w:szCs w:val="21"/>
          <w:highlight w:val="none"/>
        </w:rPr>
        <w:t>预付款保函（适用于预付款支付）</w:t>
      </w:r>
      <w:bookmarkEnd w:id="118"/>
      <w:bookmarkEnd w:id="119"/>
    </w:p>
    <w:p>
      <w:pPr>
        <w:pStyle w:val="43"/>
        <w:widowControl w:val="0"/>
        <w:numPr>
          <w:ilvl w:val="0"/>
          <w:numId w:val="3"/>
        </w:numPr>
        <w:tabs>
          <w:tab w:val="left" w:pos="567"/>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预付款保函应：</w:t>
      </w:r>
    </w:p>
    <w:p>
      <w:pPr>
        <w:widowControl w:val="0"/>
        <w:numPr>
          <w:ilvl w:val="0"/>
          <w:numId w:val="0"/>
        </w:numPr>
        <w:tabs>
          <w:tab w:val="left" w:pos="420"/>
        </w:tabs>
        <w:overflowPunct w:val="0"/>
        <w:spacing w:line="360" w:lineRule="auto"/>
        <w:ind w:left="436" w:leftChars="200" w:hanging="16" w:hangingChars="8"/>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（1）由东莞市行政区域内的银行支行及以上银行机构开具。非东莞市行政区内的银行开具的保函要由银行所在地公证部门出具的公证书。</w:t>
      </w:r>
    </w:p>
    <w:p>
      <w:pPr>
        <w:widowControl w:val="0"/>
        <w:numPr>
          <w:ilvl w:val="0"/>
          <w:numId w:val="0"/>
        </w:numPr>
        <w:tabs>
          <w:tab w:val="left" w:pos="420"/>
        </w:tabs>
        <w:overflowPunct w:val="0"/>
        <w:spacing w:line="360" w:lineRule="auto"/>
        <w:ind w:left="436" w:leftChars="200" w:hanging="16" w:hangingChars="8"/>
        <w:rPr>
          <w:rFonts w:hint="eastAsia" w:ascii="宋体" w:hAnsi="宋体" w:eastAsia="宋体" w:cs="宋体"/>
          <w:color w:val="auto"/>
          <w:szCs w:val="21"/>
          <w:highlight w:val="none"/>
        </w:rPr>
      </w:pPr>
      <w:r>
        <w:rPr>
          <w:rFonts w:hint="eastAsia" w:ascii="宋体" w:hAnsi="宋体" w:eastAsia="宋体" w:cs="宋体"/>
          <w:color w:val="auto"/>
          <w:szCs w:val="21"/>
          <w:highlight w:val="none"/>
        </w:rPr>
        <w:t>（2）必须打印，手写、涂改无效</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若中标人不能按本须知（34.1至34.2）的规定执行，采购人将不予支付预付款。</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pPr>
        <w:rPr>
          <w:rFonts w:hint="eastAsia" w:ascii="宋体" w:hAnsi="宋体" w:eastAsia="宋体" w:cs="宋体"/>
          <w:color w:val="auto"/>
          <w:highlight w:val="none"/>
        </w:rPr>
      </w:pPr>
    </w:p>
    <w:p>
      <w:pPr>
        <w:pStyle w:val="4"/>
        <w:numPr>
          <w:ilvl w:val="0"/>
          <w:numId w:val="1"/>
        </w:numPr>
        <w:spacing w:before="0" w:after="0" w:line="360" w:lineRule="auto"/>
        <w:jc w:val="center"/>
        <w:rPr>
          <w:rFonts w:hint="eastAsia" w:ascii="宋体" w:hAnsi="宋体" w:eastAsia="宋体" w:cs="宋体"/>
          <w:color w:val="auto"/>
          <w:highlight w:val="none"/>
        </w:rPr>
      </w:pPr>
      <w:bookmarkStart w:id="120" w:name="_Toc5702"/>
      <w:bookmarkStart w:id="121" w:name="_Toc21814"/>
      <w:r>
        <w:rPr>
          <w:rFonts w:hint="eastAsia" w:ascii="宋体" w:hAnsi="宋体" w:eastAsia="宋体" w:cs="宋体"/>
          <w:color w:val="auto"/>
          <w:highlight w:val="none"/>
        </w:rPr>
        <w:t>异议</w:t>
      </w:r>
      <w:bookmarkEnd w:id="120"/>
      <w:bookmarkEnd w:id="121"/>
    </w:p>
    <w:p>
      <w:pPr>
        <w:pStyle w:val="5"/>
        <w:widowControl w:val="0"/>
        <w:numPr>
          <w:ilvl w:val="0"/>
          <w:numId w:val="2"/>
        </w:numPr>
        <w:overflowPunct w:val="0"/>
        <w:rPr>
          <w:rFonts w:hint="eastAsia" w:ascii="宋体" w:hAnsi="宋体" w:eastAsia="宋体" w:cs="宋体"/>
          <w:color w:val="auto"/>
          <w:sz w:val="21"/>
          <w:szCs w:val="21"/>
          <w:highlight w:val="none"/>
        </w:rPr>
      </w:pPr>
      <w:bookmarkStart w:id="122" w:name="_Toc9791"/>
      <w:bookmarkStart w:id="123" w:name="_Toc15301"/>
      <w:r>
        <w:rPr>
          <w:rFonts w:hint="eastAsia" w:ascii="宋体" w:hAnsi="宋体" w:eastAsia="宋体" w:cs="宋体"/>
          <w:color w:val="auto"/>
          <w:sz w:val="21"/>
          <w:szCs w:val="21"/>
          <w:highlight w:val="none"/>
        </w:rPr>
        <w:t>异议</w:t>
      </w:r>
      <w:bookmarkEnd w:id="122"/>
      <w:bookmarkEnd w:id="123"/>
    </w:p>
    <w:p>
      <w:pPr>
        <w:pStyle w:val="43"/>
        <w:widowControl w:val="0"/>
        <w:numPr>
          <w:ilvl w:val="0"/>
          <w:numId w:val="3"/>
        </w:numPr>
        <w:tabs>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采购文件的异议</w:t>
      </w:r>
      <w:r>
        <w:rPr>
          <w:rFonts w:hint="eastAsia" w:ascii="宋体" w:hAnsi="宋体" w:eastAsia="宋体" w:cs="宋体"/>
          <w:color w:val="auto"/>
          <w:szCs w:val="21"/>
          <w:highlight w:val="none"/>
        </w:rPr>
        <w:t xml:space="preserve">  </w:t>
      </w:r>
    </w:p>
    <w:p>
      <w:pPr>
        <w:widowControl w:val="0"/>
        <w:numPr>
          <w:ilvl w:val="0"/>
          <w:numId w:val="0"/>
        </w:numPr>
        <w:tabs>
          <w:tab w:val="left" w:pos="420"/>
        </w:tabs>
        <w:overflowPunct w:val="0"/>
        <w:spacing w:line="360" w:lineRule="auto"/>
        <w:ind w:left="436" w:leftChars="200" w:hanging="16" w:hangingChars="8"/>
        <w:rPr>
          <w:rFonts w:hint="eastAsia" w:ascii="宋体" w:hAnsi="宋体" w:eastAsia="宋体" w:cs="宋体"/>
          <w:color w:val="auto"/>
          <w:szCs w:val="21"/>
          <w:highlight w:val="none"/>
        </w:rPr>
      </w:pPr>
      <w:r>
        <w:rPr>
          <w:rFonts w:hint="eastAsia" w:ascii="宋体" w:hAnsi="宋体" w:eastAsia="宋体" w:cs="宋体"/>
          <w:bCs/>
          <w:color w:val="auto"/>
          <w:kern w:val="2"/>
          <w:szCs w:val="21"/>
          <w:highlight w:val="none"/>
          <w:lang w:val="zh-CN"/>
        </w:rPr>
        <w:t>投标人或者其他利害关系人对采购文件有异议的，应当在投标截止时间10日前</w:t>
      </w:r>
      <w:r>
        <w:rPr>
          <w:rFonts w:hint="eastAsia" w:ascii="宋体" w:hAnsi="宋体" w:eastAsia="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eastAsia="宋体" w:cs="宋体"/>
          <w:bCs/>
          <w:color w:val="auto"/>
          <w:kern w:val="2"/>
          <w:szCs w:val="21"/>
          <w:highlight w:val="none"/>
          <w:lang w:val="zh-CN"/>
        </w:rPr>
        <w:t>异议</w:t>
      </w:r>
      <w:r>
        <w:rPr>
          <w:rFonts w:hint="eastAsia" w:ascii="宋体" w:hAnsi="宋体" w:eastAsia="宋体" w:cs="宋体"/>
          <w:color w:val="auto"/>
          <w:kern w:val="2"/>
          <w:szCs w:val="21"/>
          <w:highlight w:val="none"/>
          <w:lang w:val="zh-CN"/>
        </w:rPr>
        <w:t>书面材料必须加盖投标人法人公章，并注明联系人、联系电话、联系地址。</w:t>
      </w:r>
      <w:r>
        <w:rPr>
          <w:rFonts w:hint="eastAsia" w:ascii="宋体" w:hAnsi="宋体" w:eastAsia="宋体" w:cs="宋体"/>
          <w:bCs/>
          <w:color w:val="auto"/>
          <w:kern w:val="2"/>
          <w:szCs w:val="21"/>
          <w:highlight w:val="none"/>
          <w:lang w:val="zh-CN"/>
        </w:rPr>
        <w:t>超出</w:t>
      </w:r>
      <w:r>
        <w:rPr>
          <w:rFonts w:hint="eastAsia" w:ascii="宋体" w:hAnsi="宋体" w:eastAsia="宋体" w:cs="宋体"/>
          <w:color w:val="auto"/>
          <w:kern w:val="2"/>
          <w:szCs w:val="21"/>
          <w:highlight w:val="none"/>
          <w:lang w:val="zh-CN"/>
        </w:rPr>
        <w:t>提交接收异议截止时间而</w:t>
      </w:r>
      <w:r>
        <w:rPr>
          <w:rFonts w:hint="eastAsia" w:ascii="宋体" w:hAnsi="宋体" w:eastAsia="宋体" w:cs="宋体"/>
          <w:bCs/>
          <w:color w:val="auto"/>
          <w:kern w:val="2"/>
          <w:szCs w:val="21"/>
          <w:highlight w:val="none"/>
          <w:lang w:val="zh-CN"/>
        </w:rPr>
        <w:t>提出的任何疑问，</w:t>
      </w:r>
      <w:r>
        <w:rPr>
          <w:rFonts w:hint="eastAsia" w:ascii="宋体" w:hAnsi="宋体" w:eastAsia="宋体" w:cs="宋体"/>
          <w:bCs/>
          <w:color w:val="auto"/>
          <w:kern w:val="2"/>
          <w:szCs w:val="21"/>
          <w:highlight w:val="none"/>
        </w:rPr>
        <w:t>采购人或</w:t>
      </w:r>
      <w:r>
        <w:rPr>
          <w:rFonts w:hint="eastAsia" w:ascii="宋体" w:hAnsi="宋体" w:eastAsia="宋体" w:cs="宋体"/>
          <w:bCs/>
          <w:color w:val="auto"/>
          <w:kern w:val="2"/>
          <w:szCs w:val="21"/>
          <w:highlight w:val="none"/>
          <w:lang w:val="zh-CN"/>
        </w:rPr>
        <w:t>采购代理机构可不予答复。</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评标结果异议</w:t>
      </w:r>
      <w:r>
        <w:rPr>
          <w:rFonts w:hint="eastAsia" w:ascii="宋体" w:hAnsi="宋体" w:eastAsia="宋体" w:cs="宋体"/>
          <w:color w:val="auto"/>
          <w:szCs w:val="21"/>
          <w:highlight w:val="none"/>
        </w:rPr>
        <w:t xml:space="preserve">   </w:t>
      </w:r>
    </w:p>
    <w:p>
      <w:pPr>
        <w:widowControl w:val="0"/>
        <w:numPr>
          <w:ilvl w:val="0"/>
          <w:numId w:val="0"/>
        </w:numPr>
        <w:tabs>
          <w:tab w:val="left" w:pos="420"/>
        </w:tabs>
        <w:overflowPunct w:val="0"/>
        <w:spacing w:line="360" w:lineRule="auto"/>
        <w:ind w:left="436" w:leftChars="200" w:hanging="16" w:hangingChars="8"/>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pPr>
        <w:widowControl w:val="0"/>
        <w:numPr>
          <w:ilvl w:val="0"/>
          <w:numId w:val="0"/>
        </w:numPr>
        <w:tabs>
          <w:tab w:val="left" w:pos="420"/>
        </w:tabs>
        <w:overflowPunct w:val="0"/>
        <w:spacing w:line="360" w:lineRule="auto"/>
        <w:ind w:left="436" w:leftChars="200" w:hanging="16" w:hangingChars="8"/>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以联合体形式参加采购活动的，其异议应当由组成联合体的所有投标人共同提出。</w:t>
      </w:r>
    </w:p>
    <w:p>
      <w:pPr>
        <w:rPr>
          <w:rFonts w:hint="eastAsia" w:ascii="宋体" w:hAnsi="宋体" w:eastAsia="宋体" w:cs="宋体"/>
          <w:color w:val="auto"/>
          <w:highlight w:val="none"/>
        </w:rPr>
      </w:pPr>
    </w:p>
    <w:p>
      <w:pPr>
        <w:pStyle w:val="4"/>
        <w:numPr>
          <w:ilvl w:val="0"/>
          <w:numId w:val="1"/>
        </w:numPr>
        <w:spacing w:before="0" w:after="0" w:line="360" w:lineRule="auto"/>
        <w:jc w:val="center"/>
        <w:rPr>
          <w:rFonts w:hint="eastAsia" w:ascii="宋体" w:hAnsi="宋体" w:eastAsia="宋体" w:cs="宋体"/>
          <w:color w:val="auto"/>
          <w:highlight w:val="none"/>
        </w:rPr>
      </w:pPr>
      <w:bookmarkStart w:id="124" w:name="_Toc18965"/>
      <w:bookmarkStart w:id="125" w:name="_Toc8966"/>
      <w:r>
        <w:rPr>
          <w:rFonts w:hint="eastAsia" w:ascii="宋体" w:hAnsi="宋体" w:eastAsia="宋体" w:cs="宋体"/>
          <w:color w:val="auto"/>
          <w:highlight w:val="none"/>
        </w:rPr>
        <w:t>其他</w:t>
      </w:r>
      <w:bookmarkEnd w:id="124"/>
      <w:bookmarkEnd w:id="125"/>
    </w:p>
    <w:p>
      <w:pPr>
        <w:pStyle w:val="5"/>
        <w:widowControl w:val="0"/>
        <w:numPr>
          <w:ilvl w:val="0"/>
          <w:numId w:val="2"/>
        </w:numPr>
        <w:overflowPunct w:val="0"/>
        <w:rPr>
          <w:rFonts w:hint="eastAsia" w:ascii="宋体" w:hAnsi="宋体" w:eastAsia="宋体" w:cs="宋体"/>
          <w:color w:val="auto"/>
          <w:sz w:val="21"/>
          <w:szCs w:val="21"/>
          <w:highlight w:val="none"/>
        </w:rPr>
      </w:pPr>
      <w:bookmarkStart w:id="126" w:name="_Toc1587"/>
      <w:bookmarkStart w:id="127" w:name="_Toc17397"/>
      <w:r>
        <w:rPr>
          <w:rFonts w:hint="eastAsia" w:ascii="宋体" w:hAnsi="宋体" w:eastAsia="宋体" w:cs="宋体"/>
          <w:color w:val="auto"/>
          <w:sz w:val="21"/>
          <w:szCs w:val="21"/>
          <w:highlight w:val="none"/>
        </w:rPr>
        <w:t>采购文件的解释权</w:t>
      </w:r>
      <w:bookmarkEnd w:id="126"/>
      <w:bookmarkEnd w:id="127"/>
    </w:p>
    <w:p>
      <w:pPr>
        <w:pStyle w:val="43"/>
        <w:widowControl w:val="0"/>
        <w:numPr>
          <w:ilvl w:val="0"/>
          <w:numId w:val="3"/>
        </w:numPr>
        <w:tabs>
          <w:tab w:val="left" w:pos="907"/>
        </w:tabs>
        <w:adjustRightInd/>
        <w:snapToGrid/>
        <w:ind w:firstLineChars="0"/>
        <w:jc w:val="both"/>
        <w:rPr>
          <w:rFonts w:hint="eastAsia" w:ascii="宋体" w:hAnsi="宋体" w:eastAsia="宋体" w:cs="宋体"/>
          <w:vanish/>
          <w:color w:val="auto"/>
          <w:szCs w:val="21"/>
          <w:highlight w:val="none"/>
        </w:rPr>
      </w:pPr>
    </w:p>
    <w:p>
      <w:pPr>
        <w:widowControl w:val="0"/>
        <w:numPr>
          <w:ilvl w:val="1"/>
          <w:numId w:val="2"/>
        </w:numPr>
        <w:overflowPunct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本采购文件是根据国家有关法律、法规以及采购管理有关规定和参照国际惯例编制，解释权属本采购代理机构。</w:t>
      </w:r>
    </w:p>
    <w:p>
      <w:pPr>
        <w:widowControl w:val="0"/>
        <w:numPr>
          <w:ilvl w:val="1"/>
          <w:numId w:val="7"/>
        </w:numPr>
        <w:tabs>
          <w:tab w:val="left" w:pos="907"/>
        </w:tabs>
        <w:adjustRightInd/>
        <w:snapToGrid/>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2"/>
        <w:spacing w:before="0" w:after="0" w:line="240" w:lineRule="auto"/>
        <w:rPr>
          <w:rFonts w:hint="eastAsia" w:ascii="宋体" w:hAnsi="宋体" w:eastAsia="宋体" w:cs="宋体"/>
          <w:color w:val="auto"/>
          <w:sz w:val="28"/>
          <w:szCs w:val="28"/>
          <w:highlight w:val="none"/>
        </w:rPr>
      </w:pPr>
      <w:bookmarkStart w:id="128" w:name="_Toc829"/>
      <w:r>
        <w:rPr>
          <w:rFonts w:hint="eastAsia" w:ascii="宋体" w:hAnsi="宋体" w:eastAsia="宋体" w:cs="宋体"/>
          <w:color w:val="auto"/>
          <w:sz w:val="28"/>
          <w:szCs w:val="28"/>
          <w:highlight w:val="none"/>
        </w:rPr>
        <w:t>第五部分  合同条款格式</w:t>
      </w:r>
      <w:bookmarkEnd w:id="128"/>
      <w:bookmarkStart w:id="129" w:name="_Toc15636"/>
    </w:p>
    <w:bookmarkEnd w:id="129"/>
    <w:p>
      <w:pPr>
        <w:rPr>
          <w:rFonts w:hint="eastAsia" w:ascii="宋体" w:hAnsi="宋体" w:eastAsia="宋体" w:cs="宋体"/>
          <w:color w:val="auto"/>
          <w:highlight w:val="none"/>
          <w:lang w:bidi="zh-CN"/>
        </w:rPr>
      </w:pPr>
      <w:bookmarkStart w:id="130" w:name="_Hlt109815959"/>
      <w:bookmarkEnd w:id="130"/>
    </w:p>
    <w:p>
      <w:pPr>
        <w:pageBreakBefore w:val="0"/>
        <w:shd w:val="clear"/>
        <w:kinsoku/>
        <w:topLinePunct w:val="0"/>
        <w:autoSpaceDE/>
        <w:autoSpaceDN/>
        <w:bidi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此仅为合同书样本，中标人需根据实际情况和甲方签订相应的合同！</w:t>
      </w:r>
    </w:p>
    <w:p>
      <w:pPr>
        <w:pageBreakBefore w:val="0"/>
        <w:shd w:val="clear"/>
        <w:kinsoku/>
        <w:topLinePunct w:val="0"/>
        <w:autoSpaceDE/>
        <w:autoSpaceDN/>
        <w:bidi w:val="0"/>
        <w:spacing w:line="360" w:lineRule="auto"/>
        <w:rPr>
          <w:rFonts w:hint="eastAsia" w:ascii="宋体" w:hAnsi="宋体" w:eastAsia="宋体" w:cs="宋体"/>
          <w:b/>
          <w:color w:val="auto"/>
          <w:sz w:val="21"/>
          <w:szCs w:val="21"/>
          <w:highlight w:val="none"/>
        </w:rPr>
      </w:pPr>
    </w:p>
    <w:p>
      <w:pPr>
        <w:rPr>
          <w:rFonts w:ascii="黑体" w:hAnsi="黑体" w:eastAsia="黑体"/>
          <w:b/>
          <w:color w:val="auto"/>
          <w:sz w:val="30"/>
          <w:szCs w:val="30"/>
          <w:highlight w:val="none"/>
        </w:rPr>
      </w:pPr>
      <w:r>
        <w:rPr>
          <w:rFonts w:hint="eastAsia" w:ascii="黑体" w:hAnsi="黑体" w:eastAsia="黑体"/>
          <w:b/>
          <w:color w:val="auto"/>
          <w:sz w:val="30"/>
          <w:szCs w:val="30"/>
          <w:highlight w:val="none"/>
        </w:rPr>
        <w:t>编号：</w:t>
      </w:r>
    </w:p>
    <w:p>
      <w:pPr>
        <w:rPr>
          <w:rFonts w:ascii="宋体" w:hAnsi="宋体"/>
          <w:b/>
          <w:color w:val="auto"/>
          <w:sz w:val="28"/>
          <w:szCs w:val="28"/>
          <w:highlight w:val="none"/>
        </w:rPr>
      </w:pPr>
    </w:p>
    <w:p>
      <w:pPr>
        <w:rPr>
          <w:rFonts w:ascii="宋体" w:hAnsi="宋体"/>
          <w:b/>
          <w:color w:val="auto"/>
          <w:sz w:val="28"/>
          <w:szCs w:val="28"/>
          <w:highlight w:val="none"/>
        </w:rPr>
      </w:pPr>
    </w:p>
    <w:p>
      <w:pPr>
        <w:jc w:val="center"/>
        <w:rPr>
          <w:rFonts w:ascii="黑体" w:hAnsi="黑体" w:eastAsia="黑体"/>
          <w:b/>
          <w:color w:val="auto"/>
          <w:spacing w:val="80"/>
          <w:kern w:val="16"/>
          <w:sz w:val="44"/>
          <w:szCs w:val="44"/>
          <w:highlight w:val="none"/>
        </w:rPr>
      </w:pPr>
      <w:r>
        <w:rPr>
          <w:rFonts w:hint="eastAsia" w:ascii="黑体" w:hAnsi="黑体" w:eastAsia="黑体" w:cstheme="minorBidi"/>
          <w:b/>
          <w:bCs w:val="0"/>
          <w:color w:val="auto"/>
          <w:spacing w:val="80"/>
          <w:kern w:val="16"/>
          <w:sz w:val="44"/>
          <w:szCs w:val="44"/>
          <w:highlight w:val="none"/>
          <w:lang w:eastAsia="zh-CN"/>
        </w:rPr>
        <w:t>莞城圳头城中村改造项目建设工程概念方案设计服务</w:t>
      </w:r>
      <w:r>
        <w:rPr>
          <w:rFonts w:hint="eastAsia" w:ascii="黑体" w:hAnsi="黑体" w:eastAsia="黑体"/>
          <w:b/>
          <w:color w:val="auto"/>
          <w:spacing w:val="80"/>
          <w:kern w:val="16"/>
          <w:sz w:val="44"/>
          <w:szCs w:val="44"/>
          <w:highlight w:val="none"/>
        </w:rPr>
        <w:t>合同</w:t>
      </w:r>
    </w:p>
    <w:p>
      <w:pPr>
        <w:rPr>
          <w:rFonts w:ascii="宋体" w:hAnsi="宋体"/>
          <w:b/>
          <w:color w:val="auto"/>
          <w:sz w:val="28"/>
          <w:szCs w:val="28"/>
          <w:highlight w:val="none"/>
        </w:rPr>
      </w:pPr>
    </w:p>
    <w:p>
      <w:pPr>
        <w:rPr>
          <w:rFonts w:ascii="宋体" w:hAnsi="宋体"/>
          <w:b/>
          <w:color w:val="auto"/>
          <w:sz w:val="28"/>
          <w:szCs w:val="28"/>
          <w:highlight w:val="none"/>
        </w:rPr>
      </w:pPr>
    </w:p>
    <w:p>
      <w:pPr>
        <w:rPr>
          <w:rFonts w:ascii="宋体" w:hAnsi="宋体"/>
          <w:b/>
          <w:color w:val="auto"/>
          <w:sz w:val="28"/>
          <w:szCs w:val="28"/>
          <w:highlight w:val="none"/>
        </w:rPr>
      </w:pPr>
    </w:p>
    <w:p>
      <w:pPr>
        <w:rPr>
          <w:rFonts w:ascii="宋体" w:hAnsi="宋体"/>
          <w:b/>
          <w:color w:val="auto"/>
          <w:sz w:val="28"/>
          <w:szCs w:val="28"/>
          <w:highlight w:val="none"/>
        </w:rPr>
      </w:pPr>
    </w:p>
    <w:tbl>
      <w:tblPr>
        <w:tblStyle w:val="38"/>
        <w:tblW w:w="8528" w:type="dxa"/>
        <w:jc w:val="center"/>
        <w:tblInd w:w="0" w:type="dxa"/>
        <w:tblLayout w:type="fixed"/>
        <w:tblCellMar>
          <w:top w:w="0" w:type="dxa"/>
          <w:left w:w="108" w:type="dxa"/>
          <w:bottom w:w="0" w:type="dxa"/>
          <w:right w:w="108" w:type="dxa"/>
        </w:tblCellMar>
      </w:tblPr>
      <w:tblGrid>
        <w:gridCol w:w="2543"/>
        <w:gridCol w:w="5985"/>
      </w:tblGrid>
      <w:tr>
        <w:tblPrEx>
          <w:tblLayout w:type="fixed"/>
          <w:tblCellMar>
            <w:top w:w="0" w:type="dxa"/>
            <w:left w:w="108" w:type="dxa"/>
            <w:bottom w:w="0" w:type="dxa"/>
            <w:right w:w="108" w:type="dxa"/>
          </w:tblCellMar>
        </w:tblPrEx>
        <w:trPr>
          <w:trHeight w:val="630" w:hRule="atLeast"/>
          <w:jc w:val="center"/>
        </w:trPr>
        <w:tc>
          <w:tcPr>
            <w:tcW w:w="2543" w:type="dxa"/>
            <w:noWrap w:val="0"/>
            <w:vAlign w:val="top"/>
          </w:tcPr>
          <w:p>
            <w:pPr>
              <w:spacing w:before="156" w:beforeLines="50" w:after="156" w:afterLines="50" w:line="360" w:lineRule="auto"/>
              <w:jc w:val="distribute"/>
              <w:rPr>
                <w:rFonts w:ascii="仿宋_GB2312" w:eastAsia="仿宋_GB2312"/>
                <w:b/>
                <w:color w:val="auto"/>
                <w:sz w:val="24"/>
                <w:szCs w:val="24"/>
                <w:highlight w:val="none"/>
              </w:rPr>
            </w:pPr>
            <w:r>
              <w:rPr>
                <w:rFonts w:hint="eastAsia" w:ascii="仿宋_GB2312" w:eastAsia="仿宋_GB2312"/>
                <w:b/>
                <w:color w:val="auto"/>
                <w:sz w:val="24"/>
                <w:szCs w:val="24"/>
                <w:highlight w:val="none"/>
              </w:rPr>
              <w:t>合同名称：</w:t>
            </w:r>
          </w:p>
        </w:tc>
        <w:tc>
          <w:tcPr>
            <w:tcW w:w="5985" w:type="dxa"/>
            <w:noWrap w:val="0"/>
            <w:vAlign w:val="top"/>
          </w:tcPr>
          <w:p>
            <w:pPr>
              <w:spacing w:before="156" w:beforeLines="50" w:after="156" w:afterLines="50" w:line="360" w:lineRule="auto"/>
              <w:jc w:val="left"/>
              <w:rPr>
                <w:rFonts w:ascii="仿宋_GB2312" w:eastAsia="仿宋_GB2312"/>
                <w:color w:val="auto"/>
                <w:sz w:val="24"/>
                <w:szCs w:val="24"/>
                <w:highlight w:val="none"/>
                <w:u w:val="single"/>
              </w:rPr>
            </w:pPr>
            <w:bookmarkStart w:id="131" w:name="_Hlk173310880"/>
            <w:r>
              <w:rPr>
                <w:rFonts w:hint="eastAsia" w:ascii="Times New Roman" w:hAnsi="Times New Roman" w:eastAsia="仿宋_GB2312" w:cstheme="minorBidi"/>
                <w:bCs w:val="0"/>
                <w:color w:val="auto"/>
                <w:sz w:val="24"/>
                <w:szCs w:val="20"/>
                <w:highlight w:val="none"/>
                <w:u w:val="single"/>
                <w:lang w:eastAsia="zh-CN"/>
              </w:rPr>
              <w:t>莞城圳头城中村改造项目建设工程概念方案设计服务</w:t>
            </w:r>
            <w:bookmarkEnd w:id="131"/>
          </w:p>
        </w:tc>
      </w:tr>
      <w:tr>
        <w:tblPrEx>
          <w:tblLayout w:type="fixed"/>
          <w:tblCellMar>
            <w:top w:w="0" w:type="dxa"/>
            <w:left w:w="108" w:type="dxa"/>
            <w:bottom w:w="0" w:type="dxa"/>
            <w:right w:w="108" w:type="dxa"/>
          </w:tblCellMar>
        </w:tblPrEx>
        <w:trPr>
          <w:trHeight w:val="630" w:hRule="atLeast"/>
          <w:jc w:val="center"/>
        </w:trPr>
        <w:tc>
          <w:tcPr>
            <w:tcW w:w="2543" w:type="dxa"/>
            <w:noWrap w:val="0"/>
            <w:vAlign w:val="top"/>
          </w:tcPr>
          <w:p>
            <w:pPr>
              <w:spacing w:before="156" w:beforeLines="50" w:after="156" w:afterLines="50" w:line="360" w:lineRule="auto"/>
              <w:jc w:val="distribute"/>
              <w:rPr>
                <w:rFonts w:ascii="仿宋_GB2312" w:eastAsia="仿宋_GB2312"/>
                <w:b/>
                <w:color w:val="auto"/>
                <w:sz w:val="24"/>
                <w:szCs w:val="24"/>
                <w:highlight w:val="none"/>
              </w:rPr>
            </w:pPr>
            <w:r>
              <w:rPr>
                <w:rFonts w:hint="eastAsia" w:ascii="仿宋_GB2312" w:eastAsia="仿宋_GB2312"/>
                <w:b/>
                <w:color w:val="auto"/>
                <w:sz w:val="24"/>
                <w:szCs w:val="24"/>
                <w:highlight w:val="none"/>
              </w:rPr>
              <w:t>委托方（甲方）：</w:t>
            </w:r>
          </w:p>
        </w:tc>
        <w:tc>
          <w:tcPr>
            <w:tcW w:w="5985" w:type="dxa"/>
            <w:noWrap w:val="0"/>
            <w:vAlign w:val="top"/>
          </w:tcPr>
          <w:p>
            <w:pPr>
              <w:spacing w:before="156" w:beforeLines="50" w:after="156" w:afterLines="50" w:line="360" w:lineRule="auto"/>
              <w:jc w:val="left"/>
              <w:rPr>
                <w:rFonts w:ascii="仿宋_GB2312" w:eastAsia="仿宋_GB2312"/>
                <w:b/>
                <w:color w:val="auto"/>
                <w:sz w:val="24"/>
                <w:szCs w:val="24"/>
                <w:highlight w:val="none"/>
                <w:u w:val="single"/>
              </w:rPr>
            </w:pPr>
          </w:p>
        </w:tc>
      </w:tr>
      <w:tr>
        <w:tblPrEx>
          <w:tblLayout w:type="fixed"/>
          <w:tblCellMar>
            <w:top w:w="0" w:type="dxa"/>
            <w:left w:w="108" w:type="dxa"/>
            <w:bottom w:w="0" w:type="dxa"/>
            <w:right w:w="108" w:type="dxa"/>
          </w:tblCellMar>
        </w:tblPrEx>
        <w:trPr>
          <w:trHeight w:val="630" w:hRule="atLeast"/>
          <w:jc w:val="center"/>
        </w:trPr>
        <w:tc>
          <w:tcPr>
            <w:tcW w:w="2543" w:type="dxa"/>
            <w:noWrap w:val="0"/>
            <w:vAlign w:val="top"/>
          </w:tcPr>
          <w:p>
            <w:pPr>
              <w:spacing w:before="156" w:beforeLines="50" w:after="156" w:afterLines="50" w:line="360" w:lineRule="auto"/>
              <w:jc w:val="distribute"/>
              <w:rPr>
                <w:rFonts w:ascii="仿宋_GB2312" w:eastAsia="仿宋_GB2312"/>
                <w:b/>
                <w:color w:val="auto"/>
                <w:sz w:val="24"/>
                <w:szCs w:val="24"/>
                <w:highlight w:val="none"/>
              </w:rPr>
            </w:pPr>
            <w:r>
              <w:rPr>
                <w:rFonts w:hint="eastAsia" w:ascii="仿宋_GB2312" w:eastAsia="仿宋_GB2312"/>
                <w:b/>
                <w:color w:val="auto"/>
                <w:sz w:val="24"/>
                <w:szCs w:val="24"/>
                <w:highlight w:val="none"/>
              </w:rPr>
              <w:t>受托方（乙方）：</w:t>
            </w:r>
          </w:p>
        </w:tc>
        <w:tc>
          <w:tcPr>
            <w:tcW w:w="5985" w:type="dxa"/>
            <w:noWrap w:val="0"/>
            <w:vAlign w:val="top"/>
          </w:tcPr>
          <w:p>
            <w:pPr>
              <w:spacing w:before="156" w:beforeLines="50" w:after="156" w:afterLines="50" w:line="360" w:lineRule="auto"/>
              <w:jc w:val="left"/>
              <w:rPr>
                <w:rFonts w:ascii="仿宋_GB2312" w:eastAsia="仿宋_GB2312"/>
                <w:bCs/>
                <w:color w:val="auto"/>
                <w:sz w:val="24"/>
                <w:szCs w:val="24"/>
                <w:highlight w:val="none"/>
                <w:u w:val="single"/>
              </w:rPr>
            </w:pPr>
          </w:p>
        </w:tc>
      </w:tr>
      <w:tr>
        <w:tblPrEx>
          <w:tblLayout w:type="fixed"/>
          <w:tblCellMar>
            <w:top w:w="0" w:type="dxa"/>
            <w:left w:w="108" w:type="dxa"/>
            <w:bottom w:w="0" w:type="dxa"/>
            <w:right w:w="108" w:type="dxa"/>
          </w:tblCellMar>
        </w:tblPrEx>
        <w:trPr>
          <w:trHeight w:val="630" w:hRule="atLeast"/>
          <w:jc w:val="center"/>
        </w:trPr>
        <w:tc>
          <w:tcPr>
            <w:tcW w:w="2543" w:type="dxa"/>
            <w:noWrap w:val="0"/>
            <w:vAlign w:val="top"/>
          </w:tcPr>
          <w:p>
            <w:pPr>
              <w:spacing w:before="156" w:beforeLines="50" w:after="156" w:afterLines="50" w:line="360" w:lineRule="auto"/>
              <w:jc w:val="distribute"/>
              <w:rPr>
                <w:rFonts w:ascii="仿宋_GB2312" w:eastAsia="仿宋_GB2312"/>
                <w:b/>
                <w:color w:val="auto"/>
                <w:sz w:val="24"/>
                <w:szCs w:val="24"/>
                <w:highlight w:val="none"/>
              </w:rPr>
            </w:pPr>
            <w:r>
              <w:rPr>
                <w:rFonts w:hint="eastAsia" w:ascii="仿宋_GB2312" w:eastAsia="仿宋_GB2312"/>
                <w:b/>
                <w:color w:val="auto"/>
                <w:sz w:val="24"/>
                <w:szCs w:val="24"/>
                <w:highlight w:val="none"/>
              </w:rPr>
              <w:t>签订地点：</w:t>
            </w:r>
          </w:p>
        </w:tc>
        <w:tc>
          <w:tcPr>
            <w:tcW w:w="5985" w:type="dxa"/>
            <w:noWrap w:val="0"/>
            <w:vAlign w:val="top"/>
          </w:tcPr>
          <w:p>
            <w:pPr>
              <w:spacing w:before="156" w:beforeLines="50" w:after="156" w:afterLines="50" w:line="360" w:lineRule="auto"/>
              <w:jc w:val="left"/>
              <w:rPr>
                <w:rFonts w:ascii="仿宋_GB2312" w:eastAsia="仿宋_GB2312"/>
                <w:b/>
                <w:color w:val="auto"/>
                <w:sz w:val="24"/>
                <w:szCs w:val="24"/>
                <w:highlight w:val="none"/>
                <w:u w:val="single"/>
              </w:rPr>
            </w:pPr>
          </w:p>
        </w:tc>
      </w:tr>
      <w:tr>
        <w:tblPrEx>
          <w:tblLayout w:type="fixed"/>
          <w:tblCellMar>
            <w:top w:w="0" w:type="dxa"/>
            <w:left w:w="108" w:type="dxa"/>
            <w:bottom w:w="0" w:type="dxa"/>
            <w:right w:w="108" w:type="dxa"/>
          </w:tblCellMar>
        </w:tblPrEx>
        <w:trPr>
          <w:trHeight w:val="630" w:hRule="atLeast"/>
          <w:jc w:val="center"/>
        </w:trPr>
        <w:tc>
          <w:tcPr>
            <w:tcW w:w="2543" w:type="dxa"/>
            <w:noWrap w:val="0"/>
            <w:vAlign w:val="top"/>
          </w:tcPr>
          <w:p>
            <w:pPr>
              <w:spacing w:before="156" w:beforeLines="50" w:after="156" w:afterLines="50" w:line="360" w:lineRule="auto"/>
              <w:jc w:val="distribute"/>
              <w:rPr>
                <w:rFonts w:ascii="仿宋_GB2312" w:eastAsia="仿宋_GB2312"/>
                <w:b/>
                <w:color w:val="auto"/>
                <w:sz w:val="24"/>
                <w:szCs w:val="24"/>
                <w:highlight w:val="none"/>
              </w:rPr>
            </w:pPr>
            <w:r>
              <w:rPr>
                <w:rFonts w:hint="eastAsia" w:ascii="仿宋_GB2312" w:eastAsia="仿宋_GB2312"/>
                <w:b/>
                <w:color w:val="auto"/>
                <w:sz w:val="24"/>
                <w:szCs w:val="24"/>
                <w:highlight w:val="none"/>
              </w:rPr>
              <w:t>签订时间：</w:t>
            </w:r>
          </w:p>
        </w:tc>
        <w:tc>
          <w:tcPr>
            <w:tcW w:w="5985" w:type="dxa"/>
            <w:noWrap w:val="0"/>
            <w:vAlign w:val="top"/>
          </w:tcPr>
          <w:p>
            <w:pPr>
              <w:spacing w:before="156" w:beforeLines="50" w:after="156" w:afterLines="50" w:line="360" w:lineRule="auto"/>
              <w:jc w:val="left"/>
              <w:rPr>
                <w:rFonts w:ascii="仿宋_GB2312" w:eastAsia="仿宋_GB2312"/>
                <w:b/>
                <w:color w:val="auto"/>
                <w:sz w:val="24"/>
                <w:szCs w:val="24"/>
                <w:highlight w:val="none"/>
                <w:u w:val="single"/>
              </w:rPr>
            </w:pPr>
          </w:p>
        </w:tc>
      </w:tr>
    </w:tbl>
    <w:p>
      <w:pPr>
        <w:rPr>
          <w:rFonts w:ascii="宋体" w:hAnsi="宋体"/>
          <w:b/>
          <w:color w:val="auto"/>
          <w:sz w:val="28"/>
          <w:szCs w:val="28"/>
          <w:highlight w:val="none"/>
        </w:rPr>
      </w:pPr>
    </w:p>
    <w:p>
      <w:pPr>
        <w:rPr>
          <w:rFonts w:ascii="宋体" w:hAnsi="宋体"/>
          <w:b/>
          <w:color w:val="auto"/>
          <w:sz w:val="28"/>
          <w:szCs w:val="28"/>
          <w:highlight w:val="none"/>
        </w:rPr>
        <w:sectPr>
          <w:footerReference r:id="rId6" w:type="default"/>
          <w:pgSz w:w="11906" w:h="16838"/>
          <w:pgMar w:top="1440" w:right="1797" w:bottom="1440" w:left="1797" w:header="851" w:footer="992" w:gutter="0"/>
          <w:pgNumType w:fmt="decimal" w:start="2"/>
          <w:cols w:space="720" w:num="1"/>
          <w:docGrid w:type="lines" w:linePitch="312" w:charSpace="0"/>
        </w:sectPr>
      </w:pP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甲方委托乙方就</w:t>
      </w:r>
      <w:r>
        <w:rPr>
          <w:rFonts w:hint="eastAsia" w:ascii="仿宋" w:hAnsi="仿宋" w:eastAsia="仿宋" w:cstheme="minorBidi"/>
          <w:bCs w:val="0"/>
          <w:color w:val="auto"/>
          <w:sz w:val="21"/>
          <w:szCs w:val="21"/>
          <w:highlight w:val="none"/>
          <w:u w:val="none"/>
          <w:lang w:eastAsia="zh-CN"/>
        </w:rPr>
        <w:t>莞城圳头城中村改造项目建设工程概念方案设计服务</w:t>
      </w:r>
      <w:r>
        <w:rPr>
          <w:rFonts w:hint="eastAsia" w:ascii="仿宋" w:hAnsi="仿宋" w:eastAsia="仿宋"/>
          <w:color w:val="auto"/>
          <w:sz w:val="21"/>
          <w:szCs w:val="21"/>
          <w:highlight w:val="none"/>
        </w:rPr>
        <w:t>项目开展建设工程概念方案设计工作，双方根据《中华人民共和国民法典》及相关法律法规，经双方协商一致，签订本合同。</w:t>
      </w:r>
    </w:p>
    <w:p>
      <w:pPr>
        <w:spacing w:line="360" w:lineRule="auto"/>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一、项目基本情况</w:t>
      </w:r>
    </w:p>
    <w:p>
      <w:pPr>
        <w:spacing w:line="360" w:lineRule="auto"/>
        <w:ind w:firstLine="420" w:firstLineChars="200"/>
        <w:rPr>
          <w:rFonts w:ascii="仿宋" w:hAnsi="仿宋" w:eastAsia="仿宋"/>
          <w:b/>
          <w:color w:val="auto"/>
          <w:sz w:val="21"/>
          <w:szCs w:val="21"/>
          <w:highlight w:val="none"/>
          <w:u w:val="single"/>
        </w:rPr>
      </w:pPr>
      <w:r>
        <w:rPr>
          <w:rFonts w:hint="eastAsia" w:ascii="仿宋" w:hAnsi="仿宋" w:eastAsia="仿宋"/>
          <w:color w:val="auto"/>
          <w:sz w:val="21"/>
          <w:szCs w:val="21"/>
          <w:highlight w:val="none"/>
        </w:rPr>
        <w:t>1.1 项目名称：</w:t>
      </w:r>
      <w:r>
        <w:rPr>
          <w:rFonts w:hint="eastAsia" w:ascii="仿宋" w:hAnsi="仿宋" w:eastAsia="仿宋" w:cstheme="minorBidi"/>
          <w:bCs w:val="0"/>
          <w:color w:val="auto"/>
          <w:sz w:val="21"/>
          <w:szCs w:val="21"/>
          <w:highlight w:val="none"/>
          <w:u w:val="none"/>
          <w:lang w:eastAsia="zh-CN"/>
        </w:rPr>
        <w:t>莞城圳头城中村改造项目建设工程概念方案设计服务</w:t>
      </w:r>
    </w:p>
    <w:p>
      <w:pPr>
        <w:spacing w:line="360" w:lineRule="auto"/>
        <w:ind w:firstLine="420" w:firstLineChars="200"/>
        <w:rPr>
          <w:rFonts w:hint="eastAsia" w:ascii="仿宋" w:hAnsi="仿宋" w:eastAsia="仿宋"/>
          <w:color w:val="auto"/>
          <w:sz w:val="21"/>
          <w:szCs w:val="21"/>
          <w:highlight w:val="none"/>
          <w:lang w:eastAsia="zh-CN"/>
        </w:rPr>
      </w:pPr>
      <w:r>
        <w:rPr>
          <w:rFonts w:hint="eastAsia" w:ascii="仿宋" w:hAnsi="仿宋" w:eastAsia="仿宋"/>
          <w:color w:val="auto"/>
          <w:sz w:val="21"/>
          <w:szCs w:val="21"/>
          <w:highlight w:val="none"/>
        </w:rPr>
        <w:t>1.2 设计范围及要求：设计范围包括圳头及电化厂两个更新改造单元，总面积18.5公顷。其中，圳头单元为主体单元，需重点设计；电化厂单元为辅助表达单元，设计成果深度满足《东莞市“三旧”改造（城市更新）实施操作细则》的报批报审要求。具体详附件1《</w:t>
      </w:r>
      <w:r>
        <w:rPr>
          <w:rFonts w:hint="eastAsia" w:ascii="仿宋" w:hAnsi="仿宋" w:eastAsia="仿宋"/>
          <w:color w:val="auto"/>
          <w:sz w:val="21"/>
          <w:szCs w:val="21"/>
          <w:highlight w:val="none"/>
          <w:lang w:val="en-US" w:eastAsia="zh-CN"/>
        </w:rPr>
        <w:t>建设工程</w:t>
      </w:r>
      <w:r>
        <w:rPr>
          <w:rFonts w:hint="eastAsia" w:ascii="仿宋" w:hAnsi="仿宋" w:eastAsia="仿宋"/>
          <w:color w:val="auto"/>
          <w:sz w:val="21"/>
          <w:szCs w:val="21"/>
          <w:highlight w:val="none"/>
        </w:rPr>
        <w:t>概念方案设计任务书》</w:t>
      </w:r>
      <w:r>
        <w:rPr>
          <w:rFonts w:hint="eastAsia" w:ascii="仿宋" w:hAnsi="仿宋" w:eastAsia="仿宋"/>
          <w:color w:val="auto"/>
          <w:sz w:val="21"/>
          <w:szCs w:val="21"/>
          <w:highlight w:val="none"/>
          <w:lang w:eastAsia="zh-CN"/>
        </w:rPr>
        <w:t>。</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1.3 设计内容：</w:t>
      </w:r>
      <w:r>
        <w:rPr>
          <w:rFonts w:ascii="仿宋" w:hAnsi="仿宋" w:eastAsia="仿宋"/>
          <w:color w:val="auto"/>
          <w:sz w:val="21"/>
          <w:szCs w:val="21"/>
          <w:highlight w:val="none"/>
        </w:rPr>
        <w:t xml:space="preserve"> </w:t>
      </w:r>
    </w:p>
    <w:p>
      <w:pPr>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编制方案资料图册，包含项目设计、项目定位、彩色总平面图、效果图、交通分析图、</w:t>
      </w:r>
      <w:r>
        <w:rPr>
          <w:rFonts w:hint="eastAsia" w:ascii="仿宋" w:hAnsi="仿宋" w:eastAsia="仿宋"/>
          <w:color w:val="auto"/>
          <w:sz w:val="21"/>
          <w:szCs w:val="21"/>
          <w:highlight w:val="none"/>
        </w:rPr>
        <w:t>日照</w:t>
      </w:r>
      <w:r>
        <w:rPr>
          <w:rFonts w:hint="eastAsia" w:ascii="仿宋" w:hAnsi="仿宋" w:eastAsia="仿宋" w:cs="仿宋"/>
          <w:color w:val="auto"/>
          <w:sz w:val="21"/>
          <w:szCs w:val="21"/>
          <w:highlight w:val="none"/>
        </w:rPr>
        <w:t>分析图、单体户型图（标准层）。</w:t>
      </w:r>
    </w:p>
    <w:p>
      <w:pPr>
        <w:spacing w:line="360"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制作</w:t>
      </w:r>
      <w:r>
        <w:rPr>
          <w:rFonts w:hint="eastAsia" w:ascii="仿宋" w:hAnsi="仿宋" w:eastAsia="仿宋"/>
          <w:color w:val="auto"/>
          <w:sz w:val="21"/>
          <w:szCs w:val="21"/>
          <w:highlight w:val="none"/>
        </w:rPr>
        <w:t>方案</w:t>
      </w:r>
      <w:r>
        <w:rPr>
          <w:rFonts w:hint="eastAsia" w:ascii="仿宋" w:hAnsi="仿宋" w:eastAsia="仿宋" w:cs="仿宋"/>
          <w:color w:val="auto"/>
          <w:sz w:val="21"/>
          <w:szCs w:val="21"/>
          <w:highlight w:val="none"/>
        </w:rPr>
        <w:t>模型，包括建模模型、数据包。</w:t>
      </w:r>
    </w:p>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绘制</w:t>
      </w:r>
      <w:r>
        <w:rPr>
          <w:rFonts w:hint="eastAsia" w:ascii="仿宋" w:hAnsi="仿宋" w:eastAsia="仿宋"/>
          <w:color w:val="auto"/>
          <w:sz w:val="21"/>
          <w:szCs w:val="21"/>
          <w:highlight w:val="none"/>
        </w:rPr>
        <w:t>技术</w:t>
      </w:r>
      <w:r>
        <w:rPr>
          <w:rFonts w:hint="eastAsia" w:ascii="仿宋" w:hAnsi="仿宋" w:eastAsia="仿宋" w:cs="仿宋"/>
          <w:color w:val="auto"/>
          <w:sz w:val="21"/>
          <w:szCs w:val="21"/>
          <w:highlight w:val="none"/>
        </w:rPr>
        <w:t>总平面图，包括经济技术指标表，标注建筑物与道路、用地红线间距；建筑物间距、建筑物的尺寸、建筑高度等技术指标。</w:t>
      </w:r>
    </w:p>
    <w:p>
      <w:pPr>
        <w:spacing w:line="360" w:lineRule="auto"/>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二、项目成果</w:t>
      </w:r>
    </w:p>
    <w:p>
      <w:pPr>
        <w:spacing w:line="360" w:lineRule="auto"/>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2.1 本项目成果组成如下：</w:t>
      </w:r>
    </w:p>
    <w:tbl>
      <w:tblPr>
        <w:tblStyle w:val="38"/>
        <w:tblW w:w="8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4182"/>
        <w:gridCol w:w="1417"/>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jc w:val="center"/>
        </w:trPr>
        <w:tc>
          <w:tcPr>
            <w:tcW w:w="1223"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4182"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成果名称</w:t>
            </w:r>
          </w:p>
        </w:tc>
        <w:tc>
          <w:tcPr>
            <w:tcW w:w="1417"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规格</w:t>
            </w:r>
          </w:p>
        </w:tc>
        <w:tc>
          <w:tcPr>
            <w:tcW w:w="1235"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1223"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4182"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建筑文本、图纸及附件合订本</w:t>
            </w:r>
          </w:p>
        </w:tc>
        <w:tc>
          <w:tcPr>
            <w:tcW w:w="1417"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A4幅面</w:t>
            </w:r>
          </w:p>
        </w:tc>
        <w:tc>
          <w:tcPr>
            <w:tcW w:w="1235"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3"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4182"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成果电子文件</w:t>
            </w:r>
          </w:p>
        </w:tc>
        <w:tc>
          <w:tcPr>
            <w:tcW w:w="1417"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光盘</w:t>
            </w:r>
          </w:p>
        </w:tc>
        <w:tc>
          <w:tcPr>
            <w:tcW w:w="1235"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223"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6834" w:type="dxa"/>
            <w:gridSpan w:val="3"/>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如甲方需要额外增加成果数量，应支付相关费用。</w:t>
            </w:r>
          </w:p>
        </w:tc>
      </w:tr>
    </w:tbl>
    <w:p>
      <w:pPr>
        <w:spacing w:line="360" w:lineRule="auto"/>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2.2 本项目成果按以下标准和方式验收：</w:t>
      </w:r>
    </w:p>
    <w:p>
      <w:pPr>
        <w:spacing w:line="360" w:lineRule="auto"/>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2.2.1 内容和深度须按《城市规划编制办法》及国家、省、市现行的有关文件和规定执行；</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2.2.2 由乙方负责协助甲方组织有关部门和专家进行评议、评审，如规划成果符合相关要求的，乙方负责推进有关部门和专家进行评议、评审相关进程直至取得相关评审意见书。甲方需将评审意见书（副本）交付予乙方。</w:t>
      </w:r>
    </w:p>
    <w:p>
      <w:pPr>
        <w:spacing w:line="360" w:lineRule="auto"/>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三、项目进度</w:t>
      </w:r>
    </w:p>
    <w:p>
      <w:pPr>
        <w:spacing w:line="360" w:lineRule="auto"/>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3.1 本项目从合同生效后开始，具体进度安排如下：</w:t>
      </w:r>
    </w:p>
    <w:tbl>
      <w:tblPr>
        <w:tblStyle w:val="38"/>
        <w:tblW w:w="83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1653"/>
        <w:gridCol w:w="5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1313"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阶段划分</w:t>
            </w:r>
          </w:p>
        </w:tc>
        <w:tc>
          <w:tcPr>
            <w:tcW w:w="1653"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阶段成果</w:t>
            </w:r>
          </w:p>
        </w:tc>
        <w:tc>
          <w:tcPr>
            <w:tcW w:w="5420"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提交方式及时间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1313"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第一阶段</w:t>
            </w:r>
          </w:p>
        </w:tc>
        <w:tc>
          <w:tcPr>
            <w:tcW w:w="1653"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基础工作</w:t>
            </w:r>
          </w:p>
        </w:tc>
        <w:tc>
          <w:tcPr>
            <w:tcW w:w="5420" w:type="dxa"/>
            <w:noWrap w:val="0"/>
            <w:vAlign w:val="center"/>
          </w:tcPr>
          <w:p>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现状调研、分析等基础工作，与莞城街道主管部门开展工作协调，统一工作基础和共识，明确工作内容和目标。本合同签订后10个自然日内完成。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1313" w:type="dxa"/>
            <w:noWrap w:val="0"/>
            <w:vAlign w:val="center"/>
          </w:tcPr>
          <w:p>
            <w:pPr>
              <w:spacing w:line="360" w:lineRule="auto"/>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第二阶段</w:t>
            </w:r>
          </w:p>
        </w:tc>
        <w:tc>
          <w:tcPr>
            <w:tcW w:w="1653" w:type="dxa"/>
            <w:noWrap w:val="0"/>
            <w:vAlign w:val="center"/>
          </w:tcPr>
          <w:p>
            <w:pPr>
              <w:spacing w:line="360" w:lineRule="auto"/>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街道领导班子联席会议版概念方案</w:t>
            </w:r>
          </w:p>
        </w:tc>
        <w:tc>
          <w:tcPr>
            <w:tcW w:w="5420" w:type="dxa"/>
            <w:noWrap w:val="0"/>
            <w:vAlign w:val="center"/>
          </w:tcPr>
          <w:p>
            <w:pPr>
              <w:spacing w:line="360" w:lineRule="auto"/>
              <w:jc w:val="left"/>
              <w:rPr>
                <w:rFonts w:ascii="仿宋" w:hAnsi="仿宋" w:eastAsia="仿宋"/>
                <w:color w:val="auto"/>
                <w:sz w:val="21"/>
                <w:szCs w:val="21"/>
                <w:highlight w:val="none"/>
              </w:rPr>
            </w:pPr>
            <w:r>
              <w:rPr>
                <w:rFonts w:hint="eastAsia" w:ascii="仿宋" w:hAnsi="仿宋" w:eastAsia="仿宋"/>
                <w:color w:val="auto"/>
                <w:sz w:val="21"/>
                <w:szCs w:val="21"/>
                <w:highlight w:val="none"/>
              </w:rPr>
              <w:t>乙方在收齐</w:t>
            </w:r>
            <w:r>
              <w:rPr>
                <w:rFonts w:hint="eastAsia" w:ascii="仿宋" w:hAnsi="仿宋" w:eastAsia="仿宋"/>
                <w:b/>
                <w:color w:val="auto"/>
                <w:sz w:val="21"/>
                <w:szCs w:val="21"/>
                <w:highlight w:val="none"/>
                <w:u w:val="single"/>
              </w:rPr>
              <w:t xml:space="preserve"> 本合同第</w:t>
            </w:r>
            <w:r>
              <w:rPr>
                <w:rFonts w:hint="eastAsia" w:ascii="仿宋" w:hAnsi="仿宋" w:eastAsia="仿宋"/>
                <w:b/>
                <w:color w:val="auto"/>
                <w:sz w:val="21"/>
                <w:szCs w:val="21"/>
                <w:highlight w:val="none"/>
                <w:u w:val="single"/>
                <w:lang w:val="en-US" w:eastAsia="zh-CN"/>
              </w:rPr>
              <w:t>2</w:t>
            </w:r>
            <w:r>
              <w:rPr>
                <w:rFonts w:hint="eastAsia" w:ascii="仿宋" w:hAnsi="仿宋" w:eastAsia="仿宋"/>
                <w:b/>
                <w:color w:val="auto"/>
                <w:sz w:val="21"/>
                <w:szCs w:val="21"/>
                <w:highlight w:val="none"/>
                <w:u w:val="single"/>
              </w:rPr>
              <w:t xml:space="preserve">.1项所列全部资料 </w:t>
            </w:r>
            <w:r>
              <w:rPr>
                <w:rFonts w:hint="eastAsia" w:ascii="仿宋" w:hAnsi="仿宋" w:eastAsia="仿宋"/>
                <w:color w:val="auto"/>
                <w:sz w:val="21"/>
                <w:szCs w:val="21"/>
                <w:highlight w:val="none"/>
              </w:rPr>
              <w:t>后</w:t>
            </w:r>
            <w:r>
              <w:rPr>
                <w:rFonts w:hint="eastAsia" w:ascii="仿宋" w:hAnsi="仿宋" w:eastAsia="仿宋"/>
                <w:color w:val="auto"/>
                <w:sz w:val="21"/>
                <w:szCs w:val="21"/>
                <w:highlight w:val="none"/>
                <w:lang w:val="en-US" w:eastAsia="zh-CN"/>
              </w:rPr>
              <w:t>3</w:t>
            </w:r>
            <w:r>
              <w:rPr>
                <w:rFonts w:hint="eastAsia" w:ascii="仿宋" w:hAnsi="仿宋" w:eastAsia="仿宋"/>
                <w:color w:val="auto"/>
                <w:sz w:val="21"/>
                <w:szCs w:val="21"/>
                <w:highlight w:val="none"/>
              </w:rPr>
              <w:t>0个自然日内提交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3" w:type="dxa"/>
            <w:noWrap w:val="0"/>
            <w:vAlign w:val="center"/>
          </w:tcPr>
          <w:p>
            <w:pPr>
              <w:spacing w:line="360" w:lineRule="auto"/>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第三阶段</w:t>
            </w:r>
          </w:p>
        </w:tc>
        <w:tc>
          <w:tcPr>
            <w:tcW w:w="1653" w:type="dxa"/>
            <w:noWrap w:val="0"/>
            <w:vAlign w:val="center"/>
          </w:tcPr>
          <w:p>
            <w:pPr>
              <w:spacing w:line="360" w:lineRule="auto"/>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市自然资源局技术审查版概念方案</w:t>
            </w:r>
          </w:p>
        </w:tc>
        <w:tc>
          <w:tcPr>
            <w:tcW w:w="5420" w:type="dxa"/>
            <w:noWrap w:val="0"/>
            <w:vAlign w:val="center"/>
          </w:tcPr>
          <w:p>
            <w:pPr>
              <w:spacing w:line="360" w:lineRule="auto"/>
              <w:jc w:val="left"/>
              <w:rPr>
                <w:rFonts w:ascii="仿宋" w:hAnsi="仿宋" w:eastAsia="仿宋"/>
                <w:color w:val="auto"/>
                <w:sz w:val="21"/>
                <w:szCs w:val="21"/>
                <w:highlight w:val="none"/>
              </w:rPr>
            </w:pPr>
            <w:r>
              <w:rPr>
                <w:rFonts w:hint="eastAsia" w:ascii="仿宋" w:hAnsi="仿宋" w:eastAsia="仿宋"/>
                <w:color w:val="auto"/>
                <w:sz w:val="21"/>
                <w:szCs w:val="21"/>
                <w:highlight w:val="none"/>
              </w:rPr>
              <w:t>乙方在收到</w:t>
            </w:r>
            <w:r>
              <w:rPr>
                <w:rFonts w:hint="eastAsia" w:ascii="仿宋" w:hAnsi="仿宋" w:eastAsia="仿宋"/>
                <w:b/>
                <w:color w:val="auto"/>
                <w:sz w:val="21"/>
                <w:szCs w:val="21"/>
                <w:highlight w:val="none"/>
                <w:u w:val="single"/>
              </w:rPr>
              <w:t xml:space="preserve"> </w:t>
            </w:r>
            <w:r>
              <w:rPr>
                <w:rFonts w:hint="eastAsia" w:ascii="仿宋" w:hAnsi="仿宋" w:eastAsia="仿宋"/>
                <w:color w:val="auto"/>
                <w:sz w:val="21"/>
                <w:szCs w:val="21"/>
                <w:highlight w:val="none"/>
                <w:u w:val="single"/>
              </w:rPr>
              <w:t>街道领导班子联席会议</w:t>
            </w:r>
            <w:r>
              <w:rPr>
                <w:rFonts w:hint="eastAsia" w:ascii="仿宋" w:hAnsi="仿宋" w:eastAsia="仿宋"/>
                <w:b/>
                <w:color w:val="auto"/>
                <w:sz w:val="21"/>
                <w:szCs w:val="21"/>
                <w:highlight w:val="none"/>
                <w:u w:val="single"/>
              </w:rPr>
              <w:t xml:space="preserve">意见  </w:t>
            </w:r>
            <w:r>
              <w:rPr>
                <w:rFonts w:hint="eastAsia" w:ascii="仿宋" w:hAnsi="仿宋" w:eastAsia="仿宋"/>
                <w:color w:val="auto"/>
                <w:sz w:val="21"/>
                <w:szCs w:val="21"/>
                <w:highlight w:val="none"/>
              </w:rPr>
              <w:t>后</w:t>
            </w:r>
            <w:r>
              <w:rPr>
                <w:rFonts w:hint="eastAsia" w:ascii="仿宋" w:hAnsi="仿宋" w:eastAsia="仿宋"/>
                <w:color w:val="auto"/>
                <w:sz w:val="21"/>
                <w:szCs w:val="21"/>
                <w:highlight w:val="none"/>
                <w:lang w:val="en-US" w:eastAsia="zh-CN"/>
              </w:rPr>
              <w:t>20</w:t>
            </w:r>
            <w:r>
              <w:rPr>
                <w:rFonts w:hint="eastAsia" w:ascii="仿宋" w:hAnsi="仿宋" w:eastAsia="仿宋"/>
                <w:color w:val="auto"/>
                <w:sz w:val="21"/>
                <w:szCs w:val="21"/>
                <w:highlight w:val="none"/>
              </w:rPr>
              <w:t>个自然日内提交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3" w:type="dxa"/>
            <w:noWrap w:val="0"/>
            <w:vAlign w:val="center"/>
          </w:tcPr>
          <w:p>
            <w:pPr>
              <w:spacing w:line="360" w:lineRule="auto"/>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第四阶段</w:t>
            </w:r>
          </w:p>
        </w:tc>
        <w:tc>
          <w:tcPr>
            <w:tcW w:w="1653" w:type="dxa"/>
            <w:noWrap w:val="0"/>
            <w:vAlign w:val="center"/>
          </w:tcPr>
          <w:p>
            <w:pPr>
              <w:spacing w:line="360" w:lineRule="auto"/>
              <w:jc w:val="center"/>
              <w:rPr>
                <w:rFonts w:ascii="仿宋" w:hAnsi="仿宋" w:eastAsia="仿宋"/>
                <w:color w:val="auto"/>
                <w:sz w:val="21"/>
                <w:szCs w:val="21"/>
                <w:highlight w:val="none"/>
              </w:rPr>
            </w:pPr>
            <w:r>
              <w:rPr>
                <w:rFonts w:hint="eastAsia" w:ascii="仿宋" w:hAnsi="仿宋" w:eastAsia="仿宋"/>
                <w:color w:val="auto"/>
                <w:sz w:val="21"/>
                <w:szCs w:val="21"/>
                <w:highlight w:val="none"/>
              </w:rPr>
              <w:t>市详规委会版概念方案</w:t>
            </w:r>
          </w:p>
        </w:tc>
        <w:tc>
          <w:tcPr>
            <w:tcW w:w="5420" w:type="dxa"/>
            <w:noWrap w:val="0"/>
            <w:vAlign w:val="center"/>
          </w:tcPr>
          <w:p>
            <w:pPr>
              <w:spacing w:line="360" w:lineRule="auto"/>
              <w:jc w:val="left"/>
              <w:rPr>
                <w:rFonts w:ascii="仿宋" w:hAnsi="仿宋" w:eastAsia="仿宋"/>
                <w:color w:val="auto"/>
                <w:sz w:val="21"/>
                <w:szCs w:val="21"/>
                <w:highlight w:val="none"/>
              </w:rPr>
            </w:pPr>
            <w:r>
              <w:rPr>
                <w:rFonts w:hint="eastAsia" w:ascii="仿宋" w:hAnsi="仿宋" w:eastAsia="仿宋"/>
                <w:color w:val="auto"/>
                <w:sz w:val="21"/>
                <w:szCs w:val="21"/>
                <w:highlight w:val="none"/>
              </w:rPr>
              <w:t>乙方在收到</w:t>
            </w:r>
            <w:r>
              <w:rPr>
                <w:rFonts w:hint="eastAsia" w:ascii="仿宋" w:hAnsi="仿宋" w:eastAsia="仿宋"/>
                <w:b/>
                <w:color w:val="auto"/>
                <w:sz w:val="21"/>
                <w:szCs w:val="21"/>
                <w:highlight w:val="none"/>
                <w:u w:val="single"/>
              </w:rPr>
              <w:t xml:space="preserve"> </w:t>
            </w:r>
            <w:r>
              <w:rPr>
                <w:rFonts w:hint="eastAsia" w:ascii="仿宋" w:hAnsi="仿宋" w:eastAsia="仿宋"/>
                <w:b/>
                <w:bCs/>
                <w:color w:val="auto"/>
                <w:sz w:val="21"/>
                <w:szCs w:val="21"/>
                <w:highlight w:val="none"/>
                <w:u w:val="single"/>
              </w:rPr>
              <w:t>市自然资源局技术审查</w:t>
            </w:r>
            <w:r>
              <w:rPr>
                <w:rFonts w:hint="eastAsia" w:ascii="仿宋" w:hAnsi="仿宋" w:eastAsia="仿宋"/>
                <w:b/>
                <w:color w:val="auto"/>
                <w:sz w:val="21"/>
                <w:szCs w:val="21"/>
                <w:highlight w:val="none"/>
                <w:u w:val="single"/>
              </w:rPr>
              <w:t xml:space="preserve">评审意见 </w:t>
            </w:r>
            <w:r>
              <w:rPr>
                <w:rFonts w:hint="eastAsia" w:ascii="仿宋" w:hAnsi="仿宋" w:eastAsia="仿宋"/>
                <w:color w:val="auto"/>
                <w:sz w:val="21"/>
                <w:szCs w:val="21"/>
                <w:highlight w:val="none"/>
              </w:rPr>
              <w:t>后</w:t>
            </w:r>
            <w:r>
              <w:rPr>
                <w:rFonts w:hint="eastAsia" w:ascii="仿宋" w:hAnsi="仿宋" w:eastAsia="仿宋"/>
                <w:color w:val="auto"/>
                <w:sz w:val="21"/>
                <w:szCs w:val="21"/>
                <w:highlight w:val="none"/>
                <w:lang w:val="en-US" w:eastAsia="zh-CN"/>
              </w:rPr>
              <w:t>3</w:t>
            </w:r>
            <w:r>
              <w:rPr>
                <w:rFonts w:hint="eastAsia" w:ascii="仿宋" w:hAnsi="仿宋" w:eastAsia="仿宋"/>
                <w:color w:val="auto"/>
                <w:sz w:val="21"/>
                <w:szCs w:val="21"/>
                <w:highlight w:val="none"/>
              </w:rPr>
              <w:t>0个自然日内提交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3" w:type="dxa"/>
            <w:noWrap w:val="0"/>
            <w:vAlign w:val="center"/>
          </w:tcPr>
          <w:p>
            <w:pPr>
              <w:spacing w:line="360" w:lineRule="auto"/>
              <w:jc w:val="cente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第五阶段</w:t>
            </w:r>
          </w:p>
        </w:tc>
        <w:tc>
          <w:tcPr>
            <w:tcW w:w="1653" w:type="dxa"/>
            <w:noWrap w:val="0"/>
            <w:vAlign w:val="center"/>
          </w:tcPr>
          <w:p>
            <w:pPr>
              <w:spacing w:line="360" w:lineRule="auto"/>
              <w:jc w:val="cente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征求意见及上报审批工作</w:t>
            </w:r>
          </w:p>
        </w:tc>
        <w:tc>
          <w:tcPr>
            <w:tcW w:w="5420" w:type="dxa"/>
            <w:noWrap w:val="0"/>
            <w:vAlign w:val="center"/>
          </w:tcPr>
          <w:p>
            <w:pPr>
              <w:spacing w:line="360" w:lineRule="auto"/>
              <w:jc w:val="left"/>
              <w:rPr>
                <w:rFonts w:hint="eastAsia" w:ascii="仿宋" w:hAnsi="仿宋" w:eastAsia="仿宋"/>
                <w:color w:val="auto"/>
                <w:sz w:val="21"/>
                <w:szCs w:val="21"/>
                <w:highlight w:val="none"/>
              </w:rPr>
            </w:pPr>
            <w:r>
              <w:rPr>
                <w:rFonts w:hint="eastAsia" w:ascii="仿宋" w:hAnsi="仿宋" w:eastAsia="仿宋"/>
                <w:color w:val="auto"/>
                <w:sz w:val="21"/>
                <w:szCs w:val="21"/>
                <w:highlight w:val="none"/>
              </w:rPr>
              <w:t>乙方在收到</w:t>
            </w:r>
            <w:r>
              <w:rPr>
                <w:rFonts w:hint="eastAsia" w:ascii="仿宋" w:hAnsi="仿宋" w:eastAsia="仿宋"/>
                <w:b/>
                <w:bCs/>
                <w:color w:val="auto"/>
                <w:sz w:val="21"/>
                <w:szCs w:val="21"/>
                <w:highlight w:val="none"/>
                <w:u w:val="single"/>
              </w:rPr>
              <w:t xml:space="preserve"> 市详规委会</w:t>
            </w:r>
            <w:r>
              <w:rPr>
                <w:rFonts w:hint="eastAsia" w:ascii="仿宋" w:hAnsi="仿宋" w:eastAsia="仿宋"/>
                <w:b/>
                <w:color w:val="auto"/>
                <w:sz w:val="21"/>
                <w:szCs w:val="21"/>
                <w:highlight w:val="none"/>
                <w:u w:val="single"/>
              </w:rPr>
              <w:t>评审意见及</w:t>
            </w:r>
            <w:r>
              <w:rPr>
                <w:rFonts w:hint="eastAsia" w:ascii="仿宋" w:hAnsi="仿宋" w:eastAsia="仿宋"/>
                <w:b/>
                <w:bCs/>
                <w:color w:val="auto"/>
                <w:sz w:val="21"/>
                <w:szCs w:val="21"/>
                <w:highlight w:val="none"/>
                <w:u w:val="single"/>
              </w:rPr>
              <w:t xml:space="preserve">相关材料成果 </w:t>
            </w:r>
            <w:r>
              <w:rPr>
                <w:rFonts w:hint="eastAsia" w:ascii="仿宋" w:hAnsi="仿宋" w:eastAsia="仿宋"/>
                <w:color w:val="auto"/>
                <w:sz w:val="21"/>
                <w:szCs w:val="21"/>
                <w:highlight w:val="none"/>
              </w:rPr>
              <w:t>后</w:t>
            </w:r>
            <w:r>
              <w:rPr>
                <w:rFonts w:hint="eastAsia" w:ascii="仿宋" w:hAnsi="仿宋" w:eastAsia="仿宋"/>
                <w:color w:val="auto"/>
                <w:sz w:val="21"/>
                <w:szCs w:val="21"/>
                <w:highlight w:val="none"/>
                <w:lang w:val="en-US" w:eastAsia="zh-CN"/>
              </w:rPr>
              <w:t>20</w:t>
            </w:r>
            <w:r>
              <w:rPr>
                <w:rFonts w:hint="eastAsia" w:ascii="仿宋" w:hAnsi="仿宋" w:eastAsia="仿宋"/>
                <w:color w:val="auto"/>
                <w:sz w:val="21"/>
                <w:szCs w:val="21"/>
                <w:highlight w:val="none"/>
              </w:rPr>
              <w:t>个自然日内提交</w:t>
            </w:r>
          </w:p>
        </w:tc>
      </w:tr>
    </w:tbl>
    <w:p>
      <w:pPr>
        <w:spacing w:line="360" w:lineRule="auto"/>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3.2 以上时间为乙方工作时间，不包括因方案讨论、评审、报批而发生的时间，不包括因甲方原因造成工作延误而发生的时间，甲方不得以上述原因主张乙方存在逾期履行合同的行为，亦不得依据此原因要求乙方承担违约责任。</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3.3 如双方认为有必要，经协商一致，可对各阶段成果提交时间进行调整。</w:t>
      </w:r>
    </w:p>
    <w:p>
      <w:pPr>
        <w:spacing w:line="360" w:lineRule="auto"/>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四、建设工程概念方案设计费用及支付方式</w:t>
      </w:r>
    </w:p>
    <w:p>
      <w:pPr>
        <w:spacing w:line="360" w:lineRule="auto"/>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4.1 本项目</w:t>
      </w:r>
      <w:r>
        <w:rPr>
          <w:rFonts w:hint="eastAsia" w:ascii="仿宋" w:hAnsi="仿宋" w:eastAsia="仿宋"/>
          <w:color w:val="auto"/>
          <w:sz w:val="21"/>
          <w:szCs w:val="21"/>
          <w:highlight w:val="none"/>
          <w:lang w:val="en-US" w:eastAsia="zh-CN"/>
        </w:rPr>
        <w:t>总价包干，</w:t>
      </w:r>
      <w:r>
        <w:rPr>
          <w:rFonts w:hint="eastAsia" w:ascii="仿宋" w:hAnsi="仿宋" w:eastAsia="仿宋"/>
          <w:color w:val="auto"/>
          <w:sz w:val="21"/>
          <w:szCs w:val="21"/>
          <w:highlight w:val="none"/>
        </w:rPr>
        <w:t>合同金额为</w:t>
      </w:r>
      <w:r>
        <w:rPr>
          <w:rFonts w:hint="eastAsia" w:ascii="仿宋" w:hAnsi="仿宋" w:eastAsia="仿宋"/>
          <w:b/>
          <w:color w:val="auto"/>
          <w:sz w:val="21"/>
          <w:szCs w:val="21"/>
          <w:highlight w:val="none"/>
          <w:u w:val="none"/>
        </w:rPr>
        <w:t>￥</w:t>
      </w:r>
      <w:r>
        <w:rPr>
          <w:rFonts w:hint="eastAsia" w:ascii="仿宋" w:hAnsi="仿宋" w:eastAsia="仿宋"/>
          <w:b/>
          <w:color w:val="auto"/>
          <w:sz w:val="21"/>
          <w:szCs w:val="21"/>
          <w:highlight w:val="none"/>
          <w:u w:val="single"/>
        </w:rPr>
        <w:t xml:space="preserve">  </w:t>
      </w:r>
      <w:r>
        <w:rPr>
          <w:rFonts w:hint="eastAsia" w:ascii="仿宋" w:hAnsi="仿宋" w:eastAsia="仿宋"/>
          <w:b/>
          <w:color w:val="auto"/>
          <w:sz w:val="21"/>
          <w:szCs w:val="21"/>
          <w:highlight w:val="none"/>
          <w:u w:val="single"/>
          <w:lang w:val="en-US" w:eastAsia="zh-CN"/>
        </w:rPr>
        <w:t xml:space="preserve">  </w:t>
      </w:r>
      <w:r>
        <w:rPr>
          <w:rFonts w:hint="eastAsia" w:ascii="仿宋" w:hAnsi="仿宋" w:eastAsia="仿宋"/>
          <w:b/>
          <w:color w:val="auto"/>
          <w:sz w:val="21"/>
          <w:szCs w:val="21"/>
          <w:highlight w:val="none"/>
          <w:u w:val="single"/>
        </w:rPr>
        <w:t xml:space="preserve">  </w:t>
      </w:r>
      <w:r>
        <w:rPr>
          <w:rFonts w:hint="eastAsia" w:ascii="仿宋" w:hAnsi="仿宋" w:eastAsia="仿宋"/>
          <w:color w:val="auto"/>
          <w:sz w:val="21"/>
          <w:szCs w:val="21"/>
          <w:highlight w:val="none"/>
        </w:rPr>
        <w:t>元</w:t>
      </w:r>
      <w:r>
        <w:rPr>
          <w:rFonts w:hint="eastAsia" w:ascii="仿宋" w:hAnsi="仿宋" w:eastAsia="仿宋"/>
          <w:color w:val="auto"/>
          <w:sz w:val="21"/>
          <w:szCs w:val="21"/>
          <w:highlight w:val="none"/>
          <w:lang w:eastAsia="zh-CN"/>
        </w:rPr>
        <w:t>（</w:t>
      </w:r>
      <w:r>
        <w:rPr>
          <w:rFonts w:hint="eastAsia" w:ascii="仿宋" w:hAnsi="仿宋" w:eastAsia="仿宋"/>
          <w:color w:val="auto"/>
          <w:sz w:val="21"/>
          <w:szCs w:val="21"/>
          <w:highlight w:val="none"/>
          <w:lang w:val="en-US" w:eastAsia="zh-CN"/>
        </w:rPr>
        <w:t>大写：</w:t>
      </w:r>
      <w:r>
        <w:rPr>
          <w:rFonts w:hint="eastAsia" w:ascii="仿宋" w:hAnsi="仿宋" w:eastAsia="仿宋"/>
          <w:color w:val="auto"/>
          <w:sz w:val="21"/>
          <w:szCs w:val="21"/>
          <w:highlight w:val="none"/>
        </w:rPr>
        <w:t>人民币</w:t>
      </w:r>
      <w:r>
        <w:rPr>
          <w:rFonts w:hint="eastAsia" w:ascii="仿宋" w:hAnsi="仿宋" w:eastAsia="仿宋"/>
          <w:b/>
          <w:bCs/>
          <w:color w:val="auto"/>
          <w:sz w:val="21"/>
          <w:szCs w:val="21"/>
          <w:highlight w:val="none"/>
          <w:u w:val="single"/>
        </w:rPr>
        <w:t xml:space="preserve">   </w:t>
      </w:r>
      <w:r>
        <w:rPr>
          <w:rFonts w:hint="eastAsia" w:ascii="仿宋" w:hAnsi="仿宋" w:eastAsia="仿宋"/>
          <w:color w:val="auto"/>
          <w:sz w:val="21"/>
          <w:szCs w:val="21"/>
          <w:highlight w:val="none"/>
        </w:rPr>
        <w:t>元整</w:t>
      </w:r>
      <w:r>
        <w:rPr>
          <w:rFonts w:hint="eastAsia" w:ascii="仿宋" w:hAnsi="仿宋" w:eastAsia="仿宋"/>
          <w:color w:val="auto"/>
          <w:sz w:val="21"/>
          <w:szCs w:val="21"/>
          <w:highlight w:val="none"/>
          <w:lang w:eastAsia="zh-CN"/>
        </w:rPr>
        <w:t>）</w:t>
      </w:r>
      <w:r>
        <w:rPr>
          <w:rFonts w:hint="eastAsia" w:ascii="仿宋" w:hAnsi="仿宋" w:eastAsia="仿宋"/>
          <w:color w:val="auto"/>
          <w:sz w:val="21"/>
          <w:szCs w:val="21"/>
          <w:highlight w:val="none"/>
        </w:rPr>
        <w:t>，其中：增值税率为</w:t>
      </w:r>
      <w:r>
        <w:rPr>
          <w:rFonts w:hint="eastAsia" w:ascii="仿宋" w:hAnsi="仿宋" w:eastAsia="仿宋"/>
          <w:color w:val="auto"/>
          <w:sz w:val="21"/>
          <w:szCs w:val="21"/>
          <w:highlight w:val="none"/>
          <w:u w:val="single"/>
        </w:rPr>
        <w:t xml:space="preserve"> </w:t>
      </w:r>
      <w:r>
        <w:rPr>
          <w:rFonts w:hint="eastAsia" w:ascii="仿宋" w:hAnsi="仿宋" w:eastAsia="仿宋"/>
          <w:color w:val="auto"/>
          <w:sz w:val="21"/>
          <w:szCs w:val="21"/>
          <w:highlight w:val="none"/>
          <w:u w:val="single"/>
          <w:lang w:val="en-US" w:eastAsia="zh-CN"/>
        </w:rPr>
        <w:t xml:space="preserve"> </w:t>
      </w:r>
      <w:r>
        <w:rPr>
          <w:rFonts w:hint="eastAsia" w:ascii="仿宋" w:hAnsi="仿宋" w:eastAsia="仿宋"/>
          <w:color w:val="auto"/>
          <w:sz w:val="21"/>
          <w:szCs w:val="21"/>
          <w:highlight w:val="none"/>
          <w:u w:val="single"/>
        </w:rPr>
        <w:t xml:space="preserve"> </w:t>
      </w:r>
      <w:r>
        <w:rPr>
          <w:rFonts w:hint="eastAsia" w:ascii="仿宋" w:hAnsi="仿宋" w:eastAsia="仿宋"/>
          <w:color w:val="auto"/>
          <w:sz w:val="21"/>
          <w:szCs w:val="21"/>
          <w:highlight w:val="none"/>
        </w:rPr>
        <w:t>%，税金金额</w:t>
      </w:r>
      <w:r>
        <w:rPr>
          <w:rFonts w:hint="eastAsia" w:ascii="仿宋" w:hAnsi="仿宋" w:eastAsia="仿宋"/>
          <w:b/>
          <w:color w:val="auto"/>
          <w:sz w:val="21"/>
          <w:szCs w:val="21"/>
          <w:highlight w:val="none"/>
          <w:u w:val="single"/>
        </w:rPr>
        <w:t xml:space="preserve">￥   </w:t>
      </w:r>
      <w:r>
        <w:rPr>
          <w:rFonts w:hint="eastAsia" w:ascii="仿宋" w:hAnsi="仿宋" w:eastAsia="仿宋"/>
          <w:color w:val="auto"/>
          <w:sz w:val="21"/>
          <w:szCs w:val="21"/>
          <w:highlight w:val="none"/>
        </w:rPr>
        <w:t>元，不含税合同总价款为</w:t>
      </w:r>
      <w:r>
        <w:rPr>
          <w:rFonts w:hint="eastAsia" w:ascii="仿宋" w:hAnsi="仿宋" w:eastAsia="仿宋"/>
          <w:b/>
          <w:color w:val="auto"/>
          <w:sz w:val="21"/>
          <w:szCs w:val="21"/>
          <w:highlight w:val="none"/>
          <w:u w:val="single"/>
        </w:rPr>
        <w:t xml:space="preserve">￥     </w:t>
      </w:r>
      <w:r>
        <w:rPr>
          <w:rFonts w:hint="eastAsia" w:ascii="仿宋" w:hAnsi="仿宋" w:eastAsia="仿宋"/>
          <w:color w:val="auto"/>
          <w:sz w:val="21"/>
          <w:szCs w:val="21"/>
          <w:highlight w:val="none"/>
        </w:rPr>
        <w:t>元。</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4.2 本项目合同金额包括评审会费、差旅费、模型制作费、效果图制作</w:t>
      </w:r>
      <w:r>
        <w:rPr>
          <w:rFonts w:hint="eastAsia" w:ascii="仿宋" w:hAnsi="仿宋" w:eastAsia="仿宋"/>
          <w:color w:val="auto"/>
          <w:sz w:val="21"/>
          <w:szCs w:val="21"/>
          <w:highlight w:val="none"/>
          <w:lang w:eastAsia="zh-CN"/>
        </w:rPr>
        <w:t>、</w:t>
      </w:r>
      <w:r>
        <w:rPr>
          <w:rFonts w:hint="eastAsia" w:ascii="仿宋" w:hAnsi="仿宋" w:eastAsia="仿宋"/>
          <w:color w:val="auto"/>
          <w:sz w:val="21"/>
          <w:szCs w:val="21"/>
          <w:highlight w:val="none"/>
        </w:rPr>
        <w:t>动画演示制作费</w:t>
      </w:r>
      <w:r>
        <w:rPr>
          <w:rFonts w:hint="eastAsia" w:ascii="仿宋" w:hAnsi="仿宋" w:eastAsia="仿宋"/>
          <w:color w:val="auto"/>
          <w:sz w:val="21"/>
          <w:szCs w:val="21"/>
          <w:highlight w:val="none"/>
          <w:lang w:val="en-US" w:eastAsia="zh-CN"/>
        </w:rPr>
        <w:t>以及合同实施过程中的可预见或不可预见费用等全部费用</w:t>
      </w:r>
      <w:r>
        <w:rPr>
          <w:rFonts w:hint="eastAsia" w:ascii="仿宋" w:hAnsi="仿宋" w:eastAsia="仿宋"/>
          <w:color w:val="auto"/>
          <w:sz w:val="21"/>
          <w:szCs w:val="21"/>
          <w:highlight w:val="none"/>
        </w:rPr>
        <w:t>。</w:t>
      </w:r>
    </w:p>
    <w:p>
      <w:pPr>
        <w:spacing w:line="360" w:lineRule="auto"/>
        <w:ind w:firstLine="420" w:firstLineChars="200"/>
        <w:rPr>
          <w:color w:val="auto"/>
          <w:sz w:val="21"/>
          <w:szCs w:val="21"/>
          <w:highlight w:val="none"/>
        </w:rPr>
      </w:pPr>
      <w:r>
        <w:rPr>
          <w:rFonts w:hint="eastAsia" w:ascii="仿宋" w:hAnsi="仿宋" w:eastAsia="仿宋"/>
          <w:color w:val="auto"/>
          <w:sz w:val="21"/>
          <w:szCs w:val="21"/>
          <w:highlight w:val="none"/>
        </w:rPr>
        <w:t>4.3 每次付款前，乙方必须提供合法、有效、与本合同总价款条款中增值税税率一致的增值税专用发票给甲方，否则甲方有权拒绝付款且不构成违约；在甲方除支付质保金（若有）外的最后一期款项前，乙方须连同当期支付款项发票和质保金（若有）发票一并提交给甲方；若后期出现质保问题，按照质保责任和条款，部分或全部扣除质保金（若有）的，不退还相应金额的发票。若合同执行期间，遇国家税务政策调整所引起的合同价格变化，按照不含税价格调整结算价格。</w:t>
      </w:r>
    </w:p>
    <w:p>
      <w:pPr>
        <w:spacing w:line="360" w:lineRule="auto"/>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4.4 本项目合同金额用由甲方</w:t>
      </w:r>
      <w:r>
        <w:rPr>
          <w:rFonts w:hint="eastAsia" w:ascii="仿宋" w:hAnsi="仿宋" w:eastAsia="仿宋"/>
          <w:b/>
          <w:color w:val="auto"/>
          <w:sz w:val="21"/>
          <w:szCs w:val="21"/>
          <w:highlight w:val="none"/>
          <w:u w:val="single"/>
        </w:rPr>
        <w:t>按以下支付计划按阶段</w:t>
      </w:r>
      <w:r>
        <w:rPr>
          <w:rFonts w:hint="eastAsia" w:ascii="仿宋" w:hAnsi="仿宋" w:eastAsia="仿宋"/>
          <w:color w:val="auto"/>
          <w:sz w:val="21"/>
          <w:szCs w:val="21"/>
          <w:highlight w:val="none"/>
        </w:rPr>
        <w:t>支付给乙方，具体支付方式和支付时间如下：</w:t>
      </w:r>
    </w:p>
    <w:p>
      <w:pPr>
        <w:spacing w:line="360" w:lineRule="auto"/>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4.4.1 第一期：合同签订后，乙方向甲方提交请款报告，甲方在收到前述材料之日起30个工作日内向乙方支付至合同总金额的10％，作为项目首期款；</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4.4.2 第二期：乙方按要求完成建设工程概念方案初步成果，配合单元规划成果通过街道领导班子联席会议并取得会议纪要后，乙方向甲方提交请款报告，甲方在收到前述材料之日起30工作日内向乙方支付至合同总金额的40％；</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4.4.3第三期：乙方完成建设工程概念方案，配合单元规划成果通过市自然资源局技术审查并取得会议纪要后，乙方向甲方提交请款报告，甲方在收到前述材料之日起30个工作日内向乙方支付至合同总金额的70％；</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4.4.4第四期：配合控规调整成果通过市详规委会并取得会议纪要后，乙方向甲方提交请款报告，甲方在收到前述材料之日起30个工作日内向乙方支付至合同总金额的90%，；</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4.4.5第五期：项目提交正式控规调整成果通过市政府审批并取得规划批复文件后，且办理完结算手续后，乙方向甲方提交请款报告，甲方在收到前述材料之日起30个工作日内向乙方支付至结算价的 100%。</w:t>
      </w:r>
    </w:p>
    <w:p>
      <w:pPr>
        <w:spacing w:line="360" w:lineRule="auto"/>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五、双方责任</w:t>
      </w:r>
    </w:p>
    <w:p>
      <w:pPr>
        <w:spacing w:line="360" w:lineRule="auto"/>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5.1 甲方责任</w:t>
      </w:r>
    </w:p>
    <w:p>
      <w:pPr>
        <w:spacing w:line="360" w:lineRule="auto"/>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5.1.1 甲方应向乙方提供本项目所需相关资料，并对其完整性、正确性以及时限负责，因甲方提供本项目所需资料的完整性、正确性及时限存在瑕疵导致乙方所建设工程概念方案设计的内容存在瑕疵，相关责任均由甲方自行承担，乙方无需就该事项承担任何责任，本项目所需主要资料如下：</w:t>
      </w:r>
    </w:p>
    <w:tbl>
      <w:tblPr>
        <w:tblStyle w:val="38"/>
        <w:tblW w:w="83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3273"/>
        <w:gridCol w:w="4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3" w:type="dxa"/>
            <w:noWrap w:val="0"/>
            <w:vAlign w:val="center"/>
          </w:tcPr>
          <w:p>
            <w:pPr>
              <w:spacing w:line="360" w:lineRule="auto"/>
              <w:jc w:val="cente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序号</w:t>
            </w:r>
          </w:p>
        </w:tc>
        <w:tc>
          <w:tcPr>
            <w:tcW w:w="3273" w:type="dxa"/>
            <w:noWrap w:val="0"/>
            <w:vAlign w:val="center"/>
          </w:tcPr>
          <w:p>
            <w:pPr>
              <w:spacing w:line="360" w:lineRule="auto"/>
              <w:jc w:val="cente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资料名称</w:t>
            </w:r>
          </w:p>
        </w:tc>
        <w:tc>
          <w:tcPr>
            <w:tcW w:w="4158" w:type="dxa"/>
            <w:noWrap w:val="0"/>
            <w:vAlign w:val="center"/>
          </w:tcPr>
          <w:p>
            <w:pPr>
              <w:spacing w:line="360" w:lineRule="auto"/>
              <w:jc w:val="cente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3" w:type="dxa"/>
            <w:noWrap w:val="0"/>
            <w:vAlign w:val="top"/>
          </w:tcPr>
          <w:p>
            <w:pPr>
              <w:spacing w:line="360" w:lineRule="auto"/>
              <w:jc w:val="cente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1</w:t>
            </w:r>
          </w:p>
        </w:tc>
        <w:tc>
          <w:tcPr>
            <w:tcW w:w="3273" w:type="dxa"/>
            <w:noWrap w:val="0"/>
            <w:vAlign w:val="top"/>
          </w:tcPr>
          <w:p>
            <w:pPr>
              <w:spacing w:line="360" w:lineRule="auto"/>
              <w:jc w:val="cente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户型要求，配比等设计条件</w:t>
            </w:r>
          </w:p>
        </w:tc>
        <w:tc>
          <w:tcPr>
            <w:tcW w:w="4158" w:type="dxa"/>
            <w:noWrap w:val="0"/>
            <w:vAlign w:val="top"/>
          </w:tcPr>
          <w:p>
            <w:pPr>
              <w:spacing w:line="360" w:lineRule="auto"/>
              <w:jc w:val="cente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甲方在合同生效后</w:t>
            </w:r>
            <w:r>
              <w:rPr>
                <w:rFonts w:hint="eastAsia" w:ascii="仿宋" w:hAnsi="仿宋" w:eastAsia="仿宋"/>
                <w:color w:val="auto"/>
                <w:sz w:val="21"/>
                <w:szCs w:val="21"/>
                <w:highlight w:val="none"/>
                <w:u w:val="single"/>
              </w:rPr>
              <w:t>10</w:t>
            </w:r>
            <w:r>
              <w:rPr>
                <w:rFonts w:hint="eastAsia" w:ascii="仿宋" w:hAnsi="仿宋" w:eastAsia="仿宋"/>
                <w:color w:val="auto"/>
                <w:sz w:val="21"/>
                <w:szCs w:val="21"/>
                <w:highlight w:val="none"/>
              </w:rPr>
              <w:t>个工作日内提交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3" w:type="dxa"/>
            <w:noWrap w:val="0"/>
            <w:vAlign w:val="center"/>
          </w:tcPr>
          <w:p>
            <w:pPr>
              <w:spacing w:line="360" w:lineRule="auto"/>
              <w:jc w:val="cente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2</w:t>
            </w:r>
          </w:p>
        </w:tc>
        <w:tc>
          <w:tcPr>
            <w:tcW w:w="3273" w:type="dxa"/>
            <w:noWrap w:val="0"/>
            <w:vAlign w:val="top"/>
          </w:tcPr>
          <w:p>
            <w:pPr>
              <w:spacing w:line="360" w:lineRule="auto"/>
              <w:jc w:val="cente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根据设计需要，乙方要求甲方提供的其他资料</w:t>
            </w:r>
          </w:p>
        </w:tc>
        <w:tc>
          <w:tcPr>
            <w:tcW w:w="4158" w:type="dxa"/>
            <w:noWrap w:val="0"/>
            <w:vAlign w:val="top"/>
          </w:tcPr>
          <w:p>
            <w:pPr>
              <w:spacing w:line="360" w:lineRule="auto"/>
              <w:jc w:val="center"/>
              <w:rPr>
                <w:rFonts w:hint="eastAsia" w:ascii="仿宋" w:hAnsi="仿宋" w:eastAsia="仿宋"/>
                <w:color w:val="auto"/>
                <w:sz w:val="21"/>
                <w:szCs w:val="21"/>
                <w:highlight w:val="none"/>
              </w:rPr>
            </w:pPr>
            <w:r>
              <w:rPr>
                <w:rFonts w:hint="eastAsia" w:ascii="仿宋" w:hAnsi="仿宋" w:eastAsia="仿宋"/>
                <w:color w:val="auto"/>
                <w:sz w:val="21"/>
                <w:szCs w:val="21"/>
                <w:highlight w:val="none"/>
              </w:rPr>
              <w:t>甲方应于乙方书面通知后</w:t>
            </w:r>
            <w:r>
              <w:rPr>
                <w:rFonts w:hint="eastAsia" w:ascii="仿宋" w:hAnsi="仿宋" w:eastAsia="仿宋"/>
                <w:color w:val="auto"/>
                <w:sz w:val="21"/>
                <w:szCs w:val="21"/>
                <w:highlight w:val="none"/>
                <w:u w:val="single"/>
              </w:rPr>
              <w:t>10</w:t>
            </w:r>
            <w:r>
              <w:rPr>
                <w:rFonts w:hint="eastAsia" w:ascii="仿宋" w:hAnsi="仿宋" w:eastAsia="仿宋"/>
                <w:color w:val="auto"/>
                <w:sz w:val="21"/>
                <w:szCs w:val="21"/>
                <w:highlight w:val="none"/>
              </w:rPr>
              <w:t>个工作日内提交</w:t>
            </w:r>
          </w:p>
        </w:tc>
      </w:tr>
    </w:tbl>
    <w:p>
      <w:pPr>
        <w:spacing w:line="360" w:lineRule="auto"/>
        <w:ind w:firstLine="420" w:firstLineChars="200"/>
        <w:rPr>
          <w:rFonts w:ascii="仿宋" w:hAnsi="仿宋" w:eastAsia="仿宋"/>
          <w:color w:val="auto"/>
          <w:sz w:val="21"/>
          <w:szCs w:val="21"/>
          <w:highlight w:val="none"/>
        </w:rPr>
      </w:pPr>
      <w:r>
        <w:rPr>
          <w:rFonts w:ascii="仿宋" w:hAnsi="仿宋" w:eastAsia="仿宋"/>
          <w:color w:val="auto"/>
          <w:sz w:val="21"/>
          <w:szCs w:val="21"/>
          <w:highlight w:val="none"/>
        </w:rPr>
        <w:t>5.1.2</w:t>
      </w:r>
      <w:r>
        <w:rPr>
          <w:rFonts w:hint="eastAsia" w:ascii="仿宋" w:hAnsi="仿宋" w:eastAsia="仿宋"/>
          <w:color w:val="auto"/>
          <w:sz w:val="21"/>
          <w:szCs w:val="21"/>
          <w:highlight w:val="none"/>
        </w:rPr>
        <w:t xml:space="preserve"> 甲方提交上述资料及文件超过约定期限</w:t>
      </w:r>
      <w:r>
        <w:rPr>
          <w:rFonts w:hint="eastAsia" w:ascii="仿宋" w:hAnsi="仿宋" w:eastAsia="仿宋"/>
          <w:b/>
          <w:color w:val="auto"/>
          <w:sz w:val="21"/>
          <w:szCs w:val="21"/>
          <w:highlight w:val="none"/>
          <w:u w:val="single"/>
        </w:rPr>
        <w:t xml:space="preserve"> 10 个自然日</w:t>
      </w:r>
      <w:r>
        <w:rPr>
          <w:rFonts w:hint="eastAsia" w:ascii="仿宋" w:hAnsi="仿宋" w:eastAsia="仿宋"/>
          <w:color w:val="auto"/>
          <w:sz w:val="21"/>
          <w:szCs w:val="21"/>
          <w:highlight w:val="none"/>
        </w:rPr>
        <w:t>以内，乙方按本合同第3.1项约定的交付设计文件时间顺延；甲方交付上述资料及文件超过约定期限</w:t>
      </w:r>
      <w:r>
        <w:rPr>
          <w:rFonts w:hint="eastAsia" w:ascii="仿宋" w:hAnsi="仿宋" w:eastAsia="仿宋"/>
          <w:b/>
          <w:color w:val="auto"/>
          <w:sz w:val="21"/>
          <w:szCs w:val="21"/>
          <w:highlight w:val="none"/>
          <w:u w:val="single"/>
        </w:rPr>
        <w:t xml:space="preserve"> 10 个自然日</w:t>
      </w:r>
      <w:r>
        <w:rPr>
          <w:rFonts w:hint="eastAsia" w:ascii="仿宋" w:hAnsi="仿宋" w:eastAsia="仿宋"/>
          <w:color w:val="auto"/>
          <w:sz w:val="21"/>
          <w:szCs w:val="21"/>
          <w:highlight w:val="none"/>
        </w:rPr>
        <w:t>以上时，双方另行协商确定提交设计文件的时间。</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5</w:t>
      </w:r>
      <w:r>
        <w:rPr>
          <w:rFonts w:ascii="仿宋" w:hAnsi="仿宋" w:eastAsia="仿宋"/>
          <w:color w:val="auto"/>
          <w:sz w:val="21"/>
          <w:szCs w:val="21"/>
          <w:highlight w:val="none"/>
        </w:rPr>
        <w:t>.1.</w:t>
      </w:r>
      <w:r>
        <w:rPr>
          <w:rFonts w:hint="eastAsia" w:ascii="仿宋" w:hAnsi="仿宋" w:eastAsia="仿宋"/>
          <w:color w:val="auto"/>
          <w:sz w:val="21"/>
          <w:szCs w:val="21"/>
          <w:highlight w:val="none"/>
        </w:rPr>
        <w:t>3</w:t>
      </w:r>
      <w:r>
        <w:rPr>
          <w:rFonts w:ascii="仿宋" w:hAnsi="仿宋" w:eastAsia="仿宋"/>
          <w:color w:val="auto"/>
          <w:sz w:val="21"/>
          <w:szCs w:val="21"/>
          <w:highlight w:val="none"/>
        </w:rPr>
        <w:t xml:space="preserve"> </w:t>
      </w:r>
      <w:r>
        <w:rPr>
          <w:rFonts w:hint="eastAsia" w:ascii="仿宋" w:hAnsi="仿宋" w:eastAsia="仿宋"/>
          <w:color w:val="auto"/>
          <w:sz w:val="21"/>
          <w:szCs w:val="21"/>
          <w:highlight w:val="none"/>
        </w:rPr>
        <w:t>甲方应按本合同的约定，按时向乙方支付相关费用。</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 xml:space="preserve">5.1.4 </w:t>
      </w:r>
      <w:r>
        <w:rPr>
          <w:rFonts w:hint="eastAsia" w:ascii="仿宋" w:hAnsi="仿宋" w:eastAsia="仿宋"/>
          <w:b w:val="0"/>
          <w:color w:val="auto"/>
          <w:sz w:val="21"/>
          <w:szCs w:val="21"/>
          <w:highlight w:val="none"/>
        </w:rPr>
        <w:t>甲方有权根据项目的工作内容和成果要求，对乙方项目组主要成员的构成提出要求。在合同履行过程中，甲方如发现乙方项目组主要成员有甲方不可接受的错误，又或者甲方有正当理由对乙方项目组主要成员履行的服务不满意的，甲方有权要求乙方替换项目组主要成员。</w:t>
      </w:r>
    </w:p>
    <w:p>
      <w:pPr>
        <w:spacing w:line="360" w:lineRule="auto"/>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5.2乙方责任</w:t>
      </w:r>
    </w:p>
    <w:p>
      <w:pPr>
        <w:spacing w:line="360" w:lineRule="auto"/>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5</w:t>
      </w:r>
      <w:r>
        <w:rPr>
          <w:rFonts w:ascii="仿宋" w:hAnsi="仿宋" w:eastAsia="仿宋"/>
          <w:color w:val="auto"/>
          <w:sz w:val="21"/>
          <w:szCs w:val="21"/>
          <w:highlight w:val="none"/>
        </w:rPr>
        <w:t>.</w:t>
      </w:r>
      <w:r>
        <w:rPr>
          <w:rFonts w:hint="eastAsia" w:ascii="仿宋" w:hAnsi="仿宋" w:eastAsia="仿宋"/>
          <w:color w:val="auto"/>
          <w:sz w:val="21"/>
          <w:szCs w:val="21"/>
          <w:highlight w:val="none"/>
        </w:rPr>
        <w:t>2</w:t>
      </w:r>
      <w:r>
        <w:rPr>
          <w:rFonts w:ascii="仿宋" w:hAnsi="仿宋" w:eastAsia="仿宋"/>
          <w:color w:val="auto"/>
          <w:sz w:val="21"/>
          <w:szCs w:val="21"/>
          <w:highlight w:val="none"/>
        </w:rPr>
        <w:t>.</w:t>
      </w:r>
      <w:r>
        <w:rPr>
          <w:rFonts w:hint="eastAsia" w:ascii="仿宋" w:hAnsi="仿宋" w:eastAsia="仿宋"/>
          <w:color w:val="auto"/>
          <w:sz w:val="21"/>
          <w:szCs w:val="21"/>
          <w:highlight w:val="none"/>
        </w:rPr>
        <w:t>1 乙方应协助甲方组织各阶段成果的汇报、审查工作，并负责解答相应的技术问题。</w:t>
      </w:r>
    </w:p>
    <w:p>
      <w:pPr>
        <w:spacing w:line="360" w:lineRule="auto"/>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5</w:t>
      </w:r>
      <w:r>
        <w:rPr>
          <w:rFonts w:ascii="仿宋" w:hAnsi="仿宋" w:eastAsia="仿宋"/>
          <w:color w:val="auto"/>
          <w:sz w:val="21"/>
          <w:szCs w:val="21"/>
          <w:highlight w:val="none"/>
        </w:rPr>
        <w:t>.</w:t>
      </w:r>
      <w:r>
        <w:rPr>
          <w:rFonts w:hint="eastAsia" w:ascii="仿宋" w:hAnsi="仿宋" w:eastAsia="仿宋"/>
          <w:color w:val="auto"/>
          <w:sz w:val="21"/>
          <w:szCs w:val="21"/>
          <w:highlight w:val="none"/>
        </w:rPr>
        <w:t>2</w:t>
      </w:r>
      <w:r>
        <w:rPr>
          <w:rFonts w:ascii="仿宋" w:hAnsi="仿宋" w:eastAsia="仿宋"/>
          <w:color w:val="auto"/>
          <w:sz w:val="21"/>
          <w:szCs w:val="21"/>
          <w:highlight w:val="none"/>
        </w:rPr>
        <w:t>.</w:t>
      </w:r>
      <w:r>
        <w:rPr>
          <w:rFonts w:hint="eastAsia" w:ascii="仿宋" w:hAnsi="仿宋" w:eastAsia="仿宋"/>
          <w:color w:val="auto"/>
          <w:sz w:val="21"/>
          <w:szCs w:val="21"/>
          <w:highlight w:val="none"/>
        </w:rPr>
        <w:t>2 若乙方将本</w:t>
      </w:r>
      <w:r>
        <w:rPr>
          <w:rFonts w:hint="eastAsia" w:ascii="仿宋" w:hAnsi="仿宋" w:eastAsia="仿宋"/>
          <w:b w:val="0"/>
          <w:color w:val="auto"/>
          <w:sz w:val="21"/>
          <w:szCs w:val="21"/>
          <w:highlight w:val="none"/>
        </w:rPr>
        <w:t>项目</w:t>
      </w:r>
      <w:r>
        <w:rPr>
          <w:rFonts w:hint="eastAsia" w:ascii="仿宋" w:hAnsi="仿宋" w:eastAsia="仿宋"/>
          <w:color w:val="auto"/>
          <w:sz w:val="21"/>
          <w:szCs w:val="21"/>
          <w:highlight w:val="none"/>
        </w:rPr>
        <w:t>与第三方合作，需征得甲方同意。</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5</w:t>
      </w:r>
      <w:r>
        <w:rPr>
          <w:rFonts w:ascii="仿宋" w:hAnsi="仿宋" w:eastAsia="仿宋"/>
          <w:color w:val="auto"/>
          <w:sz w:val="21"/>
          <w:szCs w:val="21"/>
          <w:highlight w:val="none"/>
        </w:rPr>
        <w:t>.</w:t>
      </w:r>
      <w:r>
        <w:rPr>
          <w:rFonts w:hint="eastAsia" w:ascii="仿宋" w:hAnsi="仿宋" w:eastAsia="仿宋"/>
          <w:color w:val="auto"/>
          <w:sz w:val="21"/>
          <w:szCs w:val="21"/>
          <w:highlight w:val="none"/>
        </w:rPr>
        <w:t>2</w:t>
      </w:r>
      <w:r>
        <w:rPr>
          <w:rFonts w:ascii="仿宋" w:hAnsi="仿宋" w:eastAsia="仿宋"/>
          <w:color w:val="auto"/>
          <w:sz w:val="21"/>
          <w:szCs w:val="21"/>
          <w:highlight w:val="none"/>
        </w:rPr>
        <w:t>.</w:t>
      </w:r>
      <w:r>
        <w:rPr>
          <w:rFonts w:hint="eastAsia" w:ascii="仿宋" w:hAnsi="仿宋" w:eastAsia="仿宋"/>
          <w:color w:val="auto"/>
          <w:sz w:val="21"/>
          <w:szCs w:val="21"/>
          <w:highlight w:val="none"/>
        </w:rPr>
        <w:t>3 乙方应按国家及东莞的有关法规、设计标准、技术规范以及本合同约定的工作内容、技术标准、工作进度和成果要求进行工作，并按本合同第三条规定的工作进度向甲方交付成果。乙方应对其提交的成果质量负责。若项目成果出现遗漏或错误的情形，由乙方负责修订或补充。</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5.2.4 乙方有责任向需要配合的设计单位进行技术交底，并保证交底清晰完整，交底次数以工程设计实际需要为准。</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5.2.5在合同履行期间，乙方应亲自完成工程的设计，未经甲方书面同意，乙方不得将工程转包与第三人,否则视为乙方根本违约；甲方有权解除合同，并要求乙方按照合同总金额10%向甲方支付违约金，实际损失超过违约金的，乙方应当予以补足。</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5.2.6本项目</w:t>
      </w:r>
      <w:r>
        <w:rPr>
          <w:rFonts w:hint="eastAsia" w:ascii="仿宋" w:hAnsi="仿宋" w:eastAsia="仿宋"/>
          <w:b w:val="0"/>
          <w:color w:val="auto"/>
          <w:sz w:val="21"/>
          <w:szCs w:val="21"/>
          <w:highlight w:val="none"/>
        </w:rPr>
        <w:t>成果</w:t>
      </w:r>
      <w:r>
        <w:rPr>
          <w:rFonts w:hint="eastAsia" w:ascii="仿宋" w:hAnsi="仿宋" w:eastAsia="仿宋"/>
          <w:color w:val="auto"/>
          <w:sz w:val="21"/>
          <w:szCs w:val="21"/>
          <w:highlight w:val="none"/>
        </w:rPr>
        <w:t>通过本合同第三条规定的最终成果验收程序后 1 年以内，乙方仍应配合甲方就本项目提供必要的解释和咨询。</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5.2.7对于已经提交成果验收的各阶段成果文件，乙方必须按照甲方提供的书面成果审查或审批意见进行修改和完善，并向甲方提供相应的书面报告说明成果修改的详细情况。未经甲方同意，乙方不得随意修改已经验收的成果文件。</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5.2.8乙方应依据合同规定的工作内容和技术要求，组织具有相应能力的各层次技术人员组成本合同项目组。本合同履行期间，乙方替换项目组主要成员【</w:t>
      </w:r>
      <w:r>
        <w:rPr>
          <w:rFonts w:hint="eastAsia" w:ascii="仿宋" w:hAnsi="仿宋" w:eastAsia="仿宋"/>
          <w:color w:val="auto"/>
          <w:sz w:val="21"/>
          <w:szCs w:val="21"/>
          <w:highlight w:val="none"/>
          <w:lang w:val="en-US" w:eastAsia="zh-CN"/>
        </w:rPr>
        <w:t>格式</w:t>
      </w:r>
      <w:r>
        <w:rPr>
          <w:rFonts w:hint="eastAsia" w:ascii="仿宋" w:hAnsi="仿宋" w:eastAsia="仿宋"/>
          <w:color w:val="auto"/>
          <w:sz w:val="21"/>
          <w:szCs w:val="21"/>
          <w:highlight w:val="none"/>
        </w:rPr>
        <w:t>详</w:t>
      </w:r>
      <w:r>
        <w:rPr>
          <w:rFonts w:hint="eastAsia" w:ascii="仿宋" w:hAnsi="仿宋" w:eastAsia="仿宋"/>
          <w:color w:val="auto"/>
          <w:sz w:val="21"/>
          <w:szCs w:val="21"/>
          <w:highlight w:val="none"/>
          <w:lang w:val="en-US" w:eastAsia="zh-CN"/>
        </w:rPr>
        <w:t>见</w:t>
      </w:r>
      <w:r>
        <w:rPr>
          <w:rFonts w:hint="eastAsia" w:ascii="仿宋" w:hAnsi="仿宋" w:eastAsia="仿宋"/>
          <w:color w:val="auto"/>
          <w:sz w:val="21"/>
          <w:szCs w:val="21"/>
          <w:highlight w:val="none"/>
        </w:rPr>
        <w:t>附件</w:t>
      </w:r>
      <w:r>
        <w:rPr>
          <w:rFonts w:hint="eastAsia" w:ascii="仿宋" w:hAnsi="仿宋" w:eastAsia="仿宋"/>
          <w:color w:val="auto"/>
          <w:sz w:val="21"/>
          <w:szCs w:val="21"/>
          <w:highlight w:val="none"/>
          <w:lang w:val="en-US" w:eastAsia="zh-CN"/>
        </w:rPr>
        <w:t>2</w:t>
      </w:r>
      <w:r>
        <w:rPr>
          <w:rFonts w:hint="eastAsia" w:ascii="仿宋" w:hAnsi="仿宋" w:eastAsia="仿宋"/>
          <w:color w:val="auto"/>
          <w:sz w:val="21"/>
          <w:szCs w:val="21"/>
          <w:highlight w:val="none"/>
        </w:rPr>
        <w:t>】（包含但不限于项目负责人及各专业负责人）必须征得甲方同意。</w:t>
      </w:r>
    </w:p>
    <w:p>
      <w:pPr>
        <w:spacing w:line="360" w:lineRule="auto"/>
        <w:rPr>
          <w:rFonts w:hint="eastAsia" w:ascii="仿宋" w:hAnsi="仿宋" w:eastAsia="仿宋"/>
          <w:b/>
          <w:bCs/>
          <w:color w:val="auto"/>
          <w:sz w:val="21"/>
          <w:szCs w:val="21"/>
          <w:highlight w:val="none"/>
        </w:rPr>
      </w:pPr>
      <w:r>
        <w:rPr>
          <w:rFonts w:hint="eastAsia" w:ascii="仿宋" w:hAnsi="仿宋" w:eastAsia="仿宋"/>
          <w:b/>
          <w:bCs/>
          <w:color w:val="auto"/>
          <w:sz w:val="21"/>
          <w:szCs w:val="21"/>
          <w:highlight w:val="none"/>
        </w:rPr>
        <w:t>六、成果权属</w:t>
      </w:r>
    </w:p>
    <w:p>
      <w:pPr>
        <w:spacing w:line="360" w:lineRule="auto"/>
        <w:ind w:firstLine="420" w:firstLineChars="200"/>
        <w:rPr>
          <w:rFonts w:hint="eastAsia" w:ascii="仿宋" w:hAnsi="仿宋" w:eastAsia="仿宋"/>
          <w:bCs/>
          <w:color w:val="auto"/>
          <w:sz w:val="21"/>
          <w:szCs w:val="21"/>
          <w:highlight w:val="none"/>
        </w:rPr>
      </w:pPr>
      <w:r>
        <w:rPr>
          <w:rFonts w:hint="eastAsia" w:ascii="仿宋" w:hAnsi="仿宋" w:eastAsia="仿宋"/>
          <w:bCs/>
          <w:color w:val="auto"/>
          <w:sz w:val="21"/>
          <w:szCs w:val="21"/>
          <w:highlight w:val="none"/>
        </w:rPr>
        <w:t>6.1 甲方拥有本合同项目的所有中间成果和最终成果，本合同另有约定的除外。未经甲方书面同意，乙方不得以任何形式使用前述成果。</w:t>
      </w:r>
    </w:p>
    <w:p>
      <w:pPr>
        <w:spacing w:line="360" w:lineRule="auto"/>
        <w:ind w:firstLine="420" w:firstLineChars="200"/>
        <w:rPr>
          <w:rFonts w:hint="eastAsia" w:ascii="仿宋" w:hAnsi="仿宋" w:eastAsia="仿宋"/>
          <w:bCs/>
          <w:color w:val="auto"/>
          <w:sz w:val="21"/>
          <w:szCs w:val="21"/>
          <w:highlight w:val="none"/>
        </w:rPr>
      </w:pPr>
      <w:r>
        <w:rPr>
          <w:rFonts w:hint="eastAsia" w:ascii="仿宋" w:hAnsi="仿宋" w:eastAsia="仿宋"/>
          <w:bCs/>
          <w:color w:val="auto"/>
          <w:sz w:val="21"/>
          <w:szCs w:val="21"/>
          <w:highlight w:val="none"/>
        </w:rPr>
        <w:t>6.2 甲方应在</w:t>
      </w:r>
      <w:r>
        <w:rPr>
          <w:rFonts w:hint="eastAsia" w:ascii="仿宋" w:hAnsi="仿宋" w:eastAsia="仿宋"/>
          <w:color w:val="auto"/>
          <w:sz w:val="21"/>
          <w:szCs w:val="21"/>
          <w:highlight w:val="none"/>
        </w:rPr>
        <w:t>公开</w:t>
      </w:r>
      <w:r>
        <w:rPr>
          <w:rFonts w:hint="eastAsia" w:ascii="仿宋" w:hAnsi="仿宋" w:eastAsia="仿宋"/>
          <w:bCs/>
          <w:color w:val="auto"/>
          <w:sz w:val="21"/>
          <w:szCs w:val="21"/>
          <w:highlight w:val="none"/>
        </w:rPr>
        <w:t>成果时注明乙方为本合同项目受委托人，乙方享有与甲方共同获得与本合同项目成果相关的荣誉证书和奖励的权利，但相关奖金及物质奖励归甲方所有。</w:t>
      </w:r>
    </w:p>
    <w:p>
      <w:pPr>
        <w:spacing w:line="360" w:lineRule="auto"/>
        <w:ind w:firstLine="420" w:firstLineChars="200"/>
        <w:rPr>
          <w:rFonts w:hint="eastAsia" w:ascii="仿宋" w:hAnsi="仿宋" w:eastAsia="仿宋"/>
          <w:bCs/>
          <w:color w:val="auto"/>
          <w:sz w:val="21"/>
          <w:szCs w:val="21"/>
          <w:highlight w:val="none"/>
        </w:rPr>
      </w:pPr>
      <w:r>
        <w:rPr>
          <w:rFonts w:hint="eastAsia" w:ascii="仿宋" w:hAnsi="仿宋" w:eastAsia="仿宋"/>
          <w:bCs/>
          <w:color w:val="auto"/>
          <w:sz w:val="21"/>
          <w:szCs w:val="21"/>
          <w:highlight w:val="none"/>
        </w:rPr>
        <w:t>6.3 乙方享有本合同项目中间成果或最终成果的下列相关权利：</w:t>
      </w:r>
    </w:p>
    <w:p>
      <w:pPr>
        <w:spacing w:line="360" w:lineRule="auto"/>
        <w:ind w:firstLine="420" w:firstLineChars="200"/>
        <w:rPr>
          <w:rFonts w:hint="eastAsia" w:ascii="仿宋" w:hAnsi="仿宋" w:eastAsia="仿宋"/>
          <w:bCs/>
          <w:color w:val="auto"/>
          <w:sz w:val="21"/>
          <w:szCs w:val="21"/>
          <w:highlight w:val="none"/>
        </w:rPr>
      </w:pPr>
      <w:r>
        <w:rPr>
          <w:rFonts w:hint="eastAsia" w:ascii="仿宋" w:hAnsi="仿宋" w:eastAsia="仿宋"/>
          <w:bCs/>
          <w:color w:val="auto"/>
          <w:sz w:val="21"/>
          <w:szCs w:val="21"/>
          <w:highlight w:val="none"/>
        </w:rPr>
        <w:t>6.3.1 经甲方</w:t>
      </w:r>
      <w:r>
        <w:rPr>
          <w:rFonts w:hint="eastAsia" w:ascii="仿宋" w:hAnsi="仿宋" w:eastAsia="仿宋"/>
          <w:color w:val="auto"/>
          <w:sz w:val="21"/>
          <w:szCs w:val="21"/>
          <w:highlight w:val="none"/>
        </w:rPr>
        <w:t>同意</w:t>
      </w:r>
      <w:r>
        <w:rPr>
          <w:rFonts w:hint="eastAsia" w:ascii="仿宋" w:hAnsi="仿宋" w:eastAsia="仿宋"/>
          <w:bCs/>
          <w:color w:val="auto"/>
          <w:sz w:val="21"/>
          <w:szCs w:val="21"/>
          <w:highlight w:val="none"/>
        </w:rPr>
        <w:t>后，乙方可利用本合同项目中间成果或最终成果用于学术研究，发表论文或著作；</w:t>
      </w:r>
    </w:p>
    <w:p>
      <w:pPr>
        <w:spacing w:line="360" w:lineRule="auto"/>
        <w:ind w:firstLine="420" w:firstLineChars="200"/>
        <w:rPr>
          <w:rFonts w:hint="eastAsia"/>
          <w:color w:val="auto"/>
          <w:sz w:val="21"/>
          <w:szCs w:val="21"/>
          <w:highlight w:val="none"/>
        </w:rPr>
      </w:pPr>
      <w:r>
        <w:rPr>
          <w:rFonts w:hint="eastAsia" w:ascii="仿宋" w:hAnsi="仿宋" w:eastAsia="仿宋"/>
          <w:bCs/>
          <w:color w:val="auto"/>
          <w:sz w:val="21"/>
          <w:szCs w:val="21"/>
          <w:highlight w:val="none"/>
        </w:rPr>
        <w:t>6.3.2 经</w:t>
      </w:r>
      <w:r>
        <w:rPr>
          <w:rFonts w:hint="eastAsia" w:ascii="仿宋" w:hAnsi="仿宋" w:eastAsia="仿宋"/>
          <w:color w:val="auto"/>
          <w:sz w:val="21"/>
          <w:szCs w:val="21"/>
          <w:highlight w:val="none"/>
        </w:rPr>
        <w:t>甲方</w:t>
      </w:r>
      <w:r>
        <w:rPr>
          <w:rFonts w:hint="eastAsia" w:ascii="仿宋" w:hAnsi="仿宋" w:eastAsia="仿宋"/>
          <w:bCs/>
          <w:color w:val="auto"/>
          <w:sz w:val="21"/>
          <w:szCs w:val="21"/>
          <w:highlight w:val="none"/>
        </w:rPr>
        <w:t>同意后，以受委托人的身份利用甲方已公开的成果对外宣传的权利。</w:t>
      </w:r>
    </w:p>
    <w:p>
      <w:pPr>
        <w:spacing w:line="360" w:lineRule="auto"/>
        <w:ind w:firstLine="420" w:firstLineChars="200"/>
        <w:rPr>
          <w:rFonts w:ascii="仿宋" w:hAnsi="仿宋" w:eastAsia="仿宋"/>
          <w:color w:val="auto"/>
          <w:sz w:val="21"/>
          <w:szCs w:val="21"/>
          <w:highlight w:val="none"/>
        </w:rPr>
      </w:pPr>
      <w:r>
        <w:rPr>
          <w:rFonts w:hint="eastAsia" w:ascii="仿宋" w:hAnsi="仿宋" w:eastAsia="仿宋"/>
          <w:bCs/>
          <w:color w:val="auto"/>
          <w:sz w:val="21"/>
          <w:szCs w:val="21"/>
          <w:highlight w:val="none"/>
        </w:rPr>
        <w:t>6.4 双方对本合同项目成果权属的特别约定如下：</w:t>
      </w:r>
      <w:r>
        <w:rPr>
          <w:rFonts w:hint="eastAsia" w:ascii="仿宋" w:hAnsi="仿宋" w:eastAsia="仿宋"/>
          <w:bCs/>
          <w:color w:val="auto"/>
          <w:sz w:val="21"/>
          <w:szCs w:val="21"/>
          <w:highlight w:val="none"/>
          <w:u w:val="single"/>
        </w:rPr>
        <w:t xml:space="preserve">     /      </w:t>
      </w:r>
      <w:r>
        <w:rPr>
          <w:rFonts w:hint="eastAsia" w:ascii="仿宋" w:hAnsi="仿宋" w:eastAsia="仿宋"/>
          <w:bCs/>
          <w:color w:val="auto"/>
          <w:sz w:val="21"/>
          <w:szCs w:val="21"/>
          <w:highlight w:val="none"/>
        </w:rPr>
        <w:t>。</w:t>
      </w:r>
    </w:p>
    <w:p>
      <w:pPr>
        <w:spacing w:line="360" w:lineRule="auto"/>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七、保密条款</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7</w:t>
      </w:r>
      <w:r>
        <w:rPr>
          <w:rFonts w:ascii="仿宋" w:hAnsi="仿宋" w:eastAsia="仿宋"/>
          <w:color w:val="auto"/>
          <w:sz w:val="21"/>
          <w:szCs w:val="21"/>
          <w:highlight w:val="none"/>
        </w:rPr>
        <w:t xml:space="preserve">.1 </w:t>
      </w:r>
      <w:r>
        <w:rPr>
          <w:rFonts w:hint="eastAsia" w:ascii="仿宋" w:hAnsi="仿宋" w:eastAsia="仿宋"/>
          <w:color w:val="auto"/>
          <w:sz w:val="21"/>
          <w:szCs w:val="21"/>
          <w:highlight w:val="none"/>
        </w:rPr>
        <w:t>甲乙双方应遵守</w:t>
      </w:r>
      <w:r>
        <w:rPr>
          <w:rFonts w:hint="eastAsia" w:ascii="仿宋" w:hAnsi="仿宋" w:eastAsia="仿宋"/>
          <w:bCs/>
          <w:color w:val="auto"/>
          <w:sz w:val="21"/>
          <w:szCs w:val="21"/>
          <w:highlight w:val="none"/>
        </w:rPr>
        <w:t>国家</w:t>
      </w:r>
      <w:r>
        <w:rPr>
          <w:rFonts w:hint="eastAsia" w:ascii="仿宋" w:hAnsi="仿宋" w:eastAsia="仿宋"/>
          <w:color w:val="auto"/>
          <w:sz w:val="21"/>
          <w:szCs w:val="21"/>
          <w:highlight w:val="none"/>
        </w:rPr>
        <w:t>的有关保密规定。妥善保管对方提供的资料，保守对方的各项秘密，并保护对方的知识产权。</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7.2</w:t>
      </w:r>
      <w:r>
        <w:rPr>
          <w:rFonts w:ascii="仿宋" w:hAnsi="仿宋" w:eastAsia="仿宋"/>
          <w:color w:val="auto"/>
          <w:sz w:val="21"/>
          <w:szCs w:val="21"/>
          <w:highlight w:val="none"/>
        </w:rPr>
        <w:t xml:space="preserve"> </w:t>
      </w:r>
      <w:r>
        <w:rPr>
          <w:rFonts w:hint="eastAsia" w:ascii="仿宋" w:hAnsi="仿宋" w:eastAsia="仿宋"/>
          <w:color w:val="auto"/>
          <w:sz w:val="21"/>
          <w:szCs w:val="21"/>
          <w:highlight w:val="none"/>
        </w:rPr>
        <w:t>未经对方许可，任何一方均不得将对方的资料或成果向第三方转让或用于本合同项目外的其他项目。如发生以上情况，泄密方承担一切由此引起的后果，并支付合同总价款5%的违约金及维权成本等。</w:t>
      </w:r>
    </w:p>
    <w:p>
      <w:pPr>
        <w:spacing w:line="360" w:lineRule="auto"/>
        <w:ind w:firstLine="420" w:firstLineChars="200"/>
        <w:rPr>
          <w:rFonts w:hint="eastAsia" w:ascii="仿宋" w:hAnsi="仿宋" w:eastAsia="仿宋"/>
          <w:b/>
          <w:bCs/>
          <w:color w:val="auto"/>
          <w:sz w:val="21"/>
          <w:szCs w:val="21"/>
          <w:highlight w:val="none"/>
        </w:rPr>
      </w:pPr>
      <w:r>
        <w:rPr>
          <w:rFonts w:hint="eastAsia" w:ascii="仿宋" w:hAnsi="仿宋" w:eastAsia="仿宋"/>
          <w:color w:val="auto"/>
          <w:sz w:val="21"/>
          <w:szCs w:val="21"/>
          <w:highlight w:val="none"/>
        </w:rPr>
        <w:t>7.3</w:t>
      </w:r>
      <w:r>
        <w:rPr>
          <w:rFonts w:ascii="仿宋" w:hAnsi="仿宋" w:eastAsia="仿宋"/>
          <w:color w:val="auto"/>
          <w:sz w:val="21"/>
          <w:szCs w:val="21"/>
          <w:highlight w:val="none"/>
        </w:rPr>
        <w:t xml:space="preserve"> </w:t>
      </w:r>
      <w:r>
        <w:rPr>
          <w:rFonts w:hint="eastAsia" w:ascii="仿宋" w:hAnsi="仿宋" w:eastAsia="仿宋"/>
          <w:color w:val="auto"/>
          <w:sz w:val="21"/>
          <w:szCs w:val="21"/>
          <w:highlight w:val="none"/>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5%的违约金及维权成本等。</w:t>
      </w:r>
    </w:p>
    <w:p>
      <w:pPr>
        <w:spacing w:line="360" w:lineRule="auto"/>
        <w:rPr>
          <w:rFonts w:ascii="仿宋" w:hAnsi="仿宋" w:eastAsia="仿宋"/>
          <w:b/>
          <w:bCs/>
          <w:color w:val="auto"/>
          <w:sz w:val="21"/>
          <w:szCs w:val="21"/>
          <w:highlight w:val="none"/>
        </w:rPr>
      </w:pPr>
      <w:r>
        <w:rPr>
          <w:rFonts w:hint="eastAsia" w:ascii="仿宋" w:hAnsi="仿宋" w:eastAsia="仿宋"/>
          <w:b/>
          <w:bCs/>
          <w:color w:val="auto"/>
          <w:sz w:val="21"/>
          <w:szCs w:val="21"/>
          <w:highlight w:val="none"/>
        </w:rPr>
        <w:t>八、违约责任</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8.1 甲方</w:t>
      </w:r>
      <w:r>
        <w:rPr>
          <w:rFonts w:hint="eastAsia" w:ascii="仿宋" w:hAnsi="仿宋" w:eastAsia="仿宋"/>
          <w:bCs/>
          <w:color w:val="auto"/>
          <w:sz w:val="21"/>
          <w:szCs w:val="21"/>
          <w:highlight w:val="none"/>
        </w:rPr>
        <w:t>违约</w:t>
      </w:r>
      <w:r>
        <w:rPr>
          <w:rFonts w:hint="eastAsia" w:ascii="仿宋" w:hAnsi="仿宋" w:eastAsia="仿宋"/>
          <w:color w:val="auto"/>
          <w:sz w:val="21"/>
          <w:szCs w:val="21"/>
          <w:highlight w:val="none"/>
        </w:rPr>
        <w:t>责任</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8.1.1 甲方变更委托项目内容、规模、条件，或甲方对其所提供资料作重大实质性修改时，应于确定修改之日起10个工作日内书面告知乙方。因以上原因造成乙方返工，双方应协商签订补充协议或另行签订合同。</w:t>
      </w:r>
    </w:p>
    <w:p>
      <w:pPr>
        <w:spacing w:line="360" w:lineRule="auto"/>
        <w:ind w:firstLine="420" w:firstLineChars="200"/>
        <w:rPr>
          <w:rFonts w:hint="eastAsia" w:ascii="仿宋" w:hAnsi="仿宋" w:eastAsia="仿宋"/>
          <w:b w:val="0"/>
          <w:color w:val="auto"/>
          <w:sz w:val="21"/>
          <w:szCs w:val="21"/>
          <w:highlight w:val="none"/>
        </w:rPr>
      </w:pPr>
      <w:r>
        <w:rPr>
          <w:rFonts w:hint="eastAsia" w:ascii="仿宋" w:hAnsi="仿宋" w:eastAsia="仿宋"/>
          <w:b w:val="0"/>
          <w:color w:val="auto"/>
          <w:sz w:val="21"/>
          <w:szCs w:val="21"/>
          <w:highlight w:val="none"/>
        </w:rPr>
        <w:t>8.1.2甲方未按本合同约定，延迟支付合同价款的，乙方有权要求甲方以应付未付金额为基数按同期全国银行间同业拆借中心公布的贷款市场报价利率支付违约金，逾期违约金总额不超过应付未付总金额的10%。</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b w:val="0"/>
          <w:color w:val="auto"/>
          <w:sz w:val="21"/>
          <w:szCs w:val="21"/>
          <w:highlight w:val="none"/>
        </w:rPr>
        <w:t>8.1.3</w:t>
      </w:r>
      <w:r>
        <w:rPr>
          <w:rFonts w:hint="eastAsia" w:ascii="仿宋" w:hAnsi="仿宋" w:eastAsia="仿宋"/>
          <w:color w:val="auto"/>
          <w:sz w:val="21"/>
          <w:szCs w:val="21"/>
          <w:highlight w:val="none"/>
        </w:rPr>
        <w:t xml:space="preserve"> 在合同履行期间，因甲方原因造成合同终止或解除，乙方未开始建设工程概念方案设计工作的，应退还甲方已付的款项，乙方已开始建设工程概念方案设计工作的，甲方应根据乙方实际所处工作阶段，按</w:t>
      </w:r>
      <w:r>
        <w:rPr>
          <w:rFonts w:hint="eastAsia" w:ascii="仿宋" w:hAnsi="仿宋" w:eastAsia="仿宋"/>
          <w:color w:val="auto"/>
          <w:sz w:val="21"/>
          <w:szCs w:val="21"/>
          <w:highlight w:val="none"/>
          <w:lang w:val="en-US" w:eastAsia="zh-CN"/>
        </w:rPr>
        <w:t>实际完成工作量结算合同费用</w:t>
      </w:r>
      <w:r>
        <w:rPr>
          <w:rFonts w:hint="eastAsia" w:ascii="仿宋" w:hAnsi="仿宋" w:eastAsia="仿宋"/>
          <w:color w:val="auto"/>
          <w:sz w:val="21"/>
          <w:szCs w:val="21"/>
          <w:highlight w:val="none"/>
        </w:rPr>
        <w:t>。乙方应将已完成的阶段成果移交给甲方，乙方不得追究甲方其他违约责任。</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8.2 乙方违约责任</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8.2.1 由于乙方原因造成成果质量事故损失的，或相关部门对相应成果评审不通过的，乙方应在甲方指定期限内按相关部门的意见予以整改，若乙方不配合整改的，甲方有权要求解除合同，同时乙方向甲方支付合同总价款 10 %的违约金。</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8.2.2 本合同履行期间，因乙方原因未能按合同约定的日期(含协商延缓的日期)提交成果的，每逾期一日，甲方有权要求乙方每日按合同总价款的千分之一或人民币1000元(两者取大值）支付违约金。</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8.2.3甲方在本项目设计过程中任何时候提出的修改意见，乙方应及时对设计进行修改或调整。对于甲方的修改意见，乙方拒绝执行的按 ￥10000.00元/次支付违约金，拒绝达3次以上的，甲方有权解除合同，并要求乙方按照合同总金额10%向甲方支付违约金，实际损失超过违约金的，乙方应当予以补足。</w:t>
      </w:r>
    </w:p>
    <w:p>
      <w:pPr>
        <w:spacing w:line="360" w:lineRule="auto"/>
        <w:ind w:firstLine="420" w:firstLineChars="200"/>
        <w:rPr>
          <w:rFonts w:hint="eastAsia" w:ascii="仿宋" w:hAnsi="仿宋" w:eastAsia="仿宋"/>
          <w:b w:val="0"/>
          <w:color w:val="auto"/>
          <w:sz w:val="21"/>
          <w:szCs w:val="21"/>
          <w:highlight w:val="none"/>
        </w:rPr>
      </w:pPr>
      <w:r>
        <w:rPr>
          <w:rFonts w:hint="eastAsia" w:ascii="仿宋" w:hAnsi="仿宋" w:eastAsia="仿宋"/>
          <w:b w:val="0"/>
          <w:color w:val="auto"/>
          <w:sz w:val="21"/>
          <w:szCs w:val="21"/>
          <w:highlight w:val="none"/>
        </w:rPr>
        <w:t>8.2.4 在合同履行期间，因乙方原因造成合同终止或解除，乙方应按本合同总价款之10%向甲方支付违约金；实际损失超过违约金的，乙方应当予以补足。</w:t>
      </w:r>
    </w:p>
    <w:p>
      <w:pPr>
        <w:spacing w:line="360" w:lineRule="auto"/>
        <w:ind w:firstLine="420" w:firstLineChars="200"/>
        <w:rPr>
          <w:rFonts w:hint="eastAsia" w:ascii="仿宋" w:hAnsi="仿宋" w:eastAsia="仿宋"/>
          <w:b w:val="0"/>
          <w:color w:val="auto"/>
          <w:sz w:val="21"/>
          <w:szCs w:val="21"/>
          <w:highlight w:val="none"/>
        </w:rPr>
      </w:pPr>
      <w:r>
        <w:rPr>
          <w:rFonts w:hint="eastAsia" w:ascii="仿宋" w:hAnsi="仿宋" w:eastAsia="仿宋"/>
          <w:b w:val="0"/>
          <w:color w:val="auto"/>
          <w:sz w:val="21"/>
          <w:szCs w:val="21"/>
          <w:highlight w:val="none"/>
        </w:rPr>
        <w:t>8.2.5 乙方保证向甲方提交的设计文件未侵犯他人的合法权益，否则由此产生的一切法律责任均由乙方承担。若甲方因此被他人主张权益的，甲方为应对他人主张而发生的全部费用由乙方承担，乙方并应向甲方支付合同总额10%的违约金；实际损失超过违约金的，乙方应当予以补足。</w:t>
      </w:r>
    </w:p>
    <w:p>
      <w:pPr>
        <w:spacing w:line="360" w:lineRule="auto"/>
        <w:ind w:firstLine="420" w:firstLineChars="200"/>
        <w:rPr>
          <w:rFonts w:hint="eastAsia" w:ascii="仿宋" w:hAnsi="仿宋" w:eastAsia="仿宋"/>
          <w:b w:val="0"/>
          <w:color w:val="auto"/>
          <w:sz w:val="21"/>
          <w:szCs w:val="21"/>
          <w:highlight w:val="none"/>
        </w:rPr>
      </w:pPr>
      <w:r>
        <w:rPr>
          <w:rFonts w:hint="eastAsia" w:ascii="仿宋" w:hAnsi="仿宋" w:eastAsia="仿宋"/>
          <w:b w:val="0"/>
          <w:color w:val="auto"/>
          <w:sz w:val="21"/>
          <w:szCs w:val="21"/>
          <w:highlight w:val="none"/>
        </w:rPr>
        <w:t>8.2.6 因乙方逾期完成合同义务或存在其他违约情形的，甲方除有权要求乙方承担违约责任外，甲方还有权要求乙方支付维权成本，包括但不限于诉讼费、律师费、保全费、担保费、评估鉴定费、差旅费等。</w:t>
      </w:r>
    </w:p>
    <w:p>
      <w:pPr>
        <w:spacing w:line="360" w:lineRule="auto"/>
        <w:ind w:firstLine="420" w:firstLineChars="200"/>
        <w:rPr>
          <w:rFonts w:hint="eastAsia" w:ascii="仿宋" w:hAnsi="仿宋" w:eastAsia="仿宋"/>
          <w:b w:val="0"/>
          <w:color w:val="auto"/>
          <w:sz w:val="21"/>
          <w:szCs w:val="21"/>
          <w:highlight w:val="none"/>
        </w:rPr>
      </w:pPr>
      <w:r>
        <w:rPr>
          <w:rFonts w:hint="eastAsia" w:ascii="仿宋" w:hAnsi="仿宋" w:eastAsia="仿宋"/>
          <w:b w:val="0"/>
          <w:color w:val="auto"/>
          <w:sz w:val="21"/>
          <w:szCs w:val="21"/>
          <w:highlight w:val="none"/>
        </w:rPr>
        <w:t>8.2.7 因乙方原因所产生的违约金、赔偿或其他应付费用，甲方有权从乙方提供的履约担保金额或甲方应支付的合同价款中直接扣除。</w:t>
      </w:r>
    </w:p>
    <w:p>
      <w:pPr>
        <w:spacing w:line="360" w:lineRule="auto"/>
        <w:rPr>
          <w:rFonts w:hint="eastAsia" w:ascii="仿宋" w:hAnsi="仿宋" w:eastAsia="仿宋"/>
          <w:b/>
          <w:bCs/>
          <w:color w:val="auto"/>
          <w:sz w:val="21"/>
          <w:szCs w:val="21"/>
          <w:highlight w:val="none"/>
        </w:rPr>
      </w:pPr>
      <w:r>
        <w:rPr>
          <w:rFonts w:hint="eastAsia" w:ascii="仿宋" w:hAnsi="仿宋" w:eastAsia="仿宋"/>
          <w:b/>
          <w:bCs/>
          <w:color w:val="auto"/>
          <w:sz w:val="21"/>
          <w:szCs w:val="21"/>
          <w:highlight w:val="none"/>
        </w:rPr>
        <w:t>九、合同解除或终止</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9.1 如建设工程概念方案设计项目开展过程中，因</w:t>
      </w:r>
      <w:r>
        <w:rPr>
          <w:rFonts w:hint="eastAsia" w:ascii="仿宋" w:hAnsi="仿宋" w:eastAsia="仿宋"/>
          <w:bCs/>
          <w:color w:val="auto"/>
          <w:sz w:val="21"/>
          <w:szCs w:val="21"/>
          <w:highlight w:val="none"/>
        </w:rPr>
        <w:t>包括但不限于标的物规划</w:t>
      </w:r>
      <w:r>
        <w:rPr>
          <w:rFonts w:hint="eastAsia" w:ascii="仿宋" w:hAnsi="仿宋" w:eastAsia="仿宋"/>
          <w:color w:val="auto"/>
          <w:sz w:val="21"/>
          <w:szCs w:val="21"/>
          <w:highlight w:val="none"/>
        </w:rPr>
        <w:t>条件</w:t>
      </w:r>
      <w:r>
        <w:rPr>
          <w:rFonts w:hint="eastAsia" w:ascii="仿宋" w:hAnsi="仿宋" w:eastAsia="仿宋"/>
          <w:bCs/>
          <w:color w:val="auto"/>
          <w:sz w:val="21"/>
          <w:szCs w:val="21"/>
          <w:highlight w:val="none"/>
        </w:rPr>
        <w:t>变更、规划调整等原因导致原合同履行情况客观发生变化，或</w:t>
      </w:r>
      <w:r>
        <w:rPr>
          <w:rFonts w:hint="eastAsia" w:ascii="仿宋" w:hAnsi="仿宋" w:eastAsia="仿宋"/>
          <w:color w:val="auto"/>
          <w:sz w:val="21"/>
          <w:szCs w:val="21"/>
          <w:highlight w:val="none"/>
        </w:rPr>
        <w:t>本合同履行过程中出现非归责于合同双方的原因</w:t>
      </w:r>
      <w:r>
        <w:rPr>
          <w:rFonts w:hint="eastAsia" w:ascii="仿宋" w:hAnsi="仿宋" w:eastAsia="仿宋"/>
          <w:bCs/>
          <w:color w:val="auto"/>
          <w:sz w:val="21"/>
          <w:szCs w:val="21"/>
          <w:highlight w:val="none"/>
        </w:rPr>
        <w:t>致使本合同无法继续履行</w:t>
      </w:r>
      <w:r>
        <w:rPr>
          <w:rFonts w:hint="eastAsia" w:ascii="仿宋" w:hAnsi="仿宋" w:eastAsia="仿宋"/>
          <w:color w:val="auto"/>
          <w:sz w:val="21"/>
          <w:szCs w:val="21"/>
          <w:highlight w:val="none"/>
        </w:rPr>
        <w:t>，合同双方任何一方可以书面通知对方解除合同。本合同履行期间，因上述情形造成合同解除的，乙方未开始建设工程概念方案设计工作的，应退还甲方已付的款项。乙方已开始建设工程概念方案设计工作的，甲方应根据乙方实际所处工作阶段，按</w:t>
      </w:r>
      <w:r>
        <w:rPr>
          <w:rFonts w:hint="eastAsia" w:ascii="仿宋" w:hAnsi="仿宋" w:eastAsia="仿宋"/>
          <w:color w:val="auto"/>
          <w:sz w:val="21"/>
          <w:szCs w:val="21"/>
          <w:highlight w:val="none"/>
          <w:lang w:val="en-US" w:eastAsia="zh-CN"/>
        </w:rPr>
        <w:t>实际完成工作量结算合同费用</w:t>
      </w:r>
      <w:r>
        <w:rPr>
          <w:rFonts w:hint="eastAsia" w:ascii="仿宋" w:hAnsi="仿宋" w:eastAsia="仿宋"/>
          <w:color w:val="auto"/>
          <w:sz w:val="21"/>
          <w:szCs w:val="21"/>
          <w:highlight w:val="none"/>
        </w:rPr>
        <w:t>，乙方应将已完成的阶段成果移交给甲方，双方不得追究对方的其他违约责任。</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9.2 本合同履行过程中出现下列情形，甲方有权解除合同：</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9.2.1 因乙方原因,乙方未能按合同约定的日期(含协商延缓的日期)提交成果，延误时间超过30个自然日；</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 xml:space="preserve">9.2.2 因乙方原因造成成果质量事故，且乙方未按甲方要求采取及时有效的补救措施的； </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9.2.3 乙方原因导致成果评审不通过的，乙方未在甲方指定期限内按相关部门的意见予以整改；</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9.2.4 乙方明确表示或者以自己的行为表明不履行本合同的；</w:t>
      </w:r>
    </w:p>
    <w:p>
      <w:pPr>
        <w:spacing w:line="360" w:lineRule="auto"/>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9.2.5 本合同履行期间，因上述情形造成合同终止的，乙方除应退还甲方已付的所有款项外, 还应支付合同总价款 10 %的违约金，且乙方应当退还甲方有关资料。</w:t>
      </w:r>
    </w:p>
    <w:p>
      <w:pPr>
        <w:spacing w:line="360" w:lineRule="auto"/>
        <w:rPr>
          <w:rFonts w:hint="eastAsia" w:ascii="仿宋" w:hAnsi="仿宋" w:eastAsia="仿宋"/>
          <w:b/>
          <w:bCs/>
          <w:color w:val="auto"/>
          <w:sz w:val="21"/>
          <w:szCs w:val="21"/>
          <w:highlight w:val="none"/>
        </w:rPr>
      </w:pPr>
      <w:r>
        <w:rPr>
          <w:rFonts w:hint="eastAsia" w:ascii="仿宋" w:hAnsi="仿宋" w:eastAsia="仿宋"/>
          <w:b/>
          <w:bCs/>
          <w:color w:val="auto"/>
          <w:sz w:val="21"/>
          <w:szCs w:val="21"/>
          <w:highlight w:val="none"/>
        </w:rPr>
        <w:t>十、</w:t>
      </w:r>
      <w:bookmarkStart w:id="132" w:name="_Toc18754"/>
      <w:r>
        <w:rPr>
          <w:rFonts w:hint="eastAsia" w:ascii="仿宋" w:hAnsi="仿宋" w:eastAsia="仿宋"/>
          <w:b/>
          <w:bCs/>
          <w:color w:val="auto"/>
          <w:sz w:val="21"/>
          <w:szCs w:val="21"/>
          <w:highlight w:val="none"/>
        </w:rPr>
        <w:t>不可抗力</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10.1 不可抗力的确认</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不可抗力是指甲乙双方在订立合同时不可预见，在履行合同过程中不可避免发生并不能克服的自然灾害、政策的调整和社会性突发事件，如地震、海啸、瘟疫、水灾、骚乱、暴动、战争等。</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10.2 不可抗力的通知</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合同一方当事人遇到不可抗力事件，使其履行合同义务受到阻碍时，应立即通知合同另一方当事人，书面说明不可抗力和受阻碍的详细情况，并提供必要的证明。</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10.3 不可抗力后果及其处理</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10.3.1 合同一方延迟履行，在延迟履行期间发生不可抗力的，不免除其责任。</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10.3.2 不可抗力发生后，合同双方均应采取措施尽量避免和减少损失的扩大，任何一方没有采取有效措施导致损失扩大的，应对扩大的损失承担责任。</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10.3.3 合同一方因不可抗力不能履行合同的，应当及时通知对方解除合同。双方根据乙方实际完成工作量据实结算合同费用。</w:t>
      </w:r>
    </w:p>
    <w:p>
      <w:pPr>
        <w:spacing w:line="360" w:lineRule="auto"/>
        <w:rPr>
          <w:rFonts w:hint="eastAsia" w:ascii="仿宋" w:hAnsi="仿宋" w:eastAsia="仿宋"/>
          <w:b/>
          <w:bCs/>
          <w:color w:val="auto"/>
          <w:sz w:val="21"/>
          <w:szCs w:val="21"/>
          <w:highlight w:val="none"/>
        </w:rPr>
      </w:pPr>
      <w:r>
        <w:rPr>
          <w:rFonts w:hint="eastAsia" w:ascii="仿宋" w:hAnsi="仿宋" w:eastAsia="仿宋"/>
          <w:b/>
          <w:bCs/>
          <w:color w:val="auto"/>
          <w:sz w:val="21"/>
          <w:szCs w:val="21"/>
          <w:highlight w:val="none"/>
        </w:rPr>
        <w:t>十一、合同争议的解决方式</w:t>
      </w:r>
      <w:bookmarkEnd w:id="132"/>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本合同发生争议，双方当事人应及时协商解决；经双方协商无法解决的争议，双方同意按照以下方式解决：凡因本合同引起的或与本合同有关的任何争议，均提交项目所在地有管辖权的人民法院裁决。</w:t>
      </w:r>
    </w:p>
    <w:p>
      <w:pPr>
        <w:spacing w:line="360" w:lineRule="auto"/>
        <w:rPr>
          <w:rFonts w:hint="eastAsia" w:ascii="仿宋" w:hAnsi="仿宋" w:eastAsia="仿宋"/>
          <w:b/>
          <w:bCs/>
          <w:color w:val="auto"/>
          <w:sz w:val="21"/>
          <w:szCs w:val="21"/>
          <w:highlight w:val="none"/>
        </w:rPr>
      </w:pPr>
      <w:r>
        <w:rPr>
          <w:rFonts w:hint="eastAsia" w:ascii="仿宋" w:hAnsi="仿宋" w:eastAsia="仿宋"/>
          <w:b/>
          <w:bCs/>
          <w:color w:val="auto"/>
          <w:sz w:val="21"/>
          <w:szCs w:val="21"/>
          <w:highlight w:val="none"/>
        </w:rPr>
        <w:t>十</w:t>
      </w:r>
      <w:r>
        <w:rPr>
          <w:rFonts w:hint="eastAsia" w:ascii="仿宋" w:hAnsi="仿宋" w:eastAsia="仿宋"/>
          <w:b/>
          <w:bCs/>
          <w:color w:val="auto"/>
          <w:sz w:val="21"/>
          <w:szCs w:val="21"/>
          <w:highlight w:val="none"/>
          <w:lang w:val="en-US" w:eastAsia="zh-CN"/>
        </w:rPr>
        <w:t>二</w:t>
      </w:r>
      <w:r>
        <w:rPr>
          <w:rFonts w:hint="eastAsia" w:ascii="仿宋" w:hAnsi="仿宋" w:eastAsia="仿宋"/>
          <w:b/>
          <w:bCs/>
          <w:color w:val="auto"/>
          <w:sz w:val="21"/>
          <w:szCs w:val="21"/>
          <w:highlight w:val="none"/>
        </w:rPr>
        <w:t>、通知</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双方各自指定履行本合同的联系人，一方资料、文件之交接及意见之传达、接收均通过联系人进行。</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 xml:space="preserve">甲方指定联系人：                                                          </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姓    名：______________________________________</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联系电话：______________________________________</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电子邮箱：______________________________________</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 xml:space="preserve">通讯地址：______________________________________           </w:t>
      </w:r>
    </w:p>
    <w:p>
      <w:pPr>
        <w:spacing w:line="360" w:lineRule="auto"/>
        <w:ind w:firstLine="420" w:firstLineChars="200"/>
        <w:rPr>
          <w:rFonts w:hint="default" w:ascii="仿宋" w:hAnsi="仿宋" w:eastAsia="仿宋"/>
          <w:color w:val="auto"/>
          <w:sz w:val="21"/>
          <w:szCs w:val="21"/>
          <w:highlight w:val="none"/>
          <w:lang w:val="en-US" w:eastAsia="zh-CN"/>
        </w:rPr>
      </w:pPr>
      <w:r>
        <w:rPr>
          <w:rFonts w:hint="eastAsia" w:ascii="仿宋" w:hAnsi="仿宋" w:eastAsia="仿宋"/>
          <w:color w:val="auto"/>
          <w:sz w:val="21"/>
          <w:szCs w:val="21"/>
          <w:highlight w:val="none"/>
          <w:lang w:val="en-US" w:eastAsia="zh-CN"/>
        </w:rPr>
        <w:t>甲方咨询投诉电话：0769-23366373</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 xml:space="preserve">乙方指定联系人：                                                          </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姓    名：______________________________________</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联系电话：______________________________________</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电子邮箱：______________________________________</w:t>
      </w:r>
    </w:p>
    <w:p>
      <w:pPr>
        <w:spacing w:line="360" w:lineRule="auto"/>
        <w:ind w:firstLine="420" w:firstLineChars="200"/>
        <w:rPr>
          <w:rFonts w:hint="eastAsia" w:ascii="仿宋" w:hAnsi="仿宋" w:eastAsia="仿宋"/>
          <w:b w:val="0"/>
          <w:color w:val="auto"/>
          <w:sz w:val="21"/>
          <w:szCs w:val="21"/>
          <w:highlight w:val="none"/>
        </w:rPr>
      </w:pPr>
      <w:r>
        <w:rPr>
          <w:rFonts w:hint="eastAsia" w:ascii="仿宋" w:hAnsi="仿宋" w:eastAsia="仿宋"/>
          <w:b w:val="0"/>
          <w:color w:val="auto"/>
          <w:sz w:val="21"/>
          <w:szCs w:val="21"/>
          <w:highlight w:val="none"/>
        </w:rPr>
        <w:t xml:space="preserve">通讯地址：______________________________________ </w:t>
      </w:r>
    </w:p>
    <w:p>
      <w:pPr>
        <w:spacing w:line="360" w:lineRule="auto"/>
        <w:rPr>
          <w:rFonts w:hint="eastAsia" w:ascii="仿宋" w:hAnsi="仿宋" w:eastAsia="仿宋"/>
          <w:b/>
          <w:bCs/>
          <w:color w:val="auto"/>
          <w:sz w:val="21"/>
          <w:szCs w:val="21"/>
          <w:highlight w:val="none"/>
        </w:rPr>
      </w:pPr>
      <w:r>
        <w:rPr>
          <w:rFonts w:hint="eastAsia" w:ascii="仿宋" w:hAnsi="仿宋" w:eastAsia="仿宋"/>
          <w:b/>
          <w:bCs/>
          <w:color w:val="auto"/>
          <w:sz w:val="21"/>
          <w:szCs w:val="21"/>
          <w:highlight w:val="none"/>
        </w:rPr>
        <w:t>十三、其他条款</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13.1本合同正文与下列附件共同构成本合同双方协商达成一致的全部内容：</w:t>
      </w:r>
    </w:p>
    <w:p>
      <w:pPr>
        <w:spacing w:line="360" w:lineRule="auto"/>
        <w:ind w:firstLine="420" w:firstLineChars="200"/>
        <w:rPr>
          <w:rFonts w:hint="default" w:ascii="仿宋" w:hAnsi="仿宋" w:eastAsia="仿宋"/>
          <w:color w:val="auto"/>
          <w:sz w:val="21"/>
          <w:szCs w:val="21"/>
          <w:highlight w:val="none"/>
          <w:lang w:val="en-US" w:eastAsia="zh-CN"/>
        </w:rPr>
      </w:pPr>
      <w:r>
        <w:rPr>
          <w:rFonts w:hint="eastAsia" w:ascii="仿宋" w:hAnsi="仿宋" w:eastAsia="仿宋"/>
          <w:color w:val="auto"/>
          <w:sz w:val="21"/>
          <w:szCs w:val="21"/>
          <w:highlight w:val="none"/>
          <w:lang w:val="en-US" w:eastAsia="zh-CN"/>
        </w:rPr>
        <w:t>附件1：建设工程概念方案设计任务书</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附件</w:t>
      </w:r>
      <w:r>
        <w:rPr>
          <w:rFonts w:hint="eastAsia" w:ascii="仿宋" w:hAnsi="仿宋" w:eastAsia="仿宋"/>
          <w:color w:val="auto"/>
          <w:sz w:val="21"/>
          <w:szCs w:val="21"/>
          <w:highlight w:val="none"/>
          <w:lang w:val="en-US" w:eastAsia="zh-CN"/>
        </w:rPr>
        <w:t>2</w:t>
      </w:r>
      <w:r>
        <w:rPr>
          <w:rFonts w:hint="eastAsia" w:ascii="仿宋" w:hAnsi="仿宋" w:eastAsia="仿宋"/>
          <w:color w:val="auto"/>
          <w:sz w:val="21"/>
          <w:szCs w:val="21"/>
          <w:highlight w:val="none"/>
        </w:rPr>
        <w:t>：服务人员团队一览表</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附件</w:t>
      </w:r>
      <w:r>
        <w:rPr>
          <w:rFonts w:hint="eastAsia" w:ascii="仿宋" w:hAnsi="仿宋" w:eastAsia="仿宋"/>
          <w:color w:val="auto"/>
          <w:sz w:val="21"/>
          <w:szCs w:val="21"/>
          <w:highlight w:val="none"/>
          <w:lang w:val="en-US" w:eastAsia="zh-CN"/>
        </w:rPr>
        <w:t>3</w:t>
      </w:r>
      <w:r>
        <w:rPr>
          <w:rFonts w:hint="eastAsia" w:ascii="仿宋" w:hAnsi="仿宋" w:eastAsia="仿宋"/>
          <w:color w:val="auto"/>
          <w:sz w:val="21"/>
          <w:szCs w:val="21"/>
          <w:highlight w:val="none"/>
        </w:rPr>
        <w:t>：阳光合作协议</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附件</w:t>
      </w:r>
      <w:r>
        <w:rPr>
          <w:rFonts w:hint="eastAsia" w:ascii="仿宋" w:hAnsi="仿宋" w:eastAsia="仿宋"/>
          <w:color w:val="auto"/>
          <w:sz w:val="21"/>
          <w:szCs w:val="21"/>
          <w:highlight w:val="none"/>
          <w:lang w:val="en-US" w:eastAsia="zh-CN"/>
        </w:rPr>
        <w:t>4</w:t>
      </w:r>
      <w:r>
        <w:rPr>
          <w:rFonts w:hint="eastAsia" w:ascii="仿宋" w:hAnsi="仿宋" w:eastAsia="仿宋"/>
          <w:color w:val="auto"/>
          <w:sz w:val="21"/>
          <w:szCs w:val="21"/>
          <w:highlight w:val="none"/>
        </w:rPr>
        <w:t>：中标通知书</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附件</w:t>
      </w:r>
      <w:r>
        <w:rPr>
          <w:rFonts w:hint="eastAsia" w:ascii="仿宋" w:hAnsi="仿宋" w:eastAsia="仿宋"/>
          <w:color w:val="auto"/>
          <w:sz w:val="21"/>
          <w:szCs w:val="21"/>
          <w:highlight w:val="none"/>
          <w:lang w:val="en-US" w:eastAsia="zh-CN"/>
        </w:rPr>
        <w:t>5</w:t>
      </w:r>
      <w:r>
        <w:rPr>
          <w:rFonts w:hint="eastAsia" w:ascii="仿宋" w:hAnsi="仿宋" w:eastAsia="仿宋"/>
          <w:color w:val="auto"/>
          <w:sz w:val="21"/>
          <w:szCs w:val="21"/>
          <w:highlight w:val="none"/>
        </w:rPr>
        <w:t>：投标文件</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附件</w:t>
      </w:r>
      <w:r>
        <w:rPr>
          <w:rFonts w:hint="eastAsia" w:ascii="仿宋" w:hAnsi="仿宋" w:eastAsia="仿宋"/>
          <w:color w:val="auto"/>
          <w:sz w:val="21"/>
          <w:szCs w:val="21"/>
          <w:highlight w:val="none"/>
          <w:lang w:val="en-US" w:eastAsia="zh-CN"/>
        </w:rPr>
        <w:t>6</w:t>
      </w:r>
      <w:r>
        <w:rPr>
          <w:rFonts w:hint="eastAsia" w:ascii="仿宋" w:hAnsi="仿宋" w:eastAsia="仿宋"/>
          <w:color w:val="auto"/>
          <w:sz w:val="21"/>
          <w:szCs w:val="21"/>
          <w:highlight w:val="none"/>
        </w:rPr>
        <w:t>：招标文件</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13.2 甲乙双方一致同意，如因本项目转变改造模式为政府收储模式导致需要变更实施主体的，则由莞城街道指定主体承接甲方在本合同项下的全部权利义务，三方另行签署权利义务转让协议。</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13.3 本合同未尽事宜，经双方平等友好协商一致，可签订补充协议。</w:t>
      </w:r>
    </w:p>
    <w:p>
      <w:pPr>
        <w:spacing w:line="360" w:lineRule="auto"/>
        <w:ind w:firstLine="420" w:firstLineChars="200"/>
        <w:rPr>
          <w:rFonts w:hint="eastAsia" w:ascii="仿宋" w:hAnsi="仿宋" w:eastAsia="仿宋"/>
          <w:color w:val="auto"/>
          <w:sz w:val="21"/>
          <w:szCs w:val="21"/>
          <w:highlight w:val="none"/>
        </w:rPr>
      </w:pPr>
      <w:r>
        <w:rPr>
          <w:rFonts w:hint="eastAsia" w:ascii="仿宋" w:hAnsi="仿宋" w:eastAsia="仿宋"/>
          <w:color w:val="auto"/>
          <w:sz w:val="21"/>
          <w:szCs w:val="21"/>
          <w:highlight w:val="none"/>
        </w:rPr>
        <w:t>13.4 本合同自双方有权代表签字、单位盖章后生效。</w:t>
      </w:r>
    </w:p>
    <w:p>
      <w:pPr>
        <w:spacing w:line="360" w:lineRule="auto"/>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13.5 本合同一式【6】份，甲方执【5】份，乙方执【1】份，各份具有同等法律效力。</w:t>
      </w:r>
    </w:p>
    <w:p>
      <w:pPr>
        <w:spacing w:line="360" w:lineRule="auto"/>
        <w:ind w:firstLine="420" w:firstLineChars="200"/>
        <w:rPr>
          <w:rFonts w:ascii="仿宋" w:hAnsi="仿宋" w:eastAsia="仿宋"/>
          <w:color w:val="auto"/>
          <w:sz w:val="21"/>
          <w:szCs w:val="21"/>
          <w:highlight w:val="none"/>
        </w:rPr>
      </w:pPr>
      <w:r>
        <w:rPr>
          <w:rFonts w:hint="eastAsia" w:ascii="仿宋" w:hAnsi="仿宋" w:eastAsia="仿宋"/>
          <w:color w:val="auto"/>
          <w:sz w:val="21"/>
          <w:szCs w:val="21"/>
          <w:highlight w:val="none"/>
        </w:rPr>
        <w:t>（以下无正文，均为签章页）</w:t>
      </w:r>
    </w:p>
    <w:p>
      <w:pPr>
        <w:rPr>
          <w:rFonts w:ascii="仿宋" w:hAnsi="仿宋" w:eastAsia="仿宋"/>
          <w:color w:val="auto"/>
          <w:sz w:val="21"/>
          <w:szCs w:val="21"/>
          <w:highlight w:val="none"/>
        </w:rPr>
      </w:pPr>
      <w:r>
        <w:rPr>
          <w:rFonts w:ascii="仿宋" w:hAnsi="仿宋" w:eastAsia="仿宋"/>
          <w:color w:val="auto"/>
          <w:sz w:val="21"/>
          <w:szCs w:val="21"/>
          <w:highlight w:val="none"/>
        </w:rPr>
        <w:br w:type="page"/>
      </w:r>
    </w:p>
    <w:p>
      <w:pPr>
        <w:spacing w:before="156" w:beforeLines="50" w:after="156" w:afterLines="50" w:line="360" w:lineRule="auto"/>
        <w:ind w:firstLine="200"/>
        <w:rPr>
          <w:rFonts w:hint="eastAsia" w:ascii="仿宋" w:hAnsi="仿宋" w:eastAsia="仿宋"/>
          <w:color w:val="auto"/>
          <w:sz w:val="21"/>
          <w:szCs w:val="21"/>
          <w:highlight w:val="none"/>
        </w:rPr>
      </w:pPr>
    </w:p>
    <w:tbl>
      <w:tblPr>
        <w:tblStyle w:val="38"/>
        <w:tblW w:w="8522" w:type="dxa"/>
        <w:tblInd w:w="0" w:type="dxa"/>
        <w:tblLayout w:type="fixed"/>
        <w:tblCellMar>
          <w:top w:w="0" w:type="dxa"/>
          <w:left w:w="108" w:type="dxa"/>
          <w:bottom w:w="0" w:type="dxa"/>
          <w:right w:w="108" w:type="dxa"/>
        </w:tblCellMar>
      </w:tblPr>
      <w:tblGrid>
        <w:gridCol w:w="3996"/>
        <w:gridCol w:w="4526"/>
      </w:tblGrid>
      <w:tr>
        <w:tblPrEx>
          <w:tblLayout w:type="fixed"/>
          <w:tblCellMar>
            <w:top w:w="0" w:type="dxa"/>
            <w:left w:w="108" w:type="dxa"/>
            <w:bottom w:w="0" w:type="dxa"/>
            <w:right w:w="108" w:type="dxa"/>
          </w:tblCellMar>
        </w:tblPrEx>
        <w:trPr>
          <w:trHeight w:val="254" w:hRule="atLeast"/>
        </w:trPr>
        <w:tc>
          <w:tcPr>
            <w:tcW w:w="3996" w:type="dxa"/>
            <w:noWrap w:val="0"/>
            <w:vAlign w:val="top"/>
          </w:tcPr>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甲方：</w:t>
            </w:r>
          </w:p>
        </w:tc>
        <w:tc>
          <w:tcPr>
            <w:tcW w:w="4526" w:type="dxa"/>
            <w:noWrap w:val="0"/>
            <w:vAlign w:val="top"/>
          </w:tcPr>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乙方：</w:t>
            </w:r>
          </w:p>
        </w:tc>
      </w:tr>
      <w:tr>
        <w:tblPrEx>
          <w:tblLayout w:type="fixed"/>
          <w:tblCellMar>
            <w:top w:w="0" w:type="dxa"/>
            <w:left w:w="108" w:type="dxa"/>
            <w:bottom w:w="0" w:type="dxa"/>
            <w:right w:w="108" w:type="dxa"/>
          </w:tblCellMar>
        </w:tblPrEx>
        <w:trPr>
          <w:trHeight w:val="253" w:hRule="atLeast"/>
        </w:trPr>
        <w:tc>
          <w:tcPr>
            <w:tcW w:w="3996" w:type="dxa"/>
            <w:noWrap w:val="0"/>
            <w:vAlign w:val="top"/>
          </w:tcPr>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单位名称（盖章）：</w:t>
            </w:r>
          </w:p>
        </w:tc>
        <w:tc>
          <w:tcPr>
            <w:tcW w:w="4526" w:type="dxa"/>
            <w:noWrap w:val="0"/>
            <w:vAlign w:val="top"/>
          </w:tcPr>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单位名称（盖章）：</w:t>
            </w:r>
          </w:p>
        </w:tc>
      </w:tr>
      <w:tr>
        <w:tblPrEx>
          <w:tblLayout w:type="fixed"/>
          <w:tblCellMar>
            <w:top w:w="0" w:type="dxa"/>
            <w:left w:w="108" w:type="dxa"/>
            <w:bottom w:w="0" w:type="dxa"/>
            <w:right w:w="108" w:type="dxa"/>
          </w:tblCellMar>
        </w:tblPrEx>
        <w:trPr>
          <w:trHeight w:val="261" w:hRule="atLeast"/>
        </w:trPr>
        <w:tc>
          <w:tcPr>
            <w:tcW w:w="3996" w:type="dxa"/>
            <w:noWrap w:val="0"/>
            <w:vAlign w:val="top"/>
          </w:tcPr>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法定代表人（签名：</w:t>
            </w:r>
          </w:p>
        </w:tc>
        <w:tc>
          <w:tcPr>
            <w:tcW w:w="4526" w:type="dxa"/>
            <w:noWrap w:val="0"/>
            <w:vAlign w:val="top"/>
          </w:tcPr>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法定代表人（签名）：</w:t>
            </w:r>
          </w:p>
        </w:tc>
      </w:tr>
      <w:tr>
        <w:tblPrEx>
          <w:tblLayout w:type="fixed"/>
          <w:tblCellMar>
            <w:top w:w="0" w:type="dxa"/>
            <w:left w:w="108" w:type="dxa"/>
            <w:bottom w:w="0" w:type="dxa"/>
            <w:right w:w="108" w:type="dxa"/>
          </w:tblCellMar>
        </w:tblPrEx>
        <w:trPr>
          <w:trHeight w:val="259" w:hRule="atLeast"/>
        </w:trPr>
        <w:tc>
          <w:tcPr>
            <w:tcW w:w="3996" w:type="dxa"/>
            <w:noWrap w:val="0"/>
            <w:vAlign w:val="top"/>
          </w:tcPr>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委托代理人（签名）：</w:t>
            </w:r>
          </w:p>
        </w:tc>
        <w:tc>
          <w:tcPr>
            <w:tcW w:w="4526" w:type="dxa"/>
            <w:noWrap w:val="0"/>
            <w:vAlign w:val="top"/>
          </w:tcPr>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委托代理人（签名）：</w:t>
            </w:r>
          </w:p>
        </w:tc>
      </w:tr>
      <w:tr>
        <w:tblPrEx>
          <w:tblLayout w:type="fixed"/>
          <w:tblCellMar>
            <w:top w:w="0" w:type="dxa"/>
            <w:left w:w="108" w:type="dxa"/>
            <w:bottom w:w="0" w:type="dxa"/>
            <w:right w:w="108" w:type="dxa"/>
          </w:tblCellMar>
        </w:tblPrEx>
        <w:trPr>
          <w:trHeight w:val="259" w:hRule="atLeast"/>
        </w:trPr>
        <w:tc>
          <w:tcPr>
            <w:tcW w:w="3996" w:type="dxa"/>
            <w:noWrap w:val="0"/>
            <w:vAlign w:val="top"/>
          </w:tcPr>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联系人：</w:t>
            </w:r>
          </w:p>
        </w:tc>
        <w:tc>
          <w:tcPr>
            <w:tcW w:w="4526" w:type="dxa"/>
            <w:noWrap w:val="0"/>
            <w:vAlign w:val="top"/>
          </w:tcPr>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联系人：</w:t>
            </w:r>
          </w:p>
        </w:tc>
      </w:tr>
      <w:tr>
        <w:tblPrEx>
          <w:tblLayout w:type="fixed"/>
          <w:tblCellMar>
            <w:top w:w="0" w:type="dxa"/>
            <w:left w:w="108" w:type="dxa"/>
            <w:bottom w:w="0" w:type="dxa"/>
            <w:right w:w="108" w:type="dxa"/>
          </w:tblCellMar>
        </w:tblPrEx>
        <w:trPr>
          <w:trHeight w:val="260" w:hRule="atLeast"/>
        </w:trPr>
        <w:tc>
          <w:tcPr>
            <w:tcW w:w="3996" w:type="dxa"/>
            <w:noWrap w:val="0"/>
            <w:vAlign w:val="top"/>
          </w:tcPr>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联系电话：</w:t>
            </w:r>
          </w:p>
        </w:tc>
        <w:tc>
          <w:tcPr>
            <w:tcW w:w="4526" w:type="dxa"/>
            <w:noWrap w:val="0"/>
            <w:vAlign w:val="top"/>
          </w:tcPr>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联系电话：</w:t>
            </w:r>
          </w:p>
        </w:tc>
      </w:tr>
      <w:tr>
        <w:tblPrEx>
          <w:tblLayout w:type="fixed"/>
          <w:tblCellMar>
            <w:top w:w="0" w:type="dxa"/>
            <w:left w:w="108" w:type="dxa"/>
            <w:bottom w:w="0" w:type="dxa"/>
            <w:right w:w="108" w:type="dxa"/>
          </w:tblCellMar>
        </w:tblPrEx>
        <w:trPr>
          <w:trHeight w:val="259" w:hRule="atLeast"/>
        </w:trPr>
        <w:tc>
          <w:tcPr>
            <w:tcW w:w="3996" w:type="dxa"/>
            <w:noWrap w:val="0"/>
            <w:vAlign w:val="top"/>
          </w:tcPr>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传    真：</w:t>
            </w:r>
          </w:p>
        </w:tc>
        <w:tc>
          <w:tcPr>
            <w:tcW w:w="4526" w:type="dxa"/>
            <w:noWrap w:val="0"/>
            <w:vAlign w:val="top"/>
          </w:tcPr>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传    真：</w:t>
            </w:r>
          </w:p>
        </w:tc>
      </w:tr>
      <w:tr>
        <w:tblPrEx>
          <w:tblLayout w:type="fixed"/>
          <w:tblCellMar>
            <w:top w:w="0" w:type="dxa"/>
            <w:left w:w="108" w:type="dxa"/>
            <w:bottom w:w="0" w:type="dxa"/>
            <w:right w:w="108" w:type="dxa"/>
          </w:tblCellMar>
        </w:tblPrEx>
        <w:trPr>
          <w:trHeight w:val="519" w:hRule="atLeast"/>
        </w:trPr>
        <w:tc>
          <w:tcPr>
            <w:tcW w:w="3996" w:type="dxa"/>
            <w:noWrap w:val="0"/>
            <w:vAlign w:val="top"/>
          </w:tcPr>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开户银行：</w:t>
            </w:r>
          </w:p>
        </w:tc>
        <w:tc>
          <w:tcPr>
            <w:tcW w:w="4526" w:type="dxa"/>
            <w:noWrap w:val="0"/>
            <w:vAlign w:val="top"/>
          </w:tcPr>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开户银行：</w:t>
            </w:r>
          </w:p>
        </w:tc>
      </w:tr>
      <w:tr>
        <w:tblPrEx>
          <w:tblLayout w:type="fixed"/>
          <w:tblCellMar>
            <w:top w:w="0" w:type="dxa"/>
            <w:left w:w="108" w:type="dxa"/>
            <w:bottom w:w="0" w:type="dxa"/>
            <w:right w:w="108" w:type="dxa"/>
          </w:tblCellMar>
        </w:tblPrEx>
        <w:trPr>
          <w:trHeight w:val="519" w:hRule="atLeast"/>
        </w:trPr>
        <w:tc>
          <w:tcPr>
            <w:tcW w:w="3996" w:type="dxa"/>
            <w:noWrap w:val="0"/>
            <w:vAlign w:val="top"/>
          </w:tcPr>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银行帐号：</w:t>
            </w:r>
          </w:p>
        </w:tc>
        <w:tc>
          <w:tcPr>
            <w:tcW w:w="4526" w:type="dxa"/>
            <w:noWrap w:val="0"/>
            <w:vAlign w:val="top"/>
          </w:tcPr>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银行帐号：</w:t>
            </w:r>
          </w:p>
        </w:tc>
      </w:tr>
      <w:tr>
        <w:tblPrEx>
          <w:tblLayout w:type="fixed"/>
          <w:tblCellMar>
            <w:top w:w="0" w:type="dxa"/>
            <w:left w:w="108" w:type="dxa"/>
            <w:bottom w:w="0" w:type="dxa"/>
            <w:right w:w="108" w:type="dxa"/>
          </w:tblCellMar>
        </w:tblPrEx>
        <w:trPr>
          <w:trHeight w:val="519" w:hRule="atLeast"/>
        </w:trPr>
        <w:tc>
          <w:tcPr>
            <w:tcW w:w="3996" w:type="dxa"/>
            <w:noWrap w:val="0"/>
            <w:vAlign w:val="top"/>
          </w:tcPr>
          <w:p>
            <w:pPr>
              <w:spacing w:line="360" w:lineRule="auto"/>
              <w:ind w:firstLine="200"/>
              <w:rPr>
                <w:rFonts w:ascii="仿宋" w:hAnsi="仿宋" w:eastAsia="仿宋"/>
                <w:color w:val="auto"/>
                <w:sz w:val="21"/>
                <w:szCs w:val="21"/>
                <w:highlight w:val="none"/>
              </w:rPr>
            </w:pPr>
          </w:p>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合同签订日期：</w:t>
            </w:r>
          </w:p>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年月日</w:t>
            </w:r>
          </w:p>
        </w:tc>
        <w:tc>
          <w:tcPr>
            <w:tcW w:w="4526" w:type="dxa"/>
            <w:noWrap w:val="0"/>
            <w:vAlign w:val="top"/>
          </w:tcPr>
          <w:p>
            <w:pPr>
              <w:spacing w:line="360" w:lineRule="auto"/>
              <w:ind w:firstLine="200"/>
              <w:rPr>
                <w:rFonts w:ascii="仿宋" w:hAnsi="仿宋" w:eastAsia="仿宋"/>
                <w:color w:val="auto"/>
                <w:sz w:val="21"/>
                <w:szCs w:val="21"/>
                <w:highlight w:val="none"/>
              </w:rPr>
            </w:pPr>
          </w:p>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合同签订日期：</w:t>
            </w:r>
          </w:p>
          <w:p>
            <w:pPr>
              <w:spacing w:line="360" w:lineRule="auto"/>
              <w:ind w:firstLine="200"/>
              <w:rPr>
                <w:rFonts w:ascii="仿宋" w:hAnsi="仿宋" w:eastAsia="仿宋"/>
                <w:color w:val="auto"/>
                <w:sz w:val="21"/>
                <w:szCs w:val="21"/>
                <w:highlight w:val="none"/>
              </w:rPr>
            </w:pPr>
            <w:r>
              <w:rPr>
                <w:rFonts w:hint="eastAsia" w:ascii="仿宋" w:hAnsi="仿宋" w:eastAsia="仿宋"/>
                <w:color w:val="auto"/>
                <w:sz w:val="21"/>
                <w:szCs w:val="21"/>
                <w:highlight w:val="none"/>
              </w:rPr>
              <w:t>年月日</w:t>
            </w:r>
          </w:p>
        </w:tc>
      </w:tr>
    </w:tbl>
    <w:p>
      <w:pPr>
        <w:rPr>
          <w:rFonts w:hint="eastAsia" w:ascii="宋体" w:hAnsi="宋体" w:eastAsia="宋体" w:cs="宋体"/>
          <w:color w:val="auto"/>
          <w:highlight w:val="none"/>
        </w:rPr>
      </w:pPr>
      <w:r>
        <w:rPr>
          <w:rFonts w:hint="eastAsia" w:ascii="宋体" w:hAnsi="宋体" w:eastAsia="宋体" w:cs="宋体"/>
          <w:color w:val="auto"/>
          <w:highlight w:val="none"/>
          <w:lang w:bidi="zh-CN"/>
        </w:rPr>
        <w:br w:type="page"/>
      </w:r>
    </w:p>
    <w:p>
      <w:pPr>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附件1：建</w:t>
      </w:r>
      <w:r>
        <w:rPr>
          <w:rFonts w:hint="eastAsia" w:ascii="宋体" w:hAnsi="宋体" w:cs="宋体"/>
          <w:b/>
          <w:bCs/>
          <w:color w:val="auto"/>
          <w:sz w:val="21"/>
          <w:szCs w:val="21"/>
          <w:highlight w:val="none"/>
          <w:lang w:val="en-US" w:eastAsia="zh-CN"/>
        </w:rPr>
        <w:t>设</w:t>
      </w:r>
      <w:r>
        <w:rPr>
          <w:rFonts w:hint="eastAsia" w:ascii="宋体" w:hAnsi="宋体" w:eastAsia="宋体" w:cs="宋体"/>
          <w:b/>
          <w:bCs/>
          <w:color w:val="auto"/>
          <w:sz w:val="21"/>
          <w:szCs w:val="21"/>
          <w:highlight w:val="none"/>
          <w:lang w:val="en-US"/>
        </w:rPr>
        <w:t>概念方案设计任务书</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建设工程概念方案设计任务书</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一、项目背景与概述</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2022年市委市政府提出东莞市中心城区以东莞大道时代发展轴和鸿福路山水文化轴为“黄金双轴“战略布局，本项目位于两轴交汇处西北面的行政中心北片区西北侧，地理位置优越，交通便捷且景观资源优越。项目属于大型成熟生活社区，各项配套完善，生活便利，3km范围内有鸿福路口商圈、国贸商圈两个核心商圈，市体育馆、文化广场、人民公园、影剧院、可园、可园中学，莞城人民医院等。项目未来城市干道贯穿，确保单元内部各功能地块交通的可达性及满足消防的安全性。东莞运河沿线北侧为连续建成小区，分别为恒大华府、塞纳河畔、碧桂园东江月，南侧为东运河1号小区，唯独项目区域是低矮老旧居民聚集区，急需改造，未来项目建成将提升运河东界面的城市风貌。</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br w:type="textWrapping"/>
      </w:r>
      <w:r>
        <w:rPr>
          <w:rFonts w:hint="eastAsia" w:ascii="宋体" w:hAnsi="宋体" w:eastAsia="宋体" w:cs="宋体"/>
          <w:b/>
          <w:bCs/>
          <w:color w:val="auto"/>
          <w:highlight w:val="none"/>
        </w:rPr>
        <w:t>二、设计目标</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明确本次</w:t>
      </w:r>
      <w:r>
        <w:rPr>
          <w:rFonts w:hint="eastAsia" w:ascii="宋体" w:hAnsi="宋体" w:cs="宋体"/>
          <w:color w:val="auto"/>
          <w:highlight w:val="none"/>
        </w:rPr>
        <w:t>建设工程概念方案</w:t>
      </w:r>
      <w:r>
        <w:rPr>
          <w:rFonts w:hint="eastAsia" w:ascii="宋体" w:hAnsi="宋体" w:eastAsia="宋体" w:cs="宋体"/>
          <w:color w:val="auto"/>
          <w:highlight w:val="none"/>
        </w:rPr>
        <w:t>的总体目标，包括但不限于：</w:t>
      </w:r>
    </w:p>
    <w:p>
      <w:pPr>
        <w:ind w:firstLine="420" w:firstLineChars="200"/>
        <w:rPr>
          <w:rFonts w:hint="eastAsia" w:ascii="宋体" w:hAnsi="宋体" w:cs="宋体"/>
          <w:color w:val="auto"/>
          <w:highlight w:val="none"/>
        </w:rPr>
      </w:pPr>
      <w:r>
        <w:rPr>
          <w:rFonts w:hint="eastAsia" w:ascii="宋体" w:hAnsi="宋体" w:cs="宋体"/>
          <w:color w:val="auto"/>
          <w:highlight w:val="none"/>
        </w:rPr>
        <w:t>2.1落实单元规划需求：在满足片区统筹及其单元规划条件的基础上，进行改造后建筑方案设计，重点展示改造后建筑布局、空间形象及技术指标等内容。</w:t>
      </w:r>
    </w:p>
    <w:p>
      <w:pPr>
        <w:ind w:firstLine="420" w:firstLineChars="200"/>
        <w:rPr>
          <w:rFonts w:hint="eastAsia" w:ascii="宋体" w:hAnsi="宋体" w:cs="宋体"/>
          <w:color w:val="auto"/>
          <w:highlight w:val="none"/>
        </w:rPr>
      </w:pPr>
      <w:r>
        <w:rPr>
          <w:rFonts w:hint="eastAsia" w:ascii="宋体" w:hAnsi="宋体" w:cs="宋体"/>
          <w:color w:val="auto"/>
          <w:highlight w:val="none"/>
        </w:rPr>
        <w:t>2.2优化城市空间布局：结合上位城市设计条件，合理布局建筑，提高土地利用效率。</w:t>
      </w:r>
    </w:p>
    <w:p>
      <w:pPr>
        <w:ind w:firstLine="420" w:firstLineChars="200"/>
        <w:rPr>
          <w:rFonts w:hint="eastAsia" w:ascii="宋体" w:hAnsi="宋体" w:cs="宋体"/>
          <w:color w:val="auto"/>
          <w:highlight w:val="none"/>
        </w:rPr>
      </w:pPr>
      <w:r>
        <w:rPr>
          <w:rFonts w:hint="eastAsia" w:ascii="宋体" w:hAnsi="宋体" w:cs="宋体"/>
          <w:color w:val="auto"/>
          <w:highlight w:val="none"/>
        </w:rPr>
        <w:t>2.3 提升城市品质：通过改造后建筑概念方案论证，完善居民居住品质，提升城市品质，打造具有文化内涵、艺术品味的新社区。</w:t>
      </w:r>
    </w:p>
    <w:p>
      <w:pPr>
        <w:spacing w:line="360" w:lineRule="auto"/>
        <w:ind w:firstLine="0" w:firstLineChars="0"/>
        <w:rPr>
          <w:rFonts w:hint="eastAsia" w:ascii="宋体" w:hAnsi="宋体" w:eastAsia="宋体" w:cs="宋体"/>
          <w:color w:val="auto"/>
          <w:szCs w:val="21"/>
          <w:highlight w:val="none"/>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三</w:t>
      </w:r>
      <w:r>
        <w:rPr>
          <w:rFonts w:hint="eastAsia" w:ascii="宋体" w:hAnsi="宋体" w:eastAsia="宋体" w:cs="宋体"/>
          <w:b/>
          <w:bCs/>
          <w:color w:val="auto"/>
          <w:highlight w:val="none"/>
        </w:rPr>
        <w:t>、范围及内容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 设计范围</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设计范围包括圳头及电化厂两个更新改造单元，总面积18.5公顷。其中，圳头单元为主体单元，需重点设计；电化厂单元为辅助表达单元。</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 设计内容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设计内容和深度须满足《东莞市“三旧”改造（城市更新）实施操作细则》的报批报审要求：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3.2.1 编制方案资料图册，包含项目设计、项目定位、彩色总平面图、效果图、交通分析图、日照分析图、单体户型图（标准层）、必要的流线、空间、消防、竖向和绿化率等分析图。</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3.2.2 制作方案模型，包括建模模型、数据包。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3.2.3 绘制技术总平面图，包括经济技术指标表，标注建筑物与道路、用地红线间距；建筑物间距、建筑物的尺寸、建筑高度等技术指标。</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3.2.3 完成3D动画展示（60-120秒）。</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四</w:t>
      </w:r>
      <w:r>
        <w:rPr>
          <w:rFonts w:hint="eastAsia" w:ascii="宋体" w:hAnsi="宋体" w:eastAsia="宋体" w:cs="宋体"/>
          <w:b/>
          <w:bCs/>
          <w:color w:val="auto"/>
          <w:highlight w:val="none"/>
        </w:rPr>
        <w:t>、设计原则与要求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 以人为本：充分考虑人的需求，创造宜居、宜业、宜游的城市环境。</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4.2 生态优先：注重生态环境保护，实现人与自然的和谐共生。</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4.3 文化传承：尊重历史文化，传承城市文脉，体现地方特色。</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4.4 经济合理：合理规划投资，提高资金使用效率，确保项目的经济可行性。</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 可操作性：建设工程概念方案应具有可操作性，便于实施和管理。</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rPr>
        <w:t>、设计成果要求</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5.1 本项目成果组成如下：</w:t>
      </w:r>
    </w:p>
    <w:tbl>
      <w:tblPr>
        <w:tblStyle w:val="3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
      <w:tblGrid>
        <w:gridCol w:w="1294"/>
        <w:gridCol w:w="4423"/>
        <w:gridCol w:w="1499"/>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231" w:hRule="atLeast"/>
          <w:jc w:val="center"/>
        </w:trPr>
        <w:tc>
          <w:tcPr>
            <w:tcW w:w="129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423"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成果名称</w:t>
            </w:r>
          </w:p>
        </w:tc>
        <w:tc>
          <w:tcPr>
            <w:tcW w:w="1499"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130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212" w:hRule="atLeast"/>
          <w:jc w:val="center"/>
        </w:trPr>
        <w:tc>
          <w:tcPr>
            <w:tcW w:w="129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423"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建筑文本、图纸及附件合订本</w:t>
            </w:r>
          </w:p>
        </w:tc>
        <w:tc>
          <w:tcPr>
            <w:tcW w:w="1499"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A4幅面</w:t>
            </w:r>
          </w:p>
        </w:tc>
        <w:tc>
          <w:tcPr>
            <w:tcW w:w="130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jc w:val="center"/>
        </w:trPr>
        <w:tc>
          <w:tcPr>
            <w:tcW w:w="129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423"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成果电子文件</w:t>
            </w:r>
          </w:p>
        </w:tc>
        <w:tc>
          <w:tcPr>
            <w:tcW w:w="1499"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光盘</w:t>
            </w:r>
          </w:p>
        </w:tc>
        <w:tc>
          <w:tcPr>
            <w:tcW w:w="130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70" w:hRule="atLeast"/>
          <w:jc w:val="center"/>
        </w:trPr>
        <w:tc>
          <w:tcPr>
            <w:tcW w:w="129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7228" w:type="dxa"/>
            <w:gridSpan w:val="3"/>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w:t>
            </w:r>
            <w:r>
              <w:rPr>
                <w:rFonts w:hint="default" w:ascii="宋体" w:hAnsi="宋体" w:eastAsia="宋体" w:cs="宋体"/>
                <w:color w:val="auto"/>
                <w:sz w:val="21"/>
                <w:szCs w:val="21"/>
                <w:highlight w:val="none"/>
                <w:lang w:val="en-US"/>
              </w:rPr>
              <w:t>甲方</w:t>
            </w:r>
            <w:r>
              <w:rPr>
                <w:rFonts w:hint="eastAsia" w:ascii="宋体" w:hAnsi="宋体" w:eastAsia="宋体" w:cs="宋体"/>
                <w:color w:val="auto"/>
                <w:sz w:val="21"/>
                <w:szCs w:val="21"/>
                <w:highlight w:val="none"/>
              </w:rPr>
              <w:t>需要额外增加成果数量，应支付相关费用。</w:t>
            </w:r>
          </w:p>
        </w:tc>
      </w:tr>
    </w:tbl>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5.2 本项目成果按以下标准和方式验收：</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5.2.1 内容和深度须按《城市规划编制办法》及国家、省、市现行的有关文件和规定执行；</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5.2.2 由乙方负责协助甲方组织有关部门和专家进行评议、评审，如规划成果符合相关要求的，乙方负责推进有关部门和专家进行评议、评审相关进程直至取得相关评审意见书。甲方需将评审意见书（副本）交付予乙方。</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rPr>
        <w:t>、设计目标</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6.1 本项目从合同生效后开始，具体进度安排如下：</w:t>
      </w:r>
    </w:p>
    <w:tbl>
      <w:tblPr>
        <w:tblStyle w:val="38"/>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
      <w:tblGrid>
        <w:gridCol w:w="1178"/>
        <w:gridCol w:w="2074"/>
        <w:gridCol w:w="5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296" w:hRule="atLeast"/>
          <w:jc w:val="center"/>
        </w:trPr>
        <w:tc>
          <w:tcPr>
            <w:tcW w:w="117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阶段划分</w:t>
            </w:r>
          </w:p>
        </w:tc>
        <w:tc>
          <w:tcPr>
            <w:tcW w:w="207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阶段成果</w:t>
            </w:r>
          </w:p>
        </w:tc>
        <w:tc>
          <w:tcPr>
            <w:tcW w:w="5276"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提交方式及时间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296" w:hRule="atLeast"/>
          <w:jc w:val="center"/>
        </w:trPr>
        <w:tc>
          <w:tcPr>
            <w:tcW w:w="117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第一阶段</w:t>
            </w:r>
          </w:p>
        </w:tc>
        <w:tc>
          <w:tcPr>
            <w:tcW w:w="2074"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基础工作</w:t>
            </w:r>
          </w:p>
        </w:tc>
        <w:tc>
          <w:tcPr>
            <w:tcW w:w="5276" w:type="dxa"/>
            <w:vAlign w:val="center"/>
          </w:tcPr>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现状调研、分析等基础工作，与莞城街道主管部门开展工作协调，统一工作基础和共识，明确工作内容和目标。本合同签订后10个</w:t>
            </w:r>
            <w:r>
              <w:rPr>
                <w:rFonts w:hint="eastAsia" w:ascii="宋体" w:hAnsi="宋体" w:cs="宋体"/>
                <w:color w:val="auto"/>
                <w:sz w:val="21"/>
                <w:szCs w:val="21"/>
                <w:highlight w:val="none"/>
                <w:lang w:val="en-US" w:eastAsia="zh-CN"/>
              </w:rPr>
              <w:t>自然</w:t>
            </w:r>
            <w:r>
              <w:rPr>
                <w:rFonts w:hint="eastAsia" w:ascii="宋体" w:hAnsi="宋体" w:eastAsia="宋体" w:cs="宋体"/>
                <w:color w:val="auto"/>
                <w:sz w:val="21"/>
                <w:szCs w:val="21"/>
                <w:highlight w:val="none"/>
              </w:rPr>
              <w:t>日内完成。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trHeight w:val="290" w:hRule="atLeast"/>
          <w:jc w:val="center"/>
        </w:trPr>
        <w:tc>
          <w:tcPr>
            <w:tcW w:w="117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第二阶段</w:t>
            </w:r>
          </w:p>
        </w:tc>
        <w:tc>
          <w:tcPr>
            <w:tcW w:w="207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街道领导班子联席会议版概念方案</w:t>
            </w:r>
          </w:p>
        </w:tc>
        <w:tc>
          <w:tcPr>
            <w:tcW w:w="5276" w:type="dxa"/>
            <w:vAlign w:val="center"/>
          </w:tcPr>
          <w:p>
            <w:pPr>
              <w:spacing w:line="360" w:lineRule="auto"/>
              <w:jc w:val="both"/>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rPr>
              <w:t>乙方</w:t>
            </w:r>
            <w:r>
              <w:rPr>
                <w:rFonts w:hint="eastAsia" w:ascii="宋体" w:hAnsi="宋体" w:eastAsia="宋体" w:cs="宋体"/>
                <w:color w:val="auto"/>
                <w:sz w:val="21"/>
                <w:szCs w:val="21"/>
                <w:highlight w:val="none"/>
              </w:rPr>
              <w:t>在收齐</w:t>
            </w:r>
            <w:r>
              <w:rPr>
                <w:rFonts w:hint="eastAsia" w:ascii="宋体" w:hAnsi="宋体" w:eastAsia="宋体" w:cs="宋体"/>
                <w:b/>
                <w:color w:val="auto"/>
                <w:sz w:val="21"/>
                <w:szCs w:val="21"/>
                <w:highlight w:val="none"/>
                <w:u w:val="single"/>
              </w:rPr>
              <w:t xml:space="preserve"> 本任务书第5.1项所列全部资料 </w:t>
            </w:r>
            <w:r>
              <w:rPr>
                <w:rFonts w:hint="eastAsia" w:ascii="宋体" w:hAnsi="宋体" w:eastAsia="宋体" w:cs="宋体"/>
                <w:color w:val="auto"/>
                <w:sz w:val="21"/>
                <w:szCs w:val="21"/>
                <w:highlight w:val="none"/>
              </w:rPr>
              <w:t>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0个自然日内提交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jc w:val="center"/>
        </w:trPr>
        <w:tc>
          <w:tcPr>
            <w:tcW w:w="117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第三阶段</w:t>
            </w:r>
          </w:p>
        </w:tc>
        <w:tc>
          <w:tcPr>
            <w:tcW w:w="2074" w:type="dxa"/>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市自然资源局技术审查版概念方案</w:t>
            </w:r>
          </w:p>
        </w:tc>
        <w:tc>
          <w:tcPr>
            <w:tcW w:w="5276" w:type="dxa"/>
            <w:vAlign w:val="center"/>
          </w:tcPr>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乙方在收到</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u w:val="single"/>
              </w:rPr>
              <w:t>街道领导班子联席会议</w:t>
            </w:r>
            <w:r>
              <w:rPr>
                <w:rFonts w:hint="eastAsia" w:ascii="宋体" w:hAnsi="宋体" w:eastAsia="宋体" w:cs="宋体"/>
                <w:b/>
                <w:color w:val="auto"/>
                <w:sz w:val="21"/>
                <w:szCs w:val="21"/>
                <w:highlight w:val="none"/>
                <w:u w:val="single"/>
              </w:rPr>
              <w:t xml:space="preserve">意见  </w:t>
            </w:r>
            <w:r>
              <w:rPr>
                <w:rFonts w:hint="eastAsia" w:ascii="宋体" w:hAnsi="宋体" w:eastAsia="宋体" w:cs="宋体"/>
                <w:color w:val="auto"/>
                <w:sz w:val="21"/>
                <w:szCs w:val="21"/>
                <w:highlight w:val="none"/>
              </w:rPr>
              <w:t>后</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个自然日内提交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jc w:val="center"/>
        </w:trPr>
        <w:tc>
          <w:tcPr>
            <w:tcW w:w="117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第四阶段</w:t>
            </w:r>
          </w:p>
        </w:tc>
        <w:tc>
          <w:tcPr>
            <w:tcW w:w="2074" w:type="dxa"/>
            <w:vAlign w:val="top"/>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市详规委会版概念方案</w:t>
            </w:r>
          </w:p>
        </w:tc>
        <w:tc>
          <w:tcPr>
            <w:tcW w:w="5276" w:type="dxa"/>
            <w:vAlign w:val="center"/>
          </w:tcPr>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乙方在收到</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bCs/>
                <w:color w:val="auto"/>
                <w:sz w:val="21"/>
                <w:szCs w:val="21"/>
                <w:highlight w:val="none"/>
                <w:u w:val="single"/>
              </w:rPr>
              <w:t>市自然资源局技术审查</w:t>
            </w:r>
            <w:r>
              <w:rPr>
                <w:rFonts w:hint="eastAsia" w:ascii="宋体" w:hAnsi="宋体" w:eastAsia="宋体" w:cs="宋体"/>
                <w:b/>
                <w:color w:val="auto"/>
                <w:sz w:val="21"/>
                <w:szCs w:val="21"/>
                <w:highlight w:val="none"/>
                <w:u w:val="single"/>
              </w:rPr>
              <w:t xml:space="preserve">评审意见 </w:t>
            </w:r>
            <w:r>
              <w:rPr>
                <w:rFonts w:hint="eastAsia" w:ascii="宋体" w:hAnsi="宋体" w:eastAsia="宋体" w:cs="宋体"/>
                <w:color w:val="auto"/>
                <w:sz w:val="21"/>
                <w:szCs w:val="21"/>
                <w:highlight w:val="none"/>
              </w:rPr>
              <w:t>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0个自然日内提交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8" w:type="dxa"/>
            <w:left w:w="108" w:type="dxa"/>
            <w:bottom w:w="108" w:type="dxa"/>
            <w:right w:w="108" w:type="dxa"/>
          </w:tblCellMar>
        </w:tblPrEx>
        <w:trPr>
          <w:jc w:val="center"/>
        </w:trPr>
        <w:tc>
          <w:tcPr>
            <w:tcW w:w="1178" w:type="dxa"/>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第五阶段</w:t>
            </w:r>
          </w:p>
        </w:tc>
        <w:tc>
          <w:tcPr>
            <w:tcW w:w="2074"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征求意见及上报审批工作</w:t>
            </w:r>
          </w:p>
        </w:tc>
        <w:tc>
          <w:tcPr>
            <w:tcW w:w="5276" w:type="dxa"/>
            <w:vAlign w:val="center"/>
          </w:tcPr>
          <w:p>
            <w:pPr>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乙方在收到</w:t>
            </w:r>
            <w:r>
              <w:rPr>
                <w:rFonts w:hint="eastAsia" w:ascii="宋体" w:hAnsi="宋体" w:eastAsia="宋体" w:cs="宋体"/>
                <w:b/>
                <w:bCs/>
                <w:color w:val="auto"/>
                <w:sz w:val="21"/>
                <w:szCs w:val="21"/>
                <w:highlight w:val="none"/>
                <w:u w:val="single"/>
              </w:rPr>
              <w:t xml:space="preserve"> 市详规委会</w:t>
            </w:r>
            <w:r>
              <w:rPr>
                <w:rFonts w:hint="eastAsia" w:ascii="宋体" w:hAnsi="宋体" w:eastAsia="宋体" w:cs="宋体"/>
                <w:b/>
                <w:color w:val="auto"/>
                <w:sz w:val="21"/>
                <w:szCs w:val="21"/>
                <w:highlight w:val="none"/>
                <w:u w:val="single"/>
              </w:rPr>
              <w:t>评审意见及</w:t>
            </w:r>
            <w:r>
              <w:rPr>
                <w:rFonts w:hint="eastAsia" w:ascii="宋体" w:hAnsi="宋体" w:eastAsia="宋体" w:cs="宋体"/>
                <w:b/>
                <w:bCs/>
                <w:color w:val="auto"/>
                <w:sz w:val="21"/>
                <w:szCs w:val="21"/>
                <w:highlight w:val="none"/>
                <w:u w:val="single"/>
              </w:rPr>
              <w:t xml:space="preserve">相关材料成果 </w:t>
            </w:r>
            <w:r>
              <w:rPr>
                <w:rFonts w:hint="eastAsia" w:ascii="宋体" w:hAnsi="宋体" w:eastAsia="宋体" w:cs="宋体"/>
                <w:color w:val="auto"/>
                <w:sz w:val="21"/>
                <w:szCs w:val="21"/>
                <w:highlight w:val="none"/>
              </w:rPr>
              <w:t>后</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个自然日内提交</w:t>
            </w:r>
          </w:p>
        </w:tc>
      </w:tr>
    </w:tbl>
    <w:p>
      <w:pPr>
        <w:spacing w:before="0" w:beforeLines="-2147483648" w:after="0" w:afterLines="-2147483648"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6</w:t>
      </w:r>
      <w:r>
        <w:rPr>
          <w:rFonts w:hint="eastAsia" w:ascii="宋体" w:hAnsi="宋体" w:eastAsia="宋体" w:cs="宋体"/>
          <w:color w:val="auto"/>
          <w:sz w:val="21"/>
          <w:szCs w:val="22"/>
          <w:highlight w:val="none"/>
        </w:rPr>
        <w:t>.2 以上时间为</w:t>
      </w:r>
      <w:r>
        <w:rPr>
          <w:rFonts w:hint="eastAsia" w:ascii="宋体" w:hAnsi="宋体" w:eastAsia="宋体" w:cs="宋体"/>
          <w:color w:val="auto"/>
          <w:sz w:val="21"/>
          <w:szCs w:val="22"/>
          <w:highlight w:val="none"/>
          <w:lang w:val="en-US" w:eastAsia="zh-CN"/>
        </w:rPr>
        <w:t>乙方</w:t>
      </w:r>
      <w:r>
        <w:rPr>
          <w:rFonts w:hint="eastAsia" w:ascii="宋体" w:hAnsi="宋体" w:eastAsia="宋体" w:cs="宋体"/>
          <w:color w:val="auto"/>
          <w:sz w:val="21"/>
          <w:szCs w:val="22"/>
          <w:highlight w:val="none"/>
        </w:rPr>
        <w:t>工作时间，不包括因方案讨论、评审、报批而发生的时间，不包括因</w:t>
      </w:r>
      <w:r>
        <w:rPr>
          <w:rFonts w:hint="eastAsia" w:ascii="宋体" w:hAnsi="宋体" w:eastAsia="宋体" w:cs="宋体"/>
          <w:color w:val="auto"/>
          <w:sz w:val="21"/>
          <w:szCs w:val="22"/>
          <w:highlight w:val="none"/>
          <w:lang w:val="en-US" w:eastAsia="zh-CN"/>
        </w:rPr>
        <w:t>甲方</w:t>
      </w:r>
      <w:r>
        <w:rPr>
          <w:rFonts w:hint="eastAsia" w:ascii="宋体" w:hAnsi="宋体" w:eastAsia="宋体" w:cs="宋体"/>
          <w:color w:val="auto"/>
          <w:sz w:val="21"/>
          <w:szCs w:val="22"/>
          <w:highlight w:val="none"/>
        </w:rPr>
        <w:t>原因造成工作延误而发生的时间。</w:t>
      </w:r>
    </w:p>
    <w:p>
      <w:pPr>
        <w:spacing w:before="0" w:beforeLines="-2147483648" w:after="0" w:afterLines="-2147483648"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6</w:t>
      </w:r>
      <w:r>
        <w:rPr>
          <w:rFonts w:hint="eastAsia" w:ascii="宋体" w:hAnsi="宋体" w:eastAsia="宋体" w:cs="宋体"/>
          <w:color w:val="auto"/>
          <w:sz w:val="21"/>
          <w:szCs w:val="22"/>
          <w:highlight w:val="none"/>
        </w:rPr>
        <w:t>.3 如双方认为有必要，经协商一致，可对各阶段成果提交时间进行调整。</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七、双方责任与义务</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甲方</w:t>
      </w:r>
      <w:r>
        <w:rPr>
          <w:rFonts w:hint="eastAsia" w:ascii="宋体" w:hAnsi="宋体" w:eastAsia="宋体" w:cs="宋体"/>
          <w:color w:val="auto"/>
          <w:highlight w:val="none"/>
        </w:rPr>
        <w:t>提供真实、准确、完整的基础资料，及时支付设计费用，参与设计评审等。</w:t>
      </w:r>
      <w:r>
        <w:rPr>
          <w:rFonts w:hint="eastAsia" w:ascii="宋体" w:hAnsi="宋体" w:eastAsia="宋体" w:cs="宋体"/>
          <w:color w:val="auto"/>
          <w:highlight w:val="none"/>
          <w:lang w:val="en-US" w:eastAsia="zh-CN"/>
        </w:rPr>
        <w:t>乙方</w:t>
      </w:r>
      <w:r>
        <w:rPr>
          <w:rFonts w:hint="eastAsia" w:ascii="宋体" w:hAnsi="宋体" w:eastAsia="宋体" w:cs="宋体"/>
          <w:color w:val="auto"/>
          <w:highlight w:val="none"/>
        </w:rPr>
        <w:t>按时完成设计任务，提交符合要求的设计成果，对设计成果的质量负责等。</w:t>
      </w:r>
    </w:p>
    <w:p>
      <w:pPr>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br w:type="page"/>
      </w:r>
    </w:p>
    <w:p>
      <w:pPr>
        <w:pStyle w:val="11"/>
        <w:keepNext w:val="0"/>
        <w:keepLines w:val="0"/>
        <w:pageBreakBefore w:val="0"/>
        <w:kinsoku/>
        <w:wordWrap/>
        <w:overflowPunct/>
        <w:topLinePunct w:val="0"/>
        <w:autoSpaceDE/>
        <w:autoSpaceDN/>
        <w:bidi w:val="0"/>
        <w:spacing w:before="0" w:line="360" w:lineRule="auto"/>
        <w:ind w:left="0" w:leftChars="0" w:firstLine="0" w:firstLineChars="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rPr>
        <w:t>附件</w:t>
      </w:r>
      <w:r>
        <w:rPr>
          <w:rFonts w:hint="eastAsia"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rPr>
        <w:t>：服务人员团队一览表</w:t>
      </w:r>
    </w:p>
    <w:p>
      <w:pPr>
        <w:keepNext w:val="0"/>
        <w:keepLines w:val="0"/>
        <w:pageBreakBefore w:val="0"/>
        <w:widowControl/>
        <w:kinsoku/>
        <w:wordWrap/>
        <w:overflowPunct/>
        <w:topLinePunct w:val="0"/>
        <w:autoSpaceDE/>
        <w:autoSpaceDN/>
        <w:bidi w:val="0"/>
        <w:adjustRightInd w:val="0"/>
        <w:snapToGrid w:val="0"/>
        <w:spacing w:before="361" w:beforeLines="100" w:after="361" w:afterLines="100" w:line="360" w:lineRule="auto"/>
        <w:jc w:val="center"/>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服务人员团队一览表</w:t>
      </w:r>
    </w:p>
    <w:p>
      <w:pPr>
        <w:spacing w:line="360" w:lineRule="auto"/>
        <w:jc w:val="both"/>
        <w:rPr>
          <w:rFonts w:hint="eastAsia" w:ascii="宋体" w:hAnsi="宋体" w:eastAsia="宋体" w:cs="宋体"/>
          <w:b/>
          <w:bCs/>
          <w:color w:val="auto"/>
          <w:sz w:val="18"/>
          <w:szCs w:val="18"/>
          <w:highlight w:val="none"/>
          <w:lang w:val="en-US"/>
        </w:rPr>
      </w:pPr>
      <w:r>
        <w:rPr>
          <w:rFonts w:hint="eastAsia" w:ascii="宋体" w:hAnsi="宋体" w:eastAsia="宋体" w:cs="宋体"/>
          <w:b/>
          <w:bCs/>
          <w:color w:val="auto"/>
          <w:sz w:val="18"/>
          <w:szCs w:val="18"/>
          <w:highlight w:val="none"/>
          <w:lang w:val="en-US"/>
        </w:rPr>
        <w:t>服务方安排下列团队成员提供服务:</w:t>
      </w:r>
    </w:p>
    <w:tbl>
      <w:tblPr>
        <w:tblStyle w:val="3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328"/>
        <w:gridCol w:w="1931"/>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spacing w:line="360" w:lineRule="auto"/>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姓名</w:t>
            </w:r>
          </w:p>
        </w:tc>
        <w:tc>
          <w:tcPr>
            <w:tcW w:w="1328" w:type="dxa"/>
            <w:vAlign w:val="center"/>
          </w:tcPr>
          <w:p>
            <w:p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年龄</w:t>
            </w:r>
          </w:p>
        </w:tc>
        <w:tc>
          <w:tcPr>
            <w:tcW w:w="1931" w:type="dxa"/>
            <w:vAlign w:val="center"/>
          </w:tcPr>
          <w:p>
            <w:p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性别</w:t>
            </w:r>
          </w:p>
        </w:tc>
        <w:tc>
          <w:tcPr>
            <w:tcW w:w="3133"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r>
              <w:rPr>
                <w:rFonts w:hint="eastAsia" w:ascii="宋体" w:hAnsi="宋体" w:eastAsia="宋体" w:cs="宋体"/>
                <w:b/>
                <w:bCs/>
                <w:color w:val="auto"/>
                <w:sz w:val="21"/>
                <w:szCs w:val="21"/>
                <w:highlight w:val="none"/>
                <w:vertAlign w:val="baseline"/>
                <w:lang w:val="en-US"/>
              </w:rPr>
              <w:t>在本项目中的职务与主要工作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328"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931"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3133"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328"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931"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3133"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328"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931"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3133"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328"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931"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3133"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328"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931"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3133"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328"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931"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3133"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328"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931"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3133"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328"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931"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3133"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328"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931"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3133"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328"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931"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3133"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328"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931"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3133"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328"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931"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3133"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328"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931"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3133"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30"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328"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1931"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c>
          <w:tcPr>
            <w:tcW w:w="3133" w:type="dxa"/>
            <w:vAlign w:val="center"/>
          </w:tcPr>
          <w:p>
            <w:pPr>
              <w:spacing w:line="360" w:lineRule="auto"/>
              <w:jc w:val="center"/>
              <w:rPr>
                <w:rFonts w:hint="eastAsia" w:ascii="宋体" w:hAnsi="宋体" w:eastAsia="宋体" w:cs="宋体"/>
                <w:b/>
                <w:bCs/>
                <w:color w:val="auto"/>
                <w:sz w:val="21"/>
                <w:szCs w:val="21"/>
                <w:highlight w:val="none"/>
                <w:vertAlign w:val="baseline"/>
                <w:lang w:val="en-US"/>
              </w:rPr>
            </w:pPr>
          </w:p>
        </w:tc>
      </w:tr>
    </w:tbl>
    <w:p>
      <w:pPr>
        <w:spacing w:line="360" w:lineRule="auto"/>
        <w:jc w:val="both"/>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br w:type="page"/>
      </w:r>
    </w:p>
    <w:p>
      <w:pPr>
        <w:pStyle w:val="11"/>
        <w:keepNext w:val="0"/>
        <w:keepLines w:val="0"/>
        <w:pageBreakBefore w:val="0"/>
        <w:kinsoku/>
        <w:wordWrap/>
        <w:overflowPunct/>
        <w:topLinePunct w:val="0"/>
        <w:autoSpaceDE/>
        <w:autoSpaceDN/>
        <w:bidi w:val="0"/>
        <w:spacing w:before="0" w:line="320" w:lineRule="exact"/>
        <w:ind w:left="0" w:leftChars="0" w:firstLine="0" w:firstLineChars="0"/>
        <w:textAlignment w:val="auto"/>
        <w:rPr>
          <w:rFonts w:hint="eastAsia" w:ascii="宋体" w:hAnsi="宋体" w:eastAsia="宋体" w:cs="宋体"/>
          <w:b/>
          <w:bCs/>
          <w:color w:val="auto"/>
          <w:sz w:val="21"/>
          <w:szCs w:val="21"/>
          <w:highlight w:val="none"/>
          <w:lang w:val="en-US"/>
        </w:rPr>
      </w:pPr>
      <w:r>
        <w:rPr>
          <w:rFonts w:hint="eastAsia" w:ascii="宋体" w:hAnsi="宋体" w:eastAsia="宋体" w:cs="宋体"/>
          <w:b/>
          <w:bCs/>
          <w:color w:val="auto"/>
          <w:sz w:val="21"/>
          <w:szCs w:val="21"/>
          <w:highlight w:val="none"/>
          <w:lang w:val="en-US"/>
        </w:rPr>
        <w:t>附件</w:t>
      </w:r>
      <w:r>
        <w:rPr>
          <w:rFonts w:hint="eastAsia"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rPr>
        <w:t>：阳光合作协议</w:t>
      </w:r>
    </w:p>
    <w:p>
      <w:pPr>
        <w:ind w:firstLine="562" w:firstLineChars="200"/>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阳光合作协议</w:t>
      </w:r>
    </w:p>
    <w:p>
      <w:pPr>
        <w:keepNext w:val="0"/>
        <w:keepLines w:val="0"/>
        <w:pageBreakBefore w:val="0"/>
        <w:widowControl/>
        <w:kinsoku/>
        <w:wordWrap/>
        <w:overflowPunct/>
        <w:topLinePunct w:val="0"/>
        <w:autoSpaceDE/>
        <w:autoSpaceDN/>
        <w:bidi w:val="0"/>
        <w:adjustRightInd w:val="0"/>
        <w:snapToGrid w:val="0"/>
        <w:spacing w:line="360" w:lineRule="auto"/>
        <w:ind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甲方（采购</w:t>
      </w:r>
      <w:r>
        <w:rPr>
          <w:rFonts w:hint="eastAsia" w:ascii="宋体" w:hAnsi="宋体" w:eastAsia="宋体" w:cs="宋体"/>
          <w:color w:val="auto"/>
          <w:sz w:val="20"/>
          <w:szCs w:val="20"/>
          <w:highlight w:val="none"/>
          <w:lang w:val="en-US" w:eastAsia="zh-CN"/>
        </w:rPr>
        <w:t>人</w:t>
      </w:r>
      <w:r>
        <w:rPr>
          <w:rFonts w:hint="eastAsia" w:ascii="宋体" w:hAnsi="宋体" w:eastAsia="宋体" w:cs="宋体"/>
          <w:color w:val="auto"/>
          <w:sz w:val="20"/>
          <w:szCs w:val="20"/>
          <w:highlight w:val="none"/>
        </w:rPr>
        <w:t>全称）：</w:t>
      </w:r>
    </w:p>
    <w:p>
      <w:pPr>
        <w:keepNext w:val="0"/>
        <w:keepLines w:val="0"/>
        <w:pageBreakBefore w:val="0"/>
        <w:widowControl/>
        <w:kinsoku/>
        <w:wordWrap/>
        <w:overflowPunct/>
        <w:topLinePunct w:val="0"/>
        <w:autoSpaceDE/>
        <w:autoSpaceDN/>
        <w:bidi w:val="0"/>
        <w:adjustRightInd w:val="0"/>
        <w:snapToGrid w:val="0"/>
        <w:spacing w:line="360" w:lineRule="auto"/>
        <w:ind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乙方（</w:t>
      </w:r>
      <w:r>
        <w:rPr>
          <w:rFonts w:hint="eastAsia" w:ascii="宋体" w:hAnsi="宋体" w:eastAsia="宋体" w:cs="宋体"/>
          <w:color w:val="auto"/>
          <w:sz w:val="20"/>
          <w:szCs w:val="20"/>
          <w:highlight w:val="none"/>
          <w:lang w:val="en-US" w:eastAsia="zh-CN"/>
        </w:rPr>
        <w:t>服务商</w:t>
      </w:r>
      <w:r>
        <w:rPr>
          <w:rFonts w:hint="eastAsia" w:ascii="宋体" w:hAnsi="宋体" w:eastAsia="宋体" w:cs="宋体"/>
          <w:color w:val="auto"/>
          <w:sz w:val="20"/>
          <w:szCs w:val="20"/>
          <w:highlight w:val="none"/>
        </w:rPr>
        <w:t>全称）：</w:t>
      </w:r>
    </w:p>
    <w:p>
      <w:pPr>
        <w:keepNext w:val="0"/>
        <w:keepLines w:val="0"/>
        <w:pageBreakBefore w:val="0"/>
        <w:widowControl/>
        <w:kinsoku/>
        <w:wordWrap/>
        <w:overflowPunct/>
        <w:topLinePunct w:val="0"/>
        <w:autoSpaceDE/>
        <w:autoSpaceDN/>
        <w:bidi w:val="0"/>
        <w:adjustRightInd w:val="0"/>
        <w:snapToGrid w:val="0"/>
        <w:spacing w:line="360" w:lineRule="auto"/>
        <w:ind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甲乙双方于202</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年</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月</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日签署了</w:t>
      </w: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项目合同（以下简称原合同），为加强双方阳光合作，保证职员职业安全，甲乙双方经协商签订本协议并作为双方共同遵守的阳光合作行为准则。</w:t>
      </w:r>
    </w:p>
    <w:p>
      <w:pPr>
        <w:keepNext w:val="0"/>
        <w:keepLines w:val="0"/>
        <w:pageBreakBefore w:val="0"/>
        <w:widowControl/>
        <w:kinsoku/>
        <w:wordWrap/>
        <w:overflowPunct/>
        <w:topLinePunct w:val="0"/>
        <w:autoSpaceDE/>
        <w:autoSpaceDN/>
        <w:bidi w:val="0"/>
        <w:adjustRightInd w:val="0"/>
        <w:snapToGrid w:val="0"/>
        <w:spacing w:line="360" w:lineRule="auto"/>
        <w:ind w:left="420" w:leftChars="200"/>
        <w:contextualSpacing/>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一、甲方责任</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1.甲方有责任向乙方介绍本单位有关采购管理通用原则和本协议的规定。</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2.甲方有责任对本单位相关人员进行阳光合作教育。</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4.甲方人员如违反阳光合作管理制度及本协议规定，甲方视情节轻重、影响大小给予行政及经济处罚。</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5．对于乙方举报甲方人员违反阳光合作规定的情况，甲方应及时进行调查，根据调查情况进行处理，并将调查结果向乙方反馈。</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6.接受举报的一方应为举报方保密，不得对举报方进行报复，对举报属实和严格遵守《阳光合作协议》的合作方，在同等条件下给予后续合作的优先权。</w:t>
      </w:r>
    </w:p>
    <w:p>
      <w:pPr>
        <w:keepNext w:val="0"/>
        <w:keepLines w:val="0"/>
        <w:pageBreakBefore w:val="0"/>
        <w:widowControl/>
        <w:kinsoku/>
        <w:wordWrap/>
        <w:overflowPunct/>
        <w:topLinePunct w:val="0"/>
        <w:autoSpaceDE/>
        <w:autoSpaceDN/>
        <w:bidi w:val="0"/>
        <w:adjustRightInd w:val="0"/>
        <w:snapToGrid w:val="0"/>
        <w:spacing w:line="360" w:lineRule="auto"/>
        <w:ind w:left="420" w:leftChars="200"/>
        <w:contextualSpacing/>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二、乙方责任</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1.乙方应保证乙方人员了解甲方有关采购管理通用原则和及本协议的规定，并遵照执行。</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2.乙方不得以任何形式给予甲方人员回扣、赠送实物、现金、有价证券、礼券等有价物品或提供旅游等其他可能影响职务行为公正履行的活动（以下统称“财物”）。</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3.乙方有责任接受甲方对乙方在合作期间阳光合作管理执行情况的监督，并对甲方相关调查工作主动配合。</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乙方有义务就甲方人员任何形式的索取或收受财物行为及时向甲方（直接联系人为东莞实业投资控股集团有限公司法律合规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5．甲方接受乙方实名或匿名举报，保证为举报者的信息保密，常设举报部门及电话： </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举报受理部门：东莞实业投资控股集团有限公司法律合规部</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东实集团举报邮箱：dgsyxf@163.com</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东实集团举报电话：0769-28820703（周一至周五9:00-12:00和14:00-18:00）</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邮寄地址：东莞市东城区八一路1号机关二号大院9号楼，东莞实业投资控股集团有限公司法律合规部收，邮编523000。</w:t>
      </w:r>
    </w:p>
    <w:p>
      <w:pPr>
        <w:keepNext w:val="0"/>
        <w:keepLines w:val="0"/>
        <w:pageBreakBefore w:val="0"/>
        <w:widowControl/>
        <w:kinsoku/>
        <w:wordWrap/>
        <w:overflowPunct/>
        <w:topLinePunct w:val="0"/>
        <w:autoSpaceDE/>
        <w:autoSpaceDN/>
        <w:bidi w:val="0"/>
        <w:adjustRightInd w:val="0"/>
        <w:snapToGrid w:val="0"/>
        <w:spacing w:line="360" w:lineRule="auto"/>
        <w:ind w:left="420" w:leftChars="200"/>
        <w:contextualSpacing/>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三、其他</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1.本协议是原合同的补充协议，与原合同有同等法律效力。</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2.本协议一式  份，甲方执  份，乙方执  份,具有同等法律效力。</w:t>
      </w:r>
    </w:p>
    <w:p>
      <w:pPr>
        <w:keepNext w:val="0"/>
        <w:keepLines w:val="0"/>
        <w:pageBreakBefore w:val="0"/>
        <w:widowControl/>
        <w:kinsoku/>
        <w:wordWrap/>
        <w:overflowPunct/>
        <w:topLinePunct w:val="0"/>
        <w:autoSpaceDE/>
        <w:autoSpaceDN/>
        <w:bidi w:val="0"/>
        <w:adjustRightInd w:val="0"/>
        <w:snapToGrid w:val="0"/>
        <w:spacing w:line="360" w:lineRule="auto"/>
        <w:ind w:left="105" w:leftChars="50"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3.本协议经双方签署后生效。</w:t>
      </w:r>
    </w:p>
    <w:p>
      <w:pPr>
        <w:keepNext w:val="0"/>
        <w:keepLines w:val="0"/>
        <w:pageBreakBefore w:val="0"/>
        <w:widowControl/>
        <w:kinsoku/>
        <w:wordWrap/>
        <w:overflowPunct/>
        <w:topLinePunct w:val="0"/>
        <w:autoSpaceDE/>
        <w:autoSpaceDN/>
        <w:bidi w:val="0"/>
        <w:adjustRightInd w:val="0"/>
        <w:snapToGrid w:val="0"/>
        <w:spacing w:line="360" w:lineRule="auto"/>
        <w:ind w:firstLine="400" w:firstLineChars="200"/>
        <w:contextualSpacing/>
        <w:textAlignment w:val="auto"/>
        <w:rPr>
          <w:rFonts w:hint="eastAsia" w:ascii="宋体" w:hAnsi="宋体" w:eastAsia="宋体" w:cs="宋体"/>
          <w:color w:val="auto"/>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甲方（盖章）：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 xml:space="preserve"> 乙方（盖章）： </w:t>
      </w:r>
    </w:p>
    <w:p>
      <w:pPr>
        <w:keepNext w:val="0"/>
        <w:keepLines w:val="0"/>
        <w:pageBreakBefore w:val="0"/>
        <w:widowControl/>
        <w:kinsoku/>
        <w:wordWrap/>
        <w:overflowPunct/>
        <w:topLinePunct w:val="0"/>
        <w:autoSpaceDE/>
        <w:autoSpaceDN/>
        <w:bidi w:val="0"/>
        <w:adjustRightInd w:val="0"/>
        <w:snapToGrid w:val="0"/>
        <w:spacing w:line="360" w:lineRule="auto"/>
        <w:ind w:firstLine="400" w:firstLineChars="200"/>
        <w:contextualSpacing/>
        <w:textAlignment w:val="auto"/>
        <w:rPr>
          <w:rFonts w:hint="eastAsia" w:ascii="宋体" w:hAnsi="宋体" w:eastAsia="宋体" w:cs="宋体"/>
          <w:color w:val="auto"/>
          <w:sz w:val="20"/>
          <w:szCs w:val="20"/>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00" w:firstLineChars="200"/>
        <w:contextualSpacing/>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法定代表人（授权代表）：</w:t>
      </w:r>
      <w:r>
        <w:rPr>
          <w:rFonts w:hint="eastAsia" w:ascii="宋体" w:hAnsi="宋体" w:eastAsia="宋体" w:cs="宋体"/>
          <w:color w:val="auto"/>
          <w:sz w:val="20"/>
          <w:szCs w:val="20"/>
          <w:highlight w:val="none"/>
        </w:rPr>
        <w:tab/>
      </w:r>
      <w:r>
        <w:rPr>
          <w:rFonts w:hint="eastAsia" w:ascii="宋体" w:hAnsi="宋体" w:eastAsia="宋体" w:cs="宋体"/>
          <w:color w:val="auto"/>
          <w:sz w:val="20"/>
          <w:szCs w:val="20"/>
          <w:highlight w:val="none"/>
        </w:rPr>
        <w:tab/>
      </w:r>
      <w:r>
        <w:rPr>
          <w:rFonts w:hint="eastAsia" w:ascii="宋体" w:hAnsi="宋体" w:eastAsia="宋体" w:cs="宋体"/>
          <w:color w:val="auto"/>
          <w:sz w:val="20"/>
          <w:szCs w:val="20"/>
          <w:highlight w:val="none"/>
        </w:rPr>
        <w:t xml:space="preserve"> </w:t>
      </w:r>
      <w:r>
        <w:rPr>
          <w:rFonts w:hint="eastAsia" w:ascii="宋体" w:hAnsi="宋体" w:eastAsia="宋体" w:cs="宋体"/>
          <w:color w:val="auto"/>
          <w:sz w:val="20"/>
          <w:szCs w:val="20"/>
          <w:highlight w:val="none"/>
          <w:lang w:val="en-US" w:eastAsia="zh-CN"/>
        </w:rPr>
        <w:t xml:space="preserve">       </w:t>
      </w:r>
      <w:r>
        <w:rPr>
          <w:rFonts w:hint="eastAsia" w:ascii="宋体" w:hAnsi="宋体" w:eastAsia="宋体" w:cs="宋体"/>
          <w:color w:val="auto"/>
          <w:sz w:val="20"/>
          <w:szCs w:val="20"/>
          <w:highlight w:val="none"/>
        </w:rPr>
        <w:t>法定代表人（授权代表）：</w:t>
      </w:r>
    </w:p>
    <w:p>
      <w:pPr>
        <w:keepNext w:val="0"/>
        <w:keepLines w:val="0"/>
        <w:pageBreakBefore w:val="0"/>
        <w:widowControl/>
        <w:kinsoku/>
        <w:wordWrap/>
        <w:overflowPunct/>
        <w:topLinePunct w:val="0"/>
        <w:autoSpaceDE/>
        <w:autoSpaceDN/>
        <w:bidi w:val="0"/>
        <w:adjustRightInd w:val="0"/>
        <w:snapToGrid w:val="0"/>
        <w:spacing w:line="360" w:lineRule="auto"/>
        <w:ind w:firstLine="400" w:firstLineChars="200"/>
        <w:contextualSpacing/>
        <w:textAlignment w:val="auto"/>
        <w:rPr>
          <w:rFonts w:hint="eastAsia" w:ascii="宋体" w:hAnsi="宋体" w:eastAsia="宋体" w:cs="宋体"/>
          <w:color w:val="auto"/>
          <w:sz w:val="20"/>
          <w:szCs w:val="20"/>
          <w:highlight w:val="none"/>
        </w:rPr>
      </w:pPr>
    </w:p>
    <w:p>
      <w:pPr>
        <w:pStyle w:val="22"/>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aps/>
          <w:color w:val="auto"/>
          <w:spacing w:val="80"/>
          <w:sz w:val="20"/>
          <w:szCs w:val="20"/>
          <w:highlight w:val="none"/>
        </w:rPr>
      </w:pPr>
      <w:r>
        <w:rPr>
          <w:rFonts w:hint="eastAsia" w:ascii="宋体" w:hAnsi="宋体" w:eastAsia="宋体" w:cs="宋体"/>
          <w:b w:val="0"/>
          <w:bCs w:val="0"/>
          <w:color w:val="auto"/>
          <w:sz w:val="20"/>
          <w:szCs w:val="20"/>
          <w:highlight w:val="none"/>
        </w:rPr>
        <w:t>签约日期：202</w:t>
      </w: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 xml:space="preserve">年  月  日   </w:t>
      </w:r>
      <w:r>
        <w:rPr>
          <w:rFonts w:hint="eastAsia" w:ascii="宋体" w:hAnsi="宋体" w:eastAsia="宋体" w:cs="宋体"/>
          <w:b w:val="0"/>
          <w:bCs w:val="0"/>
          <w:color w:val="auto"/>
          <w:sz w:val="20"/>
          <w:szCs w:val="20"/>
          <w:highlight w:val="none"/>
        </w:rPr>
        <w:tab/>
      </w:r>
      <w:r>
        <w:rPr>
          <w:rFonts w:hint="eastAsia" w:ascii="宋体" w:hAnsi="宋体" w:eastAsia="宋体" w:cs="宋体"/>
          <w:b w:val="0"/>
          <w:bCs w:val="0"/>
          <w:color w:val="auto"/>
          <w:sz w:val="20"/>
          <w:szCs w:val="20"/>
          <w:highlight w:val="none"/>
        </w:rPr>
        <w:t xml:space="preserve">         签约日期：202</w:t>
      </w:r>
      <w:r>
        <w:rPr>
          <w:rFonts w:hint="eastAsia" w:ascii="宋体" w:hAnsi="宋体" w:eastAsia="宋体"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年  月  日</w:t>
      </w: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2"/>
        <w:spacing w:before="0" w:after="0" w:line="240" w:lineRule="auto"/>
        <w:rPr>
          <w:rFonts w:hint="eastAsia" w:ascii="宋体" w:hAnsi="宋体" w:eastAsia="宋体" w:cs="宋体"/>
          <w:color w:val="auto"/>
          <w:sz w:val="28"/>
          <w:szCs w:val="28"/>
          <w:highlight w:val="none"/>
        </w:rPr>
      </w:pPr>
      <w:bookmarkStart w:id="133" w:name="_Toc11416"/>
      <w:r>
        <w:rPr>
          <w:rFonts w:hint="eastAsia" w:ascii="宋体" w:hAnsi="宋体" w:eastAsia="宋体" w:cs="宋体"/>
          <w:color w:val="auto"/>
          <w:sz w:val="28"/>
          <w:szCs w:val="28"/>
          <w:highlight w:val="none"/>
        </w:rPr>
        <w:t>第六部分附件－投标文件格式</w:t>
      </w:r>
      <w:bookmarkEnd w:id="133"/>
    </w:p>
    <w:p>
      <w:pPr>
        <w:rPr>
          <w:rFonts w:hint="eastAsia" w:ascii="宋体" w:hAnsi="宋体" w:eastAsia="宋体" w:cs="宋体"/>
          <w:color w:val="auto"/>
          <w:highlight w:val="none"/>
        </w:rPr>
      </w:pPr>
    </w:p>
    <w:p>
      <w:pPr>
        <w:pStyle w:val="5"/>
        <w:widowControl w:val="0"/>
        <w:overflowPunct w:val="0"/>
        <w:spacing w:line="240" w:lineRule="auto"/>
        <w:rPr>
          <w:rFonts w:hint="eastAsia" w:ascii="宋体" w:hAnsi="宋体" w:eastAsia="宋体" w:cs="宋体"/>
          <w:color w:val="auto"/>
          <w:sz w:val="21"/>
          <w:szCs w:val="21"/>
          <w:highlight w:val="none"/>
        </w:rPr>
      </w:pPr>
      <w:bookmarkStart w:id="134" w:name="_Toc21154"/>
      <w:r>
        <w:rPr>
          <w:rFonts w:hint="eastAsia" w:ascii="宋体" w:hAnsi="宋体" w:eastAsia="宋体" w:cs="宋体"/>
          <w:color w:val="auto"/>
          <w:sz w:val="21"/>
          <w:szCs w:val="21"/>
          <w:highlight w:val="none"/>
        </w:rPr>
        <w:t>投标文件目录</w:t>
      </w:r>
      <w:bookmarkEnd w:id="134"/>
    </w:p>
    <w:p>
      <w:pPr>
        <w:jc w:val="cente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p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格式自理。</w:t>
      </w:r>
    </w:p>
    <w:p>
      <w:pPr>
        <w:adjustRightInd/>
        <w:snapToGrid/>
        <w:spacing w:line="276" w:lineRule="auto"/>
        <w:rPr>
          <w:rFonts w:hint="eastAsia" w:ascii="宋体" w:hAnsi="宋体" w:eastAsia="宋体" w:cs="宋体"/>
          <w:color w:val="auto"/>
          <w:szCs w:val="21"/>
          <w:highlight w:val="none"/>
        </w:rPr>
      </w:pPr>
    </w:p>
    <w:p>
      <w:pPr>
        <w:adjustRightInd/>
        <w:snapToGrid/>
        <w:spacing w:line="276" w:lineRule="auto"/>
        <w:rPr>
          <w:rFonts w:hint="eastAsia" w:ascii="宋体" w:hAnsi="宋体" w:eastAsia="宋体" w:cs="宋体"/>
          <w:color w:val="auto"/>
          <w:szCs w:val="21"/>
          <w:highlight w:val="none"/>
        </w:rPr>
      </w:pPr>
    </w:p>
    <w:p>
      <w:p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1、投标人制作的投标文件应当具备目录。</w:t>
      </w:r>
      <w:r>
        <w:rPr>
          <w:rFonts w:hint="eastAsia" w:ascii="宋体" w:hAnsi="宋体" w:eastAsia="宋体" w:cs="宋体"/>
          <w:color w:val="auto"/>
          <w:szCs w:val="21"/>
          <w:highlight w:val="none"/>
        </w:rPr>
        <w:br w:type="page"/>
      </w:r>
    </w:p>
    <w:p>
      <w:pPr>
        <w:adjustRightInd/>
        <w:snapToGrid/>
        <w:spacing w:line="276" w:lineRule="auto"/>
        <w:rPr>
          <w:rFonts w:hint="eastAsia" w:ascii="宋体" w:hAnsi="宋体" w:eastAsia="宋体" w:cs="宋体"/>
          <w:color w:val="auto"/>
          <w:szCs w:val="21"/>
          <w:highlight w:val="none"/>
        </w:rPr>
      </w:pPr>
    </w:p>
    <w:p>
      <w:pPr>
        <w:jc w:val="center"/>
        <w:rPr>
          <w:rFonts w:hint="eastAsia" w:ascii="宋体" w:hAnsi="宋体" w:eastAsia="宋体" w:cs="宋体"/>
          <w:color w:val="auto"/>
          <w:sz w:val="52"/>
          <w:szCs w:val="52"/>
          <w:highlight w:val="none"/>
        </w:rPr>
      </w:pPr>
      <w:bookmarkStart w:id="135" w:name="_Toc30918"/>
      <w:bookmarkStart w:id="136" w:name="_Toc18450"/>
      <w:bookmarkStart w:id="137" w:name="_Toc20335"/>
      <w:bookmarkStart w:id="138" w:name="_Toc21746"/>
      <w:bookmarkStart w:id="139" w:name="_Toc28154"/>
    </w:p>
    <w:p>
      <w:pPr>
        <w:pStyle w:val="2"/>
        <w:spacing w:before="0" w:after="0" w:line="360" w:lineRule="auto"/>
        <w:jc w:val="center"/>
        <w:rPr>
          <w:rFonts w:hint="eastAsia" w:ascii="宋体" w:hAnsi="宋体" w:eastAsia="宋体" w:cs="宋体"/>
          <w:color w:val="auto"/>
          <w:sz w:val="72"/>
          <w:szCs w:val="72"/>
          <w:highlight w:val="none"/>
        </w:rPr>
      </w:pPr>
      <w:bookmarkStart w:id="140" w:name="_Toc13094"/>
      <w:r>
        <w:rPr>
          <w:rFonts w:hint="eastAsia" w:ascii="宋体" w:hAnsi="宋体" w:eastAsia="宋体" w:cs="宋体"/>
          <w:color w:val="auto"/>
          <w:sz w:val="72"/>
          <w:szCs w:val="72"/>
          <w:highlight w:val="none"/>
        </w:rPr>
        <w:t>价格文件</w:t>
      </w:r>
      <w:bookmarkEnd w:id="135"/>
      <w:bookmarkEnd w:id="136"/>
      <w:bookmarkEnd w:id="140"/>
      <w:bookmarkStart w:id="141" w:name="_Hlt10456397"/>
      <w:bookmarkEnd w:id="141"/>
      <w:bookmarkStart w:id="142" w:name="_Hlt10519799"/>
      <w:bookmarkEnd w:id="142"/>
    </w:p>
    <w:p>
      <w:pP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bookmarkEnd w:id="137"/>
      <w:bookmarkEnd w:id="138"/>
      <w:bookmarkEnd w:id="139"/>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10"/>
        <w:keepNext w:val="0"/>
        <w:keepLines w:val="0"/>
        <w:pageBreakBefore w:val="0"/>
        <w:widowControl/>
        <w:kinsoku/>
        <w:wordWrap/>
        <w:overflowPunct/>
        <w:topLinePunct w:val="0"/>
        <w:autoSpaceDE/>
        <w:autoSpaceDN/>
        <w:bidi w:val="0"/>
        <w:adjustRightInd w:val="0"/>
        <w:snapToGrid w:val="0"/>
        <w:spacing w:before="0" w:after="0" w:afterAutospacing="0" w:line="360" w:lineRule="auto"/>
        <w:ind w:left="0" w:firstLine="240"/>
        <w:textAlignment w:val="auto"/>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53"/>
          <w:kern w:val="0"/>
          <w:sz w:val="32"/>
          <w:szCs w:val="32"/>
          <w:highlight w:val="none"/>
          <w:fitText w:val="1600" w:id="0"/>
        </w:rPr>
        <w:t>项目名</w:t>
      </w:r>
      <w:r>
        <w:rPr>
          <w:rFonts w:hint="eastAsia" w:ascii="宋体" w:hAnsi="宋体" w:eastAsia="宋体" w:cs="宋体"/>
          <w:b/>
          <w:bCs/>
          <w:color w:val="auto"/>
          <w:spacing w:val="1"/>
          <w:kern w:val="0"/>
          <w:sz w:val="32"/>
          <w:szCs w:val="32"/>
          <w:highlight w:val="none"/>
          <w:fitText w:val="1600" w:id="0"/>
        </w:rPr>
        <w:t>称</w:t>
      </w:r>
      <w:r>
        <w:rPr>
          <w:rFonts w:hint="eastAsia" w:ascii="宋体" w:hAnsi="宋体" w:eastAsia="宋体" w:cs="宋体"/>
          <w:b/>
          <w:bCs/>
          <w:color w:val="auto"/>
          <w:spacing w:val="-6"/>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53"/>
          <w:kern w:val="0"/>
          <w:sz w:val="32"/>
          <w:szCs w:val="32"/>
          <w:highlight w:val="none"/>
          <w:fitText w:val="1600" w:id="1"/>
        </w:rPr>
        <w:t>项目编</w:t>
      </w:r>
      <w:r>
        <w:rPr>
          <w:rFonts w:hint="eastAsia" w:ascii="宋体" w:hAnsi="宋体" w:eastAsia="宋体" w:cs="宋体"/>
          <w:b/>
          <w:bCs/>
          <w:color w:val="auto"/>
          <w:spacing w:val="1"/>
          <w:kern w:val="0"/>
          <w:sz w:val="32"/>
          <w:szCs w:val="32"/>
          <w:highlight w:val="none"/>
          <w:fitText w:val="1600" w:id="1"/>
        </w:rPr>
        <w:t>号</w:t>
      </w:r>
      <w:r>
        <w:rPr>
          <w:rFonts w:hint="eastAsia" w:ascii="宋体" w:hAnsi="宋体" w:eastAsia="宋体" w:cs="宋体"/>
          <w:b/>
          <w:bCs/>
          <w:color w:val="auto"/>
          <w:sz w:val="32"/>
          <w:szCs w:val="32"/>
          <w:highlight w:val="none"/>
        </w:rPr>
        <w:t>：</w:t>
      </w:r>
    </w:p>
    <w:p>
      <w:pPr>
        <w:pStyle w:val="31"/>
        <w:keepNext w:val="0"/>
        <w:keepLines w:val="0"/>
        <w:pageBreakBefore w:val="0"/>
        <w:widowControl/>
        <w:kinsoku/>
        <w:wordWrap/>
        <w:overflowPunct/>
        <w:topLinePunct w:val="0"/>
        <w:autoSpaceDE/>
        <w:autoSpaceDN/>
        <w:bidi w:val="0"/>
        <w:adjustRightInd w:val="0"/>
        <w:snapToGrid w:val="0"/>
        <w:spacing w:afterAutospacing="0" w:line="360" w:lineRule="auto"/>
        <w:ind w:left="0"/>
        <w:jc w:val="left"/>
        <w:textAlignment w:val="auto"/>
        <w:rPr>
          <w:rFonts w:hint="eastAsia" w:ascii="宋体" w:hAnsi="宋体" w:eastAsia="宋体" w:cs="宋体"/>
          <w:b/>
          <w:color w:val="auto"/>
          <w:spacing w:val="1280"/>
          <w:kern w:val="0"/>
          <w:sz w:val="32"/>
          <w:szCs w:val="32"/>
          <w:highlight w:val="none"/>
        </w:rPr>
      </w:pPr>
      <w:r>
        <w:rPr>
          <w:rFonts w:hint="eastAsia" w:ascii="宋体" w:hAnsi="宋体" w:eastAsia="宋体" w:cs="宋体"/>
          <w:b/>
          <w:color w:val="auto"/>
          <w:spacing w:val="106"/>
          <w:kern w:val="0"/>
          <w:sz w:val="32"/>
          <w:szCs w:val="32"/>
          <w:highlight w:val="none"/>
          <w:lang w:bidi="ar"/>
        </w:rPr>
        <w:t>包组号（如有）：</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pacing w:val="0"/>
          <w:kern w:val="0"/>
          <w:sz w:val="32"/>
          <w:szCs w:val="32"/>
          <w:highlight w:val="none"/>
          <w:fitText w:val="1600" w:id="2"/>
        </w:rPr>
        <w:t>投标人名称</w:t>
      </w:r>
      <w:r>
        <w:rPr>
          <w:rFonts w:hint="eastAsia" w:ascii="宋体" w:hAnsi="宋体" w:eastAsia="宋体" w:cs="宋体"/>
          <w:b/>
          <w:color w:val="auto"/>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pacing w:val="32"/>
          <w:kern w:val="0"/>
          <w:sz w:val="32"/>
          <w:szCs w:val="32"/>
          <w:highlight w:val="none"/>
          <w:fitText w:val="1600" w:id="3"/>
        </w:rPr>
        <w:t xml:space="preserve">日    </w:t>
      </w:r>
      <w:r>
        <w:rPr>
          <w:rFonts w:hint="eastAsia" w:ascii="宋体" w:hAnsi="宋体" w:eastAsia="宋体" w:cs="宋体"/>
          <w:b/>
          <w:color w:val="auto"/>
          <w:spacing w:val="0"/>
          <w:kern w:val="0"/>
          <w:sz w:val="32"/>
          <w:szCs w:val="32"/>
          <w:highlight w:val="none"/>
          <w:fitText w:val="1600" w:id="3"/>
        </w:rPr>
        <w:t>期</w:t>
      </w:r>
      <w:r>
        <w:rPr>
          <w:rFonts w:hint="eastAsia" w:ascii="宋体" w:hAnsi="宋体" w:eastAsia="宋体" w:cs="宋体"/>
          <w:b/>
          <w:color w:val="auto"/>
          <w:sz w:val="32"/>
          <w:szCs w:val="32"/>
          <w:highlight w:val="none"/>
        </w:rPr>
        <w:t>：</w:t>
      </w: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10"/>
        <w:ind w:firstLine="240"/>
        <w:rPr>
          <w:rFonts w:hint="eastAsia" w:ascii="宋体" w:hAnsi="宋体" w:eastAsia="宋体" w:cs="宋体"/>
          <w:color w:val="auto"/>
          <w:highlight w:val="none"/>
        </w:rPr>
      </w:pPr>
    </w:p>
    <w:p>
      <w:pPr>
        <w:pStyle w:val="27"/>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10"/>
        <w:ind w:firstLine="240"/>
        <w:rPr>
          <w:rFonts w:hint="eastAsia" w:ascii="宋体" w:hAnsi="宋体" w:eastAsia="宋体" w:cs="宋体"/>
          <w:color w:val="auto"/>
          <w:highlight w:val="none"/>
        </w:rPr>
      </w:pPr>
    </w:p>
    <w:p>
      <w:pPr>
        <w:pStyle w:val="27"/>
        <w:rPr>
          <w:rFonts w:hint="eastAsia" w:ascii="宋体" w:hAnsi="宋体" w:eastAsia="宋体" w:cs="宋体"/>
          <w:color w:val="auto"/>
          <w:highlight w:val="none"/>
        </w:rPr>
      </w:pPr>
    </w:p>
    <w:p>
      <w:pPr>
        <w:pStyle w:val="27"/>
        <w:ind w:left="0"/>
        <w:rPr>
          <w:rFonts w:hint="eastAsia" w:ascii="宋体" w:hAnsi="宋体" w:eastAsia="宋体" w:cs="宋体"/>
          <w:color w:val="auto"/>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widowControl w:val="0"/>
        <w:overflowPunct w:val="0"/>
        <w:spacing w:line="240" w:lineRule="auto"/>
        <w:rPr>
          <w:rFonts w:hint="eastAsia" w:ascii="宋体" w:hAnsi="宋体" w:eastAsia="宋体" w:cs="宋体"/>
          <w:color w:val="auto"/>
          <w:sz w:val="21"/>
          <w:szCs w:val="21"/>
          <w:highlight w:val="none"/>
        </w:rPr>
      </w:pPr>
      <w:bookmarkStart w:id="143" w:name="_Toc11998"/>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.开标一览表格式</w:t>
      </w:r>
      <w:bookmarkEnd w:id="143"/>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开标一览表</w:t>
      </w:r>
    </w:p>
    <w:p>
      <w:pPr>
        <w:rPr>
          <w:rFonts w:hint="eastAsia" w:ascii="宋体" w:hAnsi="宋体" w:eastAsia="宋体" w:cs="宋体"/>
          <w:color w:val="auto"/>
          <w:highlight w:val="none"/>
        </w:rPr>
      </w:pPr>
    </w:p>
    <w:p>
      <w:pPr>
        <w:shd w:val="clear"/>
        <w:rPr>
          <w:rFonts w:ascii="宋体" w:hAnsi="宋体"/>
          <w:color w:val="auto"/>
          <w:szCs w:val="21"/>
          <w:highlight w:val="none"/>
        </w:rPr>
      </w:pPr>
      <w:r>
        <w:rPr>
          <w:rFonts w:hint="eastAsia" w:ascii="宋体" w:hAnsi="宋体"/>
          <w:color w:val="auto"/>
          <w:szCs w:val="21"/>
          <w:highlight w:val="none"/>
        </w:rPr>
        <w:t>投标人名称：</w:t>
      </w:r>
    </w:p>
    <w:p>
      <w:pPr>
        <w:shd w:val="clear"/>
        <w:rPr>
          <w:color w:val="auto"/>
          <w:highlight w:val="none"/>
        </w:rPr>
      </w:pPr>
      <w:r>
        <w:rPr>
          <w:rFonts w:hint="eastAsia" w:ascii="宋体" w:hAnsi="宋体"/>
          <w:color w:val="auto"/>
          <w:szCs w:val="21"/>
          <w:highlight w:val="none"/>
        </w:rPr>
        <w:t>采购项目编号：</w:t>
      </w:r>
    </w:p>
    <w:tbl>
      <w:tblPr>
        <w:tblStyle w:val="38"/>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2882"/>
        <w:gridCol w:w="1883"/>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2064"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olor w:val="auto"/>
                <w:szCs w:val="21"/>
                <w:highlight w:val="none"/>
              </w:rPr>
              <w:t>项目名称</w:t>
            </w:r>
          </w:p>
        </w:tc>
        <w:tc>
          <w:tcPr>
            <w:tcW w:w="2882"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含税投标总价（元）</w:t>
            </w:r>
          </w:p>
        </w:tc>
        <w:tc>
          <w:tcPr>
            <w:tcW w:w="1883"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lang w:val="en-US" w:eastAsia="zh-CN"/>
              </w:rPr>
              <w:t>税率</w:t>
            </w:r>
          </w:p>
        </w:tc>
        <w:tc>
          <w:tcPr>
            <w:tcW w:w="1690" w:type="dxa"/>
            <w:vAlign w:val="center"/>
          </w:tcPr>
          <w:p>
            <w:pPr>
              <w:shd w:val="clear"/>
              <w:spacing w:line="240" w:lineRule="auto"/>
              <w:jc w:val="center"/>
              <w:rPr>
                <w:rFonts w:ascii="宋体" w:hAnsi="宋体" w:cs="宋体"/>
                <w:color w:val="auto"/>
                <w:kern w:val="28"/>
                <w:szCs w:val="21"/>
                <w:highlight w:val="none"/>
              </w:rPr>
            </w:pPr>
            <w:r>
              <w:rPr>
                <w:rFonts w:hint="eastAsia" w:ascii="宋体" w:hAnsi="宋体" w:cs="宋体"/>
                <w:color w:val="auto"/>
                <w:kern w:val="28"/>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7" w:hRule="atLeast"/>
          <w:jc w:val="center"/>
        </w:trPr>
        <w:tc>
          <w:tcPr>
            <w:tcW w:w="2064" w:type="dxa"/>
            <w:vAlign w:val="center"/>
          </w:tcPr>
          <w:p>
            <w:pPr>
              <w:shd w:val="clear"/>
              <w:spacing w:line="240" w:lineRule="auto"/>
              <w:jc w:val="center"/>
              <w:rPr>
                <w:rFonts w:ascii="宋体" w:hAnsi="宋体" w:cs="宋体"/>
                <w:color w:val="auto"/>
                <w:szCs w:val="21"/>
                <w:highlight w:val="none"/>
              </w:rPr>
            </w:pPr>
          </w:p>
        </w:tc>
        <w:tc>
          <w:tcPr>
            <w:tcW w:w="2882" w:type="dxa"/>
            <w:vAlign w:val="center"/>
          </w:tcPr>
          <w:p>
            <w:pPr>
              <w:shd w:val="clear"/>
              <w:spacing w:line="240" w:lineRule="auto"/>
              <w:jc w:val="left"/>
              <w:rPr>
                <w:rFonts w:ascii="宋体" w:hAnsi="宋体" w:cs="宋体"/>
                <w:color w:val="auto"/>
                <w:szCs w:val="21"/>
                <w:highlight w:val="none"/>
              </w:rPr>
            </w:pPr>
            <w:r>
              <w:rPr>
                <w:rFonts w:hint="eastAsia" w:ascii="宋体" w:hAnsi="宋体" w:cs="宋体"/>
                <w:color w:val="auto"/>
                <w:szCs w:val="21"/>
                <w:highlight w:val="none"/>
              </w:rPr>
              <w:t>小写：</w:t>
            </w:r>
          </w:p>
          <w:p>
            <w:pPr>
              <w:shd w:val="clear"/>
              <w:spacing w:line="240" w:lineRule="auto"/>
              <w:jc w:val="left"/>
              <w:rPr>
                <w:rFonts w:hint="eastAsia" w:ascii="宋体" w:hAnsi="宋体" w:cs="宋体"/>
                <w:color w:val="auto"/>
                <w:szCs w:val="21"/>
                <w:highlight w:val="none"/>
              </w:rPr>
            </w:pPr>
          </w:p>
          <w:p>
            <w:pPr>
              <w:shd w:val="clear"/>
              <w:spacing w:line="240" w:lineRule="auto"/>
              <w:jc w:val="left"/>
              <w:rPr>
                <w:rFonts w:ascii="宋体" w:hAnsi="宋体" w:cs="宋体"/>
                <w:color w:val="auto"/>
                <w:szCs w:val="21"/>
                <w:highlight w:val="none"/>
              </w:rPr>
            </w:pPr>
            <w:r>
              <w:rPr>
                <w:rFonts w:hint="eastAsia" w:ascii="宋体" w:hAnsi="宋体" w:cs="宋体"/>
                <w:color w:val="auto"/>
                <w:szCs w:val="21"/>
                <w:highlight w:val="none"/>
              </w:rPr>
              <w:t>大写：</w:t>
            </w:r>
          </w:p>
        </w:tc>
        <w:tc>
          <w:tcPr>
            <w:tcW w:w="1883" w:type="dxa"/>
            <w:vAlign w:val="center"/>
          </w:tcPr>
          <w:p>
            <w:pPr>
              <w:pStyle w:val="67"/>
              <w:shd w:val="clear"/>
              <w:jc w:val="center"/>
              <w:rPr>
                <w:rFonts w:hAnsi="宋体"/>
                <w:color w:val="auto"/>
                <w:sz w:val="21"/>
                <w:szCs w:val="21"/>
                <w:highlight w:val="none"/>
              </w:rPr>
            </w:pPr>
            <w:r>
              <w:rPr>
                <w:rFonts w:hint="eastAsia" w:hAnsi="宋体"/>
                <w:color w:val="auto"/>
                <w:sz w:val="21"/>
                <w:szCs w:val="21"/>
                <w:highlight w:val="none"/>
              </w:rPr>
              <w:t xml:space="preserve"> </w:t>
            </w:r>
          </w:p>
        </w:tc>
        <w:tc>
          <w:tcPr>
            <w:tcW w:w="1690" w:type="dxa"/>
            <w:vAlign w:val="center"/>
          </w:tcPr>
          <w:p>
            <w:pPr>
              <w:pStyle w:val="67"/>
              <w:shd w:val="clear"/>
              <w:jc w:val="center"/>
              <w:rPr>
                <w:rFonts w:hAnsi="宋体"/>
                <w:color w:val="auto"/>
                <w:sz w:val="21"/>
                <w:szCs w:val="21"/>
                <w:highlight w:val="none"/>
              </w:rPr>
            </w:pPr>
          </w:p>
        </w:tc>
      </w:tr>
    </w:tbl>
    <w:p>
      <w:pPr>
        <w:shd w:val="clear"/>
        <w:rPr>
          <w:rFonts w:ascii="宋体" w:hAnsi="宋体"/>
          <w:color w:val="auto"/>
          <w:szCs w:val="21"/>
          <w:highlight w:val="none"/>
        </w:rPr>
      </w:pPr>
    </w:p>
    <w:p>
      <w:pPr>
        <w:shd w:val="clear"/>
        <w:ind w:firstLine="359" w:firstLineChars="171"/>
        <w:rPr>
          <w:rFonts w:ascii="宋体" w:hAnsi="宋体"/>
          <w:color w:val="auto"/>
          <w:szCs w:val="21"/>
          <w:highlight w:val="none"/>
        </w:rPr>
      </w:pPr>
    </w:p>
    <w:p>
      <w:pPr>
        <w:shd w:val="clear"/>
        <w:ind w:firstLine="359" w:firstLineChars="171"/>
        <w:rPr>
          <w:rFonts w:ascii="宋体" w:hAnsi="宋体"/>
          <w:color w:val="auto"/>
          <w:szCs w:val="21"/>
          <w:highlight w:val="none"/>
        </w:rPr>
      </w:pPr>
      <w:r>
        <w:rPr>
          <w:rFonts w:hint="eastAsia" w:ascii="宋体" w:hAnsi="宋体"/>
          <w:color w:val="auto"/>
          <w:szCs w:val="21"/>
          <w:highlight w:val="none"/>
        </w:rPr>
        <w:t>投标人代表签字：</w:t>
      </w:r>
    </w:p>
    <w:p>
      <w:pPr>
        <w:shd w:val="clear"/>
        <w:ind w:firstLine="359" w:firstLineChars="171"/>
        <w:rPr>
          <w:rFonts w:ascii="宋体" w:hAnsi="宋体"/>
          <w:color w:val="auto"/>
          <w:szCs w:val="21"/>
          <w:highlight w:val="none"/>
        </w:rPr>
      </w:pPr>
      <w:r>
        <w:rPr>
          <w:rFonts w:hint="eastAsia" w:ascii="宋体" w:hAnsi="宋体"/>
          <w:color w:val="auto"/>
          <w:szCs w:val="21"/>
          <w:highlight w:val="none"/>
        </w:rPr>
        <w:t>投标人盖章：</w:t>
      </w:r>
    </w:p>
    <w:p>
      <w:pPr>
        <w:shd w:val="clear"/>
        <w:ind w:firstLine="359" w:firstLineChars="171"/>
        <w:rPr>
          <w:rFonts w:ascii="宋体" w:hAnsi="宋体"/>
          <w:color w:val="auto"/>
          <w:szCs w:val="21"/>
          <w:highlight w:val="none"/>
        </w:rPr>
      </w:pPr>
      <w:r>
        <w:rPr>
          <w:rFonts w:hint="eastAsia" w:ascii="宋体" w:hAnsi="宋体"/>
          <w:color w:val="auto"/>
          <w:szCs w:val="21"/>
          <w:highlight w:val="none"/>
        </w:rPr>
        <w:t>日期：</w:t>
      </w:r>
    </w:p>
    <w:p>
      <w:pPr>
        <w:shd w:val="clear"/>
        <w:ind w:firstLine="359" w:firstLineChars="171"/>
        <w:rPr>
          <w:rFonts w:ascii="宋体" w:hAnsi="宋体"/>
          <w:color w:val="auto"/>
          <w:szCs w:val="21"/>
          <w:highlight w:val="none"/>
        </w:rPr>
      </w:pPr>
    </w:p>
    <w:p>
      <w:pPr>
        <w:shd w:val="clear"/>
        <w:ind w:left="391" w:hanging="390" w:hangingChars="186"/>
        <w:rPr>
          <w:rFonts w:ascii="宋体" w:hAnsi="宋体"/>
          <w:color w:val="auto"/>
          <w:szCs w:val="21"/>
          <w:highlight w:val="none"/>
        </w:rPr>
      </w:pPr>
      <w:r>
        <w:rPr>
          <w:rFonts w:hint="eastAsia" w:ascii="宋体" w:hAnsi="宋体"/>
          <w:color w:val="auto"/>
          <w:szCs w:val="21"/>
          <w:highlight w:val="none"/>
        </w:rPr>
        <w:t xml:space="preserve">    注：</w:t>
      </w:r>
    </w:p>
    <w:p>
      <w:pPr>
        <w:shd w:val="clear"/>
        <w:ind w:firstLine="420" w:firstLineChars="200"/>
        <w:rPr>
          <w:rFonts w:ascii="宋体" w:hAnsi="宋体"/>
          <w:color w:val="auto"/>
          <w:szCs w:val="21"/>
          <w:highlight w:val="none"/>
        </w:rPr>
      </w:pPr>
      <w:r>
        <w:rPr>
          <w:rFonts w:hint="eastAsia" w:ascii="宋体" w:hAnsi="宋体"/>
          <w:color w:val="auto"/>
          <w:szCs w:val="21"/>
          <w:highlight w:val="none"/>
        </w:rPr>
        <w:t>1、投标总价栏须</w:t>
      </w:r>
      <w:r>
        <w:rPr>
          <w:rFonts w:ascii="宋体" w:hAnsi="宋体"/>
          <w:color w:val="auto"/>
          <w:szCs w:val="21"/>
          <w:highlight w:val="none"/>
        </w:rPr>
        <w:t>用</w:t>
      </w:r>
      <w:r>
        <w:rPr>
          <w:rFonts w:hint="eastAsia" w:ascii="宋体" w:hAnsi="宋体"/>
          <w:color w:val="auto"/>
          <w:szCs w:val="21"/>
          <w:highlight w:val="none"/>
        </w:rPr>
        <w:t>大写金额和小写金额两种方式</w:t>
      </w:r>
      <w:r>
        <w:rPr>
          <w:rFonts w:ascii="宋体" w:hAnsi="宋体"/>
          <w:color w:val="auto"/>
          <w:szCs w:val="21"/>
          <w:highlight w:val="none"/>
        </w:rPr>
        <w:t>表示的投标总价</w:t>
      </w:r>
      <w:r>
        <w:rPr>
          <w:rFonts w:hint="eastAsia" w:ascii="宋体" w:hAnsi="宋体"/>
          <w:color w:val="auto"/>
          <w:szCs w:val="21"/>
          <w:highlight w:val="none"/>
        </w:rPr>
        <w:t>，报价保留小数点后两位。投标总价大小写不一致，以大写为准。投标总价必须准确唯一且应包含采购文件要求的所有费用。</w:t>
      </w:r>
    </w:p>
    <w:p>
      <w:pPr>
        <w:ind w:firstLine="420" w:firstLineChars="200"/>
        <w:rPr>
          <w:rFonts w:hint="eastAsia" w:ascii="宋体" w:hAnsi="宋体" w:eastAsia="宋体" w:cs="宋体"/>
          <w:color w:val="auto"/>
          <w:szCs w:val="21"/>
          <w:highlight w:val="none"/>
        </w:rPr>
      </w:pPr>
      <w:r>
        <w:rPr>
          <w:rFonts w:hint="eastAsia" w:ascii="宋体" w:hAnsi="宋体"/>
          <w:color w:val="auto"/>
          <w:szCs w:val="21"/>
          <w:highlight w:val="none"/>
        </w:rPr>
        <w:t>2、温馨提示：未按采购文件要求报价、填写开标一览表是导致投标人废标的常见问题，请投标人仔细填写，认真核对</w:t>
      </w:r>
      <w:r>
        <w:rPr>
          <w:rFonts w:hint="eastAsia" w:ascii="宋体" w:hAnsi="宋体" w:eastAsia="宋体" w:cs="宋体"/>
          <w:color w:val="auto"/>
          <w:szCs w:val="21"/>
          <w:highlight w:val="none"/>
        </w:rPr>
        <w:t>。</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rPr>
          <w:rFonts w:hint="eastAsia" w:ascii="宋体" w:hAnsi="宋体" w:eastAsia="宋体" w:cs="宋体"/>
          <w:color w:val="auto"/>
          <w:szCs w:val="21"/>
          <w:highlight w:val="none"/>
        </w:rPr>
      </w:pPr>
      <w:bookmarkStart w:id="144" w:name="_Toc12412"/>
    </w:p>
    <w:bookmarkEnd w:id="144"/>
    <w:p>
      <w:pPr>
        <w:rPr>
          <w:rFonts w:hint="eastAsia" w:ascii="宋体" w:hAnsi="宋体" w:eastAsia="宋体" w:cs="宋体"/>
          <w:color w:val="auto"/>
          <w:sz w:val="52"/>
          <w:szCs w:val="52"/>
          <w:highlight w:val="none"/>
        </w:rPr>
      </w:pPr>
    </w:p>
    <w:p>
      <w:pPr>
        <w:pStyle w:val="2"/>
        <w:spacing w:before="0" w:after="0" w:line="360" w:lineRule="auto"/>
        <w:jc w:val="center"/>
        <w:rPr>
          <w:rFonts w:hint="eastAsia" w:ascii="宋体" w:hAnsi="宋体" w:eastAsia="宋体" w:cs="宋体"/>
          <w:color w:val="auto"/>
          <w:sz w:val="72"/>
          <w:szCs w:val="72"/>
          <w:highlight w:val="none"/>
        </w:rPr>
      </w:pPr>
      <w:bookmarkStart w:id="145" w:name="_Toc25687"/>
      <w:r>
        <w:rPr>
          <w:rFonts w:hint="eastAsia" w:ascii="宋体" w:hAnsi="宋体" w:eastAsia="宋体" w:cs="宋体"/>
          <w:color w:val="auto"/>
          <w:sz w:val="72"/>
          <w:szCs w:val="72"/>
          <w:highlight w:val="none"/>
        </w:rPr>
        <w:t>商务文件</w:t>
      </w:r>
      <w:bookmarkEnd w:id="145"/>
    </w:p>
    <w:p>
      <w:pP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10"/>
        <w:ind w:firstLine="240"/>
        <w:rPr>
          <w:rFonts w:hint="eastAsia" w:ascii="宋体" w:hAnsi="宋体" w:eastAsia="宋体" w:cs="宋体"/>
          <w:color w:val="auto"/>
          <w:highlight w:val="none"/>
        </w:rPr>
      </w:pPr>
    </w:p>
    <w:p>
      <w:pPr>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53"/>
          <w:kern w:val="0"/>
          <w:sz w:val="32"/>
          <w:szCs w:val="32"/>
          <w:highlight w:val="none"/>
          <w:fitText w:val="1600" w:id="4"/>
        </w:rPr>
        <w:t>项目名</w:t>
      </w:r>
      <w:r>
        <w:rPr>
          <w:rFonts w:hint="eastAsia" w:ascii="宋体" w:hAnsi="宋体" w:eastAsia="宋体" w:cs="宋体"/>
          <w:b/>
          <w:bCs/>
          <w:color w:val="auto"/>
          <w:spacing w:val="1"/>
          <w:kern w:val="0"/>
          <w:sz w:val="32"/>
          <w:szCs w:val="32"/>
          <w:highlight w:val="none"/>
          <w:fitText w:val="1600" w:id="4"/>
        </w:rPr>
        <w:t>称</w:t>
      </w:r>
      <w:r>
        <w:rPr>
          <w:rFonts w:hint="eastAsia" w:ascii="宋体" w:hAnsi="宋体" w:eastAsia="宋体" w:cs="宋体"/>
          <w:b/>
          <w:bCs/>
          <w:color w:val="auto"/>
          <w:spacing w:val="-6"/>
          <w:sz w:val="32"/>
          <w:szCs w:val="32"/>
          <w:highlight w:val="none"/>
        </w:rPr>
        <w:t>：</w:t>
      </w:r>
    </w:p>
    <w:p>
      <w:pPr>
        <w:rPr>
          <w:rFonts w:hint="eastAsia" w:ascii="宋体" w:hAnsi="宋体" w:eastAsia="宋体" w:cs="宋体"/>
          <w:b/>
          <w:bCs/>
          <w:color w:val="auto"/>
          <w:sz w:val="32"/>
          <w:szCs w:val="32"/>
          <w:highlight w:val="none"/>
        </w:rPr>
      </w:pPr>
      <w:r>
        <w:rPr>
          <w:rFonts w:hint="eastAsia" w:ascii="宋体" w:hAnsi="宋体" w:eastAsia="宋体" w:cs="宋体"/>
          <w:b/>
          <w:bCs/>
          <w:color w:val="auto"/>
          <w:spacing w:val="53"/>
          <w:kern w:val="0"/>
          <w:sz w:val="32"/>
          <w:szCs w:val="32"/>
          <w:highlight w:val="none"/>
          <w:fitText w:val="1600" w:id="5"/>
        </w:rPr>
        <w:t>项目编</w:t>
      </w:r>
      <w:r>
        <w:rPr>
          <w:rFonts w:hint="eastAsia" w:ascii="宋体" w:hAnsi="宋体" w:eastAsia="宋体" w:cs="宋体"/>
          <w:b/>
          <w:bCs/>
          <w:color w:val="auto"/>
          <w:spacing w:val="1"/>
          <w:kern w:val="0"/>
          <w:sz w:val="32"/>
          <w:szCs w:val="32"/>
          <w:highlight w:val="none"/>
          <w:fitText w:val="1600" w:id="5"/>
        </w:rPr>
        <w:t>号</w:t>
      </w:r>
      <w:r>
        <w:rPr>
          <w:rFonts w:hint="eastAsia" w:ascii="宋体" w:hAnsi="宋体" w:eastAsia="宋体" w:cs="宋体"/>
          <w:b/>
          <w:bCs/>
          <w:color w:val="auto"/>
          <w:sz w:val="32"/>
          <w:szCs w:val="32"/>
          <w:highlight w:val="none"/>
        </w:rPr>
        <w:t>：</w:t>
      </w:r>
    </w:p>
    <w:p>
      <w:pPr>
        <w:pStyle w:val="11"/>
        <w:ind w:left="0"/>
        <w:rPr>
          <w:rFonts w:hint="eastAsia" w:ascii="宋体" w:hAnsi="宋体" w:eastAsia="宋体" w:cs="宋体"/>
          <w:b/>
          <w:color w:val="auto"/>
          <w:spacing w:val="1280"/>
          <w:sz w:val="32"/>
          <w:szCs w:val="32"/>
          <w:highlight w:val="none"/>
        </w:rPr>
      </w:pPr>
      <w:r>
        <w:rPr>
          <w:rFonts w:hint="eastAsia" w:ascii="宋体" w:hAnsi="宋体" w:eastAsia="宋体" w:cs="宋体"/>
          <w:b/>
          <w:color w:val="auto"/>
          <w:spacing w:val="106"/>
          <w:sz w:val="32"/>
          <w:szCs w:val="32"/>
          <w:highlight w:val="none"/>
          <w:lang w:val="en-US" w:bidi="ar-SA"/>
        </w:rPr>
        <w:t>包组号（如有）：</w:t>
      </w:r>
    </w:p>
    <w:p>
      <w:pPr>
        <w:rPr>
          <w:rFonts w:hint="eastAsia" w:ascii="宋体" w:hAnsi="宋体" w:eastAsia="宋体" w:cs="宋体"/>
          <w:b/>
          <w:color w:val="auto"/>
          <w:sz w:val="32"/>
          <w:szCs w:val="32"/>
          <w:highlight w:val="none"/>
        </w:rPr>
      </w:pPr>
      <w:r>
        <w:rPr>
          <w:rFonts w:hint="eastAsia" w:ascii="宋体" w:hAnsi="宋体" w:eastAsia="宋体" w:cs="宋体"/>
          <w:b/>
          <w:color w:val="auto"/>
          <w:spacing w:val="0"/>
          <w:kern w:val="0"/>
          <w:sz w:val="32"/>
          <w:szCs w:val="32"/>
          <w:highlight w:val="none"/>
          <w:fitText w:val="1600" w:id="6"/>
        </w:rPr>
        <w:t>投标人名称</w:t>
      </w:r>
      <w:r>
        <w:rPr>
          <w:rFonts w:hint="eastAsia" w:ascii="宋体" w:hAnsi="宋体" w:eastAsia="宋体" w:cs="宋体"/>
          <w:b/>
          <w:color w:val="auto"/>
          <w:sz w:val="32"/>
          <w:szCs w:val="32"/>
          <w:highlight w:val="none"/>
        </w:rPr>
        <w:t>：</w:t>
      </w:r>
    </w:p>
    <w:p>
      <w:pPr>
        <w:rPr>
          <w:rFonts w:hint="eastAsia" w:ascii="宋体" w:hAnsi="宋体" w:eastAsia="宋体" w:cs="宋体"/>
          <w:b/>
          <w:color w:val="auto"/>
          <w:sz w:val="32"/>
          <w:szCs w:val="32"/>
          <w:highlight w:val="none"/>
        </w:rPr>
      </w:pPr>
      <w:r>
        <w:rPr>
          <w:rFonts w:hint="eastAsia" w:ascii="宋体" w:hAnsi="宋体" w:eastAsia="宋体" w:cs="宋体"/>
          <w:b/>
          <w:color w:val="auto"/>
          <w:spacing w:val="32"/>
          <w:kern w:val="0"/>
          <w:sz w:val="32"/>
          <w:szCs w:val="32"/>
          <w:highlight w:val="none"/>
          <w:fitText w:val="1600" w:id="7"/>
        </w:rPr>
        <w:t xml:space="preserve">日    </w:t>
      </w:r>
      <w:r>
        <w:rPr>
          <w:rFonts w:hint="eastAsia" w:ascii="宋体" w:hAnsi="宋体" w:eastAsia="宋体" w:cs="宋体"/>
          <w:b/>
          <w:color w:val="auto"/>
          <w:spacing w:val="0"/>
          <w:kern w:val="0"/>
          <w:sz w:val="32"/>
          <w:szCs w:val="32"/>
          <w:highlight w:val="none"/>
          <w:fitText w:val="1600" w:id="7"/>
        </w:rPr>
        <w:t>期</w:t>
      </w:r>
      <w:r>
        <w:rPr>
          <w:rFonts w:hint="eastAsia" w:ascii="宋体" w:hAnsi="宋体" w:eastAsia="宋体" w:cs="宋体"/>
          <w:b/>
          <w:color w:val="auto"/>
          <w:sz w:val="32"/>
          <w:szCs w:val="32"/>
          <w:highlight w:val="none"/>
        </w:rPr>
        <w:t>：</w:t>
      </w:r>
    </w:p>
    <w:p>
      <w:pPr>
        <w:pStyle w:val="11"/>
        <w:rPr>
          <w:rFonts w:hint="eastAsia" w:ascii="宋体" w:hAnsi="宋体" w:eastAsia="宋体" w:cs="宋体"/>
          <w:b/>
          <w:color w:val="auto"/>
          <w:sz w:val="32"/>
          <w:szCs w:val="32"/>
          <w:highlight w:val="none"/>
        </w:rPr>
      </w:pPr>
    </w:p>
    <w:p>
      <w:pPr>
        <w:pStyle w:val="10"/>
        <w:ind w:firstLine="321"/>
        <w:rPr>
          <w:rFonts w:hint="eastAsia" w:ascii="宋体" w:hAnsi="宋体" w:eastAsia="宋体" w:cs="宋体"/>
          <w:b/>
          <w:color w:val="auto"/>
          <w:sz w:val="32"/>
          <w:szCs w:val="32"/>
          <w:highlight w:val="none"/>
        </w:rPr>
      </w:pPr>
    </w:p>
    <w:p>
      <w:pPr>
        <w:pStyle w:val="27"/>
        <w:rPr>
          <w:rFonts w:hint="eastAsia" w:ascii="宋体" w:hAnsi="宋体" w:eastAsia="宋体" w:cs="宋体"/>
          <w:b/>
          <w:color w:val="auto"/>
          <w:sz w:val="32"/>
          <w:szCs w:val="32"/>
          <w:highlight w:val="none"/>
        </w:rPr>
      </w:pPr>
    </w:p>
    <w:p>
      <w:pPr>
        <w:rPr>
          <w:rFonts w:hint="eastAsia" w:ascii="宋体" w:hAnsi="宋体" w:eastAsia="宋体" w:cs="宋体"/>
          <w:b/>
          <w:color w:val="auto"/>
          <w:sz w:val="32"/>
          <w:szCs w:val="32"/>
          <w:highlight w:val="none"/>
        </w:rPr>
      </w:pPr>
    </w:p>
    <w:p>
      <w:pPr>
        <w:pStyle w:val="11"/>
        <w:rPr>
          <w:rFonts w:hint="eastAsia" w:ascii="宋体" w:hAnsi="宋体" w:eastAsia="宋体" w:cs="宋体"/>
          <w:b/>
          <w:color w:val="auto"/>
          <w:sz w:val="32"/>
          <w:szCs w:val="32"/>
          <w:highlight w:val="none"/>
        </w:rPr>
      </w:pPr>
    </w:p>
    <w:p>
      <w:pPr>
        <w:rPr>
          <w:rFonts w:hint="eastAsia" w:ascii="宋体" w:hAnsi="宋体" w:eastAsia="宋体" w:cs="宋体"/>
          <w:color w:val="auto"/>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widowControl w:val="0"/>
        <w:overflowPunct w:val="0"/>
        <w:spacing w:line="240" w:lineRule="auto"/>
        <w:rPr>
          <w:rFonts w:hint="eastAsia" w:ascii="宋体" w:hAnsi="宋体" w:eastAsia="宋体" w:cs="宋体"/>
          <w:color w:val="auto"/>
          <w:sz w:val="21"/>
          <w:szCs w:val="21"/>
          <w:highlight w:val="none"/>
        </w:rPr>
      </w:pPr>
      <w:bookmarkStart w:id="146" w:name="_Toc2238"/>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.投标文件商务部分索引表</w:t>
      </w:r>
      <w:bookmarkEnd w:id="146"/>
    </w:p>
    <w:p>
      <w:pPr>
        <w:adjustRightInd/>
        <w:snapToGrid/>
        <w:spacing w:line="276" w:lineRule="auto"/>
        <w:rPr>
          <w:rFonts w:hint="eastAsia" w:ascii="宋体" w:hAnsi="宋体" w:eastAsia="宋体" w:cs="宋体"/>
          <w:color w:val="auto"/>
          <w:szCs w:val="21"/>
          <w:highlight w:val="none"/>
        </w:rPr>
      </w:pPr>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投标文件商务部分索引表</w:t>
      </w:r>
    </w:p>
    <w:tbl>
      <w:tblPr>
        <w:tblStyle w:val="3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19"/>
        <w:gridCol w:w="1420"/>
        <w:gridCol w:w="142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420" w:type="dxa"/>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420" w:type="dxa"/>
            <w:vAlign w:val="center"/>
          </w:tcPr>
          <w:p>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评审</w:t>
            </w:r>
            <w:r>
              <w:rPr>
                <w:rFonts w:hint="eastAsia" w:ascii="宋体" w:hAnsi="宋体" w:eastAsia="宋体" w:cs="宋体"/>
                <w:color w:val="auto"/>
                <w:highlight w:val="none"/>
                <w:lang w:val="en-US" w:eastAsia="zh-CN"/>
              </w:rPr>
              <w:t>因素</w:t>
            </w:r>
          </w:p>
        </w:tc>
        <w:tc>
          <w:tcPr>
            <w:tcW w:w="1419" w:type="dxa"/>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满分</w:t>
            </w:r>
          </w:p>
        </w:tc>
        <w:tc>
          <w:tcPr>
            <w:tcW w:w="1420" w:type="dxa"/>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评分标准</w:t>
            </w:r>
          </w:p>
        </w:tc>
        <w:tc>
          <w:tcPr>
            <w:tcW w:w="1420" w:type="dxa"/>
            <w:vAlign w:val="center"/>
          </w:tcPr>
          <w:p>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自评分</w:t>
            </w:r>
          </w:p>
        </w:tc>
        <w:tc>
          <w:tcPr>
            <w:tcW w:w="1423" w:type="dxa"/>
            <w:vAlign w:val="center"/>
          </w:tcPr>
          <w:p>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页码</w:t>
            </w:r>
            <w:r>
              <w:rPr>
                <w:rFonts w:hint="eastAsia" w:ascii="宋体" w:hAnsi="宋体" w:eastAsia="宋体" w:cs="宋体"/>
                <w:color w:val="auto"/>
                <w:highlight w:val="none"/>
                <w:lang w:val="en-US" w:eastAsia="zh-CN"/>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19"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3"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19"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3"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19"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3"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19"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3"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19"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3" w:type="dxa"/>
            <w:vAlign w:val="center"/>
          </w:tcPr>
          <w:p>
            <w:pP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19"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0" w:type="dxa"/>
            <w:vAlign w:val="center"/>
          </w:tcPr>
          <w:p>
            <w:pPr>
              <w:jc w:val="center"/>
              <w:rPr>
                <w:rFonts w:hint="eastAsia" w:ascii="宋体" w:hAnsi="宋体" w:eastAsia="宋体" w:cs="宋体"/>
                <w:color w:val="auto"/>
                <w:highlight w:val="none"/>
              </w:rPr>
            </w:pPr>
          </w:p>
        </w:tc>
        <w:tc>
          <w:tcPr>
            <w:tcW w:w="1423" w:type="dxa"/>
            <w:vAlign w:val="center"/>
          </w:tcPr>
          <w:p>
            <w:pPr>
              <w:jc w:val="center"/>
              <w:rPr>
                <w:rFonts w:hint="eastAsia" w:ascii="宋体" w:hAnsi="宋体" w:eastAsia="宋体" w:cs="宋体"/>
                <w:color w:val="auto"/>
                <w:highlight w:val="none"/>
              </w:rPr>
            </w:pPr>
          </w:p>
        </w:tc>
      </w:tr>
    </w:tbl>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numPr>
          <w:ilvl w:val="0"/>
          <w:numId w:val="8"/>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该表格为参考格式，投标人可按实际情况自行制订评分标准索引表。</w:t>
      </w:r>
    </w:p>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5"/>
        <w:widowControl w:val="0"/>
        <w:overflowPunct w:val="0"/>
        <w:spacing w:line="240" w:lineRule="auto"/>
        <w:rPr>
          <w:rFonts w:hint="eastAsia" w:ascii="宋体" w:hAnsi="宋体" w:eastAsia="宋体" w:cs="宋体"/>
          <w:color w:val="auto"/>
          <w:highlight w:val="none"/>
        </w:rPr>
      </w:pPr>
      <w:bookmarkStart w:id="147" w:name="_Toc20742"/>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.投标书格式</w:t>
      </w:r>
      <w:bookmarkEnd w:id="147"/>
    </w:p>
    <w:p>
      <w:pPr>
        <w:jc w:val="center"/>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rPr>
        <w:t>投标书</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致：xxx公司</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采购人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pPr>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（项目名称）（采购项目编号）</w:t>
      </w:r>
      <w:r>
        <w:rPr>
          <w:rFonts w:hint="eastAsia" w:ascii="宋体" w:hAnsi="宋体" w:eastAsia="宋体" w:cs="宋体"/>
          <w:color w:val="auto"/>
          <w:szCs w:val="21"/>
          <w:highlight w:val="none"/>
        </w:rPr>
        <w:t>项目采购公告/采购邀请，签字代表</w:t>
      </w:r>
      <w:r>
        <w:rPr>
          <w:rFonts w:hint="eastAsia" w:ascii="宋体" w:hAnsi="宋体" w:eastAsia="宋体" w:cs="宋体"/>
          <w:color w:val="auto"/>
          <w:szCs w:val="21"/>
          <w:highlight w:val="none"/>
          <w:u w:val="single"/>
        </w:rPr>
        <w:t>（姓名、职务）</w:t>
      </w:r>
      <w:r>
        <w:rPr>
          <w:rFonts w:hint="eastAsia" w:ascii="宋体" w:hAnsi="宋体" w:eastAsia="宋体" w:cs="宋体"/>
          <w:color w:val="auto"/>
          <w:szCs w:val="21"/>
          <w:highlight w:val="none"/>
        </w:rPr>
        <w:t>经正式授权并代表投标人</w:t>
      </w:r>
      <w:r>
        <w:rPr>
          <w:rFonts w:hint="eastAsia" w:ascii="宋体" w:hAnsi="宋体" w:eastAsia="宋体" w:cs="宋体"/>
          <w:color w:val="auto"/>
          <w:szCs w:val="21"/>
          <w:highlight w:val="none"/>
          <w:u w:val="single"/>
        </w:rPr>
        <w:t>（投标人名称、地址）</w:t>
      </w:r>
      <w:r>
        <w:rPr>
          <w:rFonts w:hint="eastAsia" w:ascii="宋体" w:hAnsi="宋体" w:eastAsia="宋体" w:cs="宋体"/>
          <w:color w:val="auto"/>
          <w:szCs w:val="21"/>
          <w:highlight w:val="none"/>
        </w:rPr>
        <w:t>提交投标文件及“唱标信封”：</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在此，签字代表宣布同意如下： </w:t>
      </w:r>
    </w:p>
    <w:p>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我方将按采购文件的规定履行合同责任和义务。 </w:t>
      </w:r>
    </w:p>
    <w:p>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本投标有效期为自开标日起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 xml:space="preserve">个日历日。 </w:t>
      </w:r>
    </w:p>
    <w:p>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我方保证遵守投标人须知中关于没收投标保证金的规定。</w:t>
      </w:r>
    </w:p>
    <w:p>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我方承诺，与买方聘请的为此项目提供咨询服务的公司及任何附属机构均无关联，我方不是买方的附属机构。 </w:t>
      </w:r>
    </w:p>
    <w:p>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我方同意提供按照贵方可能要求的与其投标有关的一切数据或资料。</w:t>
      </w:r>
    </w:p>
    <w:p>
      <w:pPr>
        <w:widowControl w:val="0"/>
        <w:numPr>
          <w:ilvl w:val="0"/>
          <w:numId w:val="9"/>
        </w:numP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与本投标有关的一切正式信函请寄：</w:t>
      </w: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　　　　　　　　　　　　　　　　　　　 电子邮箱：</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电话/移动电话：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投标人法定代表人（或其授权代表）签字：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投标人名称（全称）：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投标人盖章： </w:t>
      </w:r>
    </w:p>
    <w:p>
      <w:pPr>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highlight w:val="none"/>
        </w:rPr>
        <w:br w:type="page"/>
      </w:r>
    </w:p>
    <w:p>
      <w:pPr>
        <w:pStyle w:val="5"/>
        <w:widowControl w:val="0"/>
        <w:overflowPunct w:val="0"/>
        <w:spacing w:line="240" w:lineRule="auto"/>
        <w:rPr>
          <w:rFonts w:hint="eastAsia" w:ascii="宋体" w:hAnsi="宋体" w:eastAsia="宋体" w:cs="宋体"/>
          <w:color w:val="auto"/>
          <w:sz w:val="21"/>
          <w:szCs w:val="21"/>
          <w:highlight w:val="none"/>
        </w:rPr>
      </w:pPr>
      <w:bookmarkStart w:id="148" w:name="_Toc3041"/>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.法定代表人证明书格式</w:t>
      </w:r>
      <w:bookmarkEnd w:id="148"/>
    </w:p>
    <w:p>
      <w:pPr>
        <w:rPr>
          <w:rFonts w:hint="eastAsia" w:ascii="宋体" w:hAnsi="宋体" w:eastAsia="宋体" w:cs="宋体"/>
          <w:color w:val="auto"/>
          <w:highlight w:val="none"/>
        </w:rPr>
      </w:pP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法定代表人证明书</w:t>
      </w:r>
    </w:p>
    <w:p>
      <w:pPr>
        <w:pStyle w:val="46"/>
        <w:spacing w:line="42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致：xxx公司（采购人）</w:t>
      </w:r>
      <w:r>
        <w:rPr>
          <w:rFonts w:hint="eastAsia" w:ascii="宋体" w:hAnsi="宋体" w:eastAsia="宋体" w:cs="宋体"/>
          <w:color w:val="auto"/>
          <w:sz w:val="21"/>
          <w:szCs w:val="21"/>
          <w:highlight w:val="none"/>
          <w:lang w:eastAsia="zh-CN"/>
        </w:rPr>
        <w:t>：</w:t>
      </w:r>
    </w:p>
    <w:p>
      <w:pPr>
        <w:pStyle w:val="46"/>
        <w:spacing w:line="420" w:lineRule="atLeast"/>
        <w:ind w:firstLine="433"/>
        <w:rPr>
          <w:rFonts w:hint="eastAsia" w:ascii="宋体" w:hAnsi="宋体" w:eastAsia="宋体" w:cs="宋体"/>
          <w:color w:val="auto"/>
          <w:sz w:val="21"/>
          <w:szCs w:val="21"/>
          <w:highlight w:val="none"/>
        </w:rPr>
      </w:pPr>
    </w:p>
    <w:p>
      <w:pPr>
        <w:pStyle w:val="46"/>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w:t>
      </w:r>
    </w:p>
    <w:p>
      <w:pPr>
        <w:pStyle w:val="46"/>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 位 性质：</w:t>
      </w:r>
    </w:p>
    <w:p>
      <w:pPr>
        <w:pStyle w:val="46"/>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p>
    <w:p>
      <w:pPr>
        <w:pStyle w:val="46"/>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 立 时间：年</w:t>
      </w:r>
      <w:r>
        <w:rPr>
          <w:rFonts w:hint="eastAsia" w:asci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p>
    <w:p>
      <w:pPr>
        <w:pStyle w:val="46"/>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 营 期限：</w:t>
      </w:r>
    </w:p>
    <w:p>
      <w:pPr>
        <w:pStyle w:val="46"/>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r>
        <w:rPr>
          <w:rFonts w:hint="eastAsia" w:asci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性别：</w:t>
      </w:r>
      <w:r>
        <w:rPr>
          <w:rFonts w:hint="eastAsia" w:asci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年龄：</w:t>
      </w:r>
      <w:r>
        <w:rPr>
          <w:rFonts w:hint="eastAsia" w:asci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职务：</w:t>
      </w:r>
    </w:p>
    <w:p>
      <w:pPr>
        <w:pStyle w:val="46"/>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系（投标人名称）的法定代表人。</w:t>
      </w:r>
    </w:p>
    <w:p>
      <w:pPr>
        <w:spacing w:line="4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pPr>
        <w:pStyle w:val="46"/>
        <w:spacing w:line="500" w:lineRule="atLeast"/>
        <w:ind w:firstLine="3517" w:firstLineChars="1675"/>
        <w:rPr>
          <w:rFonts w:hint="eastAsia" w:ascii="宋体" w:hAnsi="宋体" w:eastAsia="宋体" w:cs="宋体"/>
          <w:color w:val="auto"/>
          <w:sz w:val="21"/>
          <w:szCs w:val="21"/>
          <w:highlight w:val="none"/>
        </w:rPr>
      </w:pPr>
    </w:p>
    <w:p>
      <w:pPr>
        <w:pStyle w:val="46"/>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pPr>
        <w:pStyle w:val="46"/>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法定代表人（签名或盖私章）：</w:t>
      </w:r>
    </w:p>
    <w:p>
      <w:pPr>
        <w:pStyle w:val="46"/>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法定代表人联系方式：</w:t>
      </w:r>
    </w:p>
    <w:p>
      <w:pPr>
        <w:pStyle w:val="46"/>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p>
    <w:p>
      <w:pPr>
        <w:pStyle w:val="46"/>
        <w:spacing w:line="500" w:lineRule="atLeast"/>
        <w:ind w:firstLine="3507" w:firstLineChars="16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pPr>
        <w:ind w:firstLine="420" w:firstLineChars="200"/>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注：法定代表人身份证明书需附法人代表身份证复印件。</w:t>
      </w:r>
    </w:p>
    <w:tbl>
      <w:tblPr>
        <w:tblStyle w:val="38"/>
        <w:tblW w:w="83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517" w:hRule="atLeast"/>
          <w:jc w:val="center"/>
        </w:trPr>
        <w:tc>
          <w:tcPr>
            <w:tcW w:w="4182" w:type="dxa"/>
            <w:vAlign w:val="center"/>
          </w:tcPr>
          <w:p>
            <w:pPr>
              <w:pStyle w:val="46"/>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正面</w:t>
            </w:r>
          </w:p>
        </w:tc>
        <w:tc>
          <w:tcPr>
            <w:tcW w:w="4182" w:type="dxa"/>
            <w:vAlign w:val="center"/>
          </w:tcPr>
          <w:p>
            <w:pPr>
              <w:pStyle w:val="46"/>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背面</w:t>
            </w:r>
          </w:p>
        </w:tc>
      </w:tr>
    </w:tbl>
    <w:p>
      <w:pPr>
        <w:rPr>
          <w:rFonts w:hint="eastAsia" w:ascii="宋体" w:hAnsi="宋体" w:eastAsia="宋体" w:cs="宋体"/>
          <w:color w:val="auto"/>
          <w:highlight w:val="none"/>
        </w:rPr>
      </w:pPr>
    </w:p>
    <w:p>
      <w:pPr>
        <w:adjustRightInd/>
        <w:snapToGrid/>
        <w:spacing w:line="276" w:lineRule="auto"/>
        <w:rPr>
          <w:rFonts w:hint="eastAsia" w:ascii="宋体" w:hAnsi="宋体" w:eastAsia="宋体" w:cs="宋体"/>
          <w:b/>
          <w:bCs/>
          <w:color w:val="auto"/>
          <w:sz w:val="24"/>
          <w:szCs w:val="28"/>
          <w:highlight w:val="none"/>
        </w:rPr>
      </w:pPr>
      <w:r>
        <w:rPr>
          <w:rFonts w:hint="eastAsia" w:ascii="宋体" w:hAnsi="宋体" w:eastAsia="宋体" w:cs="宋体"/>
          <w:color w:val="auto"/>
          <w:sz w:val="24"/>
          <w:highlight w:val="none"/>
        </w:rPr>
        <w:br w:type="page"/>
      </w:r>
    </w:p>
    <w:p>
      <w:pPr>
        <w:pStyle w:val="5"/>
        <w:widowControl w:val="0"/>
        <w:overflowPunct w:val="0"/>
        <w:spacing w:line="240" w:lineRule="auto"/>
        <w:rPr>
          <w:rFonts w:hint="eastAsia" w:ascii="宋体" w:hAnsi="宋体" w:eastAsia="宋体" w:cs="宋体"/>
          <w:color w:val="auto"/>
          <w:highlight w:val="none"/>
        </w:rPr>
      </w:pPr>
      <w:bookmarkStart w:id="149" w:name="_Toc17322"/>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.法定代表人授权书格式</w:t>
      </w:r>
      <w:bookmarkEnd w:id="149"/>
    </w:p>
    <w:p>
      <w:pPr>
        <w:rPr>
          <w:rFonts w:hint="eastAsia" w:ascii="宋体" w:hAnsi="宋体" w:eastAsia="宋体" w:cs="宋体"/>
          <w:color w:val="auto"/>
          <w:highlight w:val="none"/>
        </w:rPr>
      </w:pP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法定代表人授权书</w:t>
      </w:r>
    </w:p>
    <w:p>
      <w:pPr>
        <w:pStyle w:val="46"/>
        <w:spacing w:line="420" w:lineRule="atLeast"/>
        <w:ind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致：xxx公司（采购人）</w:t>
      </w:r>
      <w:r>
        <w:rPr>
          <w:rFonts w:hint="eastAsia" w:ascii="宋体" w:hAnsi="宋体" w:eastAsia="宋体" w:cs="宋体"/>
          <w:color w:val="auto"/>
          <w:sz w:val="21"/>
          <w:szCs w:val="21"/>
          <w:highlight w:val="none"/>
          <w:lang w:eastAsia="zh-CN"/>
        </w:rPr>
        <w:t>：</w:t>
      </w:r>
    </w:p>
    <w:p>
      <w:pPr>
        <w:pStyle w:val="46"/>
        <w:spacing w:line="420" w:lineRule="atLeast"/>
        <w:ind w:firstLine="433"/>
        <w:rPr>
          <w:rFonts w:hint="eastAsia" w:ascii="宋体" w:hAnsi="宋体" w:eastAsia="宋体" w:cs="宋体"/>
          <w:color w:val="auto"/>
          <w:sz w:val="21"/>
          <w:szCs w:val="21"/>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本授权书声明：注册于</w:t>
      </w:r>
      <w:r>
        <w:rPr>
          <w:rFonts w:hint="eastAsia" w:ascii="宋体" w:hAnsi="宋体" w:eastAsia="宋体" w:cs="宋体"/>
          <w:color w:val="auto"/>
          <w:szCs w:val="21"/>
          <w:highlight w:val="none"/>
          <w:u w:val="single"/>
        </w:rPr>
        <w:t>（国家或地区的名称）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的在下面签字的</w:t>
      </w:r>
      <w:r>
        <w:rPr>
          <w:rFonts w:hint="eastAsia" w:ascii="宋体" w:hAnsi="宋体" w:eastAsia="宋体" w:cs="宋体"/>
          <w:color w:val="auto"/>
          <w:szCs w:val="21"/>
          <w:highlight w:val="none"/>
          <w:u w:val="single"/>
        </w:rPr>
        <w:t>（法定代表人姓名、职务）</w:t>
      </w:r>
      <w:r>
        <w:rPr>
          <w:rFonts w:hint="eastAsia" w:ascii="宋体" w:hAnsi="宋体" w:eastAsia="宋体" w:cs="宋体"/>
          <w:color w:val="auto"/>
          <w:szCs w:val="21"/>
          <w:highlight w:val="none"/>
        </w:rPr>
        <w:t>代表本单位授权</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的在下面签字的</w:t>
      </w:r>
      <w:r>
        <w:rPr>
          <w:rFonts w:hint="eastAsia" w:ascii="宋体" w:hAnsi="宋体" w:eastAsia="宋体" w:cs="宋体"/>
          <w:color w:val="auto"/>
          <w:szCs w:val="21"/>
          <w:highlight w:val="none"/>
          <w:u w:val="single"/>
        </w:rPr>
        <w:t>（被授权人的姓名、职务）</w:t>
      </w:r>
      <w:r>
        <w:rPr>
          <w:rFonts w:hint="eastAsia" w:ascii="宋体" w:hAnsi="宋体" w:eastAsia="宋体" w:cs="宋体"/>
          <w:color w:val="auto"/>
          <w:szCs w:val="21"/>
          <w:highlight w:val="none"/>
        </w:rPr>
        <w:t>为本单位的合法代理人，就</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投标及参加项目谈判，以本单位名义处理一切与之有关的事务。</w:t>
      </w:r>
    </w:p>
    <w:p>
      <w:pPr>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日签字生效，特此声明。</w:t>
      </w:r>
    </w:p>
    <w:p>
      <w:pPr>
        <w:pStyle w:val="46"/>
        <w:spacing w:line="500" w:lineRule="atLeast"/>
        <w:ind w:firstLine="3517" w:firstLineChars="1675"/>
        <w:rPr>
          <w:rFonts w:hint="eastAsia" w:ascii="宋体" w:hAnsi="宋体" w:eastAsia="宋体" w:cs="宋体"/>
          <w:color w:val="auto"/>
          <w:sz w:val="21"/>
          <w:szCs w:val="21"/>
          <w:highlight w:val="none"/>
        </w:rPr>
      </w:pPr>
    </w:p>
    <w:p>
      <w:pPr>
        <w:pStyle w:val="46"/>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pPr>
        <w:pStyle w:val="46"/>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法定代表人签字（签名或盖私章）：</w:t>
      </w:r>
    </w:p>
    <w:p>
      <w:pPr>
        <w:pStyle w:val="46"/>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被授权人签字：</w:t>
      </w:r>
    </w:p>
    <w:p>
      <w:pPr>
        <w:pStyle w:val="46"/>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职务：</w:t>
      </w:r>
    </w:p>
    <w:p>
      <w:pPr>
        <w:pStyle w:val="46"/>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移动电话： </w:t>
      </w:r>
    </w:p>
    <w:p>
      <w:pPr>
        <w:pStyle w:val="46"/>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详细通讯地址：</w:t>
      </w:r>
    </w:p>
    <w:p>
      <w:pPr>
        <w:pStyle w:val="46"/>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邮箱：                          </w:t>
      </w:r>
    </w:p>
    <w:p>
      <w:pPr>
        <w:pStyle w:val="46"/>
        <w:spacing w:line="500" w:lineRule="atLeast"/>
        <w:ind w:firstLine="3507" w:firstLineChars="16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pPr>
        <w:pStyle w:val="46"/>
        <w:spacing w:line="460" w:lineRule="exact"/>
        <w:ind w:firstLine="433"/>
        <w:rPr>
          <w:rFonts w:hint="eastAsia" w:ascii="宋体" w:hAnsi="宋体" w:eastAsia="宋体" w:cs="宋体"/>
          <w:color w:val="auto"/>
          <w:sz w:val="21"/>
          <w:szCs w:val="21"/>
          <w:highlight w:val="none"/>
        </w:rPr>
      </w:pPr>
    </w:p>
    <w:p>
      <w:pPr>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须附：被授权人身份证复印件。</w:t>
      </w:r>
    </w:p>
    <w:tbl>
      <w:tblPr>
        <w:tblStyle w:val="38"/>
        <w:tblW w:w="84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661" w:hRule="atLeast"/>
          <w:jc w:val="center"/>
        </w:trPr>
        <w:tc>
          <w:tcPr>
            <w:tcW w:w="4232" w:type="dxa"/>
            <w:vAlign w:val="center"/>
          </w:tcPr>
          <w:p>
            <w:pPr>
              <w:pStyle w:val="46"/>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正面</w:t>
            </w:r>
          </w:p>
        </w:tc>
        <w:tc>
          <w:tcPr>
            <w:tcW w:w="4232" w:type="dxa"/>
            <w:vAlign w:val="center"/>
          </w:tcPr>
          <w:p>
            <w:pPr>
              <w:pStyle w:val="46"/>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背面</w:t>
            </w:r>
          </w:p>
        </w:tc>
      </w:tr>
    </w:tbl>
    <w:p>
      <w:pPr>
        <w:adjustRightInd/>
        <w:snapToGrid/>
        <w:spacing w:line="276" w:lineRule="auto"/>
        <w:rPr>
          <w:rFonts w:hint="eastAsia" w:ascii="宋体" w:hAnsi="宋体" w:eastAsia="宋体" w:cs="宋体"/>
          <w:color w:val="auto"/>
          <w:highlight w:val="none"/>
        </w:rPr>
      </w:pPr>
      <w:bookmarkStart w:id="150" w:name="_Toc22486"/>
      <w:r>
        <w:rPr>
          <w:rFonts w:hint="eastAsia" w:ascii="宋体" w:hAnsi="宋体" w:eastAsia="宋体" w:cs="宋体"/>
          <w:color w:val="auto"/>
          <w:szCs w:val="21"/>
          <w:highlight w:val="none"/>
        </w:rPr>
        <w:br w:type="page"/>
      </w:r>
    </w:p>
    <w:p>
      <w:pPr>
        <w:pStyle w:val="5"/>
        <w:widowControl w:val="0"/>
        <w:overflowPunct w:val="0"/>
        <w:spacing w:line="240" w:lineRule="auto"/>
        <w:rPr>
          <w:rFonts w:hint="eastAsia" w:ascii="宋体" w:hAnsi="宋体" w:eastAsia="宋体" w:cs="宋体"/>
          <w:color w:val="auto"/>
          <w:sz w:val="21"/>
          <w:szCs w:val="21"/>
          <w:highlight w:val="none"/>
        </w:rPr>
      </w:pPr>
      <w:bookmarkStart w:id="151" w:name="_Toc14579"/>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.资格申明</w:t>
      </w:r>
      <w:bookmarkEnd w:id="151"/>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资格申明</w:t>
      </w:r>
    </w:p>
    <w:p>
      <w:pPr>
        <w:pStyle w:val="46"/>
        <w:spacing w:line="42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xxx   </w:t>
      </w:r>
      <w:r>
        <w:rPr>
          <w:rFonts w:hint="eastAsia" w:ascii="宋体" w:hAnsi="宋体" w:eastAsia="宋体" w:cs="宋体"/>
          <w:color w:val="auto"/>
          <w:sz w:val="21"/>
          <w:szCs w:val="21"/>
          <w:highlight w:val="none"/>
        </w:rPr>
        <w:t>公司（采购人）：</w:t>
      </w:r>
    </w:p>
    <w:p>
      <w:pPr>
        <w:ind w:firstLine="420" w:firstLineChars="200"/>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我方愿响应贵方关于（项目名称：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）的投标邀请，参与投标，提供用户需求书中规定的货物及相关服务，并按采购文件要求提交所附资格文件且声明和保证如下：</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二、我方依法注册，在法律上、财务上和运作上完全独立于</w:t>
      </w:r>
      <w:r>
        <w:rPr>
          <w:rFonts w:hint="eastAsia" w:ascii="宋体" w:hAnsi="宋体" w:eastAsia="宋体" w:cs="宋体"/>
          <w:color w:val="auto"/>
          <w:szCs w:val="21"/>
          <w:highlight w:val="none"/>
          <w:u w:val="single"/>
        </w:rPr>
        <w:t xml:space="preserve">  xxxx   </w:t>
      </w:r>
      <w:r>
        <w:rPr>
          <w:rFonts w:hint="eastAsia" w:ascii="宋体" w:hAnsi="宋体" w:eastAsia="宋体" w:cs="宋体"/>
          <w:color w:val="auto"/>
          <w:szCs w:val="21"/>
          <w:highlight w:val="none"/>
        </w:rPr>
        <w:t>公司（采购人）及</w:t>
      </w:r>
      <w:r>
        <w:rPr>
          <w:rFonts w:hint="eastAsia" w:ascii="宋体" w:hAnsi="宋体" w:eastAsia="宋体" w:cs="宋体"/>
          <w:color w:val="auto"/>
          <w:szCs w:val="21"/>
          <w:highlight w:val="none"/>
          <w:u w:val="single"/>
        </w:rPr>
        <w:t xml:space="preserve">    xxx   </w:t>
      </w:r>
      <w:r>
        <w:rPr>
          <w:rFonts w:hint="eastAsia" w:ascii="宋体" w:hAnsi="宋体" w:eastAsia="宋体" w:cs="宋体"/>
          <w:color w:val="auto"/>
          <w:szCs w:val="21"/>
          <w:highlight w:val="none"/>
        </w:rPr>
        <w:t>公司（采购代理机构）。</w:t>
      </w:r>
    </w:p>
    <w:p>
      <w:pPr>
        <w:pStyle w:val="46"/>
        <w:spacing w:line="500" w:lineRule="atLeast"/>
        <w:ind w:firstLine="3517" w:firstLineChars="1675"/>
        <w:rPr>
          <w:rFonts w:hint="eastAsia" w:ascii="宋体" w:hAnsi="宋体" w:eastAsia="宋体" w:cs="宋体"/>
          <w:color w:val="auto"/>
          <w:sz w:val="21"/>
          <w:szCs w:val="21"/>
          <w:highlight w:val="none"/>
        </w:rPr>
      </w:pPr>
    </w:p>
    <w:p>
      <w:pPr>
        <w:pStyle w:val="46"/>
        <w:spacing w:line="500" w:lineRule="atLeast"/>
        <w:ind w:firstLine="3517" w:firstLineChars="1675"/>
        <w:rPr>
          <w:rFonts w:hint="eastAsia" w:ascii="宋体" w:hAnsi="宋体" w:eastAsia="宋体" w:cs="宋体"/>
          <w:color w:val="auto"/>
          <w:sz w:val="21"/>
          <w:szCs w:val="21"/>
          <w:highlight w:val="none"/>
        </w:rPr>
      </w:pPr>
    </w:p>
    <w:p>
      <w:pPr>
        <w:pStyle w:val="46"/>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pPr>
        <w:pStyle w:val="46"/>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法定代表人签字（签名或盖私章）：</w:t>
      </w:r>
    </w:p>
    <w:p>
      <w:pPr>
        <w:pStyle w:val="46"/>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期：年月日</w:t>
      </w:r>
    </w:p>
    <w:p>
      <w:pPr>
        <w:pStyle w:val="46"/>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5"/>
        <w:widowControl w:val="0"/>
        <w:overflowPunct w:val="0"/>
        <w:spacing w:line="240" w:lineRule="auto"/>
        <w:rPr>
          <w:rFonts w:hint="eastAsia" w:ascii="宋体" w:hAnsi="宋体" w:eastAsia="宋体" w:cs="宋体"/>
          <w:color w:val="auto"/>
          <w:sz w:val="21"/>
          <w:szCs w:val="21"/>
          <w:highlight w:val="none"/>
        </w:rPr>
      </w:pPr>
      <w:bookmarkStart w:id="152" w:name="_Toc16925"/>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.营业执照</w:t>
      </w:r>
      <w:bookmarkEnd w:id="152"/>
    </w:p>
    <w:p>
      <w:pPr>
        <w:jc w:val="center"/>
        <w:rPr>
          <w:rFonts w:hint="eastAsia" w:ascii="宋体" w:hAnsi="宋体" w:eastAsia="宋体" w:cs="宋体"/>
          <w:color w:val="auto"/>
          <w:sz w:val="28"/>
          <w:szCs w:val="28"/>
          <w:highlight w:val="none"/>
        </w:rPr>
      </w:pPr>
      <w:bookmarkStart w:id="153" w:name="_Toc4926"/>
      <w:bookmarkStart w:id="154" w:name="_Toc17470"/>
      <w:bookmarkStart w:id="155" w:name="_Toc24210"/>
      <w:bookmarkStart w:id="156" w:name="_Toc1511"/>
      <w:bookmarkStart w:id="157" w:name="_Toc5919"/>
      <w:r>
        <w:rPr>
          <w:rFonts w:hint="eastAsia" w:ascii="宋体" w:hAnsi="宋体" w:eastAsia="宋体" w:cs="宋体"/>
          <w:color w:val="auto"/>
          <w:sz w:val="28"/>
          <w:szCs w:val="28"/>
          <w:highlight w:val="none"/>
        </w:rPr>
        <w:t>营业执照</w:t>
      </w:r>
      <w:bookmarkEnd w:id="153"/>
      <w:bookmarkEnd w:id="154"/>
      <w:bookmarkEnd w:id="155"/>
      <w:bookmarkEnd w:id="156"/>
      <w:bookmarkEnd w:id="157"/>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5"/>
        <w:widowControl w:val="0"/>
        <w:overflowPunct w:val="0"/>
        <w:spacing w:line="240" w:lineRule="auto"/>
        <w:rPr>
          <w:rFonts w:hint="eastAsia" w:ascii="宋体" w:hAnsi="宋体" w:eastAsia="宋体" w:cs="宋体"/>
          <w:color w:val="auto"/>
          <w:sz w:val="21"/>
          <w:szCs w:val="21"/>
          <w:highlight w:val="none"/>
        </w:rPr>
      </w:pPr>
      <w:bookmarkStart w:id="158" w:name="_Toc28346"/>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.相关资质证明文件</w:t>
      </w:r>
      <w:bookmarkEnd w:id="158"/>
    </w:p>
    <w:p>
      <w:pPr>
        <w:rPr>
          <w:rFonts w:hint="eastAsia" w:ascii="宋体" w:hAnsi="宋体" w:eastAsia="宋体" w:cs="宋体"/>
          <w:color w:val="auto"/>
          <w:highlight w:val="none"/>
        </w:rPr>
      </w:pPr>
    </w:p>
    <w:p>
      <w:pPr>
        <w:jc w:val="center"/>
        <w:rPr>
          <w:rFonts w:hint="eastAsia" w:ascii="宋体" w:hAnsi="宋体" w:eastAsia="宋体" w:cs="宋体"/>
          <w:color w:val="auto"/>
          <w:sz w:val="28"/>
          <w:szCs w:val="28"/>
          <w:highlight w:val="none"/>
        </w:rPr>
      </w:pPr>
      <w:bookmarkStart w:id="159" w:name="_Toc13458"/>
      <w:bookmarkStart w:id="160" w:name="_Toc16698"/>
      <w:bookmarkStart w:id="161" w:name="_Toc30307"/>
      <w:bookmarkStart w:id="162" w:name="_Toc9592"/>
      <w:bookmarkStart w:id="163" w:name="_Toc16233"/>
      <w:r>
        <w:rPr>
          <w:rFonts w:hint="eastAsia" w:ascii="宋体" w:hAnsi="宋体" w:eastAsia="宋体" w:cs="宋体"/>
          <w:color w:val="auto"/>
          <w:sz w:val="28"/>
          <w:szCs w:val="28"/>
          <w:highlight w:val="none"/>
        </w:rPr>
        <w:t>相关资质证明文件</w:t>
      </w:r>
      <w:bookmarkEnd w:id="150"/>
      <w:bookmarkEnd w:id="159"/>
      <w:bookmarkEnd w:id="160"/>
      <w:bookmarkEnd w:id="161"/>
      <w:bookmarkEnd w:id="162"/>
      <w:bookmarkEnd w:id="163"/>
    </w:p>
    <w:p>
      <w:pPr>
        <w:numPr>
          <w:ilvl w:val="0"/>
          <w:numId w:val="10"/>
        </w:numPr>
        <w:tabs>
          <w:tab w:val="left" w:pos="1680"/>
        </w:tabs>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符合投标邀请书“投标人资格要求”其他要求对应的证明文件；</w:t>
      </w:r>
    </w:p>
    <w:p>
      <w:pPr>
        <w:numPr>
          <w:ilvl w:val="0"/>
          <w:numId w:val="10"/>
        </w:numPr>
        <w:tabs>
          <w:tab w:val="left" w:pos="1680"/>
        </w:tabs>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投标人认为必要的文件。</w:t>
      </w:r>
    </w:p>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pPr>
        <w:pStyle w:val="5"/>
        <w:widowControl w:val="0"/>
        <w:overflowPunct w:val="0"/>
        <w:spacing w:line="240" w:lineRule="auto"/>
        <w:rPr>
          <w:rFonts w:hint="eastAsia" w:ascii="宋体" w:hAnsi="宋体" w:eastAsia="宋体" w:cs="宋体"/>
          <w:color w:val="auto"/>
          <w:highlight w:val="none"/>
        </w:rPr>
      </w:pPr>
      <w:bookmarkStart w:id="164" w:name="_Toc18180"/>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.在经营活动中没有重大违法记录的书面声明格式</w:t>
      </w:r>
      <w:bookmarkEnd w:id="164"/>
    </w:p>
    <w:p>
      <w:pPr>
        <w:rPr>
          <w:rFonts w:hint="eastAsia" w:ascii="宋体" w:hAnsi="宋体" w:eastAsia="宋体" w:cs="宋体"/>
          <w:color w:val="auto"/>
          <w:highlight w:val="none"/>
        </w:rPr>
      </w:pP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投标人在经营活动中前三年内未有重大违法记录、没有不良信用记录的声明函</w:t>
      </w:r>
    </w:p>
    <w:p>
      <w:pPr>
        <w:ind w:firstLine="420" w:firstLineChars="200"/>
        <w:rPr>
          <w:rFonts w:hint="eastAsia" w:ascii="宋体" w:hAnsi="宋体" w:eastAsia="宋体" w:cs="宋体"/>
          <w:color w:val="auto"/>
          <w:szCs w:val="21"/>
          <w:highlight w:val="none"/>
        </w:rPr>
      </w:pP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xxxxxx公司</w:t>
      </w:r>
      <w:r>
        <w:rPr>
          <w:rFonts w:hint="eastAsia" w:ascii="宋体" w:hAnsi="宋体" w:eastAsia="宋体" w:cs="宋体"/>
          <w:color w:val="auto"/>
          <w:sz w:val="21"/>
          <w:szCs w:val="21"/>
          <w:highlight w:val="none"/>
        </w:rPr>
        <w:t>（采购人）</w:t>
      </w:r>
      <w:r>
        <w:rPr>
          <w:rFonts w:hint="eastAsia" w:ascii="宋体" w:hAnsi="宋体" w:eastAsia="宋体" w:cs="宋体"/>
          <w:color w:val="auto"/>
          <w:szCs w:val="21"/>
          <w:highlight w:val="none"/>
        </w:rPr>
        <w:t>：</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我公司郑重承诺：在参加“</w:t>
      </w:r>
      <w:r>
        <w:rPr>
          <w:rFonts w:hint="eastAsia" w:ascii="宋体" w:hAnsi="宋体" w:eastAsia="宋体" w:cs="宋体"/>
          <w:color w:val="auto"/>
          <w:szCs w:val="21"/>
          <w:highlight w:val="none"/>
          <w:u w:val="single"/>
        </w:rPr>
        <w:t xml:space="preserve">       （采购项目名称）</w:t>
      </w:r>
      <w:r>
        <w:rPr>
          <w:rFonts w:hint="eastAsia" w:ascii="宋体" w:hAnsi="宋体" w:eastAsia="宋体" w:cs="宋体"/>
          <w:color w:val="auto"/>
          <w:szCs w:val="21"/>
          <w:highlight w:val="none"/>
        </w:rPr>
        <w:t>” （项目编号:</w:t>
      </w:r>
      <w:r>
        <w:rPr>
          <w:rFonts w:hint="eastAsia" w:ascii="宋体" w:hAnsi="宋体" w:eastAsia="宋体" w:cs="宋体"/>
          <w:color w:val="auto"/>
          <w:szCs w:val="21"/>
          <w:highlight w:val="none"/>
          <w:lang w:val="en-US" w:eastAsia="zh-CN"/>
        </w:rPr>
        <w:t>XX</w:t>
      </w:r>
      <w:r>
        <w:rPr>
          <w:rFonts w:hint="eastAsia" w:ascii="宋体" w:hAnsi="宋体" w:eastAsia="宋体" w:cs="宋体"/>
          <w:color w:val="auto"/>
          <w:szCs w:val="21"/>
          <w:highlight w:val="none"/>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我公司以上承诺均为真实有效，绝无任何虚假、伪造的成份，否则，愿承担相应的后果和法律责任。</w:t>
      </w:r>
    </w:p>
    <w:p>
      <w:pPr>
        <w:ind w:firstLine="420" w:firstLineChars="200"/>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投标人名称（盖章）：</w:t>
      </w:r>
    </w:p>
    <w:p>
      <w:pPr>
        <w:rPr>
          <w:rFonts w:hint="eastAsia" w:ascii="宋体" w:hAnsi="宋体" w:eastAsia="宋体" w:cs="宋体"/>
          <w:color w:val="auto"/>
          <w:szCs w:val="21"/>
          <w:highlight w:val="none"/>
        </w:rPr>
      </w:pP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rPr>
          <w:rFonts w:hint="eastAsia" w:ascii="宋体" w:hAnsi="宋体" w:eastAsia="宋体" w:cs="宋体"/>
          <w:color w:val="auto"/>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bookmarkStart w:id="165" w:name="_Toc16502"/>
      <w:r>
        <w:rPr>
          <w:rFonts w:hint="eastAsia" w:ascii="宋体" w:hAnsi="宋体" w:eastAsia="宋体" w:cs="宋体"/>
          <w:color w:val="auto"/>
          <w:sz w:val="21"/>
          <w:szCs w:val="21"/>
          <w:highlight w:val="none"/>
        </w:rPr>
        <w:br w:type="page"/>
      </w:r>
    </w:p>
    <w:p>
      <w:pPr>
        <w:pStyle w:val="5"/>
        <w:widowControl w:val="0"/>
        <w:overflowPunct w:val="0"/>
        <w:spacing w:line="240" w:lineRule="auto"/>
        <w:rPr>
          <w:rFonts w:hint="eastAsia" w:ascii="宋体" w:hAnsi="宋体" w:eastAsia="宋体" w:cs="宋体"/>
          <w:color w:val="auto"/>
          <w:highlight w:val="none"/>
        </w:rPr>
      </w:pP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.承诺书格式</w:t>
      </w:r>
      <w:bookmarkEnd w:id="165"/>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承诺书</w:t>
      </w:r>
    </w:p>
    <w:p>
      <w:pPr>
        <w:pStyle w:val="46"/>
        <w:spacing w:line="42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致xxx公司（采购人）：</w:t>
      </w:r>
    </w:p>
    <w:p>
      <w:pPr>
        <w:jc w:val="center"/>
        <w:rPr>
          <w:rFonts w:hint="eastAsia" w:ascii="宋体" w:hAnsi="宋体" w:eastAsia="宋体" w:cs="宋体"/>
          <w:color w:val="auto"/>
          <w:szCs w:val="21"/>
          <w:highlight w:val="none"/>
        </w:rPr>
      </w:pPr>
    </w:p>
    <w:p>
      <w:pPr>
        <w:pStyle w:val="46"/>
        <w:spacing w:line="420" w:lineRule="exac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我方已完整阅读了</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hAnsi="宋体" w:eastAsia="宋体" w:cs="宋体"/>
          <w:color w:val="auto"/>
          <w:sz w:val="21"/>
          <w:szCs w:val="21"/>
          <w:highlight w:val="none"/>
        </w:rPr>
        <w:cr/>
      </w:r>
    </w:p>
    <w:p>
      <w:pPr>
        <w:pStyle w:val="46"/>
        <w:spacing w:line="420" w:lineRule="exact"/>
        <w:ind w:firstLine="433"/>
        <w:rPr>
          <w:rFonts w:hint="eastAsia" w:ascii="宋体" w:hAnsi="宋体" w:eastAsia="宋体" w:cs="宋体"/>
          <w:color w:val="auto"/>
          <w:sz w:val="21"/>
          <w:szCs w:val="21"/>
          <w:highlight w:val="none"/>
        </w:rPr>
      </w:pPr>
    </w:p>
    <w:p>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投标人名称（加盖公章）：</w:t>
      </w:r>
    </w:p>
    <w:p>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法定代表人或被授权人（签名或盖私章）：</w:t>
      </w:r>
    </w:p>
    <w:p>
      <w:pP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rPr>
          <w:rFonts w:hint="eastAsia" w:ascii="宋体" w:hAnsi="宋体" w:eastAsia="宋体" w:cs="宋体"/>
          <w:color w:val="auto"/>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p>
    <w:p>
      <w:pPr>
        <w:rPr>
          <w:rFonts w:hint="eastAsia" w:ascii="宋体" w:hAnsi="宋体" w:eastAsia="宋体" w:cs="宋体"/>
          <w:color w:val="auto"/>
          <w:highlight w:val="none"/>
        </w:rPr>
      </w:pPr>
    </w:p>
    <w:p>
      <w:pPr>
        <w:pStyle w:val="5"/>
        <w:widowControl w:val="0"/>
        <w:overflowPunct w:val="0"/>
        <w:spacing w:line="240" w:lineRule="auto"/>
        <w:rPr>
          <w:rFonts w:hint="eastAsia" w:ascii="宋体" w:hAnsi="宋体" w:eastAsia="宋体" w:cs="宋体"/>
          <w:color w:val="auto"/>
          <w:sz w:val="21"/>
          <w:szCs w:val="21"/>
          <w:highlight w:val="none"/>
        </w:rPr>
      </w:pPr>
      <w:bookmarkStart w:id="166" w:name="_Toc14107"/>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.商务需求条款偏离表格式</w:t>
      </w:r>
      <w:bookmarkEnd w:id="166"/>
    </w:p>
    <w:p>
      <w:pPr>
        <w:jc w:val="center"/>
        <w:rPr>
          <w:rFonts w:hint="eastAsia" w:ascii="宋体" w:hAnsi="宋体" w:eastAsia="宋体" w:cs="宋体"/>
          <w:color w:val="auto"/>
          <w:sz w:val="28"/>
          <w:szCs w:val="28"/>
          <w:highlight w:val="none"/>
        </w:rPr>
      </w:pP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商务需求条款偏离表</w:t>
      </w:r>
    </w:p>
    <w:tbl>
      <w:tblPr>
        <w:tblStyle w:val="38"/>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00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2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服务项目名称</w:t>
            </w:r>
          </w:p>
        </w:tc>
        <w:tc>
          <w:tcPr>
            <w:tcW w:w="136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采购要求</w:t>
            </w:r>
          </w:p>
        </w:tc>
        <w:tc>
          <w:tcPr>
            <w:tcW w:w="1587"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投标实际响应</w:t>
            </w:r>
          </w:p>
        </w:tc>
        <w:tc>
          <w:tcPr>
            <w:tcW w:w="1133"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是否偏离</w:t>
            </w:r>
          </w:p>
        </w:tc>
        <w:tc>
          <w:tcPr>
            <w:tcW w:w="173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jc w:val="center"/>
              <w:rPr>
                <w:rFonts w:hint="eastAsia" w:ascii="宋体" w:hAnsi="宋体" w:eastAsia="宋体" w:cs="宋体"/>
                <w:color w:val="auto"/>
                <w:szCs w:val="21"/>
                <w:highlight w:val="none"/>
              </w:rPr>
            </w:pPr>
          </w:p>
        </w:tc>
        <w:tc>
          <w:tcPr>
            <w:tcW w:w="1620" w:type="dxa"/>
            <w:vAlign w:val="center"/>
          </w:tcPr>
          <w:p>
            <w:pPr>
              <w:jc w:val="center"/>
              <w:rPr>
                <w:rFonts w:hint="eastAsia" w:ascii="宋体" w:hAnsi="宋体" w:eastAsia="宋体" w:cs="宋体"/>
                <w:color w:val="auto"/>
                <w:szCs w:val="21"/>
                <w:highlight w:val="none"/>
              </w:rPr>
            </w:pPr>
          </w:p>
        </w:tc>
        <w:tc>
          <w:tcPr>
            <w:tcW w:w="1360" w:type="dxa"/>
            <w:vAlign w:val="center"/>
          </w:tcPr>
          <w:p>
            <w:pPr>
              <w:jc w:val="center"/>
              <w:rPr>
                <w:rFonts w:hint="eastAsia" w:ascii="宋体" w:hAnsi="宋体" w:eastAsia="宋体" w:cs="宋体"/>
                <w:color w:val="auto"/>
                <w:szCs w:val="21"/>
                <w:highlight w:val="none"/>
              </w:rPr>
            </w:pPr>
          </w:p>
        </w:tc>
        <w:tc>
          <w:tcPr>
            <w:tcW w:w="1587" w:type="dxa"/>
            <w:vAlign w:val="center"/>
          </w:tcPr>
          <w:p>
            <w:pPr>
              <w:jc w:val="center"/>
              <w:rPr>
                <w:rFonts w:hint="eastAsia" w:ascii="宋体" w:hAnsi="宋体" w:eastAsia="宋体" w:cs="宋体"/>
                <w:color w:val="auto"/>
                <w:szCs w:val="21"/>
                <w:highlight w:val="none"/>
              </w:rPr>
            </w:pPr>
          </w:p>
        </w:tc>
        <w:tc>
          <w:tcPr>
            <w:tcW w:w="1133" w:type="dxa"/>
            <w:vAlign w:val="center"/>
          </w:tcPr>
          <w:p>
            <w:pPr>
              <w:jc w:val="center"/>
              <w:rPr>
                <w:rFonts w:hint="eastAsia" w:ascii="宋体" w:hAnsi="宋体" w:eastAsia="宋体" w:cs="宋体"/>
                <w:color w:val="auto"/>
                <w:szCs w:val="21"/>
                <w:highlight w:val="none"/>
              </w:rPr>
            </w:pPr>
          </w:p>
        </w:tc>
        <w:tc>
          <w:tcPr>
            <w:tcW w:w="1730" w:type="dxa"/>
            <w:vAlign w:val="center"/>
          </w:tcPr>
          <w:p>
            <w:pPr>
              <w:jc w:val="center"/>
              <w:rPr>
                <w:rFonts w:hint="eastAsia" w:ascii="宋体" w:hAnsi="宋体" w:eastAsia="宋体" w:cs="宋体"/>
                <w:color w:val="auto"/>
                <w:szCs w:val="21"/>
                <w:highlight w:val="none"/>
              </w:rPr>
            </w:pPr>
          </w:p>
        </w:tc>
      </w:tr>
    </w:tbl>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pPr>
        <w:rPr>
          <w:rFonts w:hint="eastAsia" w:ascii="宋体" w:hAnsi="宋体" w:eastAsia="宋体" w:cs="宋体"/>
          <w:color w:val="auto"/>
          <w:szCs w:val="21"/>
          <w:highlight w:val="none"/>
        </w:rPr>
      </w:pPr>
    </w:p>
    <w:p>
      <w:pPr>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1、投标人应对照采购文件商务需求书中商务要求，说明已对采购文件的商务内容做出了实质性的响应。</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论出于何种原因此表未填写完整，投标人都被认为已清楚了解采购文件“商务需求书”的内容并对采购人所需的服务要求作全面响应，投标人必须承担完成“商务需求书”所描述内容的义务，因此对投标人投标产生负面影响的，投标人自行承担后果。</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3、如有偏离，应在“偏离情况”栏内注明“正”、“负”或“无”，并在“说明”栏内予以说明。</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5、如投标人对用户需求书商务要求的条款全部响应的，也可以在表格下面用文字总括性的说明。</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widowControl w:val="0"/>
        <w:overflowPunct w:val="0"/>
        <w:spacing w:line="240" w:lineRule="auto"/>
        <w:rPr>
          <w:rFonts w:hint="eastAsia" w:ascii="宋体" w:hAnsi="宋体" w:eastAsia="宋体" w:cs="宋体"/>
          <w:color w:val="auto"/>
          <w:sz w:val="30"/>
          <w:szCs w:val="30"/>
          <w:highlight w:val="none"/>
        </w:rPr>
      </w:pPr>
      <w:bookmarkStart w:id="167" w:name="_Toc11373"/>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.业绩表</w:t>
      </w:r>
      <w:bookmarkEnd w:id="167"/>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业绩表</w:t>
      </w:r>
    </w:p>
    <w:tbl>
      <w:tblPr>
        <w:tblStyle w:val="3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975"/>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vAlign w:val="center"/>
          </w:tcPr>
          <w:p>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05" w:type="dxa"/>
            <w:vAlign w:val="center"/>
          </w:tcPr>
          <w:p>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706" w:type="dxa"/>
            <w:vAlign w:val="center"/>
          </w:tcPr>
          <w:p>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项目金额</w:t>
            </w:r>
          </w:p>
        </w:tc>
        <w:tc>
          <w:tcPr>
            <w:tcW w:w="1975" w:type="dxa"/>
            <w:vAlign w:val="center"/>
          </w:tcPr>
          <w:p>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项目合同签订时间</w:t>
            </w:r>
          </w:p>
        </w:tc>
        <w:tc>
          <w:tcPr>
            <w:tcW w:w="1427" w:type="dxa"/>
            <w:vAlign w:val="center"/>
          </w:tcPr>
          <w:p>
            <w:pP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vAlign w:val="center"/>
          </w:tcPr>
          <w:p>
            <w:pPr>
              <w:adjustRightInd/>
              <w:snapToGrid/>
              <w:jc w:val="center"/>
              <w:rPr>
                <w:rFonts w:hint="eastAsia" w:ascii="宋体" w:hAnsi="宋体" w:eastAsia="宋体" w:cs="宋体"/>
                <w:color w:val="auto"/>
                <w:szCs w:val="21"/>
                <w:highlight w:val="none"/>
              </w:rPr>
            </w:pPr>
          </w:p>
        </w:tc>
        <w:tc>
          <w:tcPr>
            <w:tcW w:w="1705" w:type="dxa"/>
            <w:vAlign w:val="center"/>
          </w:tcPr>
          <w:p>
            <w:pPr>
              <w:adjustRightInd/>
              <w:snapToGrid/>
              <w:jc w:val="center"/>
              <w:rPr>
                <w:rFonts w:hint="eastAsia" w:ascii="宋体" w:hAnsi="宋体" w:eastAsia="宋体" w:cs="宋体"/>
                <w:color w:val="auto"/>
                <w:szCs w:val="21"/>
                <w:highlight w:val="none"/>
              </w:rPr>
            </w:pPr>
          </w:p>
        </w:tc>
        <w:tc>
          <w:tcPr>
            <w:tcW w:w="1706" w:type="dxa"/>
            <w:vAlign w:val="center"/>
          </w:tcPr>
          <w:p>
            <w:pPr>
              <w:adjustRightInd/>
              <w:snapToGrid/>
              <w:jc w:val="center"/>
              <w:rPr>
                <w:rFonts w:hint="eastAsia" w:ascii="宋体" w:hAnsi="宋体" w:eastAsia="宋体" w:cs="宋体"/>
                <w:color w:val="auto"/>
                <w:szCs w:val="21"/>
                <w:highlight w:val="none"/>
              </w:rPr>
            </w:pPr>
          </w:p>
        </w:tc>
        <w:tc>
          <w:tcPr>
            <w:tcW w:w="1975" w:type="dxa"/>
            <w:vAlign w:val="center"/>
          </w:tcPr>
          <w:p>
            <w:pPr>
              <w:adjustRightInd/>
              <w:snapToGrid/>
              <w:jc w:val="center"/>
              <w:rPr>
                <w:rFonts w:hint="eastAsia" w:ascii="宋体" w:hAnsi="宋体" w:eastAsia="宋体" w:cs="宋体"/>
                <w:color w:val="auto"/>
                <w:szCs w:val="21"/>
                <w:highlight w:val="none"/>
              </w:rPr>
            </w:pPr>
          </w:p>
        </w:tc>
        <w:tc>
          <w:tcPr>
            <w:tcW w:w="1427" w:type="dxa"/>
            <w:vAlign w:val="center"/>
          </w:tcPr>
          <w:p>
            <w:pPr>
              <w:adjustRightInd/>
              <w:snapToGrid/>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adjustRightInd/>
              <w:snapToGrid/>
              <w:rPr>
                <w:rFonts w:hint="eastAsia" w:ascii="宋体" w:hAnsi="宋体" w:eastAsia="宋体" w:cs="宋体"/>
                <w:color w:val="auto"/>
                <w:szCs w:val="21"/>
                <w:highlight w:val="none"/>
              </w:rPr>
            </w:pPr>
          </w:p>
        </w:tc>
        <w:tc>
          <w:tcPr>
            <w:tcW w:w="1705" w:type="dxa"/>
          </w:tcPr>
          <w:p>
            <w:pPr>
              <w:adjustRightInd/>
              <w:snapToGrid/>
              <w:rPr>
                <w:rFonts w:hint="eastAsia" w:ascii="宋体" w:hAnsi="宋体" w:eastAsia="宋体" w:cs="宋体"/>
                <w:color w:val="auto"/>
                <w:szCs w:val="21"/>
                <w:highlight w:val="none"/>
              </w:rPr>
            </w:pPr>
          </w:p>
        </w:tc>
        <w:tc>
          <w:tcPr>
            <w:tcW w:w="1706" w:type="dxa"/>
          </w:tcPr>
          <w:p>
            <w:pPr>
              <w:adjustRightInd/>
              <w:snapToGrid/>
              <w:rPr>
                <w:rFonts w:hint="eastAsia" w:ascii="宋体" w:hAnsi="宋体" w:eastAsia="宋体" w:cs="宋体"/>
                <w:color w:val="auto"/>
                <w:szCs w:val="21"/>
                <w:highlight w:val="none"/>
              </w:rPr>
            </w:pPr>
          </w:p>
        </w:tc>
        <w:tc>
          <w:tcPr>
            <w:tcW w:w="1975" w:type="dxa"/>
          </w:tcPr>
          <w:p>
            <w:pPr>
              <w:adjustRightInd/>
              <w:snapToGrid/>
              <w:rPr>
                <w:rFonts w:hint="eastAsia" w:ascii="宋体" w:hAnsi="宋体" w:eastAsia="宋体" w:cs="宋体"/>
                <w:color w:val="auto"/>
                <w:szCs w:val="21"/>
                <w:highlight w:val="none"/>
              </w:rPr>
            </w:pPr>
          </w:p>
        </w:tc>
        <w:tc>
          <w:tcPr>
            <w:tcW w:w="1427" w:type="dxa"/>
          </w:tcPr>
          <w:p>
            <w:pPr>
              <w:adjustRightInd/>
              <w:snapToGrid/>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adjustRightInd/>
              <w:snapToGrid/>
              <w:rPr>
                <w:rFonts w:hint="eastAsia" w:ascii="宋体" w:hAnsi="宋体" w:eastAsia="宋体" w:cs="宋体"/>
                <w:color w:val="auto"/>
                <w:szCs w:val="21"/>
                <w:highlight w:val="none"/>
              </w:rPr>
            </w:pPr>
          </w:p>
        </w:tc>
        <w:tc>
          <w:tcPr>
            <w:tcW w:w="1705" w:type="dxa"/>
          </w:tcPr>
          <w:p>
            <w:pPr>
              <w:adjustRightInd/>
              <w:snapToGrid/>
              <w:rPr>
                <w:rFonts w:hint="eastAsia" w:ascii="宋体" w:hAnsi="宋体" w:eastAsia="宋体" w:cs="宋体"/>
                <w:color w:val="auto"/>
                <w:szCs w:val="21"/>
                <w:highlight w:val="none"/>
              </w:rPr>
            </w:pPr>
          </w:p>
        </w:tc>
        <w:tc>
          <w:tcPr>
            <w:tcW w:w="1706" w:type="dxa"/>
          </w:tcPr>
          <w:p>
            <w:pPr>
              <w:adjustRightInd/>
              <w:snapToGrid/>
              <w:rPr>
                <w:rFonts w:hint="eastAsia" w:ascii="宋体" w:hAnsi="宋体" w:eastAsia="宋体" w:cs="宋体"/>
                <w:color w:val="auto"/>
                <w:szCs w:val="21"/>
                <w:highlight w:val="none"/>
              </w:rPr>
            </w:pPr>
          </w:p>
        </w:tc>
        <w:tc>
          <w:tcPr>
            <w:tcW w:w="1975" w:type="dxa"/>
          </w:tcPr>
          <w:p>
            <w:pPr>
              <w:adjustRightInd/>
              <w:snapToGrid/>
              <w:rPr>
                <w:rFonts w:hint="eastAsia" w:ascii="宋体" w:hAnsi="宋体" w:eastAsia="宋体" w:cs="宋体"/>
                <w:color w:val="auto"/>
                <w:szCs w:val="21"/>
                <w:highlight w:val="none"/>
              </w:rPr>
            </w:pPr>
          </w:p>
        </w:tc>
        <w:tc>
          <w:tcPr>
            <w:tcW w:w="1427" w:type="dxa"/>
          </w:tcPr>
          <w:p>
            <w:pPr>
              <w:adjustRightInd/>
              <w:snapToGrid/>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adjustRightInd/>
              <w:snapToGrid/>
              <w:rPr>
                <w:rFonts w:hint="eastAsia" w:ascii="宋体" w:hAnsi="宋体" w:eastAsia="宋体" w:cs="宋体"/>
                <w:color w:val="auto"/>
                <w:szCs w:val="21"/>
                <w:highlight w:val="none"/>
              </w:rPr>
            </w:pPr>
          </w:p>
        </w:tc>
        <w:tc>
          <w:tcPr>
            <w:tcW w:w="1705" w:type="dxa"/>
          </w:tcPr>
          <w:p>
            <w:pPr>
              <w:adjustRightInd/>
              <w:snapToGrid/>
              <w:rPr>
                <w:rFonts w:hint="eastAsia" w:ascii="宋体" w:hAnsi="宋体" w:eastAsia="宋体" w:cs="宋体"/>
                <w:color w:val="auto"/>
                <w:szCs w:val="21"/>
                <w:highlight w:val="none"/>
              </w:rPr>
            </w:pPr>
          </w:p>
        </w:tc>
        <w:tc>
          <w:tcPr>
            <w:tcW w:w="1706" w:type="dxa"/>
          </w:tcPr>
          <w:p>
            <w:pPr>
              <w:adjustRightInd/>
              <w:snapToGrid/>
              <w:rPr>
                <w:rFonts w:hint="eastAsia" w:ascii="宋体" w:hAnsi="宋体" w:eastAsia="宋体" w:cs="宋体"/>
                <w:color w:val="auto"/>
                <w:szCs w:val="21"/>
                <w:highlight w:val="none"/>
              </w:rPr>
            </w:pPr>
          </w:p>
        </w:tc>
        <w:tc>
          <w:tcPr>
            <w:tcW w:w="1975" w:type="dxa"/>
          </w:tcPr>
          <w:p>
            <w:pPr>
              <w:adjustRightInd/>
              <w:snapToGrid/>
              <w:rPr>
                <w:rFonts w:hint="eastAsia" w:ascii="宋体" w:hAnsi="宋体" w:eastAsia="宋体" w:cs="宋体"/>
                <w:color w:val="auto"/>
                <w:szCs w:val="21"/>
                <w:highlight w:val="none"/>
              </w:rPr>
            </w:pPr>
          </w:p>
        </w:tc>
        <w:tc>
          <w:tcPr>
            <w:tcW w:w="1427" w:type="dxa"/>
          </w:tcPr>
          <w:p>
            <w:pPr>
              <w:adjustRightInd/>
              <w:snapToGrid/>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adjustRightInd/>
              <w:snapToGrid/>
              <w:rPr>
                <w:rFonts w:hint="eastAsia" w:ascii="宋体" w:hAnsi="宋体" w:eastAsia="宋体" w:cs="宋体"/>
                <w:color w:val="auto"/>
                <w:szCs w:val="21"/>
                <w:highlight w:val="none"/>
              </w:rPr>
            </w:pPr>
          </w:p>
        </w:tc>
        <w:tc>
          <w:tcPr>
            <w:tcW w:w="1705" w:type="dxa"/>
          </w:tcPr>
          <w:p>
            <w:pPr>
              <w:adjustRightInd/>
              <w:snapToGrid/>
              <w:rPr>
                <w:rFonts w:hint="eastAsia" w:ascii="宋体" w:hAnsi="宋体" w:eastAsia="宋体" w:cs="宋体"/>
                <w:color w:val="auto"/>
                <w:szCs w:val="21"/>
                <w:highlight w:val="none"/>
              </w:rPr>
            </w:pPr>
          </w:p>
        </w:tc>
        <w:tc>
          <w:tcPr>
            <w:tcW w:w="1706" w:type="dxa"/>
          </w:tcPr>
          <w:p>
            <w:pPr>
              <w:adjustRightInd/>
              <w:snapToGrid/>
              <w:rPr>
                <w:rFonts w:hint="eastAsia" w:ascii="宋体" w:hAnsi="宋体" w:eastAsia="宋体" w:cs="宋体"/>
                <w:color w:val="auto"/>
                <w:szCs w:val="21"/>
                <w:highlight w:val="none"/>
              </w:rPr>
            </w:pPr>
          </w:p>
        </w:tc>
        <w:tc>
          <w:tcPr>
            <w:tcW w:w="1975" w:type="dxa"/>
          </w:tcPr>
          <w:p>
            <w:pPr>
              <w:adjustRightInd/>
              <w:snapToGrid/>
              <w:rPr>
                <w:rFonts w:hint="eastAsia" w:ascii="宋体" w:hAnsi="宋体" w:eastAsia="宋体" w:cs="宋体"/>
                <w:color w:val="auto"/>
                <w:szCs w:val="21"/>
                <w:highlight w:val="none"/>
              </w:rPr>
            </w:pPr>
          </w:p>
        </w:tc>
        <w:tc>
          <w:tcPr>
            <w:tcW w:w="1427" w:type="dxa"/>
          </w:tcPr>
          <w:p>
            <w:pPr>
              <w:adjustRightInd/>
              <w:snapToGrid/>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adjustRightInd/>
              <w:snapToGrid/>
              <w:rPr>
                <w:rFonts w:hint="eastAsia" w:ascii="宋体" w:hAnsi="宋体" w:eastAsia="宋体" w:cs="宋体"/>
                <w:color w:val="auto"/>
                <w:szCs w:val="21"/>
                <w:highlight w:val="none"/>
              </w:rPr>
            </w:pPr>
          </w:p>
        </w:tc>
        <w:tc>
          <w:tcPr>
            <w:tcW w:w="1705" w:type="dxa"/>
          </w:tcPr>
          <w:p>
            <w:pPr>
              <w:adjustRightInd/>
              <w:snapToGrid/>
              <w:rPr>
                <w:rFonts w:hint="eastAsia" w:ascii="宋体" w:hAnsi="宋体" w:eastAsia="宋体" w:cs="宋体"/>
                <w:color w:val="auto"/>
                <w:szCs w:val="21"/>
                <w:highlight w:val="none"/>
              </w:rPr>
            </w:pPr>
          </w:p>
        </w:tc>
        <w:tc>
          <w:tcPr>
            <w:tcW w:w="1706" w:type="dxa"/>
          </w:tcPr>
          <w:p>
            <w:pPr>
              <w:adjustRightInd/>
              <w:snapToGrid/>
              <w:rPr>
                <w:rFonts w:hint="eastAsia" w:ascii="宋体" w:hAnsi="宋体" w:eastAsia="宋体" w:cs="宋体"/>
                <w:color w:val="auto"/>
                <w:szCs w:val="21"/>
                <w:highlight w:val="none"/>
              </w:rPr>
            </w:pPr>
          </w:p>
        </w:tc>
        <w:tc>
          <w:tcPr>
            <w:tcW w:w="1975" w:type="dxa"/>
          </w:tcPr>
          <w:p>
            <w:pPr>
              <w:adjustRightInd/>
              <w:snapToGrid/>
              <w:rPr>
                <w:rFonts w:hint="eastAsia" w:ascii="宋体" w:hAnsi="宋体" w:eastAsia="宋体" w:cs="宋体"/>
                <w:color w:val="auto"/>
                <w:szCs w:val="21"/>
                <w:highlight w:val="none"/>
              </w:rPr>
            </w:pPr>
          </w:p>
        </w:tc>
        <w:tc>
          <w:tcPr>
            <w:tcW w:w="1427" w:type="dxa"/>
          </w:tcPr>
          <w:p>
            <w:pPr>
              <w:adjustRightInd/>
              <w:snapToGrid/>
              <w:rPr>
                <w:rFonts w:hint="eastAsia" w:ascii="宋体" w:hAnsi="宋体" w:eastAsia="宋体" w:cs="宋体"/>
                <w:color w:val="auto"/>
                <w:szCs w:val="21"/>
                <w:highlight w:val="none"/>
              </w:rPr>
            </w:pPr>
          </w:p>
        </w:tc>
      </w:tr>
    </w:tbl>
    <w:p>
      <w:pPr>
        <w:pStyle w:val="43"/>
        <w:rPr>
          <w:rFonts w:hint="eastAsia" w:ascii="宋体" w:hAnsi="宋体" w:eastAsia="宋体" w:cs="宋体"/>
          <w:color w:val="auto"/>
          <w:szCs w:val="21"/>
          <w:highlight w:val="none"/>
        </w:rPr>
      </w:pPr>
    </w:p>
    <w:p>
      <w:pPr>
        <w:pStyle w:val="43"/>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pStyle w:val="43"/>
        <w:numPr>
          <w:ilvl w:val="0"/>
          <w:numId w:val="11"/>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w:t>
      </w:r>
    </w:p>
    <w:p>
      <w:pPr>
        <w:pStyle w:val="43"/>
        <w:numPr>
          <w:ilvl w:val="0"/>
          <w:numId w:val="11"/>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业绩表所列出的材料应为真实准确的，并应提供相关证明材料复印件加盖公章。请勿提供虚假、过期材料，否则将依据相关规定严肃处理。</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widowControl w:val="0"/>
        <w:overflowPunct w:val="0"/>
        <w:spacing w:line="240" w:lineRule="auto"/>
        <w:rPr>
          <w:rFonts w:hint="eastAsia" w:ascii="宋体" w:hAnsi="宋体" w:eastAsia="宋体" w:cs="宋体"/>
          <w:color w:val="auto"/>
          <w:highlight w:val="none"/>
        </w:rPr>
      </w:pPr>
      <w:bookmarkStart w:id="168" w:name="_Toc31273"/>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.联合体协议书</w:t>
      </w:r>
      <w:r>
        <w:rPr>
          <w:rFonts w:hint="eastAsia" w:ascii="宋体" w:hAnsi="宋体" w:eastAsia="宋体" w:cs="宋体"/>
          <w:color w:val="auto"/>
          <w:highlight w:val="none"/>
        </w:rPr>
        <w:t>（如有）</w:t>
      </w:r>
      <w:bookmarkEnd w:id="168"/>
    </w:p>
    <w:p>
      <w:pPr>
        <w:rPr>
          <w:rFonts w:hint="eastAsia" w:ascii="宋体" w:hAnsi="宋体" w:eastAsia="宋体" w:cs="宋体"/>
          <w:color w:val="auto"/>
          <w:highlight w:val="none"/>
        </w:rPr>
      </w:pPr>
    </w:p>
    <w:p>
      <w:pPr>
        <w:jc w:val="center"/>
        <w:rPr>
          <w:rFonts w:hint="eastAsia" w:ascii="宋体" w:hAnsi="宋体" w:eastAsia="宋体" w:cs="宋体"/>
          <w:color w:val="auto"/>
          <w:highlight w:val="none"/>
        </w:rPr>
      </w:pPr>
      <w:r>
        <w:rPr>
          <w:rFonts w:hint="eastAsia" w:ascii="宋体" w:hAnsi="宋体" w:eastAsia="宋体" w:cs="宋体"/>
          <w:b/>
          <w:bCs/>
          <w:color w:val="auto"/>
          <w:highlight w:val="none"/>
        </w:rPr>
        <w:t>联合体共同投标协议书</w:t>
      </w:r>
    </w:p>
    <w:p>
      <w:pPr>
        <w:jc w:val="center"/>
        <w:rPr>
          <w:rFonts w:hint="eastAsia" w:ascii="宋体" w:hAnsi="宋体" w:eastAsia="宋体" w:cs="宋体"/>
          <w:color w:val="auto"/>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立约方：（甲公司全称）</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（乙公司全称）</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（……公司全称）</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（甲公司全称）、（乙公司全称）、（……公司全称）</w:t>
      </w:r>
      <w:r>
        <w:rPr>
          <w:rFonts w:hint="eastAsia" w:ascii="宋体" w:hAnsi="宋体" w:eastAsia="宋体" w:cs="宋体"/>
          <w:color w:val="auto"/>
          <w:szCs w:val="21"/>
          <w:highlight w:val="none"/>
        </w:rPr>
        <w:t>自愿组成联合体，以一个投标人的身份共同参加</w:t>
      </w:r>
      <w:r>
        <w:rPr>
          <w:rFonts w:hint="eastAsia" w:ascii="宋体" w:hAnsi="宋体" w:eastAsia="宋体" w:cs="宋体"/>
          <w:color w:val="auto"/>
          <w:szCs w:val="21"/>
          <w:highlight w:val="none"/>
          <w:u w:val="single"/>
        </w:rPr>
        <w:t>（xxxx项目） （项目编号：xxxx）</w:t>
      </w:r>
      <w:r>
        <w:rPr>
          <w:rFonts w:hint="eastAsia" w:ascii="宋体" w:hAnsi="宋体" w:eastAsia="宋体" w:cs="宋体"/>
          <w:color w:val="auto"/>
          <w:szCs w:val="21"/>
          <w:highlight w:val="none"/>
        </w:rPr>
        <w:t>的招标活动。经各方充分协商一致，就项目的投标和合同实施阶段的有关事务协商一致订立协议如下：</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一、联合体各方关系</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1.（甲公司全称）、（乙公司全称）、（……公司全称）</w:t>
      </w:r>
      <w:r>
        <w:rPr>
          <w:rFonts w:hint="eastAsia" w:ascii="宋体" w:hAnsi="宋体" w:eastAsia="宋体" w:cs="宋体"/>
          <w:color w:val="auto"/>
          <w:szCs w:val="21"/>
          <w:highlight w:val="none"/>
        </w:rPr>
        <w:t>共同组成一个联合体，以一个投标人的身份共同参加本项目的投标。</w:t>
      </w:r>
      <w:r>
        <w:rPr>
          <w:rFonts w:hint="eastAsia" w:ascii="宋体" w:hAnsi="宋体" w:eastAsia="宋体" w:cs="宋体"/>
          <w:color w:val="auto"/>
          <w:szCs w:val="21"/>
          <w:highlight w:val="none"/>
          <w:u w:val="single"/>
        </w:rPr>
        <w:t>（甲公司全称）、（乙公司全称）、（……公司全称）</w:t>
      </w:r>
      <w:r>
        <w:rPr>
          <w:rFonts w:hint="eastAsia" w:ascii="宋体" w:hAnsi="宋体" w:eastAsia="宋体" w:cs="宋体"/>
          <w:color w:val="auto"/>
          <w:szCs w:val="21"/>
          <w:highlight w:val="none"/>
        </w:rPr>
        <w:t>作为联合体成员，若中标，联合体各方共同与</w:t>
      </w:r>
      <w:r>
        <w:rPr>
          <w:rFonts w:hint="eastAsia" w:ascii="宋体" w:hAnsi="宋体" w:eastAsia="宋体" w:cs="宋体"/>
          <w:color w:val="auto"/>
          <w:szCs w:val="21"/>
          <w:highlight w:val="none"/>
          <w:u w:val="single"/>
        </w:rPr>
        <w:t>（采购人）</w:t>
      </w:r>
      <w:r>
        <w:rPr>
          <w:rFonts w:hint="eastAsia" w:ascii="宋体" w:hAnsi="宋体" w:eastAsia="宋体" w:cs="宋体"/>
          <w:color w:val="auto"/>
          <w:szCs w:val="21"/>
          <w:highlight w:val="none"/>
        </w:rPr>
        <w:t>签订合同。</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2.本次投标中，以</w:t>
      </w:r>
      <w:r>
        <w:rPr>
          <w:rFonts w:hint="eastAsia" w:ascii="宋体" w:hAnsi="宋体" w:eastAsia="宋体" w:cs="宋体"/>
          <w:color w:val="auto"/>
          <w:szCs w:val="21"/>
          <w:highlight w:val="none"/>
          <w:u w:val="single"/>
        </w:rPr>
        <w:t>（公司全称）</w:t>
      </w:r>
      <w:r>
        <w:rPr>
          <w:rFonts w:hint="eastAsia" w:ascii="宋体" w:hAnsi="宋体" w:eastAsia="宋体" w:cs="宋体"/>
          <w:color w:val="auto"/>
          <w:szCs w:val="21"/>
          <w:highlight w:val="none"/>
        </w:rPr>
        <w:t>为联合体牵头人。</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二、联合体内部有关事项约定如下：</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3.如中标，联合体各方共同与（采购人）签订合同书，并就中标项目向采购人负有连带的和各自的法律责任；</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pPr>
        <w:rPr>
          <w:rFonts w:hint="eastAsia" w:ascii="宋体" w:hAnsi="宋体" w:eastAsia="宋体" w:cs="宋体"/>
          <w:color w:val="auto"/>
          <w:highlight w:val="none"/>
        </w:rPr>
      </w:pPr>
      <w:r>
        <w:rPr>
          <w:rFonts w:hint="eastAsia" w:ascii="宋体" w:hAnsi="宋体" w:eastAsia="宋体" w:cs="宋体"/>
          <w:color w:val="auto"/>
          <w:szCs w:val="21"/>
          <w:highlight w:val="none"/>
        </w:rPr>
        <w:t>（2）</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四、联合体如因违约过失责任而导致采购人经济损失或被索赔时，本联合体任何一方均同意无条件优先清偿采购人的一切债务和经济赔偿。</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五、联合体中标后，本联合体协议是合同的附件，对联合体各成员单位有合同约束力。</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六、本协议在自签署之日起生效，投标有效期内有效，如获中标资格，本协议有效期延续至合同履行完毕之日。</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七、本协议书一式____份，联合体成员和采购人各执一份。 </w:t>
      </w:r>
    </w:p>
    <w:p>
      <w:pPr>
        <w:rPr>
          <w:rFonts w:hint="eastAsia" w:ascii="宋体" w:hAnsi="宋体" w:eastAsia="宋体" w:cs="宋体"/>
          <w:color w:val="auto"/>
          <w:szCs w:val="21"/>
          <w:highlight w:val="none"/>
        </w:rPr>
      </w:pPr>
    </w:p>
    <w:p>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注：本协议书由委托人签字的，应附法定代表人签字的授权委托书。</w:t>
      </w:r>
    </w:p>
    <w:p>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牵头人名称：_______________________（盖单位公章）</w:t>
      </w:r>
    </w:p>
    <w:p>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pPr>
        <w:pStyle w:val="11"/>
        <w:rPr>
          <w:rFonts w:hint="eastAsia" w:ascii="宋体" w:hAnsi="宋体" w:eastAsia="宋体" w:cs="宋体"/>
          <w:color w:val="auto"/>
          <w:sz w:val="21"/>
          <w:szCs w:val="21"/>
          <w:highlight w:val="none"/>
        </w:rPr>
      </w:pPr>
    </w:p>
    <w:p>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成员一名称：_______________________（盖单位公章）</w:t>
      </w:r>
    </w:p>
    <w:p>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pPr>
        <w:pStyle w:val="11"/>
        <w:rPr>
          <w:rFonts w:hint="eastAsia" w:ascii="宋体" w:hAnsi="宋体" w:eastAsia="宋体" w:cs="宋体"/>
          <w:color w:val="auto"/>
          <w:sz w:val="21"/>
          <w:szCs w:val="21"/>
          <w:highlight w:val="none"/>
        </w:rPr>
      </w:pPr>
    </w:p>
    <w:p>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成员二名称：_______________________（盖单位公章）</w:t>
      </w:r>
    </w:p>
    <w:p>
      <w:pPr>
        <w:pStyle w:val="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pPr>
        <w:pStyle w:val="11"/>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pStyle w:val="11"/>
        <w:rPr>
          <w:rFonts w:hint="eastAsia" w:ascii="宋体" w:hAnsi="宋体" w:eastAsia="宋体" w:cs="宋体"/>
          <w:color w:val="auto"/>
          <w:highlight w:val="none"/>
          <w:lang w:val="en-US"/>
        </w:rPr>
        <w:sectPr>
          <w:headerReference r:id="rId8" w:type="first"/>
          <w:footerReference r:id="rId10" w:type="first"/>
          <w:headerReference r:id="rId7" w:type="default"/>
          <w:footerReference r:id="rId9" w:type="default"/>
          <w:pgSz w:w="11906" w:h="16838"/>
          <w:pgMar w:top="1440" w:right="1800" w:bottom="1440" w:left="1800" w:header="708" w:footer="708" w:gutter="0"/>
          <w:pgNumType w:fmt="decimal"/>
          <w:cols w:space="708" w:num="1"/>
          <w:titlePg/>
          <w:docGrid w:type="lines" w:linePitch="360" w:charSpace="0"/>
        </w:sectPr>
      </w:pPr>
      <w:r>
        <w:rPr>
          <w:rFonts w:hint="eastAsia" w:ascii="宋体" w:hAnsi="宋体" w:eastAsia="宋体" w:cs="宋体"/>
          <w:color w:val="auto"/>
          <w:sz w:val="21"/>
          <w:szCs w:val="21"/>
          <w:highlight w:val="none"/>
        </w:rPr>
        <w:t xml:space="preserve">        年     月     日</w:t>
      </w:r>
    </w:p>
    <w:p>
      <w:pPr>
        <w:pStyle w:val="11"/>
        <w:rPr>
          <w:rFonts w:hint="eastAsia" w:ascii="宋体" w:hAnsi="宋体" w:eastAsia="宋体" w:cs="宋体"/>
          <w:color w:val="auto"/>
          <w:highlight w:val="none"/>
        </w:rPr>
      </w:pPr>
    </w:p>
    <w:p>
      <w:pPr>
        <w:pStyle w:val="2"/>
        <w:spacing w:before="0" w:after="0" w:line="360" w:lineRule="auto"/>
        <w:jc w:val="center"/>
        <w:rPr>
          <w:rFonts w:hint="eastAsia" w:ascii="宋体" w:hAnsi="宋体" w:eastAsia="宋体" w:cs="宋体"/>
          <w:color w:val="auto"/>
          <w:sz w:val="72"/>
          <w:szCs w:val="72"/>
          <w:highlight w:val="none"/>
        </w:rPr>
      </w:pPr>
      <w:bookmarkStart w:id="169" w:name="_Toc7056"/>
      <w:r>
        <w:rPr>
          <w:rFonts w:hint="eastAsia" w:ascii="宋体" w:hAnsi="宋体" w:eastAsia="宋体" w:cs="宋体"/>
          <w:color w:val="auto"/>
          <w:sz w:val="72"/>
          <w:szCs w:val="72"/>
          <w:highlight w:val="none"/>
        </w:rPr>
        <w:t>技术文件</w:t>
      </w:r>
      <w:bookmarkEnd w:id="169"/>
    </w:p>
    <w:p>
      <w:pP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10"/>
        <w:ind w:firstLine="240"/>
        <w:rPr>
          <w:rFonts w:hint="eastAsia" w:ascii="宋体" w:hAnsi="宋体" w:eastAsia="宋体" w:cs="宋体"/>
          <w:color w:val="auto"/>
          <w:highlight w:val="none"/>
        </w:rPr>
      </w:pPr>
    </w:p>
    <w:p>
      <w:pPr>
        <w:rPr>
          <w:rFonts w:hint="eastAsia" w:ascii="宋体" w:hAnsi="宋体" w:eastAsia="宋体" w:cs="宋体"/>
          <w:b/>
          <w:bCs/>
          <w:color w:val="auto"/>
          <w:spacing w:val="-6"/>
          <w:sz w:val="32"/>
          <w:szCs w:val="32"/>
          <w:highlight w:val="none"/>
        </w:rPr>
      </w:pPr>
      <w:r>
        <w:rPr>
          <w:rFonts w:hint="eastAsia" w:ascii="宋体" w:hAnsi="宋体" w:eastAsia="宋体" w:cs="宋体"/>
          <w:b/>
          <w:bCs/>
          <w:color w:val="auto"/>
          <w:spacing w:val="53"/>
          <w:kern w:val="0"/>
          <w:sz w:val="32"/>
          <w:szCs w:val="32"/>
          <w:highlight w:val="none"/>
          <w:fitText w:val="1600" w:id="8"/>
        </w:rPr>
        <w:t>项目名</w:t>
      </w:r>
      <w:r>
        <w:rPr>
          <w:rFonts w:hint="eastAsia" w:ascii="宋体" w:hAnsi="宋体" w:eastAsia="宋体" w:cs="宋体"/>
          <w:b/>
          <w:bCs/>
          <w:color w:val="auto"/>
          <w:spacing w:val="1"/>
          <w:kern w:val="0"/>
          <w:sz w:val="32"/>
          <w:szCs w:val="32"/>
          <w:highlight w:val="none"/>
          <w:fitText w:val="1600" w:id="8"/>
        </w:rPr>
        <w:t>称</w:t>
      </w:r>
      <w:r>
        <w:rPr>
          <w:rFonts w:hint="eastAsia" w:ascii="宋体" w:hAnsi="宋体" w:eastAsia="宋体" w:cs="宋体"/>
          <w:b/>
          <w:bCs/>
          <w:color w:val="auto"/>
          <w:spacing w:val="-6"/>
          <w:sz w:val="32"/>
          <w:szCs w:val="32"/>
          <w:highlight w:val="none"/>
        </w:rPr>
        <w:t>：</w:t>
      </w:r>
    </w:p>
    <w:p>
      <w:pPr>
        <w:rPr>
          <w:rFonts w:hint="eastAsia" w:ascii="宋体" w:hAnsi="宋体" w:eastAsia="宋体" w:cs="宋体"/>
          <w:b/>
          <w:bCs/>
          <w:color w:val="auto"/>
          <w:sz w:val="32"/>
          <w:szCs w:val="32"/>
          <w:highlight w:val="none"/>
        </w:rPr>
      </w:pPr>
      <w:r>
        <w:rPr>
          <w:rFonts w:hint="eastAsia" w:ascii="宋体" w:hAnsi="宋体" w:eastAsia="宋体" w:cs="宋体"/>
          <w:b/>
          <w:bCs/>
          <w:color w:val="auto"/>
          <w:spacing w:val="53"/>
          <w:kern w:val="0"/>
          <w:sz w:val="32"/>
          <w:szCs w:val="32"/>
          <w:highlight w:val="none"/>
          <w:fitText w:val="1600" w:id="9"/>
        </w:rPr>
        <w:t>项目编</w:t>
      </w:r>
      <w:r>
        <w:rPr>
          <w:rFonts w:hint="eastAsia" w:ascii="宋体" w:hAnsi="宋体" w:eastAsia="宋体" w:cs="宋体"/>
          <w:b/>
          <w:bCs/>
          <w:color w:val="auto"/>
          <w:spacing w:val="1"/>
          <w:kern w:val="0"/>
          <w:sz w:val="32"/>
          <w:szCs w:val="32"/>
          <w:highlight w:val="none"/>
          <w:fitText w:val="1600" w:id="9"/>
        </w:rPr>
        <w:t>号</w:t>
      </w:r>
      <w:r>
        <w:rPr>
          <w:rFonts w:hint="eastAsia" w:ascii="宋体" w:hAnsi="宋体" w:eastAsia="宋体" w:cs="宋体"/>
          <w:b/>
          <w:bCs/>
          <w:color w:val="auto"/>
          <w:sz w:val="32"/>
          <w:szCs w:val="32"/>
          <w:highlight w:val="none"/>
        </w:rPr>
        <w:t>：</w:t>
      </w:r>
    </w:p>
    <w:p>
      <w:pPr>
        <w:pStyle w:val="11"/>
        <w:ind w:left="0"/>
        <w:rPr>
          <w:rFonts w:hint="eastAsia" w:ascii="宋体" w:hAnsi="宋体" w:eastAsia="宋体" w:cs="宋体"/>
          <w:b/>
          <w:color w:val="auto"/>
          <w:spacing w:val="1280"/>
          <w:sz w:val="32"/>
          <w:szCs w:val="32"/>
          <w:highlight w:val="none"/>
        </w:rPr>
      </w:pPr>
      <w:r>
        <w:rPr>
          <w:rFonts w:hint="eastAsia" w:ascii="宋体" w:hAnsi="宋体" w:eastAsia="宋体" w:cs="宋体"/>
          <w:b/>
          <w:color w:val="auto"/>
          <w:spacing w:val="106"/>
          <w:sz w:val="32"/>
          <w:szCs w:val="32"/>
          <w:highlight w:val="none"/>
          <w:lang w:val="en-US" w:bidi="ar-SA"/>
        </w:rPr>
        <w:t>包组号（如有）：</w:t>
      </w:r>
    </w:p>
    <w:p>
      <w:pPr>
        <w:rPr>
          <w:rFonts w:hint="eastAsia" w:ascii="宋体" w:hAnsi="宋体" w:eastAsia="宋体" w:cs="宋体"/>
          <w:b/>
          <w:color w:val="auto"/>
          <w:sz w:val="32"/>
          <w:szCs w:val="32"/>
          <w:highlight w:val="none"/>
        </w:rPr>
      </w:pPr>
      <w:r>
        <w:rPr>
          <w:rFonts w:hint="eastAsia" w:ascii="宋体" w:hAnsi="宋体" w:eastAsia="宋体" w:cs="宋体"/>
          <w:b/>
          <w:color w:val="auto"/>
          <w:spacing w:val="0"/>
          <w:kern w:val="0"/>
          <w:sz w:val="32"/>
          <w:szCs w:val="32"/>
          <w:highlight w:val="none"/>
          <w:fitText w:val="1600" w:id="10"/>
        </w:rPr>
        <w:t>投标人名称</w:t>
      </w:r>
      <w:r>
        <w:rPr>
          <w:rFonts w:hint="eastAsia" w:ascii="宋体" w:hAnsi="宋体" w:eastAsia="宋体" w:cs="宋体"/>
          <w:b/>
          <w:color w:val="auto"/>
          <w:sz w:val="32"/>
          <w:szCs w:val="32"/>
          <w:highlight w:val="none"/>
        </w:rPr>
        <w:t>：</w:t>
      </w:r>
    </w:p>
    <w:p>
      <w:pPr>
        <w:rPr>
          <w:rFonts w:hint="eastAsia" w:ascii="宋体" w:hAnsi="宋体" w:eastAsia="宋体" w:cs="宋体"/>
          <w:b/>
          <w:color w:val="auto"/>
          <w:sz w:val="32"/>
          <w:szCs w:val="32"/>
          <w:highlight w:val="none"/>
        </w:rPr>
      </w:pPr>
      <w:r>
        <w:rPr>
          <w:rFonts w:hint="eastAsia" w:ascii="宋体" w:hAnsi="宋体" w:eastAsia="宋体" w:cs="宋体"/>
          <w:b/>
          <w:color w:val="auto"/>
          <w:spacing w:val="32"/>
          <w:kern w:val="0"/>
          <w:sz w:val="32"/>
          <w:szCs w:val="32"/>
          <w:highlight w:val="none"/>
          <w:fitText w:val="1600" w:id="11"/>
        </w:rPr>
        <w:t xml:space="preserve">日    </w:t>
      </w:r>
      <w:r>
        <w:rPr>
          <w:rFonts w:hint="eastAsia" w:ascii="宋体" w:hAnsi="宋体" w:eastAsia="宋体" w:cs="宋体"/>
          <w:b/>
          <w:color w:val="auto"/>
          <w:spacing w:val="0"/>
          <w:kern w:val="0"/>
          <w:sz w:val="32"/>
          <w:szCs w:val="32"/>
          <w:highlight w:val="none"/>
          <w:fitText w:val="1600" w:id="11"/>
        </w:rPr>
        <w:t>期</w:t>
      </w:r>
      <w:r>
        <w:rPr>
          <w:rFonts w:hint="eastAsia" w:ascii="宋体" w:hAnsi="宋体" w:eastAsia="宋体" w:cs="宋体"/>
          <w:b/>
          <w:color w:val="auto"/>
          <w:sz w:val="32"/>
          <w:szCs w:val="32"/>
          <w:highlight w:val="none"/>
        </w:rPr>
        <w:t>：</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widowControl w:val="0"/>
        <w:overflowPunct w:val="0"/>
        <w:spacing w:line="240" w:lineRule="auto"/>
        <w:rPr>
          <w:rFonts w:hint="eastAsia" w:ascii="宋体" w:hAnsi="宋体" w:eastAsia="宋体" w:cs="宋体"/>
          <w:color w:val="auto"/>
          <w:sz w:val="21"/>
          <w:szCs w:val="21"/>
          <w:highlight w:val="none"/>
        </w:rPr>
      </w:pPr>
      <w:bookmarkStart w:id="170" w:name="_Toc7287"/>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.技术规格偏离表格式</w:t>
      </w:r>
      <w:bookmarkEnd w:id="170"/>
    </w:p>
    <w:p>
      <w:pPr>
        <w:jc w:val="center"/>
        <w:rPr>
          <w:rFonts w:hint="eastAsia" w:ascii="宋体" w:hAnsi="宋体" w:eastAsia="宋体" w:cs="宋体"/>
          <w:color w:val="auto"/>
          <w:sz w:val="28"/>
          <w:szCs w:val="28"/>
          <w:highlight w:val="none"/>
        </w:rPr>
      </w:pP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技术规格偏离表</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83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02"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服务项目名称</w:t>
            </w:r>
          </w:p>
        </w:tc>
        <w:tc>
          <w:tcPr>
            <w:tcW w:w="137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采购要求</w:t>
            </w:r>
          </w:p>
        </w:tc>
        <w:tc>
          <w:tcPr>
            <w:tcW w:w="162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投标实际响应</w:t>
            </w:r>
          </w:p>
        </w:tc>
        <w:tc>
          <w:tcPr>
            <w:tcW w:w="123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是否偏离</w:t>
            </w:r>
          </w:p>
        </w:tc>
        <w:tc>
          <w:tcPr>
            <w:tcW w:w="1544"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jc w:val="center"/>
              <w:rPr>
                <w:rFonts w:hint="eastAsia" w:ascii="宋体" w:hAnsi="宋体" w:eastAsia="宋体" w:cs="宋体"/>
                <w:color w:val="auto"/>
                <w:szCs w:val="21"/>
                <w:highlight w:val="none"/>
              </w:rPr>
            </w:pPr>
          </w:p>
        </w:tc>
        <w:tc>
          <w:tcPr>
            <w:tcW w:w="1902" w:type="dxa"/>
            <w:vAlign w:val="center"/>
          </w:tcPr>
          <w:p>
            <w:pPr>
              <w:jc w:val="center"/>
              <w:rPr>
                <w:rFonts w:hint="eastAsia" w:ascii="宋体" w:hAnsi="宋体" w:eastAsia="宋体" w:cs="宋体"/>
                <w:color w:val="auto"/>
                <w:szCs w:val="21"/>
                <w:highlight w:val="none"/>
              </w:rPr>
            </w:pPr>
          </w:p>
        </w:tc>
        <w:tc>
          <w:tcPr>
            <w:tcW w:w="1370" w:type="dxa"/>
            <w:vAlign w:val="center"/>
          </w:tcPr>
          <w:p>
            <w:pPr>
              <w:jc w:val="center"/>
              <w:rPr>
                <w:rFonts w:hint="eastAsia" w:ascii="宋体" w:hAnsi="宋体" w:eastAsia="宋体" w:cs="宋体"/>
                <w:color w:val="auto"/>
                <w:szCs w:val="21"/>
                <w:highlight w:val="none"/>
              </w:rPr>
            </w:pPr>
          </w:p>
        </w:tc>
        <w:tc>
          <w:tcPr>
            <w:tcW w:w="1629" w:type="dxa"/>
            <w:vAlign w:val="center"/>
          </w:tcPr>
          <w:p>
            <w:pPr>
              <w:jc w:val="center"/>
              <w:rPr>
                <w:rFonts w:hint="eastAsia" w:ascii="宋体" w:hAnsi="宋体" w:eastAsia="宋体" w:cs="宋体"/>
                <w:color w:val="auto"/>
                <w:szCs w:val="21"/>
                <w:highlight w:val="none"/>
              </w:rPr>
            </w:pPr>
          </w:p>
        </w:tc>
        <w:tc>
          <w:tcPr>
            <w:tcW w:w="1239" w:type="dxa"/>
            <w:vAlign w:val="center"/>
          </w:tcPr>
          <w:p>
            <w:pPr>
              <w:jc w:val="center"/>
              <w:rPr>
                <w:rFonts w:hint="eastAsia" w:ascii="宋体" w:hAnsi="宋体" w:eastAsia="宋体" w:cs="宋体"/>
                <w:color w:val="auto"/>
                <w:szCs w:val="21"/>
                <w:highlight w:val="none"/>
              </w:rPr>
            </w:pPr>
          </w:p>
        </w:tc>
        <w:tc>
          <w:tcPr>
            <w:tcW w:w="1544" w:type="dxa"/>
            <w:vAlign w:val="center"/>
          </w:tcPr>
          <w:p>
            <w:pPr>
              <w:jc w:val="center"/>
              <w:rPr>
                <w:rFonts w:hint="eastAsia" w:ascii="宋体" w:hAnsi="宋体" w:eastAsia="宋体" w:cs="宋体"/>
                <w:color w:val="auto"/>
                <w:szCs w:val="21"/>
                <w:highlight w:val="none"/>
              </w:rPr>
            </w:pPr>
          </w:p>
        </w:tc>
      </w:tr>
    </w:tbl>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pPr>
        <w:ind w:firstLine="178" w:firstLineChars="85"/>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论出于何种原因此表未填写完整，投标人都被认为已清楚了解采购文件“技术需求书”的内容并对采购人所需的服务要求作全面响应，投标人必须承担完成“技术需求书”所描述内容的义务，因此对投标人投标产生负面影响的，投标人自行承担后果。</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3、如有偏离，应在“偏离情况”栏内注明“正”、“负”或“无”，并在“说明”栏内予以说明。</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5、如投标人对用户需求书商务要求的条款全部响应的，也可以在表格下面用文字总括性的说明。</w:t>
      </w:r>
    </w:p>
    <w:p>
      <w:pPr>
        <w:adjustRightInd/>
        <w:snapToGrid/>
        <w:spacing w:line="276" w:lineRule="auto"/>
        <w:rPr>
          <w:rFonts w:hint="eastAsia" w:ascii="宋体" w:hAnsi="宋体" w:eastAsia="宋体" w:cs="宋体"/>
          <w:color w:val="auto"/>
          <w:highlight w:val="none"/>
        </w:rPr>
      </w:pPr>
    </w:p>
    <w:p>
      <w:pPr>
        <w:adjustRightInd/>
        <w:snapToGrid/>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widowControl w:val="0"/>
        <w:overflowPunct w:val="0"/>
        <w:spacing w:line="240" w:lineRule="auto"/>
        <w:rPr>
          <w:rFonts w:hint="eastAsia" w:ascii="宋体" w:hAnsi="宋体" w:eastAsia="宋体" w:cs="宋体"/>
          <w:color w:val="auto"/>
          <w:sz w:val="21"/>
          <w:szCs w:val="21"/>
          <w:highlight w:val="none"/>
        </w:rPr>
      </w:pPr>
      <w:bookmarkStart w:id="171" w:name="_Toc7074"/>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.项目实施方案格式</w:t>
      </w:r>
      <w:bookmarkEnd w:id="171"/>
    </w:p>
    <w:p>
      <w:pPr>
        <w:jc w:val="cente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项目实施方案</w:t>
      </w:r>
    </w:p>
    <w:p>
      <w:pPr>
        <w:jc w:val="center"/>
        <w:rPr>
          <w:rFonts w:hint="eastAsia" w:ascii="宋体" w:hAnsi="宋体" w:eastAsia="宋体" w:cs="宋体"/>
          <w:color w:val="auto"/>
          <w:sz w:val="32"/>
          <w:szCs w:val="32"/>
          <w:highlight w:val="none"/>
        </w:rPr>
      </w:pPr>
    </w:p>
    <w:p>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1、为完成本项目投标人临时投入的设备</w:t>
      </w:r>
    </w:p>
    <w:p>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2、为完成本项目投标人投入的人员以及具体工作安排</w:t>
      </w:r>
    </w:p>
    <w:p>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3、投标人为本项目制定的具体项目实施方案与项目实施流程</w:t>
      </w:r>
    </w:p>
    <w:p>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4、服务方案</w:t>
      </w:r>
    </w:p>
    <w:p>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p>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自行编写。</w:t>
      </w:r>
    </w:p>
    <w:p>
      <w:pPr>
        <w:ind w:left="718" w:leftChars="200" w:hanging="298" w:hangingChars="142"/>
        <w:rPr>
          <w:rFonts w:hint="eastAsia" w:ascii="宋体" w:hAnsi="宋体" w:eastAsia="宋体" w:cs="宋体"/>
          <w:color w:val="auto"/>
          <w:szCs w:val="21"/>
          <w:highlight w:val="none"/>
        </w:rPr>
      </w:pPr>
    </w:p>
    <w:p>
      <w:pPr>
        <w:ind w:left="718" w:leftChars="200" w:hanging="298" w:hangingChars="142"/>
        <w:rPr>
          <w:rFonts w:hint="eastAsia" w:ascii="宋体" w:hAnsi="宋体" w:eastAsia="宋体" w:cs="宋体"/>
          <w:color w:val="auto"/>
          <w:szCs w:val="21"/>
          <w:highlight w:val="none"/>
        </w:rPr>
      </w:pPr>
    </w:p>
    <w:p>
      <w:pP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widowControl w:val="0"/>
        <w:overflowPunct w:val="0"/>
        <w:spacing w:line="240" w:lineRule="auto"/>
        <w:rPr>
          <w:rFonts w:hint="eastAsia" w:ascii="宋体" w:hAnsi="宋体" w:eastAsia="宋体" w:cs="宋体"/>
          <w:color w:val="auto"/>
          <w:sz w:val="21"/>
          <w:szCs w:val="21"/>
          <w:highlight w:val="none"/>
        </w:rPr>
      </w:pPr>
      <w:bookmarkStart w:id="172" w:name="_Toc17646"/>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.实施本项目的有关人员资料表格式</w:t>
      </w:r>
      <w:bookmarkEnd w:id="172"/>
    </w:p>
    <w:p>
      <w:pPr>
        <w:jc w:val="center"/>
        <w:rPr>
          <w:rFonts w:hint="eastAsia" w:ascii="宋体" w:hAnsi="宋体" w:eastAsia="宋体" w:cs="宋体"/>
          <w:color w:val="auto"/>
          <w:szCs w:val="21"/>
          <w:highlight w:val="none"/>
        </w:rPr>
      </w:pPr>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实施本项目的有关人员资料表</w:t>
      </w:r>
    </w:p>
    <w:tbl>
      <w:tblPr>
        <w:tblStyle w:val="38"/>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02"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86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本项目拟任岗位</w:t>
            </w:r>
          </w:p>
        </w:tc>
        <w:tc>
          <w:tcPr>
            <w:tcW w:w="702"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02"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164"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81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 业</w:t>
            </w:r>
          </w:p>
        </w:tc>
        <w:tc>
          <w:tcPr>
            <w:tcW w:w="1165"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资质证书</w:t>
            </w:r>
          </w:p>
        </w:tc>
        <w:tc>
          <w:tcPr>
            <w:tcW w:w="703" w:type="dxa"/>
            <w:tcBorders>
              <w:right w:val="single" w:color="auto" w:sz="6"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861"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702" w:type="dxa"/>
            <w:vAlign w:val="center"/>
          </w:tcPr>
          <w:p>
            <w:pPr>
              <w:spacing w:line="288" w:lineRule="auto"/>
              <w:jc w:val="center"/>
              <w:rPr>
                <w:rFonts w:hint="eastAsia" w:ascii="宋体" w:hAnsi="宋体" w:eastAsia="宋体" w:cs="宋体"/>
                <w:color w:val="auto"/>
                <w:szCs w:val="21"/>
                <w:highlight w:val="none"/>
              </w:rPr>
            </w:pPr>
          </w:p>
        </w:tc>
        <w:tc>
          <w:tcPr>
            <w:tcW w:w="1164" w:type="dxa"/>
            <w:vAlign w:val="center"/>
          </w:tcPr>
          <w:p>
            <w:pPr>
              <w:spacing w:line="288" w:lineRule="auto"/>
              <w:jc w:val="center"/>
              <w:rPr>
                <w:rFonts w:hint="eastAsia" w:ascii="宋体" w:hAnsi="宋体" w:eastAsia="宋体" w:cs="宋体"/>
                <w:color w:val="auto"/>
                <w:szCs w:val="21"/>
                <w:highlight w:val="none"/>
              </w:rPr>
            </w:pPr>
          </w:p>
        </w:tc>
        <w:tc>
          <w:tcPr>
            <w:tcW w:w="818" w:type="dxa"/>
            <w:vAlign w:val="center"/>
          </w:tcPr>
          <w:p>
            <w:pPr>
              <w:spacing w:line="288" w:lineRule="auto"/>
              <w:jc w:val="center"/>
              <w:rPr>
                <w:rFonts w:hint="eastAsia" w:ascii="宋体" w:hAnsi="宋体" w:eastAsia="宋体" w:cs="宋体"/>
                <w:color w:val="auto"/>
                <w:szCs w:val="21"/>
                <w:highlight w:val="none"/>
              </w:rPr>
            </w:pPr>
          </w:p>
        </w:tc>
        <w:tc>
          <w:tcPr>
            <w:tcW w:w="1165" w:type="dxa"/>
            <w:vAlign w:val="center"/>
          </w:tcPr>
          <w:p>
            <w:pP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pacing w:line="288" w:lineRule="auto"/>
              <w:jc w:val="center"/>
              <w:rPr>
                <w:rFonts w:hint="eastAsia" w:ascii="宋体" w:hAnsi="宋体" w:eastAsia="宋体" w:cs="宋体"/>
                <w:color w:val="auto"/>
                <w:szCs w:val="21"/>
                <w:highlight w:val="none"/>
              </w:rPr>
            </w:pPr>
          </w:p>
        </w:tc>
      </w:tr>
    </w:tbl>
    <w:p>
      <w:pPr>
        <w:ind w:firstLine="178" w:firstLineChars="85"/>
        <w:rPr>
          <w:rFonts w:hint="eastAsia" w:ascii="宋体" w:hAnsi="宋体" w:eastAsia="宋体" w:cs="宋体"/>
          <w:color w:val="auto"/>
          <w:szCs w:val="21"/>
          <w:highlight w:val="none"/>
        </w:rPr>
      </w:pPr>
    </w:p>
    <w:p>
      <w:pP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附有关证明文件（复印件加盖公章）</w:t>
      </w:r>
    </w:p>
    <w:p>
      <w:pP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pP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pStyle w:val="43"/>
        <w:numPr>
          <w:ilvl w:val="0"/>
          <w:numId w:val="12"/>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投标人可按项目的实际需要提供本表格。</w:t>
      </w:r>
    </w:p>
    <w:p>
      <w:pPr>
        <w:pStyle w:val="43"/>
        <w:numPr>
          <w:ilvl w:val="0"/>
          <w:numId w:val="12"/>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3、投标人若未提供或未填写完整则视为完全响应采购文件的人员要求，因此对投标人投标产生负面影响的，投标人自行承担后果。</w:t>
      </w:r>
    </w:p>
    <w:p>
      <w:pPr>
        <w:pStyle w:val="43"/>
        <w:numPr>
          <w:ilvl w:val="0"/>
          <w:numId w:val="12"/>
        </w:numP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widowControl w:val="0"/>
        <w:overflowPunct w:val="0"/>
        <w:spacing w:line="240" w:lineRule="auto"/>
        <w:rPr>
          <w:rFonts w:hint="eastAsia" w:ascii="宋体" w:hAnsi="宋体" w:eastAsia="宋体" w:cs="宋体"/>
          <w:color w:val="auto"/>
          <w:highlight w:val="none"/>
        </w:rPr>
      </w:pPr>
      <w:bookmarkStart w:id="173" w:name="_Toc3918"/>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.投标保证金汇入情况说明格式</w:t>
      </w:r>
      <w:bookmarkEnd w:id="173"/>
    </w:p>
    <w:p>
      <w:pPr>
        <w:rPr>
          <w:rFonts w:hint="eastAsia" w:ascii="宋体" w:hAnsi="宋体" w:eastAsia="宋体" w:cs="宋体"/>
          <w:color w:val="auto"/>
          <w:highlight w:val="none"/>
        </w:rPr>
      </w:pP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投标保证金汇入情况说明</w:t>
      </w:r>
    </w:p>
    <w:p>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lang w:val="en-US" w:eastAsia="zh-CN"/>
        </w:rPr>
        <w:t>广西同泽工程项目管理股份有限公司</w:t>
      </w:r>
      <w:r>
        <w:rPr>
          <w:rFonts w:hint="eastAsia" w:ascii="宋体" w:hAnsi="宋体" w:eastAsia="宋体" w:cs="宋体"/>
          <w:color w:val="auto"/>
          <w:szCs w:val="21"/>
          <w:highlight w:val="none"/>
        </w:rPr>
        <w:t>：</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项目（采购项目编号：）的采购文件要求，于年月日前以</w:t>
      </w:r>
      <w:r>
        <w:rPr>
          <w:rFonts w:hint="eastAsia" w:ascii="宋体" w:hAnsi="宋体" w:eastAsia="宋体" w:cs="宋体"/>
          <w:color w:val="auto"/>
          <w:szCs w:val="21"/>
          <w:highlight w:val="none"/>
          <w:u w:val="single"/>
        </w:rPr>
        <w:t xml:space="preserve">           （付款形式）</w:t>
      </w:r>
      <w:r>
        <w:rPr>
          <w:rFonts w:hint="eastAsia" w:ascii="宋体" w:hAnsi="宋体" w:eastAsia="宋体" w:cs="宋体"/>
          <w:color w:val="auto"/>
          <w:szCs w:val="21"/>
          <w:highlight w:val="none"/>
        </w:rPr>
        <w:t>方式汇入指定</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户（</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汇款金额：（大写）人民币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户名称：</w:t>
      </w:r>
      <w:r>
        <w:rPr>
          <w:rFonts w:hint="eastAsia" w:ascii="宋体" w:hAnsi="宋体" w:eastAsia="宋体" w:cs="宋体"/>
          <w:color w:val="auto"/>
          <w:szCs w:val="21"/>
          <w:highlight w:val="none"/>
          <w:u w:val="single"/>
        </w:rPr>
        <w:t xml:space="preserve">  （必须是投标时使用的</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u w:val="single"/>
        </w:rPr>
        <w:t xml:space="preserve">户名）   </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 xml:space="preserve">        号：</w:t>
      </w:r>
      <w:r>
        <w:rPr>
          <w:rFonts w:hint="eastAsia" w:ascii="宋体" w:hAnsi="宋体" w:eastAsia="宋体" w:cs="宋体"/>
          <w:color w:val="auto"/>
          <w:szCs w:val="21"/>
          <w:highlight w:val="none"/>
          <w:u w:val="single"/>
        </w:rPr>
        <w:t xml:space="preserve">  （必须是投标时使用的</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u w:val="single"/>
        </w:rPr>
        <w:t xml:space="preserve">号）        </w:t>
      </w:r>
    </w:p>
    <w:p>
      <w:pPr>
        <w:spacing w:line="48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 户  银 行：</w:t>
      </w:r>
      <w:r>
        <w:rPr>
          <w:rFonts w:hint="eastAsia" w:ascii="宋体" w:hAnsi="宋体" w:eastAsia="宋体" w:cs="宋体"/>
          <w:color w:val="auto"/>
          <w:szCs w:val="21"/>
          <w:highlight w:val="none"/>
          <w:u w:val="single"/>
        </w:rPr>
        <w:t xml:space="preserve">  （  XX 银行 XX 分行 XX 支行   ）</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pPr>
        <w:spacing w:line="480" w:lineRule="auto"/>
        <w:ind w:right="844" w:rightChars="402"/>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（单位公章）</w:t>
      </w:r>
    </w:p>
    <w:p>
      <w:pPr>
        <w:spacing w:line="480" w:lineRule="auto"/>
        <w:ind w:right="628" w:rightChars="299"/>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p>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p>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p>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单位电话： 联系人手机：</w:t>
      </w:r>
    </w:p>
    <w:p>
      <w:pPr>
        <w:rPr>
          <w:rFonts w:hint="eastAsia" w:ascii="宋体" w:hAnsi="宋体" w:eastAsia="宋体" w:cs="宋体"/>
          <w:color w:val="auto"/>
          <w:szCs w:val="21"/>
          <w:highlight w:val="none"/>
        </w:rPr>
      </w:pPr>
    </w:p>
    <w:p>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附：我方投标保证金汇款凭证</w:t>
      </w:r>
    </w:p>
    <w:tbl>
      <w:tblPr>
        <w:tblStyle w:val="3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9" w:hRule="atLeast"/>
        </w:trPr>
        <w:tc>
          <w:tcPr>
            <w:tcW w:w="8522" w:type="dxa"/>
            <w:vAlign w:val="center"/>
          </w:tcPr>
          <w:p>
            <w:pPr>
              <w:tabs>
                <w:tab w:val="left" w:pos="3885"/>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（粘贴汇款单或转账凭证复印件，并在骑缝上加盖投标人公章，或是直接把转账凭证复印到此张纸上）</w:t>
            </w:r>
          </w:p>
        </w:tc>
      </w:tr>
    </w:tbl>
    <w:p>
      <w:pP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注：此表既要装订在投标文件中，又要按投标人须知的规定与开标一览表、投标保证金汇款底单复印件及授权委托书一同密封装入唱标信封，唱标信封单独提交。</w:t>
      </w: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pStyle w:val="5"/>
        <w:numPr>
          <w:ilvl w:val="255"/>
          <w:numId w:val="0"/>
        </w:numPr>
        <w:tabs>
          <w:tab w:val="left" w:pos="720"/>
          <w:tab w:val="left" w:pos="3840"/>
        </w:tabs>
        <w:ind w:left="283"/>
        <w:jc w:val="both"/>
        <w:rPr>
          <w:rFonts w:hint="eastAsia" w:ascii="宋体" w:hAnsi="宋体" w:eastAsia="宋体" w:cs="宋体"/>
          <w:color w:val="auto"/>
          <w:sz w:val="21"/>
          <w:szCs w:val="21"/>
          <w:highlight w:val="none"/>
        </w:rPr>
      </w:pPr>
      <w:bookmarkStart w:id="174" w:name="_Toc17028"/>
      <w:bookmarkStart w:id="175" w:name="_Toc29855"/>
      <w:bookmarkStart w:id="176" w:name="_Toc27989"/>
      <w:bookmarkStart w:id="177" w:name="_Toc4866"/>
      <w:bookmarkStart w:id="178" w:name="_Toc19947"/>
      <w:bookmarkStart w:id="179" w:name="_Toc28623"/>
      <w:bookmarkStart w:id="180" w:name="_Toc14605"/>
      <w:bookmarkStart w:id="181" w:name="_Toc2144"/>
      <w:bookmarkStart w:id="182" w:name="_Toc18296"/>
      <w:bookmarkStart w:id="183" w:name="_Toc1562"/>
      <w:bookmarkStart w:id="184" w:name="_Toc25861"/>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.不可撤销履约保函</w:t>
      </w:r>
      <w:bookmarkEnd w:id="174"/>
      <w:bookmarkEnd w:id="175"/>
      <w:bookmarkEnd w:id="176"/>
      <w:bookmarkEnd w:id="177"/>
      <w:bookmarkEnd w:id="178"/>
      <w:bookmarkEnd w:id="179"/>
      <w:bookmarkEnd w:id="180"/>
      <w:bookmarkEnd w:id="181"/>
      <w:bookmarkEnd w:id="182"/>
      <w:bookmarkEnd w:id="183"/>
      <w:bookmarkEnd w:id="184"/>
    </w:p>
    <w:p>
      <w:pPr>
        <w:jc w:val="center"/>
        <w:rPr>
          <w:rFonts w:hint="eastAsia" w:ascii="宋体" w:hAnsi="宋体" w:eastAsia="宋体" w:cs="宋体"/>
          <w:color w:val="auto"/>
          <w:highlight w:val="none"/>
        </w:rPr>
      </w:pPr>
      <w:r>
        <w:rPr>
          <w:rFonts w:hint="eastAsia" w:ascii="宋体" w:hAnsi="宋体" w:eastAsia="宋体" w:cs="宋体"/>
          <w:color w:val="auto"/>
          <w:highlight w:val="none"/>
        </w:rPr>
        <w:t>银行编号：</w:t>
      </w:r>
    </w:p>
    <w:p>
      <w:pPr>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（甲方）</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（地址：          ，下称 “乙方” ）</w:t>
      </w:r>
      <w:r>
        <w:rPr>
          <w:rFonts w:hint="eastAsia" w:ascii="宋体" w:hAnsi="宋体" w:eastAsia="宋体" w:cs="宋体"/>
          <w:color w:val="auto"/>
          <w:highlight w:val="none"/>
        </w:rPr>
        <w:t>已保证按</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合同（合同编号：    ）</w:t>
      </w:r>
      <w:r>
        <w:rPr>
          <w:rFonts w:hint="eastAsia" w:ascii="宋体" w:hAnsi="宋体" w:eastAsia="宋体" w:cs="宋体"/>
          <w:color w:val="auto"/>
          <w:highlight w:val="none"/>
        </w:rPr>
        <w:t>中规定的义务履行合同。</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根据上述合同约定，乙方应向甲方提供一份金额为合同总价的10%即</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w:t>
      </w:r>
      <w:r>
        <w:rPr>
          <w:rFonts w:hint="eastAsia" w:ascii="宋体" w:hAnsi="宋体" w:eastAsia="宋体" w:cs="宋体"/>
          <w:bCs/>
          <w:color w:val="auto"/>
          <w:highlight w:val="none"/>
        </w:rPr>
        <w:t>不可撤销</w:t>
      </w:r>
      <w:r>
        <w:rPr>
          <w:rFonts w:hint="eastAsia" w:ascii="宋体" w:hAnsi="宋体" w:eastAsia="宋体" w:cs="宋体"/>
          <w:color w:val="auto"/>
          <w:highlight w:val="none"/>
        </w:rPr>
        <w:t>银行履约保函，作为乙方履行上述合同的担保。</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w:t>
      </w:r>
      <w:r>
        <w:rPr>
          <w:rFonts w:hint="eastAsia" w:ascii="宋体" w:hAnsi="宋体" w:eastAsia="宋体" w:cs="宋体"/>
          <w:color w:val="auto"/>
          <w:highlight w:val="none"/>
          <w:u w:val="single"/>
        </w:rPr>
        <w:t xml:space="preserve">            （银行名称）</w:t>
      </w:r>
      <w:r>
        <w:rPr>
          <w:rFonts w:hint="eastAsia" w:ascii="宋体" w:hAnsi="宋体" w:eastAsia="宋体" w:cs="宋体"/>
          <w:color w:val="auto"/>
          <w:highlight w:val="none"/>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的保证金。</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我方还同意，任何甲方与乙方之间可能对合同条款的修改、规范或其他合同文件的变动补充，都不能免除我方按本保函所承担的责任。因此，有关上述变动、补充和修改无须通知我方。</w:t>
      </w:r>
    </w:p>
    <w:p>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本保函从上述</w:t>
      </w:r>
      <w:r>
        <w:rPr>
          <w:rFonts w:hint="eastAsia" w:ascii="宋体" w:hAnsi="宋体" w:eastAsia="宋体" w:cs="宋体"/>
          <w:color w:val="auto"/>
          <w:szCs w:val="21"/>
          <w:highlight w:val="none"/>
        </w:rPr>
        <w:t>合同签订之日起至项目完工验收合格并结算完毕后，经双方签字</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天内保持有效</w:t>
      </w:r>
      <w:r>
        <w:rPr>
          <w:rFonts w:hint="eastAsia" w:ascii="宋体" w:hAnsi="宋体" w:eastAsia="宋体" w:cs="宋体"/>
          <w:color w:val="auto"/>
          <w:highlight w:val="none"/>
        </w:rPr>
        <w:t>。</w:t>
      </w:r>
    </w:p>
    <w:p>
      <w:pPr>
        <w:ind w:firstLine="2824" w:firstLineChars="1345"/>
        <w:rPr>
          <w:rFonts w:hint="eastAsia" w:ascii="宋体" w:hAnsi="宋体" w:eastAsia="宋体" w:cs="宋体"/>
          <w:color w:val="auto"/>
          <w:highlight w:val="none"/>
        </w:rPr>
      </w:pPr>
    </w:p>
    <w:p>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保证人：（盖章）</w:t>
      </w:r>
      <w:r>
        <w:rPr>
          <w:rFonts w:hint="eastAsia" w:ascii="宋体" w:hAnsi="宋体" w:eastAsia="宋体" w:cs="宋体"/>
          <w:color w:val="auto"/>
          <w:highlight w:val="none"/>
          <w:u w:val="single"/>
        </w:rPr>
        <w:t xml:space="preserve">                        </w:t>
      </w:r>
    </w:p>
    <w:p>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负责人：（签字）</w:t>
      </w:r>
      <w:r>
        <w:rPr>
          <w:rFonts w:hint="eastAsia" w:ascii="宋体" w:hAnsi="宋体" w:eastAsia="宋体" w:cs="宋体"/>
          <w:color w:val="auto"/>
          <w:highlight w:val="none"/>
          <w:u w:val="single"/>
        </w:rPr>
        <w:t xml:space="preserve">                        </w:t>
      </w:r>
    </w:p>
    <w:p>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p>
    <w:p>
      <w:pP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p>
    <w:p>
      <w:pPr>
        <w:pStyle w:val="14"/>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说明：投标人在投标时不需提交正式保函，在</w:t>
      </w:r>
      <w:r>
        <w:rPr>
          <w:rFonts w:hint="eastAsia" w:ascii="宋体" w:hAnsi="宋体" w:cs="宋体"/>
          <w:color w:val="auto"/>
          <w:szCs w:val="24"/>
          <w:highlight w:val="none"/>
          <w:lang w:val="en-US" w:eastAsia="zh-CN"/>
        </w:rPr>
        <w:t>投标</w:t>
      </w:r>
      <w:r>
        <w:rPr>
          <w:rFonts w:hint="eastAsia" w:ascii="宋体" w:hAnsi="宋体" w:cs="宋体"/>
          <w:color w:val="auto"/>
          <w:szCs w:val="24"/>
          <w:highlight w:val="none"/>
          <w:lang w:eastAsia="zh-CN"/>
        </w:rPr>
        <w:t>文件</w:t>
      </w:r>
      <w:r>
        <w:rPr>
          <w:rFonts w:hint="eastAsia" w:ascii="宋体" w:hAnsi="宋体" w:eastAsia="宋体" w:cs="宋体"/>
          <w:color w:val="auto"/>
          <w:szCs w:val="24"/>
          <w:highlight w:val="none"/>
        </w:rPr>
        <w:t>中盖投标人公章确认保函格式即可，乙方</w:t>
      </w:r>
      <w:r>
        <w:rPr>
          <w:rFonts w:hint="eastAsia" w:ascii="宋体" w:hAnsi="宋体" w:eastAsia="宋体" w:cs="宋体"/>
          <w:color w:val="auto"/>
          <w:highlight w:val="none"/>
        </w:rPr>
        <w:t>在签订合同时</w:t>
      </w:r>
      <w:r>
        <w:rPr>
          <w:rFonts w:hint="eastAsia" w:ascii="宋体" w:hAnsi="宋体" w:eastAsia="宋体" w:cs="宋体"/>
          <w:color w:val="auto"/>
          <w:szCs w:val="24"/>
          <w:highlight w:val="none"/>
        </w:rPr>
        <w:t>提交正式保函。</w:t>
      </w: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sectPr>
          <w:pgSz w:w="11906" w:h="16838"/>
          <w:pgMar w:top="1440" w:right="1800" w:bottom="1440" w:left="1800" w:header="708" w:footer="708" w:gutter="0"/>
          <w:pgNumType w:fmt="decimal"/>
          <w:cols w:space="708" w:num="1"/>
          <w:titlePg/>
          <w:docGrid w:type="lines" w:linePitch="360" w:charSpace="0"/>
        </w:sectPr>
      </w:pPr>
    </w:p>
    <w:p>
      <w:pPr>
        <w:pStyle w:val="5"/>
        <w:numPr>
          <w:ilvl w:val="255"/>
          <w:numId w:val="0"/>
        </w:numPr>
        <w:tabs>
          <w:tab w:val="left" w:pos="720"/>
          <w:tab w:val="left" w:pos="3840"/>
        </w:tabs>
        <w:ind w:left="283"/>
        <w:jc w:val="both"/>
        <w:rPr>
          <w:rFonts w:hint="eastAsia" w:ascii="宋体" w:hAnsi="宋体" w:eastAsia="宋体" w:cs="宋体"/>
          <w:color w:val="auto"/>
          <w:sz w:val="21"/>
          <w:szCs w:val="21"/>
          <w:highlight w:val="none"/>
        </w:rPr>
      </w:pPr>
      <w:bookmarkStart w:id="185" w:name="_Toc11260"/>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.预付款保函（适用于预付款支付）</w:t>
      </w:r>
      <w:bookmarkEnd w:id="185"/>
    </w:p>
    <w:p>
      <w:pPr>
        <w:pStyle w:val="14"/>
        <w:rPr>
          <w:rFonts w:hint="eastAsia" w:ascii="宋体" w:hAnsi="宋体" w:eastAsia="宋体" w:cs="宋体"/>
          <w:color w:val="auto"/>
          <w:szCs w:val="24"/>
          <w:highlight w:val="none"/>
        </w:rPr>
      </w:pPr>
    </w:p>
    <w:p>
      <w:pPr>
        <w:jc w:val="center"/>
        <w:rPr>
          <w:rFonts w:hint="eastAsia" w:ascii="宋体" w:hAnsi="宋体" w:eastAsia="宋体" w:cs="宋体"/>
          <w:color w:val="auto"/>
          <w:sz w:val="28"/>
          <w:szCs w:val="28"/>
          <w:highlight w:val="none"/>
        </w:rPr>
      </w:pPr>
      <w:bookmarkStart w:id="186" w:name="_Toc20669"/>
      <w:bookmarkStart w:id="187" w:name="_Toc7374"/>
      <w:bookmarkStart w:id="188" w:name="_Toc6877"/>
      <w:bookmarkStart w:id="189" w:name="_Toc10315"/>
      <w:bookmarkStart w:id="190" w:name="_Toc31418"/>
      <w:bookmarkStart w:id="191" w:name="_Toc29054"/>
      <w:bookmarkStart w:id="192" w:name="_Toc25494"/>
      <w:bookmarkStart w:id="193" w:name="_Toc27545"/>
      <w:bookmarkStart w:id="194" w:name="_Toc3295"/>
      <w:bookmarkStart w:id="195" w:name="_Toc29728"/>
      <w:bookmarkStart w:id="196" w:name="_Toc5034"/>
      <w:bookmarkStart w:id="197" w:name="_Toc1039"/>
      <w:r>
        <w:rPr>
          <w:rFonts w:hint="eastAsia" w:ascii="宋体" w:hAnsi="宋体" w:eastAsia="宋体" w:cs="宋体"/>
          <w:color w:val="auto"/>
          <w:sz w:val="28"/>
          <w:szCs w:val="28"/>
          <w:highlight w:val="none"/>
        </w:rPr>
        <w:t>不可撤销预付款保函</w:t>
      </w:r>
      <w:bookmarkEnd w:id="186"/>
      <w:bookmarkEnd w:id="187"/>
      <w:bookmarkEnd w:id="188"/>
      <w:bookmarkEnd w:id="189"/>
      <w:bookmarkEnd w:id="190"/>
      <w:bookmarkEnd w:id="191"/>
      <w:bookmarkEnd w:id="192"/>
      <w:bookmarkEnd w:id="193"/>
      <w:bookmarkEnd w:id="194"/>
      <w:bookmarkEnd w:id="195"/>
      <w:bookmarkEnd w:id="196"/>
      <w:bookmarkEnd w:id="197"/>
    </w:p>
    <w:p>
      <w:pPr>
        <w:ind w:firstLine="6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银行编号：</w:t>
      </w:r>
      <w:r>
        <w:rPr>
          <w:rFonts w:hint="eastAsia" w:ascii="宋体" w:hAnsi="宋体" w:eastAsia="宋体" w:cs="宋体"/>
          <w:color w:val="auto"/>
          <w:szCs w:val="21"/>
          <w:highlight w:val="none"/>
          <w:u w:val="single"/>
        </w:rPr>
        <w:t xml:space="preserve">             </w:t>
      </w:r>
    </w:p>
    <w:p>
      <w:pPr>
        <w:ind w:firstLine="6300"/>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（下称“采购人”）</w:t>
      </w:r>
    </w:p>
    <w:p>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4"/>
          <w:highlight w:val="none"/>
          <w:u w:val="single"/>
        </w:rPr>
        <w:t>（地址：          ，下称 “中标人” ）</w:t>
      </w:r>
      <w:r>
        <w:rPr>
          <w:rFonts w:hint="eastAsia" w:ascii="宋体" w:hAnsi="宋体" w:eastAsia="宋体" w:cs="宋体"/>
          <w:color w:val="auto"/>
          <w:szCs w:val="21"/>
          <w:highlight w:val="none"/>
        </w:rPr>
        <w:t>，已保证按</w:t>
      </w:r>
      <w:r>
        <w:rPr>
          <w:rFonts w:hint="eastAsia" w:ascii="宋体" w:hAnsi="宋体" w:eastAsia="宋体" w:cs="宋体"/>
          <w:color w:val="auto"/>
          <w:szCs w:val="21"/>
          <w:highlight w:val="none"/>
          <w:u w:val="single"/>
        </w:rPr>
        <w:t xml:space="preserve">          承包合同书（合同编号：    ）</w:t>
      </w:r>
      <w:r>
        <w:rPr>
          <w:rFonts w:hint="eastAsia" w:ascii="宋体" w:hAnsi="宋体" w:eastAsia="宋体" w:cs="宋体"/>
          <w:color w:val="auto"/>
          <w:szCs w:val="21"/>
          <w:highlight w:val="none"/>
        </w:rPr>
        <w:t>中规定的义务履行合同。</w:t>
      </w:r>
    </w:p>
    <w:p>
      <w:pPr>
        <w:ind w:firstLine="437"/>
        <w:rPr>
          <w:rFonts w:hint="eastAsia" w:ascii="宋体" w:hAnsi="宋体" w:eastAsia="宋体" w:cs="宋体"/>
          <w:color w:val="auto"/>
          <w:szCs w:val="21"/>
          <w:highlight w:val="none"/>
        </w:rPr>
      </w:pPr>
      <w:r>
        <w:rPr>
          <w:rFonts w:hint="eastAsia" w:ascii="宋体" w:hAnsi="宋体" w:eastAsia="宋体" w:cs="宋体"/>
          <w:color w:val="auto"/>
          <w:szCs w:val="24"/>
          <w:highlight w:val="none"/>
        </w:rPr>
        <w:t>根据上述合同（招标文件）规定，中标人应向采购人提供一份金额为合同总价的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即人民币</w:t>
      </w:r>
      <w:r>
        <w:rPr>
          <w:rFonts w:hint="eastAsia" w:ascii="宋体" w:hAnsi="宋体" w:eastAsia="宋体" w:cs="宋体"/>
          <w:color w:val="auto"/>
          <w:szCs w:val="21"/>
          <w:highlight w:val="none"/>
          <w:u w:val="single"/>
        </w:rPr>
        <w:t xml:space="preserve">      （RMB      元）</w:t>
      </w:r>
      <w:r>
        <w:rPr>
          <w:rFonts w:hint="eastAsia" w:ascii="宋体" w:hAnsi="宋体" w:eastAsia="宋体" w:cs="宋体"/>
          <w:color w:val="auto"/>
          <w:szCs w:val="21"/>
          <w:highlight w:val="none"/>
        </w:rPr>
        <w:t>的不可撤销银行预付款保函，以保证中标人履行合同的相关条款。</w:t>
      </w:r>
    </w:p>
    <w:p>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 xml:space="preserve">  （银行名称）  </w:t>
      </w:r>
      <w:r>
        <w:rPr>
          <w:rFonts w:hint="eastAsia" w:ascii="宋体" w:hAnsi="宋体" w:eastAsia="宋体" w:cs="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pP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本保函有效期从保函开立之日起至采购人向中标人抵扣完所有预付款之日止。</w:t>
      </w:r>
    </w:p>
    <w:p>
      <w:pPr>
        <w:rPr>
          <w:rFonts w:hint="eastAsia" w:ascii="宋体" w:hAnsi="宋体" w:eastAsia="宋体" w:cs="宋体"/>
          <w:color w:val="auto"/>
          <w:szCs w:val="21"/>
          <w:highlight w:val="none"/>
        </w:rPr>
      </w:pPr>
    </w:p>
    <w:p>
      <w:pPr>
        <w:ind w:firstLine="437"/>
        <w:rPr>
          <w:rFonts w:hint="eastAsia" w:ascii="宋体" w:hAnsi="宋体" w:eastAsia="宋体" w:cs="宋体"/>
          <w:color w:val="auto"/>
          <w:szCs w:val="21"/>
          <w:highlight w:val="none"/>
        </w:rPr>
      </w:pPr>
    </w:p>
    <w:p>
      <w:pPr>
        <w:ind w:firstLine="48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保证人：（公章）</w:t>
      </w:r>
      <w:r>
        <w:rPr>
          <w:rFonts w:hint="eastAsia" w:ascii="宋体" w:hAnsi="宋体" w:eastAsia="宋体" w:cs="宋体"/>
          <w:color w:val="auto"/>
          <w:szCs w:val="21"/>
          <w:highlight w:val="none"/>
          <w:u w:val="single"/>
        </w:rPr>
        <w:t xml:space="preserve">                     </w:t>
      </w:r>
    </w:p>
    <w:p>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负责人：（签字）</w:t>
      </w:r>
      <w:r>
        <w:rPr>
          <w:rFonts w:hint="eastAsia" w:ascii="宋体" w:hAnsi="宋体" w:eastAsia="宋体" w:cs="宋体"/>
          <w:color w:val="auto"/>
          <w:szCs w:val="21"/>
          <w:highlight w:val="none"/>
          <w:u w:val="single"/>
        </w:rPr>
        <w:t xml:space="preserve">                     </w:t>
      </w:r>
    </w:p>
    <w:p>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p>
    <w:p>
      <w:pPr>
        <w:ind w:firstLine="48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pP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pPr>
        <w:pStyle w:val="14"/>
        <w:rPr>
          <w:rFonts w:hint="eastAsia" w:ascii="宋体" w:hAnsi="宋体" w:eastAsia="宋体" w:cs="宋体"/>
          <w:color w:val="auto"/>
          <w:szCs w:val="21"/>
          <w:highlight w:val="none"/>
        </w:rPr>
      </w:pPr>
    </w:p>
    <w:p>
      <w:pPr>
        <w:pStyle w:val="14"/>
        <w:rPr>
          <w:rFonts w:hint="eastAsia" w:ascii="宋体" w:hAnsi="宋体" w:eastAsia="宋体" w:cs="宋体"/>
          <w:color w:val="auto"/>
          <w:szCs w:val="21"/>
          <w:highlight w:val="none"/>
        </w:rPr>
      </w:pPr>
    </w:p>
    <w:p>
      <w:pP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说明：投标人在投标文件中盖投标人公章确认保函内容即可，如中标再由银行出具保函。</w:t>
      </w:r>
    </w:p>
    <w:p>
      <w:pPr>
        <w:rPr>
          <w:rFonts w:hint="eastAsia" w:ascii="宋体" w:hAnsi="宋体" w:eastAsia="宋体" w:cs="宋体"/>
          <w:color w:val="auto"/>
          <w:szCs w:val="21"/>
          <w:highlight w:val="none"/>
        </w:rPr>
        <w:sectPr>
          <w:pgSz w:w="11906" w:h="16838"/>
          <w:pgMar w:top="1440" w:right="1800" w:bottom="1440" w:left="1800" w:header="708" w:footer="708" w:gutter="0"/>
          <w:pgNumType w:fmt="decimal"/>
          <w:cols w:space="708" w:num="1"/>
          <w:titlePg/>
          <w:docGrid w:type="lines" w:linePitch="360" w:charSpace="0"/>
        </w:sectPr>
      </w:pPr>
    </w:p>
    <w:p>
      <w:pPr>
        <w:pStyle w:val="11"/>
        <w:rPr>
          <w:rFonts w:hint="eastAsia" w:ascii="宋体" w:hAnsi="宋体" w:eastAsia="宋体" w:cs="宋体"/>
          <w:color w:val="auto"/>
          <w:highlight w:val="none"/>
        </w:rPr>
      </w:pPr>
      <w:bookmarkStart w:id="198" w:name="_Toc1968"/>
    </w:p>
    <w:p>
      <w:pPr>
        <w:jc w:val="center"/>
        <w:outlineLvl w:val="1"/>
        <w:rPr>
          <w:rFonts w:hint="eastAsia" w:ascii="宋体" w:hAnsi="宋体" w:eastAsia="宋体" w:cs="宋体"/>
          <w:color w:val="auto"/>
          <w:sz w:val="72"/>
          <w:szCs w:val="72"/>
          <w:highlight w:val="none"/>
        </w:rPr>
      </w:pPr>
      <w:bookmarkStart w:id="199" w:name="_Toc30016"/>
      <w:r>
        <w:rPr>
          <w:rFonts w:hint="eastAsia" w:ascii="宋体" w:hAnsi="宋体" w:eastAsia="宋体" w:cs="宋体"/>
          <w:color w:val="auto"/>
          <w:sz w:val="72"/>
          <w:szCs w:val="72"/>
          <w:highlight w:val="none"/>
        </w:rPr>
        <w:t>唱标信封</w:t>
      </w:r>
      <w:bookmarkEnd w:id="199"/>
    </w:p>
    <w:p>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（单独装订成册，单独封装）</w:t>
      </w:r>
    </w:p>
    <w:p>
      <w:pPr>
        <w:rPr>
          <w:rFonts w:hint="eastAsia" w:ascii="宋体" w:hAnsi="宋体" w:eastAsia="宋体" w:cs="宋体"/>
          <w:color w:val="auto"/>
          <w:highlight w:val="none"/>
        </w:rPr>
      </w:pPr>
    </w:p>
    <w:p>
      <w:pPr>
        <w:pStyle w:val="11"/>
        <w:rPr>
          <w:rFonts w:hint="eastAsia" w:ascii="宋体" w:hAnsi="宋体" w:eastAsia="宋体" w:cs="宋体"/>
          <w:color w:val="auto"/>
          <w:highlight w:val="none"/>
        </w:rPr>
      </w:pPr>
    </w:p>
    <w:p>
      <w:pPr>
        <w:pStyle w:val="10"/>
        <w:ind w:firstLine="240"/>
        <w:rPr>
          <w:rFonts w:hint="eastAsia" w:ascii="宋体" w:hAnsi="宋体" w:eastAsia="宋体" w:cs="宋体"/>
          <w:color w:val="auto"/>
          <w:highlight w:val="none"/>
        </w:rPr>
      </w:pPr>
    </w:p>
    <w:p>
      <w:pPr>
        <w:pStyle w:val="10"/>
        <w:ind w:firstLine="240"/>
        <w:rPr>
          <w:rFonts w:hint="eastAsia" w:ascii="宋体" w:hAnsi="宋体" w:eastAsia="宋体" w:cs="宋体"/>
          <w:color w:val="auto"/>
          <w:highlight w:val="none"/>
        </w:rPr>
      </w:pPr>
    </w:p>
    <w:p>
      <w:pP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106"/>
          <w:sz w:val="32"/>
          <w:szCs w:val="32"/>
          <w:highlight w:val="none"/>
        </w:rPr>
        <w:t>项目名</w:t>
      </w:r>
      <w:r>
        <w:rPr>
          <w:rFonts w:hint="eastAsia" w:ascii="宋体" w:hAnsi="宋体" w:eastAsia="宋体" w:cs="宋体"/>
          <w:b/>
          <w:color w:val="auto"/>
          <w:spacing w:val="2"/>
          <w:sz w:val="32"/>
          <w:szCs w:val="32"/>
          <w:highlight w:val="none"/>
        </w:rPr>
        <w:t>称</w:t>
      </w:r>
      <w:r>
        <w:rPr>
          <w:rFonts w:hint="eastAsia" w:ascii="宋体" w:hAnsi="宋体" w:eastAsia="宋体" w:cs="宋体"/>
          <w:b/>
          <w:color w:val="auto"/>
          <w:spacing w:val="-6"/>
          <w:sz w:val="32"/>
          <w:szCs w:val="32"/>
          <w:highlight w:val="none"/>
        </w:rPr>
        <w:t>：</w:t>
      </w:r>
    </w:p>
    <w:p>
      <w:pPr>
        <w:rPr>
          <w:rFonts w:hint="eastAsia" w:ascii="宋体" w:hAnsi="宋体" w:eastAsia="宋体" w:cs="宋体"/>
          <w:b/>
          <w:color w:val="auto"/>
          <w:sz w:val="32"/>
          <w:szCs w:val="32"/>
          <w:highlight w:val="none"/>
        </w:rPr>
      </w:pPr>
      <w:r>
        <w:rPr>
          <w:rFonts w:hint="eastAsia" w:ascii="宋体" w:hAnsi="宋体" w:eastAsia="宋体" w:cs="宋体"/>
          <w:b/>
          <w:color w:val="auto"/>
          <w:spacing w:val="106"/>
          <w:sz w:val="32"/>
          <w:szCs w:val="32"/>
          <w:highlight w:val="none"/>
        </w:rPr>
        <w:t>项目编</w:t>
      </w:r>
      <w:r>
        <w:rPr>
          <w:rFonts w:hint="eastAsia" w:ascii="宋体" w:hAnsi="宋体" w:eastAsia="宋体" w:cs="宋体"/>
          <w:b/>
          <w:color w:val="auto"/>
          <w:spacing w:val="2"/>
          <w:sz w:val="32"/>
          <w:szCs w:val="32"/>
          <w:highlight w:val="none"/>
        </w:rPr>
        <w:t>号</w:t>
      </w:r>
      <w:r>
        <w:rPr>
          <w:rFonts w:hint="eastAsia" w:ascii="宋体" w:hAnsi="宋体" w:eastAsia="宋体" w:cs="宋体"/>
          <w:b/>
          <w:color w:val="auto"/>
          <w:sz w:val="32"/>
          <w:szCs w:val="32"/>
          <w:highlight w:val="none"/>
        </w:rPr>
        <w:t>：</w:t>
      </w:r>
    </w:p>
    <w:p>
      <w:pPr>
        <w:pStyle w:val="11"/>
        <w:ind w:left="0"/>
        <w:rPr>
          <w:rFonts w:hint="eastAsia" w:ascii="宋体" w:hAnsi="宋体" w:eastAsia="宋体" w:cs="宋体"/>
          <w:b/>
          <w:color w:val="auto"/>
          <w:spacing w:val="106"/>
          <w:sz w:val="32"/>
          <w:szCs w:val="32"/>
          <w:highlight w:val="none"/>
          <w:lang w:val="en-US" w:bidi="ar-SA"/>
        </w:rPr>
      </w:pPr>
      <w:r>
        <w:rPr>
          <w:rFonts w:hint="eastAsia" w:ascii="宋体" w:hAnsi="宋体" w:eastAsia="宋体" w:cs="宋体"/>
          <w:b/>
          <w:color w:val="auto"/>
          <w:spacing w:val="106"/>
          <w:sz w:val="32"/>
          <w:szCs w:val="32"/>
          <w:highlight w:val="none"/>
          <w:lang w:val="en-US" w:bidi="ar-SA"/>
        </w:rPr>
        <w:t>包组号（如有）：</w:t>
      </w:r>
    </w:p>
    <w:p>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投标人名称：</w:t>
      </w:r>
    </w:p>
    <w:p>
      <w:pPr>
        <w:rPr>
          <w:rFonts w:hint="eastAsia" w:ascii="宋体" w:hAnsi="宋体" w:eastAsia="宋体" w:cs="宋体"/>
          <w:b/>
          <w:color w:val="auto"/>
          <w:sz w:val="32"/>
          <w:szCs w:val="32"/>
          <w:highlight w:val="none"/>
        </w:rPr>
      </w:pPr>
      <w:r>
        <w:rPr>
          <w:rFonts w:hint="eastAsia" w:ascii="宋体" w:hAnsi="宋体" w:eastAsia="宋体" w:cs="宋体"/>
          <w:b/>
          <w:color w:val="auto"/>
          <w:spacing w:val="64"/>
          <w:sz w:val="32"/>
          <w:szCs w:val="32"/>
          <w:highlight w:val="none"/>
        </w:rPr>
        <w:t xml:space="preserve">日    </w:t>
      </w:r>
      <w:r>
        <w:rPr>
          <w:rFonts w:hint="eastAsia" w:ascii="宋体" w:hAnsi="宋体" w:eastAsia="宋体" w:cs="宋体"/>
          <w:b/>
          <w:color w:val="auto"/>
          <w:sz w:val="32"/>
          <w:szCs w:val="32"/>
          <w:highlight w:val="none"/>
        </w:rPr>
        <w:t>期：</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bookmarkEnd w:id="198"/>
    <w:p>
      <w:pPr>
        <w:pStyle w:val="5"/>
        <w:numPr>
          <w:ilvl w:val="255"/>
          <w:numId w:val="0"/>
        </w:numPr>
        <w:tabs>
          <w:tab w:val="left" w:pos="720"/>
          <w:tab w:val="left" w:pos="3840"/>
        </w:tabs>
        <w:ind w:left="283"/>
        <w:jc w:val="both"/>
        <w:rPr>
          <w:rFonts w:hint="eastAsia" w:ascii="宋体" w:hAnsi="宋体" w:eastAsia="宋体" w:cs="宋体"/>
          <w:color w:val="auto"/>
          <w:sz w:val="21"/>
          <w:szCs w:val="21"/>
          <w:highlight w:val="none"/>
        </w:rPr>
      </w:pPr>
      <w:bookmarkStart w:id="200" w:name="_Toc7033"/>
      <w:r>
        <w:rPr>
          <w:rFonts w:hint="eastAsia" w:ascii="宋体" w:hAnsi="宋体" w:eastAsia="宋体" w:cs="宋体"/>
          <w:color w:val="auto"/>
          <w:sz w:val="21"/>
          <w:szCs w:val="21"/>
          <w:highlight w:val="none"/>
        </w:rPr>
        <w:t>附件2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.唱标信封内装（内容务必与投标文件正本一致）</w:t>
      </w:r>
      <w:bookmarkEnd w:id="200"/>
    </w:p>
    <w:p>
      <w:pPr>
        <w:numPr>
          <w:ilvl w:val="0"/>
          <w:numId w:val="13"/>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开标一览表加盖公章；</w:t>
      </w:r>
    </w:p>
    <w:p>
      <w:pPr>
        <w:numPr>
          <w:ilvl w:val="0"/>
          <w:numId w:val="13"/>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法定代表人证明书加盖公章；</w:t>
      </w:r>
    </w:p>
    <w:p>
      <w:pPr>
        <w:numPr>
          <w:ilvl w:val="0"/>
          <w:numId w:val="13"/>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法定代表人授权委托书加盖公章（法定代表人投标的除外）；</w:t>
      </w:r>
    </w:p>
    <w:p>
      <w:pPr>
        <w:numPr>
          <w:ilvl w:val="0"/>
          <w:numId w:val="13"/>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投标保证金汇入情况说明（含银行汇款凭证）或投标保函加盖公章；</w:t>
      </w:r>
    </w:p>
    <w:p>
      <w:pPr>
        <w:numPr>
          <w:ilvl w:val="0"/>
          <w:numId w:val="13"/>
        </w:numP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投标文件电子文件（U盘，须含盖章版PDF投标文件和WORD版投标文件各一版，文字采用WORD文档，计算表格采用 EXCEL文档。）</w:t>
      </w:r>
    </w:p>
    <w:p>
      <w:pPr>
        <w:rPr>
          <w:rFonts w:hint="eastAsia" w:ascii="宋体" w:hAnsi="宋体" w:eastAsia="宋体" w:cs="宋体"/>
          <w:color w:val="auto"/>
          <w:szCs w:val="21"/>
          <w:highlight w:val="none"/>
        </w:rPr>
      </w:pPr>
    </w:p>
    <w:p>
      <w:pPr>
        <w:pStyle w:val="11"/>
        <w:rPr>
          <w:rFonts w:hint="eastAsia" w:ascii="宋体" w:hAnsi="宋体" w:eastAsia="宋体" w:cs="宋体"/>
          <w:color w:val="auto"/>
          <w:highlight w:val="none"/>
        </w:rPr>
      </w:pPr>
    </w:p>
    <w:sectPr>
      <w:pgSz w:w="11906" w:h="16838"/>
      <w:pgMar w:top="1440" w:right="1800" w:bottom="1440" w:left="1800" w:header="708" w:footer="708" w:gutter="0"/>
      <w:pgNumType w:fmt="decimal"/>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21"/>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黑体" w:hAnsi="黑体" w:eastAsia="黑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ascii="宋体" w:hAnsi="宋体" w:eastAsia="宋体" w:cs="宋体"/>
                              <w:lang w:eastAsia="zh-CN"/>
                            </w:rPr>
                          </w:pPr>
                          <w:r>
                            <w:rPr>
                              <w:rFonts w:hint="eastAsia" w:ascii="宋体" w:hAnsi="宋体" w:eastAsia="宋体" w:cs="宋体"/>
                              <w:lang w:eastAsia="zh-CN"/>
                            </w:rPr>
                            <w:t xml:space="preserve">第 </w:t>
                          </w: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2</w:t>
                          </w:r>
                          <w:r>
                            <w:rPr>
                              <w:rFonts w:hint="eastAsia" w:ascii="宋体" w:hAnsi="宋体" w:eastAsia="宋体" w:cs="宋体"/>
                              <w:lang w:eastAsia="zh-CN"/>
                            </w:rPr>
                            <w:fldChar w:fldCharType="end"/>
                          </w:r>
                          <w:r>
                            <w:rPr>
                              <w:rFonts w:hint="eastAsia" w:ascii="宋体" w:hAnsi="宋体" w:eastAsia="宋体" w:cs="宋体"/>
                              <w:lang w:eastAsia="zh-CN"/>
                            </w:rPr>
                            <w:t xml:space="preserve"> 页 共 </w:t>
                          </w:r>
                          <w:r>
                            <w:rPr>
                              <w:rFonts w:hint="eastAsia" w:ascii="宋体" w:hAnsi="宋体" w:eastAsia="宋体" w:cs="宋体"/>
                              <w:lang w:eastAsia="zh-CN"/>
                            </w:rPr>
                            <w:fldChar w:fldCharType="begin"/>
                          </w:r>
                          <w:r>
                            <w:rPr>
                              <w:rFonts w:hint="eastAsia" w:ascii="宋体" w:hAnsi="宋体" w:eastAsia="宋体" w:cs="宋体"/>
                              <w:lang w:eastAsia="zh-CN"/>
                            </w:rPr>
                            <w:instrText xml:space="preserve"> NUMPAGES  \* MERGEFORMAT </w:instrText>
                          </w:r>
                          <w:r>
                            <w:rPr>
                              <w:rFonts w:hint="eastAsia" w:ascii="宋体" w:hAnsi="宋体" w:eastAsia="宋体" w:cs="宋体"/>
                              <w:lang w:eastAsia="zh-CN"/>
                            </w:rPr>
                            <w:fldChar w:fldCharType="separate"/>
                          </w:r>
                          <w:r>
                            <w:rPr>
                              <w:rFonts w:hint="eastAsia" w:ascii="宋体" w:hAnsi="宋体" w:eastAsia="宋体" w:cs="宋体"/>
                              <w:lang w:eastAsia="zh-CN"/>
                            </w:rPr>
                            <w:t>75</w:t>
                          </w:r>
                          <w:r>
                            <w:rPr>
                              <w:rFonts w:hint="eastAsia" w:ascii="宋体" w:hAnsi="宋体" w:eastAsia="宋体" w:cs="宋体"/>
                              <w:lang w:eastAsia="zh-CN"/>
                            </w:rPr>
                            <w:fldChar w:fldCharType="end"/>
                          </w:r>
                          <w:r>
                            <w:rPr>
                              <w:rFonts w:hint="eastAsia" w:ascii="宋体" w:hAnsi="宋体" w:eastAsia="宋体" w:cs="宋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1"/>
                      <w:rPr>
                        <w:rFonts w:hint="eastAsia" w:ascii="宋体" w:hAnsi="宋体" w:eastAsia="宋体" w:cs="宋体"/>
                        <w:lang w:eastAsia="zh-CN"/>
                      </w:rPr>
                    </w:pPr>
                    <w:r>
                      <w:rPr>
                        <w:rFonts w:hint="eastAsia" w:ascii="宋体" w:hAnsi="宋体" w:eastAsia="宋体" w:cs="宋体"/>
                        <w:lang w:eastAsia="zh-CN"/>
                      </w:rPr>
                      <w:t xml:space="preserve">第 </w:t>
                    </w: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2</w:t>
                    </w:r>
                    <w:r>
                      <w:rPr>
                        <w:rFonts w:hint="eastAsia" w:ascii="宋体" w:hAnsi="宋体" w:eastAsia="宋体" w:cs="宋体"/>
                        <w:lang w:eastAsia="zh-CN"/>
                      </w:rPr>
                      <w:fldChar w:fldCharType="end"/>
                    </w:r>
                    <w:r>
                      <w:rPr>
                        <w:rFonts w:hint="eastAsia" w:ascii="宋体" w:hAnsi="宋体" w:eastAsia="宋体" w:cs="宋体"/>
                        <w:lang w:eastAsia="zh-CN"/>
                      </w:rPr>
                      <w:t xml:space="preserve"> 页 共 </w:t>
                    </w:r>
                    <w:r>
                      <w:rPr>
                        <w:rFonts w:hint="eastAsia" w:ascii="宋体" w:hAnsi="宋体" w:eastAsia="宋体" w:cs="宋体"/>
                        <w:lang w:eastAsia="zh-CN"/>
                      </w:rPr>
                      <w:fldChar w:fldCharType="begin"/>
                    </w:r>
                    <w:r>
                      <w:rPr>
                        <w:rFonts w:hint="eastAsia" w:ascii="宋体" w:hAnsi="宋体" w:eastAsia="宋体" w:cs="宋体"/>
                        <w:lang w:eastAsia="zh-CN"/>
                      </w:rPr>
                      <w:instrText xml:space="preserve"> NUMPAGES  \* MERGEFORMAT </w:instrText>
                    </w:r>
                    <w:r>
                      <w:rPr>
                        <w:rFonts w:hint="eastAsia" w:ascii="宋体" w:hAnsi="宋体" w:eastAsia="宋体" w:cs="宋体"/>
                        <w:lang w:eastAsia="zh-CN"/>
                      </w:rPr>
                      <w:fldChar w:fldCharType="separate"/>
                    </w:r>
                    <w:r>
                      <w:rPr>
                        <w:rFonts w:hint="eastAsia" w:ascii="宋体" w:hAnsi="宋体" w:eastAsia="宋体" w:cs="宋体"/>
                        <w:lang w:eastAsia="zh-CN"/>
                      </w:rPr>
                      <w:t>75</w:t>
                    </w:r>
                    <w:r>
                      <w:rPr>
                        <w:rFonts w:hint="eastAsia" w:ascii="宋体" w:hAnsi="宋体" w:eastAsia="宋体" w:cs="宋体"/>
                        <w:lang w:eastAsia="zh-CN"/>
                      </w:rPr>
                      <w:fldChar w:fldCharType="end"/>
                    </w:r>
                    <w:r>
                      <w:rPr>
                        <w:rFonts w:hint="eastAsia" w:ascii="宋体" w:hAnsi="宋体" w:eastAsia="宋体" w:cs="宋体"/>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ascii="宋体" w:hAnsi="宋体" w:eastAsia="宋体" w:cs="宋体"/>
                              <w:lang w:eastAsia="zh-CN"/>
                            </w:rPr>
                          </w:pPr>
                          <w:r>
                            <w:rPr>
                              <w:rFonts w:hint="eastAsia" w:ascii="宋体" w:hAnsi="宋体" w:eastAsia="宋体" w:cs="宋体"/>
                              <w:lang w:eastAsia="zh-CN"/>
                            </w:rPr>
                            <w:t xml:space="preserve">第 </w:t>
                          </w: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38</w:t>
                          </w:r>
                          <w:r>
                            <w:rPr>
                              <w:rFonts w:hint="eastAsia" w:ascii="宋体" w:hAnsi="宋体" w:eastAsia="宋体" w:cs="宋体"/>
                              <w:lang w:eastAsia="zh-CN"/>
                            </w:rPr>
                            <w:fldChar w:fldCharType="end"/>
                          </w:r>
                          <w:r>
                            <w:rPr>
                              <w:rFonts w:hint="eastAsia" w:ascii="宋体" w:hAnsi="宋体" w:eastAsia="宋体" w:cs="宋体"/>
                              <w:lang w:eastAsia="zh-CN"/>
                            </w:rPr>
                            <w:t xml:space="preserve"> 页 共 </w:t>
                          </w:r>
                          <w:r>
                            <w:rPr>
                              <w:rFonts w:hint="eastAsia" w:ascii="宋体" w:hAnsi="宋体" w:eastAsia="宋体" w:cs="宋体"/>
                              <w:lang w:eastAsia="zh-CN"/>
                            </w:rPr>
                            <w:fldChar w:fldCharType="begin"/>
                          </w:r>
                          <w:r>
                            <w:rPr>
                              <w:rFonts w:hint="eastAsia" w:ascii="宋体" w:hAnsi="宋体" w:eastAsia="宋体" w:cs="宋体"/>
                              <w:lang w:eastAsia="zh-CN"/>
                            </w:rPr>
                            <w:instrText xml:space="preserve"> NUMPAGES  \* MERGEFORMAT </w:instrText>
                          </w:r>
                          <w:r>
                            <w:rPr>
                              <w:rFonts w:hint="eastAsia" w:ascii="宋体" w:hAnsi="宋体" w:eastAsia="宋体" w:cs="宋体"/>
                              <w:lang w:eastAsia="zh-CN"/>
                            </w:rPr>
                            <w:fldChar w:fldCharType="separate"/>
                          </w:r>
                          <w:r>
                            <w:rPr>
                              <w:rFonts w:hint="eastAsia" w:ascii="宋体" w:hAnsi="宋体" w:eastAsia="宋体" w:cs="宋体"/>
                              <w:lang w:eastAsia="zh-CN"/>
                            </w:rPr>
                            <w:t>75</w:t>
                          </w:r>
                          <w:r>
                            <w:rPr>
                              <w:rFonts w:hint="eastAsia" w:ascii="宋体" w:hAnsi="宋体" w:eastAsia="宋体" w:cs="宋体"/>
                              <w:lang w:eastAsia="zh-CN"/>
                            </w:rPr>
                            <w:fldChar w:fldCharType="end"/>
                          </w:r>
                          <w:r>
                            <w:rPr>
                              <w:rFonts w:hint="eastAsia" w:ascii="宋体" w:hAnsi="宋体" w:eastAsia="宋体" w:cs="宋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1"/>
                      <w:rPr>
                        <w:rFonts w:hint="eastAsia" w:ascii="宋体" w:hAnsi="宋体" w:eastAsia="宋体" w:cs="宋体"/>
                        <w:lang w:eastAsia="zh-CN"/>
                      </w:rPr>
                    </w:pPr>
                    <w:r>
                      <w:rPr>
                        <w:rFonts w:hint="eastAsia" w:ascii="宋体" w:hAnsi="宋体" w:eastAsia="宋体" w:cs="宋体"/>
                        <w:lang w:eastAsia="zh-CN"/>
                      </w:rPr>
                      <w:t xml:space="preserve">第 </w:t>
                    </w: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38</w:t>
                    </w:r>
                    <w:r>
                      <w:rPr>
                        <w:rFonts w:hint="eastAsia" w:ascii="宋体" w:hAnsi="宋体" w:eastAsia="宋体" w:cs="宋体"/>
                        <w:lang w:eastAsia="zh-CN"/>
                      </w:rPr>
                      <w:fldChar w:fldCharType="end"/>
                    </w:r>
                    <w:r>
                      <w:rPr>
                        <w:rFonts w:hint="eastAsia" w:ascii="宋体" w:hAnsi="宋体" w:eastAsia="宋体" w:cs="宋体"/>
                        <w:lang w:eastAsia="zh-CN"/>
                      </w:rPr>
                      <w:t xml:space="preserve"> 页 共 </w:t>
                    </w:r>
                    <w:r>
                      <w:rPr>
                        <w:rFonts w:hint="eastAsia" w:ascii="宋体" w:hAnsi="宋体" w:eastAsia="宋体" w:cs="宋体"/>
                        <w:lang w:eastAsia="zh-CN"/>
                      </w:rPr>
                      <w:fldChar w:fldCharType="begin"/>
                    </w:r>
                    <w:r>
                      <w:rPr>
                        <w:rFonts w:hint="eastAsia" w:ascii="宋体" w:hAnsi="宋体" w:eastAsia="宋体" w:cs="宋体"/>
                        <w:lang w:eastAsia="zh-CN"/>
                      </w:rPr>
                      <w:instrText xml:space="preserve"> NUMPAGES  \* MERGEFORMAT </w:instrText>
                    </w:r>
                    <w:r>
                      <w:rPr>
                        <w:rFonts w:hint="eastAsia" w:ascii="宋体" w:hAnsi="宋体" w:eastAsia="宋体" w:cs="宋体"/>
                        <w:lang w:eastAsia="zh-CN"/>
                      </w:rPr>
                      <w:fldChar w:fldCharType="separate"/>
                    </w:r>
                    <w:r>
                      <w:rPr>
                        <w:rFonts w:hint="eastAsia" w:ascii="宋体" w:hAnsi="宋体" w:eastAsia="宋体" w:cs="宋体"/>
                        <w:lang w:eastAsia="zh-CN"/>
                      </w:rPr>
                      <w:t>75</w:t>
                    </w:r>
                    <w:r>
                      <w:rPr>
                        <w:rFonts w:hint="eastAsia" w:ascii="宋体" w:hAnsi="宋体" w:eastAsia="宋体" w:cs="宋体"/>
                        <w:lang w:eastAsia="zh-CN"/>
                      </w:rPr>
                      <w:fldChar w:fldCharType="end"/>
                    </w:r>
                    <w:r>
                      <w:rPr>
                        <w:rFonts w:hint="eastAsia" w:ascii="宋体" w:hAnsi="宋体" w:eastAsia="宋体" w:cs="宋体"/>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hint="eastAsia" w:ascii="宋体" w:hAnsi="宋体" w:eastAsia="宋体" w:cs="宋体"/>
                              <w:lang w:eastAsia="zh-CN"/>
                            </w:rPr>
                          </w:pPr>
                          <w:r>
                            <w:rPr>
                              <w:rFonts w:hint="eastAsia" w:ascii="宋体" w:hAnsi="宋体" w:eastAsia="宋体" w:cs="宋体"/>
                              <w:lang w:eastAsia="zh-CN"/>
                            </w:rPr>
                            <w:t xml:space="preserve">第 </w:t>
                          </w: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37</w:t>
                          </w:r>
                          <w:r>
                            <w:rPr>
                              <w:rFonts w:hint="eastAsia" w:ascii="宋体" w:hAnsi="宋体" w:eastAsia="宋体" w:cs="宋体"/>
                              <w:lang w:eastAsia="zh-CN"/>
                            </w:rPr>
                            <w:fldChar w:fldCharType="end"/>
                          </w:r>
                          <w:r>
                            <w:rPr>
                              <w:rFonts w:hint="eastAsia" w:ascii="宋体" w:hAnsi="宋体" w:eastAsia="宋体" w:cs="宋体"/>
                              <w:lang w:eastAsia="zh-CN"/>
                            </w:rPr>
                            <w:t xml:space="preserve"> 页 共 </w:t>
                          </w:r>
                          <w:r>
                            <w:rPr>
                              <w:rFonts w:hint="eastAsia" w:ascii="宋体" w:hAnsi="宋体" w:eastAsia="宋体" w:cs="宋体"/>
                              <w:lang w:eastAsia="zh-CN"/>
                            </w:rPr>
                            <w:fldChar w:fldCharType="begin"/>
                          </w:r>
                          <w:r>
                            <w:rPr>
                              <w:rFonts w:hint="eastAsia" w:ascii="宋体" w:hAnsi="宋体" w:eastAsia="宋体" w:cs="宋体"/>
                              <w:lang w:eastAsia="zh-CN"/>
                            </w:rPr>
                            <w:instrText xml:space="preserve"> NUMPAGES  \* MERGEFORMAT </w:instrText>
                          </w:r>
                          <w:r>
                            <w:rPr>
                              <w:rFonts w:hint="eastAsia" w:ascii="宋体" w:hAnsi="宋体" w:eastAsia="宋体" w:cs="宋体"/>
                              <w:lang w:eastAsia="zh-CN"/>
                            </w:rPr>
                            <w:fldChar w:fldCharType="separate"/>
                          </w:r>
                          <w:r>
                            <w:rPr>
                              <w:rFonts w:hint="eastAsia" w:ascii="宋体" w:hAnsi="宋体" w:eastAsia="宋体" w:cs="宋体"/>
                              <w:lang w:eastAsia="zh-CN"/>
                            </w:rPr>
                            <w:t>75</w:t>
                          </w:r>
                          <w:r>
                            <w:rPr>
                              <w:rFonts w:hint="eastAsia" w:ascii="宋体" w:hAnsi="宋体" w:eastAsia="宋体" w:cs="宋体"/>
                              <w:lang w:eastAsia="zh-CN"/>
                            </w:rPr>
                            <w:fldChar w:fldCharType="end"/>
                          </w:r>
                          <w:r>
                            <w:rPr>
                              <w:rFonts w:hint="eastAsia" w:ascii="宋体" w:hAnsi="宋体" w:eastAsia="宋体" w:cs="宋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1"/>
                      <w:rPr>
                        <w:rFonts w:hint="eastAsia" w:ascii="宋体" w:hAnsi="宋体" w:eastAsia="宋体" w:cs="宋体"/>
                        <w:lang w:eastAsia="zh-CN"/>
                      </w:rPr>
                    </w:pPr>
                    <w:r>
                      <w:rPr>
                        <w:rFonts w:hint="eastAsia" w:ascii="宋体" w:hAnsi="宋体" w:eastAsia="宋体" w:cs="宋体"/>
                        <w:lang w:eastAsia="zh-CN"/>
                      </w:rPr>
                      <w:t xml:space="preserve">第 </w:t>
                    </w: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37</w:t>
                    </w:r>
                    <w:r>
                      <w:rPr>
                        <w:rFonts w:hint="eastAsia" w:ascii="宋体" w:hAnsi="宋体" w:eastAsia="宋体" w:cs="宋体"/>
                        <w:lang w:eastAsia="zh-CN"/>
                      </w:rPr>
                      <w:fldChar w:fldCharType="end"/>
                    </w:r>
                    <w:r>
                      <w:rPr>
                        <w:rFonts w:hint="eastAsia" w:ascii="宋体" w:hAnsi="宋体" w:eastAsia="宋体" w:cs="宋体"/>
                        <w:lang w:eastAsia="zh-CN"/>
                      </w:rPr>
                      <w:t xml:space="preserve"> 页 共 </w:t>
                    </w:r>
                    <w:r>
                      <w:rPr>
                        <w:rFonts w:hint="eastAsia" w:ascii="宋体" w:hAnsi="宋体" w:eastAsia="宋体" w:cs="宋体"/>
                        <w:lang w:eastAsia="zh-CN"/>
                      </w:rPr>
                      <w:fldChar w:fldCharType="begin"/>
                    </w:r>
                    <w:r>
                      <w:rPr>
                        <w:rFonts w:hint="eastAsia" w:ascii="宋体" w:hAnsi="宋体" w:eastAsia="宋体" w:cs="宋体"/>
                        <w:lang w:eastAsia="zh-CN"/>
                      </w:rPr>
                      <w:instrText xml:space="preserve"> NUMPAGES  \* MERGEFORMAT </w:instrText>
                    </w:r>
                    <w:r>
                      <w:rPr>
                        <w:rFonts w:hint="eastAsia" w:ascii="宋体" w:hAnsi="宋体" w:eastAsia="宋体" w:cs="宋体"/>
                        <w:lang w:eastAsia="zh-CN"/>
                      </w:rPr>
                      <w:fldChar w:fldCharType="separate"/>
                    </w:r>
                    <w:r>
                      <w:rPr>
                        <w:rFonts w:hint="eastAsia" w:ascii="宋体" w:hAnsi="宋体" w:eastAsia="宋体" w:cs="宋体"/>
                        <w:lang w:eastAsia="zh-CN"/>
                      </w:rPr>
                      <w:t>75</w:t>
                    </w:r>
                    <w:r>
                      <w:rPr>
                        <w:rFonts w:hint="eastAsia" w:ascii="宋体" w:hAnsi="宋体" w:eastAsia="宋体" w:cs="宋体"/>
                        <w:lang w:eastAsia="zh-CN"/>
                      </w:rPr>
                      <w:fldChar w:fldCharType="end"/>
                    </w:r>
                    <w:r>
                      <w:rPr>
                        <w:rFonts w:hint="eastAsia" w:ascii="宋体" w:hAnsi="宋体" w:eastAsia="宋体" w:cs="宋体"/>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p>
    <w:pPr>
      <w:pStyle w:val="23"/>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C23954B"/>
    <w:multiLevelType w:val="multilevel"/>
    <w:tmpl w:val="CC23954B"/>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CFF174A5"/>
    <w:multiLevelType w:val="singleLevel"/>
    <w:tmpl w:val="CFF174A5"/>
    <w:lvl w:ilvl="0" w:tentative="0">
      <w:start w:val="1"/>
      <w:numFmt w:val="decimal"/>
      <w:suff w:val="nothing"/>
      <w:lvlText w:val="%1、"/>
      <w:lvlJc w:val="left"/>
    </w:lvl>
  </w:abstractNum>
  <w:abstractNum w:abstractNumId="3">
    <w:nsid w:val="D0047B7E"/>
    <w:multiLevelType w:val="singleLevel"/>
    <w:tmpl w:val="D0047B7E"/>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6">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20D2348B"/>
    <w:multiLevelType w:val="singleLevel"/>
    <w:tmpl w:val="20D2348B"/>
    <w:lvl w:ilvl="0" w:tentative="0">
      <w:start w:val="1"/>
      <w:numFmt w:val="chineseCounting"/>
      <w:suff w:val="nothing"/>
      <w:lvlText w:val="（%1）"/>
      <w:lvlJc w:val="left"/>
      <w:rPr>
        <w:rFonts w:hint="eastAsia"/>
      </w:rPr>
    </w:lvl>
  </w:abstractNum>
  <w:abstractNum w:abstractNumId="8">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3F88662E"/>
    <w:multiLevelType w:val="singleLevel"/>
    <w:tmpl w:val="3F88662E"/>
    <w:lvl w:ilvl="0" w:tentative="0">
      <w:start w:val="1"/>
      <w:numFmt w:val="decimal"/>
      <w:suff w:val="space"/>
      <w:lvlText w:val="%1)"/>
      <w:lvlJc w:val="left"/>
    </w:lvl>
  </w:abstractNum>
  <w:abstractNum w:abstractNumId="10">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2">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8"/>
  </w:num>
  <w:num w:numId="3">
    <w:abstractNumId w:val="1"/>
  </w:num>
  <w:num w:numId="4">
    <w:abstractNumId w:val="9"/>
  </w:num>
  <w:num w:numId="5">
    <w:abstractNumId w:val="5"/>
  </w:num>
  <w:num w:numId="6">
    <w:abstractNumId w:val="0"/>
  </w:num>
  <w:num w:numId="7">
    <w:abstractNumId w:val="6"/>
  </w:num>
  <w:num w:numId="8">
    <w:abstractNumId w:val="2"/>
  </w:num>
  <w:num w:numId="9">
    <w:abstractNumId w:val="4"/>
  </w:num>
  <w:num w:numId="10">
    <w:abstractNumId w:val="7"/>
  </w:num>
  <w:num w:numId="11">
    <w:abstractNumId w:val="3"/>
  </w:num>
  <w:num w:numId="12">
    <w:abstractNumId w:val="12"/>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彬">
    <w15:presenceInfo w15:providerId="WPS Office" w15:userId="33024613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wYmYxMTEyODE0ZTZmMjJhMThiYTY0ZTIyMmY0NDIifQ=="/>
  </w:docVars>
  <w:rsids>
    <w:rsidRoot w:val="00172A27"/>
    <w:rsid w:val="00005A66"/>
    <w:rsid w:val="00006462"/>
    <w:rsid w:val="000300E4"/>
    <w:rsid w:val="0003307E"/>
    <w:rsid w:val="000336BA"/>
    <w:rsid w:val="000359A1"/>
    <w:rsid w:val="0005185D"/>
    <w:rsid w:val="0007500F"/>
    <w:rsid w:val="0008282E"/>
    <w:rsid w:val="00084F6D"/>
    <w:rsid w:val="00093A13"/>
    <w:rsid w:val="000A363F"/>
    <w:rsid w:val="000A42A8"/>
    <w:rsid w:val="000A5063"/>
    <w:rsid w:val="000A5DBD"/>
    <w:rsid w:val="000C4524"/>
    <w:rsid w:val="000D44A6"/>
    <w:rsid w:val="000E2CB7"/>
    <w:rsid w:val="000F0E98"/>
    <w:rsid w:val="000F1444"/>
    <w:rsid w:val="001049A5"/>
    <w:rsid w:val="001120E0"/>
    <w:rsid w:val="00121ADA"/>
    <w:rsid w:val="001242F3"/>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A06D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1E7A"/>
    <w:rsid w:val="0022503E"/>
    <w:rsid w:val="00225BB4"/>
    <w:rsid w:val="00226313"/>
    <w:rsid w:val="002373BB"/>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595E"/>
    <w:rsid w:val="00381C26"/>
    <w:rsid w:val="0038564C"/>
    <w:rsid w:val="00387CE4"/>
    <w:rsid w:val="00393B1D"/>
    <w:rsid w:val="003A1D97"/>
    <w:rsid w:val="003C18EB"/>
    <w:rsid w:val="003C1E4E"/>
    <w:rsid w:val="003C32D3"/>
    <w:rsid w:val="003C3B19"/>
    <w:rsid w:val="003C412B"/>
    <w:rsid w:val="003C415C"/>
    <w:rsid w:val="003D2121"/>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75A80"/>
    <w:rsid w:val="00475BB4"/>
    <w:rsid w:val="00490B9E"/>
    <w:rsid w:val="00497577"/>
    <w:rsid w:val="004A05D7"/>
    <w:rsid w:val="004A2B28"/>
    <w:rsid w:val="004A69F1"/>
    <w:rsid w:val="004B3550"/>
    <w:rsid w:val="004B3F06"/>
    <w:rsid w:val="004C7FD6"/>
    <w:rsid w:val="004D08C0"/>
    <w:rsid w:val="004D1669"/>
    <w:rsid w:val="004D1736"/>
    <w:rsid w:val="004D51A2"/>
    <w:rsid w:val="004D5AFB"/>
    <w:rsid w:val="004E04FD"/>
    <w:rsid w:val="004F1BB7"/>
    <w:rsid w:val="0050759C"/>
    <w:rsid w:val="00510827"/>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2D85"/>
    <w:rsid w:val="005D52E7"/>
    <w:rsid w:val="005F021D"/>
    <w:rsid w:val="005F20A4"/>
    <w:rsid w:val="005F4EAE"/>
    <w:rsid w:val="005F573A"/>
    <w:rsid w:val="005F660B"/>
    <w:rsid w:val="005F7EB1"/>
    <w:rsid w:val="00604B81"/>
    <w:rsid w:val="0061246F"/>
    <w:rsid w:val="00613417"/>
    <w:rsid w:val="00613B25"/>
    <w:rsid w:val="0061545F"/>
    <w:rsid w:val="006175DE"/>
    <w:rsid w:val="006215AC"/>
    <w:rsid w:val="00621821"/>
    <w:rsid w:val="00622362"/>
    <w:rsid w:val="00622497"/>
    <w:rsid w:val="006276AD"/>
    <w:rsid w:val="006347A6"/>
    <w:rsid w:val="006378D4"/>
    <w:rsid w:val="00641E8C"/>
    <w:rsid w:val="0064416A"/>
    <w:rsid w:val="006476E3"/>
    <w:rsid w:val="00650DDC"/>
    <w:rsid w:val="00652983"/>
    <w:rsid w:val="0065365D"/>
    <w:rsid w:val="006546D0"/>
    <w:rsid w:val="006576FD"/>
    <w:rsid w:val="00664F6B"/>
    <w:rsid w:val="006731D2"/>
    <w:rsid w:val="00680EB0"/>
    <w:rsid w:val="00682986"/>
    <w:rsid w:val="00691701"/>
    <w:rsid w:val="00691AE0"/>
    <w:rsid w:val="0069491E"/>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37823"/>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59D"/>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6026F"/>
    <w:rsid w:val="008640F5"/>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75C2"/>
    <w:rsid w:val="00A3295D"/>
    <w:rsid w:val="00A4012F"/>
    <w:rsid w:val="00A4190E"/>
    <w:rsid w:val="00A42E91"/>
    <w:rsid w:val="00A50383"/>
    <w:rsid w:val="00A61230"/>
    <w:rsid w:val="00A668C8"/>
    <w:rsid w:val="00A74ED3"/>
    <w:rsid w:val="00A813C5"/>
    <w:rsid w:val="00A824E6"/>
    <w:rsid w:val="00A832CD"/>
    <w:rsid w:val="00A858DC"/>
    <w:rsid w:val="00A94D14"/>
    <w:rsid w:val="00AA0EAD"/>
    <w:rsid w:val="00AB19CE"/>
    <w:rsid w:val="00AB2133"/>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3E74"/>
    <w:rsid w:val="00BD630F"/>
    <w:rsid w:val="00BD7C1B"/>
    <w:rsid w:val="00BE0825"/>
    <w:rsid w:val="00BE2EE6"/>
    <w:rsid w:val="00BF17FD"/>
    <w:rsid w:val="00BF2820"/>
    <w:rsid w:val="00BF41D4"/>
    <w:rsid w:val="00BF5AFB"/>
    <w:rsid w:val="00C16734"/>
    <w:rsid w:val="00C17B47"/>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32B5"/>
    <w:rsid w:val="00CB57AD"/>
    <w:rsid w:val="00CC009D"/>
    <w:rsid w:val="00CC584A"/>
    <w:rsid w:val="00CC5E4E"/>
    <w:rsid w:val="00CD0EAB"/>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650"/>
    <w:rsid w:val="00E83A31"/>
    <w:rsid w:val="00E93BF5"/>
    <w:rsid w:val="00E97CC0"/>
    <w:rsid w:val="00EA22B8"/>
    <w:rsid w:val="00EA2524"/>
    <w:rsid w:val="00EA33E7"/>
    <w:rsid w:val="00EC092D"/>
    <w:rsid w:val="00EC0DF8"/>
    <w:rsid w:val="00EC7F91"/>
    <w:rsid w:val="00ED378B"/>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0FCB"/>
    <w:rsid w:val="00FC529F"/>
    <w:rsid w:val="00FC66E1"/>
    <w:rsid w:val="00FC7B53"/>
    <w:rsid w:val="00FD48CC"/>
    <w:rsid w:val="00FE62D1"/>
    <w:rsid w:val="00FE7B94"/>
    <w:rsid w:val="00FF0736"/>
    <w:rsid w:val="00FF2515"/>
    <w:rsid w:val="00FF26BF"/>
    <w:rsid w:val="013C51B0"/>
    <w:rsid w:val="01651C23"/>
    <w:rsid w:val="018023CE"/>
    <w:rsid w:val="01881AD6"/>
    <w:rsid w:val="019127B6"/>
    <w:rsid w:val="01B71A01"/>
    <w:rsid w:val="01DC03CE"/>
    <w:rsid w:val="01E36F4E"/>
    <w:rsid w:val="0208150E"/>
    <w:rsid w:val="021000FB"/>
    <w:rsid w:val="02287D63"/>
    <w:rsid w:val="02417202"/>
    <w:rsid w:val="024179E7"/>
    <w:rsid w:val="0246437B"/>
    <w:rsid w:val="02985CD5"/>
    <w:rsid w:val="02A741FD"/>
    <w:rsid w:val="02C16E5D"/>
    <w:rsid w:val="02C84421"/>
    <w:rsid w:val="02D964CF"/>
    <w:rsid w:val="02DE5ECF"/>
    <w:rsid w:val="03082F4B"/>
    <w:rsid w:val="032E6AB8"/>
    <w:rsid w:val="03457CFC"/>
    <w:rsid w:val="03707410"/>
    <w:rsid w:val="039170C0"/>
    <w:rsid w:val="039240A3"/>
    <w:rsid w:val="03A0770F"/>
    <w:rsid w:val="03A27726"/>
    <w:rsid w:val="03A448B8"/>
    <w:rsid w:val="03B34A78"/>
    <w:rsid w:val="03C01631"/>
    <w:rsid w:val="03C656A9"/>
    <w:rsid w:val="03F33148"/>
    <w:rsid w:val="042F3419"/>
    <w:rsid w:val="04491596"/>
    <w:rsid w:val="047B4012"/>
    <w:rsid w:val="04822497"/>
    <w:rsid w:val="04974587"/>
    <w:rsid w:val="049A0C65"/>
    <w:rsid w:val="04A07C4B"/>
    <w:rsid w:val="04DF1036"/>
    <w:rsid w:val="04E24985"/>
    <w:rsid w:val="050C01DF"/>
    <w:rsid w:val="05316537"/>
    <w:rsid w:val="053A5A77"/>
    <w:rsid w:val="0599183C"/>
    <w:rsid w:val="05A97DEC"/>
    <w:rsid w:val="05B23978"/>
    <w:rsid w:val="05C81981"/>
    <w:rsid w:val="05DB7F00"/>
    <w:rsid w:val="05FC20B9"/>
    <w:rsid w:val="060043AE"/>
    <w:rsid w:val="060C3203"/>
    <w:rsid w:val="06281344"/>
    <w:rsid w:val="062C3F70"/>
    <w:rsid w:val="062D4EC8"/>
    <w:rsid w:val="069B4E4A"/>
    <w:rsid w:val="06A26008"/>
    <w:rsid w:val="06BC41F2"/>
    <w:rsid w:val="06F415CC"/>
    <w:rsid w:val="070E26CD"/>
    <w:rsid w:val="07197D08"/>
    <w:rsid w:val="071E5C55"/>
    <w:rsid w:val="075C1FE5"/>
    <w:rsid w:val="077005AB"/>
    <w:rsid w:val="078F4581"/>
    <w:rsid w:val="07A715F3"/>
    <w:rsid w:val="07BF027F"/>
    <w:rsid w:val="07F06C60"/>
    <w:rsid w:val="08031A31"/>
    <w:rsid w:val="080E2872"/>
    <w:rsid w:val="08420CAE"/>
    <w:rsid w:val="089A5AE8"/>
    <w:rsid w:val="08BA4530"/>
    <w:rsid w:val="09061A75"/>
    <w:rsid w:val="090E6DE2"/>
    <w:rsid w:val="09182241"/>
    <w:rsid w:val="09325D4D"/>
    <w:rsid w:val="095F1030"/>
    <w:rsid w:val="09855177"/>
    <w:rsid w:val="09A17D47"/>
    <w:rsid w:val="09C175FE"/>
    <w:rsid w:val="09EE5125"/>
    <w:rsid w:val="09FB6BE7"/>
    <w:rsid w:val="0A3D7585"/>
    <w:rsid w:val="0A462748"/>
    <w:rsid w:val="0A4D0C81"/>
    <w:rsid w:val="0A6948E0"/>
    <w:rsid w:val="0A723E95"/>
    <w:rsid w:val="0A733243"/>
    <w:rsid w:val="0AA534D5"/>
    <w:rsid w:val="0AA650EB"/>
    <w:rsid w:val="0AA7129C"/>
    <w:rsid w:val="0AF47339"/>
    <w:rsid w:val="0B121934"/>
    <w:rsid w:val="0B1F4D52"/>
    <w:rsid w:val="0B22594B"/>
    <w:rsid w:val="0B27506F"/>
    <w:rsid w:val="0B3061AD"/>
    <w:rsid w:val="0B5068C0"/>
    <w:rsid w:val="0B9610F4"/>
    <w:rsid w:val="0BBF77A4"/>
    <w:rsid w:val="0BD16C8D"/>
    <w:rsid w:val="0BDF26F7"/>
    <w:rsid w:val="0C027DB2"/>
    <w:rsid w:val="0C1778B2"/>
    <w:rsid w:val="0C297E67"/>
    <w:rsid w:val="0C2B4952"/>
    <w:rsid w:val="0C46133C"/>
    <w:rsid w:val="0C516C55"/>
    <w:rsid w:val="0C5D161C"/>
    <w:rsid w:val="0C7B2220"/>
    <w:rsid w:val="0CB67D83"/>
    <w:rsid w:val="0CCF79BE"/>
    <w:rsid w:val="0CD20599"/>
    <w:rsid w:val="0CE53018"/>
    <w:rsid w:val="0D0B5B12"/>
    <w:rsid w:val="0D133046"/>
    <w:rsid w:val="0D153F28"/>
    <w:rsid w:val="0D1F14CA"/>
    <w:rsid w:val="0D305390"/>
    <w:rsid w:val="0D3A0F98"/>
    <w:rsid w:val="0D5D37FD"/>
    <w:rsid w:val="0D6A4502"/>
    <w:rsid w:val="0D701E19"/>
    <w:rsid w:val="0D7415CA"/>
    <w:rsid w:val="0D8458C4"/>
    <w:rsid w:val="0D890E47"/>
    <w:rsid w:val="0DC64A00"/>
    <w:rsid w:val="0DCF786E"/>
    <w:rsid w:val="0DEB5FFA"/>
    <w:rsid w:val="0DF75C46"/>
    <w:rsid w:val="0DFC60BA"/>
    <w:rsid w:val="0E045D30"/>
    <w:rsid w:val="0E1C06B2"/>
    <w:rsid w:val="0E35000C"/>
    <w:rsid w:val="0E69691B"/>
    <w:rsid w:val="0E7900C2"/>
    <w:rsid w:val="0EBB5484"/>
    <w:rsid w:val="0EBD5AA3"/>
    <w:rsid w:val="0F085784"/>
    <w:rsid w:val="0F5723EF"/>
    <w:rsid w:val="0F7C5FF6"/>
    <w:rsid w:val="0F9079E9"/>
    <w:rsid w:val="0FC53244"/>
    <w:rsid w:val="0FC63FBD"/>
    <w:rsid w:val="0FDD003F"/>
    <w:rsid w:val="0FF63282"/>
    <w:rsid w:val="0FF87EA4"/>
    <w:rsid w:val="0FFF7484"/>
    <w:rsid w:val="10007DD4"/>
    <w:rsid w:val="100B77ED"/>
    <w:rsid w:val="10305890"/>
    <w:rsid w:val="103D5A1A"/>
    <w:rsid w:val="106C564D"/>
    <w:rsid w:val="10767478"/>
    <w:rsid w:val="107B7B8F"/>
    <w:rsid w:val="107C67CE"/>
    <w:rsid w:val="10905146"/>
    <w:rsid w:val="10912D03"/>
    <w:rsid w:val="109D68CB"/>
    <w:rsid w:val="10A949B8"/>
    <w:rsid w:val="10B93BB1"/>
    <w:rsid w:val="10CB4D26"/>
    <w:rsid w:val="11144AFE"/>
    <w:rsid w:val="11200D07"/>
    <w:rsid w:val="116A3F32"/>
    <w:rsid w:val="11786AB5"/>
    <w:rsid w:val="118049D4"/>
    <w:rsid w:val="1182036D"/>
    <w:rsid w:val="118561F8"/>
    <w:rsid w:val="11914FAF"/>
    <w:rsid w:val="11A8021A"/>
    <w:rsid w:val="11B21219"/>
    <w:rsid w:val="11B4024C"/>
    <w:rsid w:val="11DA73AF"/>
    <w:rsid w:val="11FC1ECD"/>
    <w:rsid w:val="12457C5E"/>
    <w:rsid w:val="124D097B"/>
    <w:rsid w:val="12511265"/>
    <w:rsid w:val="126561B4"/>
    <w:rsid w:val="127A3FFC"/>
    <w:rsid w:val="127D0E25"/>
    <w:rsid w:val="127E0B34"/>
    <w:rsid w:val="1283614B"/>
    <w:rsid w:val="12856FF3"/>
    <w:rsid w:val="129671FB"/>
    <w:rsid w:val="12A576FF"/>
    <w:rsid w:val="12C60D80"/>
    <w:rsid w:val="130523B3"/>
    <w:rsid w:val="13065C60"/>
    <w:rsid w:val="13097496"/>
    <w:rsid w:val="13154AD2"/>
    <w:rsid w:val="131F7A3A"/>
    <w:rsid w:val="132645D0"/>
    <w:rsid w:val="134312FF"/>
    <w:rsid w:val="13455ABC"/>
    <w:rsid w:val="134F26C3"/>
    <w:rsid w:val="1370322B"/>
    <w:rsid w:val="13BA0460"/>
    <w:rsid w:val="13BB41AE"/>
    <w:rsid w:val="13C24F9B"/>
    <w:rsid w:val="13C45A18"/>
    <w:rsid w:val="13C9247B"/>
    <w:rsid w:val="13C92A4D"/>
    <w:rsid w:val="13DE55D1"/>
    <w:rsid w:val="13E0285C"/>
    <w:rsid w:val="13FC4407"/>
    <w:rsid w:val="141554C8"/>
    <w:rsid w:val="143B2E0B"/>
    <w:rsid w:val="145C50FD"/>
    <w:rsid w:val="147C1943"/>
    <w:rsid w:val="148054E9"/>
    <w:rsid w:val="14892735"/>
    <w:rsid w:val="14906D6C"/>
    <w:rsid w:val="14CC769D"/>
    <w:rsid w:val="14D764D5"/>
    <w:rsid w:val="14F43330"/>
    <w:rsid w:val="152138DB"/>
    <w:rsid w:val="152509D7"/>
    <w:rsid w:val="15436F05"/>
    <w:rsid w:val="155541C5"/>
    <w:rsid w:val="15691FE3"/>
    <w:rsid w:val="15763699"/>
    <w:rsid w:val="15802E15"/>
    <w:rsid w:val="158B5DDD"/>
    <w:rsid w:val="15A41986"/>
    <w:rsid w:val="15B11221"/>
    <w:rsid w:val="15C16EB3"/>
    <w:rsid w:val="15CB76C9"/>
    <w:rsid w:val="15D359D7"/>
    <w:rsid w:val="15ED065E"/>
    <w:rsid w:val="160E7A2C"/>
    <w:rsid w:val="160E7E8D"/>
    <w:rsid w:val="16111028"/>
    <w:rsid w:val="161F7731"/>
    <w:rsid w:val="163C77BE"/>
    <w:rsid w:val="16573587"/>
    <w:rsid w:val="1679588C"/>
    <w:rsid w:val="168C2855"/>
    <w:rsid w:val="16903443"/>
    <w:rsid w:val="16994962"/>
    <w:rsid w:val="16A233CF"/>
    <w:rsid w:val="16A71041"/>
    <w:rsid w:val="16A844A2"/>
    <w:rsid w:val="16AA24BF"/>
    <w:rsid w:val="17005751"/>
    <w:rsid w:val="171D3FE1"/>
    <w:rsid w:val="1742794A"/>
    <w:rsid w:val="17680CAB"/>
    <w:rsid w:val="176E4128"/>
    <w:rsid w:val="1783371F"/>
    <w:rsid w:val="178D7563"/>
    <w:rsid w:val="17B61794"/>
    <w:rsid w:val="17C52CBF"/>
    <w:rsid w:val="17C93012"/>
    <w:rsid w:val="17E62B67"/>
    <w:rsid w:val="180F4499"/>
    <w:rsid w:val="181D4023"/>
    <w:rsid w:val="182201B4"/>
    <w:rsid w:val="18221ECE"/>
    <w:rsid w:val="18303840"/>
    <w:rsid w:val="183C3D90"/>
    <w:rsid w:val="18504A07"/>
    <w:rsid w:val="1859036F"/>
    <w:rsid w:val="18681814"/>
    <w:rsid w:val="18AA5B4F"/>
    <w:rsid w:val="18B0649B"/>
    <w:rsid w:val="18C8297B"/>
    <w:rsid w:val="18D418FC"/>
    <w:rsid w:val="18FC7745"/>
    <w:rsid w:val="19027053"/>
    <w:rsid w:val="191677A6"/>
    <w:rsid w:val="19353F17"/>
    <w:rsid w:val="196114C4"/>
    <w:rsid w:val="19DD405E"/>
    <w:rsid w:val="19E80EB4"/>
    <w:rsid w:val="1A460CF5"/>
    <w:rsid w:val="1A5E272E"/>
    <w:rsid w:val="1A7A6BB4"/>
    <w:rsid w:val="1A7F297D"/>
    <w:rsid w:val="1A9B268C"/>
    <w:rsid w:val="1A9D6244"/>
    <w:rsid w:val="1AAF6004"/>
    <w:rsid w:val="1AB16AC1"/>
    <w:rsid w:val="1ABF1CEA"/>
    <w:rsid w:val="1B014DDE"/>
    <w:rsid w:val="1B0320FB"/>
    <w:rsid w:val="1B034A52"/>
    <w:rsid w:val="1B45344E"/>
    <w:rsid w:val="1B591D2B"/>
    <w:rsid w:val="1B5D76FB"/>
    <w:rsid w:val="1B670550"/>
    <w:rsid w:val="1B683578"/>
    <w:rsid w:val="1B8C0040"/>
    <w:rsid w:val="1BBA4E52"/>
    <w:rsid w:val="1BD9519A"/>
    <w:rsid w:val="1BDE2F66"/>
    <w:rsid w:val="1C2A22B3"/>
    <w:rsid w:val="1C750ECE"/>
    <w:rsid w:val="1CA56AF4"/>
    <w:rsid w:val="1CE1575A"/>
    <w:rsid w:val="1D066E8E"/>
    <w:rsid w:val="1D196139"/>
    <w:rsid w:val="1D2E2708"/>
    <w:rsid w:val="1D554B72"/>
    <w:rsid w:val="1D5E02D1"/>
    <w:rsid w:val="1D694B47"/>
    <w:rsid w:val="1D7B74A7"/>
    <w:rsid w:val="1D7F0ED0"/>
    <w:rsid w:val="1DA31EB7"/>
    <w:rsid w:val="1DA55D97"/>
    <w:rsid w:val="1DBB6100"/>
    <w:rsid w:val="1DBE6816"/>
    <w:rsid w:val="1DC67725"/>
    <w:rsid w:val="1DCB4FF1"/>
    <w:rsid w:val="1DDC11E4"/>
    <w:rsid w:val="1DF5452A"/>
    <w:rsid w:val="1E010AF7"/>
    <w:rsid w:val="1E1C00F3"/>
    <w:rsid w:val="1E1C405A"/>
    <w:rsid w:val="1E2E29E0"/>
    <w:rsid w:val="1E301173"/>
    <w:rsid w:val="1E884D18"/>
    <w:rsid w:val="1ED8781E"/>
    <w:rsid w:val="1EDD3235"/>
    <w:rsid w:val="1EE7283A"/>
    <w:rsid w:val="1F0B3813"/>
    <w:rsid w:val="1F1102B0"/>
    <w:rsid w:val="1F2F1047"/>
    <w:rsid w:val="1F43381C"/>
    <w:rsid w:val="1F7D6A3D"/>
    <w:rsid w:val="1FA4148D"/>
    <w:rsid w:val="1FC10FAB"/>
    <w:rsid w:val="1FC65577"/>
    <w:rsid w:val="1FD82385"/>
    <w:rsid w:val="20121621"/>
    <w:rsid w:val="201636E2"/>
    <w:rsid w:val="202E3F6D"/>
    <w:rsid w:val="2032134B"/>
    <w:rsid w:val="20325F7E"/>
    <w:rsid w:val="204778E7"/>
    <w:rsid w:val="204E554F"/>
    <w:rsid w:val="20546774"/>
    <w:rsid w:val="20590035"/>
    <w:rsid w:val="207B4905"/>
    <w:rsid w:val="20851B47"/>
    <w:rsid w:val="20905BBC"/>
    <w:rsid w:val="209A2C3D"/>
    <w:rsid w:val="20D364EF"/>
    <w:rsid w:val="20E5011E"/>
    <w:rsid w:val="20EC52B4"/>
    <w:rsid w:val="20FC799E"/>
    <w:rsid w:val="21286DA7"/>
    <w:rsid w:val="2134683B"/>
    <w:rsid w:val="21612375"/>
    <w:rsid w:val="21C82E72"/>
    <w:rsid w:val="21CA2254"/>
    <w:rsid w:val="21DE0801"/>
    <w:rsid w:val="21DE339D"/>
    <w:rsid w:val="22154DDD"/>
    <w:rsid w:val="221D4DB5"/>
    <w:rsid w:val="22336873"/>
    <w:rsid w:val="22396826"/>
    <w:rsid w:val="225471A3"/>
    <w:rsid w:val="225E34DC"/>
    <w:rsid w:val="227D1295"/>
    <w:rsid w:val="229B678A"/>
    <w:rsid w:val="22AB3B7D"/>
    <w:rsid w:val="22AF3A08"/>
    <w:rsid w:val="22F92F75"/>
    <w:rsid w:val="236434A2"/>
    <w:rsid w:val="239634D6"/>
    <w:rsid w:val="23BB4E7D"/>
    <w:rsid w:val="23C172D6"/>
    <w:rsid w:val="23CB1286"/>
    <w:rsid w:val="23D77537"/>
    <w:rsid w:val="23E6195D"/>
    <w:rsid w:val="23F04F64"/>
    <w:rsid w:val="23F06FE5"/>
    <w:rsid w:val="242654AA"/>
    <w:rsid w:val="24814CBE"/>
    <w:rsid w:val="24AC168B"/>
    <w:rsid w:val="24BB6664"/>
    <w:rsid w:val="24EC64CB"/>
    <w:rsid w:val="250E1318"/>
    <w:rsid w:val="25103738"/>
    <w:rsid w:val="253F46D8"/>
    <w:rsid w:val="254D0389"/>
    <w:rsid w:val="25724B1D"/>
    <w:rsid w:val="25884C5D"/>
    <w:rsid w:val="258C3BEC"/>
    <w:rsid w:val="25A03144"/>
    <w:rsid w:val="25B2479F"/>
    <w:rsid w:val="25C15C5D"/>
    <w:rsid w:val="25CC175F"/>
    <w:rsid w:val="25D329B9"/>
    <w:rsid w:val="25E5427A"/>
    <w:rsid w:val="26276A31"/>
    <w:rsid w:val="26366F9D"/>
    <w:rsid w:val="263B1230"/>
    <w:rsid w:val="2642752B"/>
    <w:rsid w:val="26485508"/>
    <w:rsid w:val="26554808"/>
    <w:rsid w:val="265C6F87"/>
    <w:rsid w:val="265E685B"/>
    <w:rsid w:val="26607D95"/>
    <w:rsid w:val="26700955"/>
    <w:rsid w:val="2671127C"/>
    <w:rsid w:val="26A16AE9"/>
    <w:rsid w:val="26A605D9"/>
    <w:rsid w:val="26A8266F"/>
    <w:rsid w:val="26AD0500"/>
    <w:rsid w:val="26B121A3"/>
    <w:rsid w:val="26E464C3"/>
    <w:rsid w:val="27076787"/>
    <w:rsid w:val="272E3097"/>
    <w:rsid w:val="272E6F74"/>
    <w:rsid w:val="273B7A3B"/>
    <w:rsid w:val="27541040"/>
    <w:rsid w:val="277E6655"/>
    <w:rsid w:val="2780046C"/>
    <w:rsid w:val="27933DEA"/>
    <w:rsid w:val="27B36A67"/>
    <w:rsid w:val="27BE5E11"/>
    <w:rsid w:val="27D9633F"/>
    <w:rsid w:val="27F531EF"/>
    <w:rsid w:val="280B2E27"/>
    <w:rsid w:val="281E404F"/>
    <w:rsid w:val="28302479"/>
    <w:rsid w:val="2846581F"/>
    <w:rsid w:val="284A5CA4"/>
    <w:rsid w:val="286550ED"/>
    <w:rsid w:val="286602C8"/>
    <w:rsid w:val="28665C95"/>
    <w:rsid w:val="28736F5F"/>
    <w:rsid w:val="28B01D1E"/>
    <w:rsid w:val="28C2628C"/>
    <w:rsid w:val="28CC3373"/>
    <w:rsid w:val="28F47F99"/>
    <w:rsid w:val="28F579BA"/>
    <w:rsid w:val="290B3EB9"/>
    <w:rsid w:val="292728C1"/>
    <w:rsid w:val="294E392A"/>
    <w:rsid w:val="2950768C"/>
    <w:rsid w:val="297A5FC4"/>
    <w:rsid w:val="29916F47"/>
    <w:rsid w:val="29B51252"/>
    <w:rsid w:val="29E14657"/>
    <w:rsid w:val="29E474B8"/>
    <w:rsid w:val="29ED574B"/>
    <w:rsid w:val="29FA2D3E"/>
    <w:rsid w:val="29FE5CE6"/>
    <w:rsid w:val="2A1C2D11"/>
    <w:rsid w:val="2A225422"/>
    <w:rsid w:val="2A743AE8"/>
    <w:rsid w:val="2A8D4F8F"/>
    <w:rsid w:val="2A917B34"/>
    <w:rsid w:val="2A9308A8"/>
    <w:rsid w:val="2A9F5AB8"/>
    <w:rsid w:val="2AA50EF4"/>
    <w:rsid w:val="2AB10C99"/>
    <w:rsid w:val="2AC13AEE"/>
    <w:rsid w:val="2AD74E8C"/>
    <w:rsid w:val="2AE3766F"/>
    <w:rsid w:val="2AEC612E"/>
    <w:rsid w:val="2B0268A7"/>
    <w:rsid w:val="2B060F9E"/>
    <w:rsid w:val="2B0E56AB"/>
    <w:rsid w:val="2B51141C"/>
    <w:rsid w:val="2B590601"/>
    <w:rsid w:val="2B710DB7"/>
    <w:rsid w:val="2B7408CF"/>
    <w:rsid w:val="2B7E4054"/>
    <w:rsid w:val="2BBA6A76"/>
    <w:rsid w:val="2BCC03D1"/>
    <w:rsid w:val="2BDF1FBA"/>
    <w:rsid w:val="2C0C6D59"/>
    <w:rsid w:val="2C5B0D4B"/>
    <w:rsid w:val="2C8903AA"/>
    <w:rsid w:val="2C987C56"/>
    <w:rsid w:val="2CA156F3"/>
    <w:rsid w:val="2CC11460"/>
    <w:rsid w:val="2CC15BAA"/>
    <w:rsid w:val="2CC72A61"/>
    <w:rsid w:val="2CDC3153"/>
    <w:rsid w:val="2CDF621C"/>
    <w:rsid w:val="2CE136D7"/>
    <w:rsid w:val="2CFE7A11"/>
    <w:rsid w:val="2CFF149A"/>
    <w:rsid w:val="2D0B7638"/>
    <w:rsid w:val="2D201865"/>
    <w:rsid w:val="2D2B1461"/>
    <w:rsid w:val="2D2B6EDE"/>
    <w:rsid w:val="2D437777"/>
    <w:rsid w:val="2D4B5CEA"/>
    <w:rsid w:val="2D4C5B4C"/>
    <w:rsid w:val="2D542188"/>
    <w:rsid w:val="2D652658"/>
    <w:rsid w:val="2D964A56"/>
    <w:rsid w:val="2DC16E0A"/>
    <w:rsid w:val="2DC80C49"/>
    <w:rsid w:val="2DCA6355"/>
    <w:rsid w:val="2DE9306E"/>
    <w:rsid w:val="2E0106A6"/>
    <w:rsid w:val="2E030E17"/>
    <w:rsid w:val="2E166748"/>
    <w:rsid w:val="2E2054A0"/>
    <w:rsid w:val="2E482374"/>
    <w:rsid w:val="2E491580"/>
    <w:rsid w:val="2E556F01"/>
    <w:rsid w:val="2E8345A7"/>
    <w:rsid w:val="2E8E20B4"/>
    <w:rsid w:val="2EAA7BAE"/>
    <w:rsid w:val="2EC1207D"/>
    <w:rsid w:val="2ED06066"/>
    <w:rsid w:val="2ED1223D"/>
    <w:rsid w:val="2F000139"/>
    <w:rsid w:val="2F1B303D"/>
    <w:rsid w:val="2F3F11F4"/>
    <w:rsid w:val="2F5E0754"/>
    <w:rsid w:val="2F9F42DC"/>
    <w:rsid w:val="2FBB4121"/>
    <w:rsid w:val="2FBC2844"/>
    <w:rsid w:val="2FBE3786"/>
    <w:rsid w:val="2FC32F68"/>
    <w:rsid w:val="2FD6418B"/>
    <w:rsid w:val="2FF37AB3"/>
    <w:rsid w:val="30210B8A"/>
    <w:rsid w:val="30224DC7"/>
    <w:rsid w:val="303B4C3F"/>
    <w:rsid w:val="3073310C"/>
    <w:rsid w:val="309D6BE6"/>
    <w:rsid w:val="30AA1790"/>
    <w:rsid w:val="30EE385E"/>
    <w:rsid w:val="30F85AFE"/>
    <w:rsid w:val="31031402"/>
    <w:rsid w:val="31170995"/>
    <w:rsid w:val="31264A30"/>
    <w:rsid w:val="312651F8"/>
    <w:rsid w:val="31862EE3"/>
    <w:rsid w:val="31884E67"/>
    <w:rsid w:val="31A0275E"/>
    <w:rsid w:val="31A67308"/>
    <w:rsid w:val="31B91526"/>
    <w:rsid w:val="31BA7402"/>
    <w:rsid w:val="31EF0041"/>
    <w:rsid w:val="320107F5"/>
    <w:rsid w:val="324175CB"/>
    <w:rsid w:val="326A0524"/>
    <w:rsid w:val="327B7EDF"/>
    <w:rsid w:val="3287160E"/>
    <w:rsid w:val="32AB70C5"/>
    <w:rsid w:val="32EF2122"/>
    <w:rsid w:val="32F17F41"/>
    <w:rsid w:val="332038B4"/>
    <w:rsid w:val="33247607"/>
    <w:rsid w:val="333014B0"/>
    <w:rsid w:val="335D0AF5"/>
    <w:rsid w:val="336917EF"/>
    <w:rsid w:val="336B2EA4"/>
    <w:rsid w:val="336B3E67"/>
    <w:rsid w:val="3370088C"/>
    <w:rsid w:val="33872039"/>
    <w:rsid w:val="339A687B"/>
    <w:rsid w:val="33DC2F78"/>
    <w:rsid w:val="33FE1596"/>
    <w:rsid w:val="3428227C"/>
    <w:rsid w:val="343230D5"/>
    <w:rsid w:val="3439428E"/>
    <w:rsid w:val="34571EF7"/>
    <w:rsid w:val="347918A5"/>
    <w:rsid w:val="34802E4C"/>
    <w:rsid w:val="349D37D5"/>
    <w:rsid w:val="34A61BDE"/>
    <w:rsid w:val="34B561E0"/>
    <w:rsid w:val="34BB7B5F"/>
    <w:rsid w:val="3522586C"/>
    <w:rsid w:val="35572473"/>
    <w:rsid w:val="35602226"/>
    <w:rsid w:val="356B72E7"/>
    <w:rsid w:val="356D2AC8"/>
    <w:rsid w:val="3572424F"/>
    <w:rsid w:val="35734CF3"/>
    <w:rsid w:val="35866014"/>
    <w:rsid w:val="359E5CE0"/>
    <w:rsid w:val="35AB75E3"/>
    <w:rsid w:val="35D275C3"/>
    <w:rsid w:val="35E50FBB"/>
    <w:rsid w:val="362B215D"/>
    <w:rsid w:val="366666CA"/>
    <w:rsid w:val="367070F4"/>
    <w:rsid w:val="367801A9"/>
    <w:rsid w:val="36807FCC"/>
    <w:rsid w:val="36AD519D"/>
    <w:rsid w:val="36B57705"/>
    <w:rsid w:val="36B93E53"/>
    <w:rsid w:val="36DC1DD3"/>
    <w:rsid w:val="36F3711D"/>
    <w:rsid w:val="36FC25DD"/>
    <w:rsid w:val="37090CD6"/>
    <w:rsid w:val="37122320"/>
    <w:rsid w:val="3754697A"/>
    <w:rsid w:val="37636A21"/>
    <w:rsid w:val="377C03A4"/>
    <w:rsid w:val="37A103ED"/>
    <w:rsid w:val="37A367C3"/>
    <w:rsid w:val="37BD33EE"/>
    <w:rsid w:val="37E02B23"/>
    <w:rsid w:val="37E345A6"/>
    <w:rsid w:val="37EA5E6E"/>
    <w:rsid w:val="37EC6A58"/>
    <w:rsid w:val="37FB2268"/>
    <w:rsid w:val="37FF016F"/>
    <w:rsid w:val="382A6E2D"/>
    <w:rsid w:val="386E4145"/>
    <w:rsid w:val="387C5ABE"/>
    <w:rsid w:val="38883C0B"/>
    <w:rsid w:val="38B66D0C"/>
    <w:rsid w:val="38BC570D"/>
    <w:rsid w:val="38D41643"/>
    <w:rsid w:val="38EB6119"/>
    <w:rsid w:val="39044996"/>
    <w:rsid w:val="390476D2"/>
    <w:rsid w:val="39243934"/>
    <w:rsid w:val="392C6D9B"/>
    <w:rsid w:val="393B020C"/>
    <w:rsid w:val="39506E15"/>
    <w:rsid w:val="396678D9"/>
    <w:rsid w:val="39790BE6"/>
    <w:rsid w:val="397A0ADB"/>
    <w:rsid w:val="39844799"/>
    <w:rsid w:val="39954B2B"/>
    <w:rsid w:val="39DA2245"/>
    <w:rsid w:val="39E66E3B"/>
    <w:rsid w:val="39FD4CC2"/>
    <w:rsid w:val="3A51228C"/>
    <w:rsid w:val="3A545E48"/>
    <w:rsid w:val="3A552E60"/>
    <w:rsid w:val="3A5D642F"/>
    <w:rsid w:val="3A744447"/>
    <w:rsid w:val="3A78219D"/>
    <w:rsid w:val="3A995C5C"/>
    <w:rsid w:val="3AB210FC"/>
    <w:rsid w:val="3ADB7381"/>
    <w:rsid w:val="3AF04A37"/>
    <w:rsid w:val="3B043A1D"/>
    <w:rsid w:val="3B1E01C3"/>
    <w:rsid w:val="3B3B0AB4"/>
    <w:rsid w:val="3B3E5B8A"/>
    <w:rsid w:val="3B793A48"/>
    <w:rsid w:val="3B7E3699"/>
    <w:rsid w:val="3B85393E"/>
    <w:rsid w:val="3BB371F1"/>
    <w:rsid w:val="3BCA4B8A"/>
    <w:rsid w:val="3BCD72F7"/>
    <w:rsid w:val="3BFC2F5F"/>
    <w:rsid w:val="3C37146A"/>
    <w:rsid w:val="3C3D3625"/>
    <w:rsid w:val="3C414142"/>
    <w:rsid w:val="3C5B725E"/>
    <w:rsid w:val="3C84047F"/>
    <w:rsid w:val="3C88055A"/>
    <w:rsid w:val="3C9E57AB"/>
    <w:rsid w:val="3CAF79B9"/>
    <w:rsid w:val="3CB35097"/>
    <w:rsid w:val="3CF737A2"/>
    <w:rsid w:val="3D10295A"/>
    <w:rsid w:val="3D184041"/>
    <w:rsid w:val="3D370C2A"/>
    <w:rsid w:val="3D414FC0"/>
    <w:rsid w:val="3D4F12A7"/>
    <w:rsid w:val="3D5D5FB0"/>
    <w:rsid w:val="3D7B5F78"/>
    <w:rsid w:val="3D7D049C"/>
    <w:rsid w:val="3DE063BD"/>
    <w:rsid w:val="3DE20EAE"/>
    <w:rsid w:val="3DEF3701"/>
    <w:rsid w:val="3E0572FD"/>
    <w:rsid w:val="3E0720FE"/>
    <w:rsid w:val="3E2819F6"/>
    <w:rsid w:val="3E287A22"/>
    <w:rsid w:val="3E5A7FE7"/>
    <w:rsid w:val="3E7D40EF"/>
    <w:rsid w:val="3E955A6A"/>
    <w:rsid w:val="3E964D81"/>
    <w:rsid w:val="3EA03A5D"/>
    <w:rsid w:val="3ED907E0"/>
    <w:rsid w:val="3EF66B2E"/>
    <w:rsid w:val="3F217914"/>
    <w:rsid w:val="3F3643C1"/>
    <w:rsid w:val="3FD10810"/>
    <w:rsid w:val="3FD70BB0"/>
    <w:rsid w:val="3FFB2F15"/>
    <w:rsid w:val="3FFB55AC"/>
    <w:rsid w:val="40017152"/>
    <w:rsid w:val="401C5F9D"/>
    <w:rsid w:val="401C690C"/>
    <w:rsid w:val="401D7195"/>
    <w:rsid w:val="405C1C05"/>
    <w:rsid w:val="407A652F"/>
    <w:rsid w:val="40825D97"/>
    <w:rsid w:val="40836C36"/>
    <w:rsid w:val="40870EA3"/>
    <w:rsid w:val="409928E7"/>
    <w:rsid w:val="40997CFE"/>
    <w:rsid w:val="40C34607"/>
    <w:rsid w:val="40CE3DC0"/>
    <w:rsid w:val="40D7455A"/>
    <w:rsid w:val="40E743E5"/>
    <w:rsid w:val="40EB4012"/>
    <w:rsid w:val="41075C9E"/>
    <w:rsid w:val="410A1661"/>
    <w:rsid w:val="412D5EA0"/>
    <w:rsid w:val="415A62F5"/>
    <w:rsid w:val="416D78C7"/>
    <w:rsid w:val="41734CBA"/>
    <w:rsid w:val="417F4E1A"/>
    <w:rsid w:val="418B0C8A"/>
    <w:rsid w:val="41A82190"/>
    <w:rsid w:val="41DE5999"/>
    <w:rsid w:val="41E1181A"/>
    <w:rsid w:val="41E32A20"/>
    <w:rsid w:val="41FA3241"/>
    <w:rsid w:val="420F7A65"/>
    <w:rsid w:val="4216611A"/>
    <w:rsid w:val="422E62A5"/>
    <w:rsid w:val="42321B6A"/>
    <w:rsid w:val="423E300F"/>
    <w:rsid w:val="425656C8"/>
    <w:rsid w:val="4257273C"/>
    <w:rsid w:val="42687ACE"/>
    <w:rsid w:val="4270145E"/>
    <w:rsid w:val="429E6041"/>
    <w:rsid w:val="42BF4B02"/>
    <w:rsid w:val="42FD694D"/>
    <w:rsid w:val="43034DFA"/>
    <w:rsid w:val="437D6687"/>
    <w:rsid w:val="438351F5"/>
    <w:rsid w:val="438D35EA"/>
    <w:rsid w:val="43BC1E57"/>
    <w:rsid w:val="43D23F8D"/>
    <w:rsid w:val="43D43F1D"/>
    <w:rsid w:val="43FA5777"/>
    <w:rsid w:val="44023422"/>
    <w:rsid w:val="44184A2D"/>
    <w:rsid w:val="441C1611"/>
    <w:rsid w:val="44290050"/>
    <w:rsid w:val="443C440B"/>
    <w:rsid w:val="44514F52"/>
    <w:rsid w:val="446F16D3"/>
    <w:rsid w:val="44761C8F"/>
    <w:rsid w:val="449722E3"/>
    <w:rsid w:val="449D7B09"/>
    <w:rsid w:val="44AE3FD4"/>
    <w:rsid w:val="44CD30D2"/>
    <w:rsid w:val="44D0586F"/>
    <w:rsid w:val="44FA2D53"/>
    <w:rsid w:val="45390767"/>
    <w:rsid w:val="453C4912"/>
    <w:rsid w:val="45687813"/>
    <w:rsid w:val="4571374F"/>
    <w:rsid w:val="458B1BB0"/>
    <w:rsid w:val="45A41560"/>
    <w:rsid w:val="45AD31D6"/>
    <w:rsid w:val="45B93426"/>
    <w:rsid w:val="45CF1361"/>
    <w:rsid w:val="45F82CE7"/>
    <w:rsid w:val="464C6420"/>
    <w:rsid w:val="46552F9B"/>
    <w:rsid w:val="466F7C95"/>
    <w:rsid w:val="467A0297"/>
    <w:rsid w:val="468679DC"/>
    <w:rsid w:val="468B7125"/>
    <w:rsid w:val="46B506EF"/>
    <w:rsid w:val="46C4691F"/>
    <w:rsid w:val="46C525FE"/>
    <w:rsid w:val="46CB53EF"/>
    <w:rsid w:val="46EE513F"/>
    <w:rsid w:val="470F5A71"/>
    <w:rsid w:val="473154FF"/>
    <w:rsid w:val="47685427"/>
    <w:rsid w:val="476C4065"/>
    <w:rsid w:val="4779499C"/>
    <w:rsid w:val="477B6530"/>
    <w:rsid w:val="47801172"/>
    <w:rsid w:val="479D1D34"/>
    <w:rsid w:val="47B609C0"/>
    <w:rsid w:val="47CB3D17"/>
    <w:rsid w:val="47EC3B04"/>
    <w:rsid w:val="47EC6277"/>
    <w:rsid w:val="47F71AA4"/>
    <w:rsid w:val="48021483"/>
    <w:rsid w:val="481A219B"/>
    <w:rsid w:val="482D31EA"/>
    <w:rsid w:val="483F7A5A"/>
    <w:rsid w:val="48447D02"/>
    <w:rsid w:val="485853A8"/>
    <w:rsid w:val="485970A0"/>
    <w:rsid w:val="486A6E89"/>
    <w:rsid w:val="48823516"/>
    <w:rsid w:val="48877686"/>
    <w:rsid w:val="488B498B"/>
    <w:rsid w:val="48B176C2"/>
    <w:rsid w:val="48B65C71"/>
    <w:rsid w:val="48D550F0"/>
    <w:rsid w:val="48FB1909"/>
    <w:rsid w:val="491F266E"/>
    <w:rsid w:val="492E6A57"/>
    <w:rsid w:val="495839AA"/>
    <w:rsid w:val="49700A6F"/>
    <w:rsid w:val="49771AFE"/>
    <w:rsid w:val="49802948"/>
    <w:rsid w:val="4986089F"/>
    <w:rsid w:val="498B5309"/>
    <w:rsid w:val="499F0AAB"/>
    <w:rsid w:val="49C154CE"/>
    <w:rsid w:val="49C33FF5"/>
    <w:rsid w:val="49DB11EC"/>
    <w:rsid w:val="49E31DD1"/>
    <w:rsid w:val="4A0030EE"/>
    <w:rsid w:val="4A0568D6"/>
    <w:rsid w:val="4A0C4F3C"/>
    <w:rsid w:val="4A162478"/>
    <w:rsid w:val="4A171EC9"/>
    <w:rsid w:val="4A1A1689"/>
    <w:rsid w:val="4A1D4B49"/>
    <w:rsid w:val="4A484D41"/>
    <w:rsid w:val="4A6D15F8"/>
    <w:rsid w:val="4A7617B6"/>
    <w:rsid w:val="4A8C4FB8"/>
    <w:rsid w:val="4A9A25BD"/>
    <w:rsid w:val="4A9E0551"/>
    <w:rsid w:val="4AB542AE"/>
    <w:rsid w:val="4AF72FEA"/>
    <w:rsid w:val="4B1477B3"/>
    <w:rsid w:val="4B1F062C"/>
    <w:rsid w:val="4B243D9D"/>
    <w:rsid w:val="4B281425"/>
    <w:rsid w:val="4B6F66A1"/>
    <w:rsid w:val="4B85213F"/>
    <w:rsid w:val="4B8C2DEB"/>
    <w:rsid w:val="4B966D92"/>
    <w:rsid w:val="4BFA3C9F"/>
    <w:rsid w:val="4BFA7F6C"/>
    <w:rsid w:val="4C107F48"/>
    <w:rsid w:val="4C3117D0"/>
    <w:rsid w:val="4C3277BC"/>
    <w:rsid w:val="4C5C442D"/>
    <w:rsid w:val="4C6D42A9"/>
    <w:rsid w:val="4C716A38"/>
    <w:rsid w:val="4CC0351C"/>
    <w:rsid w:val="4CC353EB"/>
    <w:rsid w:val="4CE64E14"/>
    <w:rsid w:val="4CE95EE5"/>
    <w:rsid w:val="4CF36F3C"/>
    <w:rsid w:val="4D007BC8"/>
    <w:rsid w:val="4D0602E5"/>
    <w:rsid w:val="4D1470BD"/>
    <w:rsid w:val="4D154882"/>
    <w:rsid w:val="4D1C3C50"/>
    <w:rsid w:val="4D603399"/>
    <w:rsid w:val="4D6A7284"/>
    <w:rsid w:val="4D6E30E1"/>
    <w:rsid w:val="4D867EE1"/>
    <w:rsid w:val="4D9C1BAA"/>
    <w:rsid w:val="4DBC1F35"/>
    <w:rsid w:val="4DBC4C65"/>
    <w:rsid w:val="4DC9105D"/>
    <w:rsid w:val="4DE2009B"/>
    <w:rsid w:val="4DF86974"/>
    <w:rsid w:val="4E0F235E"/>
    <w:rsid w:val="4E157689"/>
    <w:rsid w:val="4E471216"/>
    <w:rsid w:val="4E533FA5"/>
    <w:rsid w:val="4E550010"/>
    <w:rsid w:val="4E5F14CB"/>
    <w:rsid w:val="4E6808B0"/>
    <w:rsid w:val="4E780BC4"/>
    <w:rsid w:val="4EBA42F2"/>
    <w:rsid w:val="4EC00DDD"/>
    <w:rsid w:val="4ED908C5"/>
    <w:rsid w:val="4EE51069"/>
    <w:rsid w:val="4EF265BE"/>
    <w:rsid w:val="4EFB1C45"/>
    <w:rsid w:val="4F0C2A48"/>
    <w:rsid w:val="4F212511"/>
    <w:rsid w:val="4F26273B"/>
    <w:rsid w:val="4F2D3A8A"/>
    <w:rsid w:val="4F32478A"/>
    <w:rsid w:val="4F3705F8"/>
    <w:rsid w:val="4F442421"/>
    <w:rsid w:val="4F5D292B"/>
    <w:rsid w:val="4F722D99"/>
    <w:rsid w:val="4F913A9A"/>
    <w:rsid w:val="4F9714A0"/>
    <w:rsid w:val="4FAA3F91"/>
    <w:rsid w:val="4FAC3540"/>
    <w:rsid w:val="4FCE45D5"/>
    <w:rsid w:val="4FCF1583"/>
    <w:rsid w:val="4FD23E66"/>
    <w:rsid w:val="4FD44D1B"/>
    <w:rsid w:val="4FDC066D"/>
    <w:rsid w:val="4FE60DE1"/>
    <w:rsid w:val="4FFA7625"/>
    <w:rsid w:val="50453E7E"/>
    <w:rsid w:val="50594CF7"/>
    <w:rsid w:val="507D2599"/>
    <w:rsid w:val="508D31AF"/>
    <w:rsid w:val="508D37BE"/>
    <w:rsid w:val="5096229D"/>
    <w:rsid w:val="509E157D"/>
    <w:rsid w:val="50A6165E"/>
    <w:rsid w:val="50DC4184"/>
    <w:rsid w:val="50E253E0"/>
    <w:rsid w:val="50FB6146"/>
    <w:rsid w:val="512F4CA0"/>
    <w:rsid w:val="51361FFF"/>
    <w:rsid w:val="513D4C38"/>
    <w:rsid w:val="514C3EA7"/>
    <w:rsid w:val="51AC4D00"/>
    <w:rsid w:val="51FF3C99"/>
    <w:rsid w:val="522A20E4"/>
    <w:rsid w:val="52363D4D"/>
    <w:rsid w:val="524A2AC9"/>
    <w:rsid w:val="52521A20"/>
    <w:rsid w:val="528604EC"/>
    <w:rsid w:val="529E2C3A"/>
    <w:rsid w:val="52AC4ABC"/>
    <w:rsid w:val="52C201B9"/>
    <w:rsid w:val="52E57A12"/>
    <w:rsid w:val="52F20B62"/>
    <w:rsid w:val="531C4FCC"/>
    <w:rsid w:val="53827E49"/>
    <w:rsid w:val="538A6BB9"/>
    <w:rsid w:val="539964FD"/>
    <w:rsid w:val="539C1B81"/>
    <w:rsid w:val="539D7755"/>
    <w:rsid w:val="53A447B1"/>
    <w:rsid w:val="53AE750F"/>
    <w:rsid w:val="53D224B3"/>
    <w:rsid w:val="53F81D96"/>
    <w:rsid w:val="541D5DE8"/>
    <w:rsid w:val="541F57C4"/>
    <w:rsid w:val="544B5214"/>
    <w:rsid w:val="546F523C"/>
    <w:rsid w:val="54782FBD"/>
    <w:rsid w:val="547A6C42"/>
    <w:rsid w:val="547C4479"/>
    <w:rsid w:val="5483138F"/>
    <w:rsid w:val="5488523A"/>
    <w:rsid w:val="549A6BFA"/>
    <w:rsid w:val="54C341E7"/>
    <w:rsid w:val="54D933CD"/>
    <w:rsid w:val="55046EB5"/>
    <w:rsid w:val="551751CF"/>
    <w:rsid w:val="5522558F"/>
    <w:rsid w:val="55244D7F"/>
    <w:rsid w:val="55305397"/>
    <w:rsid w:val="55362287"/>
    <w:rsid w:val="55432F3C"/>
    <w:rsid w:val="55A37FFD"/>
    <w:rsid w:val="55A82B13"/>
    <w:rsid w:val="55AE22F1"/>
    <w:rsid w:val="55C24149"/>
    <w:rsid w:val="55C3227E"/>
    <w:rsid w:val="55CE1AA9"/>
    <w:rsid w:val="55F6381F"/>
    <w:rsid w:val="55FA2961"/>
    <w:rsid w:val="5602250F"/>
    <w:rsid w:val="56041FEA"/>
    <w:rsid w:val="564220BA"/>
    <w:rsid w:val="565E7F4F"/>
    <w:rsid w:val="565F3DA6"/>
    <w:rsid w:val="56914056"/>
    <w:rsid w:val="56B61E36"/>
    <w:rsid w:val="56C36589"/>
    <w:rsid w:val="570D55B0"/>
    <w:rsid w:val="57250D60"/>
    <w:rsid w:val="57293C95"/>
    <w:rsid w:val="572A6381"/>
    <w:rsid w:val="572B41B4"/>
    <w:rsid w:val="57365868"/>
    <w:rsid w:val="573C1959"/>
    <w:rsid w:val="57554571"/>
    <w:rsid w:val="57E93043"/>
    <w:rsid w:val="57F65317"/>
    <w:rsid w:val="57FA0A66"/>
    <w:rsid w:val="57FC2169"/>
    <w:rsid w:val="58024015"/>
    <w:rsid w:val="58096275"/>
    <w:rsid w:val="5819544F"/>
    <w:rsid w:val="582D6D32"/>
    <w:rsid w:val="582E6EF7"/>
    <w:rsid w:val="584E30E6"/>
    <w:rsid w:val="58546EFD"/>
    <w:rsid w:val="5881703E"/>
    <w:rsid w:val="58E26731"/>
    <w:rsid w:val="58EB1371"/>
    <w:rsid w:val="59091D98"/>
    <w:rsid w:val="590E4A97"/>
    <w:rsid w:val="591250FF"/>
    <w:rsid w:val="591E1CF6"/>
    <w:rsid w:val="5920012C"/>
    <w:rsid w:val="593700E7"/>
    <w:rsid w:val="595578DE"/>
    <w:rsid w:val="597B384D"/>
    <w:rsid w:val="59996DA8"/>
    <w:rsid w:val="59C30F1B"/>
    <w:rsid w:val="59CE4759"/>
    <w:rsid w:val="59D90B78"/>
    <w:rsid w:val="5A814766"/>
    <w:rsid w:val="5A822978"/>
    <w:rsid w:val="5A8C20D0"/>
    <w:rsid w:val="5ABC29E4"/>
    <w:rsid w:val="5AC7121C"/>
    <w:rsid w:val="5AD6713C"/>
    <w:rsid w:val="5AD90B8D"/>
    <w:rsid w:val="5AE12927"/>
    <w:rsid w:val="5AE35472"/>
    <w:rsid w:val="5AF41CF3"/>
    <w:rsid w:val="5AF87CC9"/>
    <w:rsid w:val="5B07329F"/>
    <w:rsid w:val="5B4E1A44"/>
    <w:rsid w:val="5B873201"/>
    <w:rsid w:val="5B967767"/>
    <w:rsid w:val="5B9D1624"/>
    <w:rsid w:val="5BA2386D"/>
    <w:rsid w:val="5BBF73E2"/>
    <w:rsid w:val="5BEE5378"/>
    <w:rsid w:val="5C0C2FF6"/>
    <w:rsid w:val="5C1241CC"/>
    <w:rsid w:val="5C286807"/>
    <w:rsid w:val="5C34339E"/>
    <w:rsid w:val="5C355656"/>
    <w:rsid w:val="5C370E72"/>
    <w:rsid w:val="5C446BC8"/>
    <w:rsid w:val="5C4B56E1"/>
    <w:rsid w:val="5C6A7000"/>
    <w:rsid w:val="5C7146B1"/>
    <w:rsid w:val="5C72307C"/>
    <w:rsid w:val="5C7C2768"/>
    <w:rsid w:val="5CAD3BC1"/>
    <w:rsid w:val="5CAE62DC"/>
    <w:rsid w:val="5CB23AE6"/>
    <w:rsid w:val="5CED5863"/>
    <w:rsid w:val="5CF41904"/>
    <w:rsid w:val="5D0D6DF5"/>
    <w:rsid w:val="5D4A5E05"/>
    <w:rsid w:val="5D580A8A"/>
    <w:rsid w:val="5D7E6D71"/>
    <w:rsid w:val="5D893B14"/>
    <w:rsid w:val="5DB42C29"/>
    <w:rsid w:val="5E1219F7"/>
    <w:rsid w:val="5E170F74"/>
    <w:rsid w:val="5E18541D"/>
    <w:rsid w:val="5E291636"/>
    <w:rsid w:val="5E48511F"/>
    <w:rsid w:val="5E655B72"/>
    <w:rsid w:val="5E8B0770"/>
    <w:rsid w:val="5EA06921"/>
    <w:rsid w:val="5EB05FA4"/>
    <w:rsid w:val="5EBA259F"/>
    <w:rsid w:val="5EBF3EFF"/>
    <w:rsid w:val="5ED71142"/>
    <w:rsid w:val="5EE1082B"/>
    <w:rsid w:val="5EE97BB4"/>
    <w:rsid w:val="5EF55BC9"/>
    <w:rsid w:val="5EFD48FF"/>
    <w:rsid w:val="5F085DDA"/>
    <w:rsid w:val="5F0C446A"/>
    <w:rsid w:val="5F2E2D52"/>
    <w:rsid w:val="5F5226F9"/>
    <w:rsid w:val="5F54198B"/>
    <w:rsid w:val="5F6C74C2"/>
    <w:rsid w:val="5F9D1350"/>
    <w:rsid w:val="5FA44AD1"/>
    <w:rsid w:val="5FBE370A"/>
    <w:rsid w:val="5FC61F2E"/>
    <w:rsid w:val="5FC83407"/>
    <w:rsid w:val="5FD56E87"/>
    <w:rsid w:val="5FF0558C"/>
    <w:rsid w:val="60015A45"/>
    <w:rsid w:val="601A27F4"/>
    <w:rsid w:val="60292845"/>
    <w:rsid w:val="606F2632"/>
    <w:rsid w:val="6071543B"/>
    <w:rsid w:val="607921FE"/>
    <w:rsid w:val="607E12CC"/>
    <w:rsid w:val="608F62AE"/>
    <w:rsid w:val="60B9251B"/>
    <w:rsid w:val="60E236C1"/>
    <w:rsid w:val="60E37983"/>
    <w:rsid w:val="6102736C"/>
    <w:rsid w:val="61260B6B"/>
    <w:rsid w:val="612B3ABB"/>
    <w:rsid w:val="612E1A5D"/>
    <w:rsid w:val="614E5D7E"/>
    <w:rsid w:val="61596D72"/>
    <w:rsid w:val="61816046"/>
    <w:rsid w:val="61BD04E4"/>
    <w:rsid w:val="61C81AB1"/>
    <w:rsid w:val="620B0059"/>
    <w:rsid w:val="62391564"/>
    <w:rsid w:val="624A22BE"/>
    <w:rsid w:val="6263230B"/>
    <w:rsid w:val="626E235A"/>
    <w:rsid w:val="626F60D5"/>
    <w:rsid w:val="62816669"/>
    <w:rsid w:val="6282086D"/>
    <w:rsid w:val="629007F7"/>
    <w:rsid w:val="629372B1"/>
    <w:rsid w:val="62AB4D99"/>
    <w:rsid w:val="62B36CD7"/>
    <w:rsid w:val="62BA0953"/>
    <w:rsid w:val="62D03A7C"/>
    <w:rsid w:val="62F42FAE"/>
    <w:rsid w:val="62F648FE"/>
    <w:rsid w:val="63167A4F"/>
    <w:rsid w:val="631D2BD6"/>
    <w:rsid w:val="635356F3"/>
    <w:rsid w:val="637D5B70"/>
    <w:rsid w:val="63825E77"/>
    <w:rsid w:val="63A10995"/>
    <w:rsid w:val="63C23EFA"/>
    <w:rsid w:val="63D255DA"/>
    <w:rsid w:val="63EB2168"/>
    <w:rsid w:val="63F854C1"/>
    <w:rsid w:val="63FB5857"/>
    <w:rsid w:val="64076B79"/>
    <w:rsid w:val="640B7654"/>
    <w:rsid w:val="640F4DEA"/>
    <w:rsid w:val="64116D46"/>
    <w:rsid w:val="643A070A"/>
    <w:rsid w:val="64410A96"/>
    <w:rsid w:val="644C573D"/>
    <w:rsid w:val="64507EFB"/>
    <w:rsid w:val="64E50EB6"/>
    <w:rsid w:val="65032F85"/>
    <w:rsid w:val="65051FBC"/>
    <w:rsid w:val="651304A7"/>
    <w:rsid w:val="65136B50"/>
    <w:rsid w:val="6531690D"/>
    <w:rsid w:val="65320485"/>
    <w:rsid w:val="655A12F3"/>
    <w:rsid w:val="657E2A35"/>
    <w:rsid w:val="65A94E9D"/>
    <w:rsid w:val="65B96B3F"/>
    <w:rsid w:val="65BE1071"/>
    <w:rsid w:val="65C60A92"/>
    <w:rsid w:val="65DB19DF"/>
    <w:rsid w:val="660451CE"/>
    <w:rsid w:val="664B3BEB"/>
    <w:rsid w:val="665346B7"/>
    <w:rsid w:val="667C7CCE"/>
    <w:rsid w:val="66A12460"/>
    <w:rsid w:val="66BE2423"/>
    <w:rsid w:val="66DD6702"/>
    <w:rsid w:val="66E856F1"/>
    <w:rsid w:val="66FB0BAD"/>
    <w:rsid w:val="671B1623"/>
    <w:rsid w:val="671E6EBA"/>
    <w:rsid w:val="6731269C"/>
    <w:rsid w:val="675352AA"/>
    <w:rsid w:val="6759400B"/>
    <w:rsid w:val="675E528D"/>
    <w:rsid w:val="676C598C"/>
    <w:rsid w:val="67966EFB"/>
    <w:rsid w:val="679E7FA1"/>
    <w:rsid w:val="67A32389"/>
    <w:rsid w:val="67B768D0"/>
    <w:rsid w:val="67C779FD"/>
    <w:rsid w:val="67C85DAF"/>
    <w:rsid w:val="68281CFE"/>
    <w:rsid w:val="682A2352"/>
    <w:rsid w:val="682A2630"/>
    <w:rsid w:val="682D5AB2"/>
    <w:rsid w:val="682E4A5B"/>
    <w:rsid w:val="682E7AFD"/>
    <w:rsid w:val="68707071"/>
    <w:rsid w:val="687A4379"/>
    <w:rsid w:val="687B015C"/>
    <w:rsid w:val="687E3889"/>
    <w:rsid w:val="6884222C"/>
    <w:rsid w:val="68A957C8"/>
    <w:rsid w:val="68AD17BB"/>
    <w:rsid w:val="68D6620B"/>
    <w:rsid w:val="68D94D22"/>
    <w:rsid w:val="68F06F2B"/>
    <w:rsid w:val="69011241"/>
    <w:rsid w:val="691116B1"/>
    <w:rsid w:val="692B2E4A"/>
    <w:rsid w:val="696A0B34"/>
    <w:rsid w:val="697D65C5"/>
    <w:rsid w:val="69821807"/>
    <w:rsid w:val="698D6A17"/>
    <w:rsid w:val="699026E3"/>
    <w:rsid w:val="69987E08"/>
    <w:rsid w:val="699E0BED"/>
    <w:rsid w:val="699F0522"/>
    <w:rsid w:val="69D37590"/>
    <w:rsid w:val="69F954C1"/>
    <w:rsid w:val="6A1260FA"/>
    <w:rsid w:val="6A1E1E73"/>
    <w:rsid w:val="6A2031B6"/>
    <w:rsid w:val="6A2F57D7"/>
    <w:rsid w:val="6A3924BB"/>
    <w:rsid w:val="6A3C1D40"/>
    <w:rsid w:val="6A6432E1"/>
    <w:rsid w:val="6AA23DFF"/>
    <w:rsid w:val="6AAA6F38"/>
    <w:rsid w:val="6AC61F6F"/>
    <w:rsid w:val="6AD34E53"/>
    <w:rsid w:val="6AD83EA1"/>
    <w:rsid w:val="6ADE74F0"/>
    <w:rsid w:val="6B1D62E8"/>
    <w:rsid w:val="6B667183"/>
    <w:rsid w:val="6B723594"/>
    <w:rsid w:val="6B796937"/>
    <w:rsid w:val="6B805156"/>
    <w:rsid w:val="6B945E48"/>
    <w:rsid w:val="6B974A7B"/>
    <w:rsid w:val="6BD50977"/>
    <w:rsid w:val="6BE450D3"/>
    <w:rsid w:val="6BE60C84"/>
    <w:rsid w:val="6C4F0900"/>
    <w:rsid w:val="6C6C32E1"/>
    <w:rsid w:val="6C6E3E15"/>
    <w:rsid w:val="6C8B1F5D"/>
    <w:rsid w:val="6CA85D3A"/>
    <w:rsid w:val="6CAA3931"/>
    <w:rsid w:val="6CC93854"/>
    <w:rsid w:val="6CE2512E"/>
    <w:rsid w:val="6CEA06D7"/>
    <w:rsid w:val="6CF36E25"/>
    <w:rsid w:val="6CF70607"/>
    <w:rsid w:val="6D325918"/>
    <w:rsid w:val="6D3933CA"/>
    <w:rsid w:val="6D401810"/>
    <w:rsid w:val="6D6261FE"/>
    <w:rsid w:val="6D7B222A"/>
    <w:rsid w:val="6D7B61EC"/>
    <w:rsid w:val="6D8E03AA"/>
    <w:rsid w:val="6DBB089F"/>
    <w:rsid w:val="6DC63038"/>
    <w:rsid w:val="6DDC5608"/>
    <w:rsid w:val="6DE30DE0"/>
    <w:rsid w:val="6DE6130A"/>
    <w:rsid w:val="6E09491E"/>
    <w:rsid w:val="6E0D3655"/>
    <w:rsid w:val="6E1119D2"/>
    <w:rsid w:val="6E1A437E"/>
    <w:rsid w:val="6E3A144E"/>
    <w:rsid w:val="6E5606D3"/>
    <w:rsid w:val="6E5F4465"/>
    <w:rsid w:val="6E8B1663"/>
    <w:rsid w:val="6E8C54DA"/>
    <w:rsid w:val="6EB752BD"/>
    <w:rsid w:val="6EF11E03"/>
    <w:rsid w:val="6EF1241D"/>
    <w:rsid w:val="6EF82916"/>
    <w:rsid w:val="6F0B2DE7"/>
    <w:rsid w:val="6F111C62"/>
    <w:rsid w:val="6F2176E5"/>
    <w:rsid w:val="6F3A2A5F"/>
    <w:rsid w:val="6F4F7F03"/>
    <w:rsid w:val="6F5523A2"/>
    <w:rsid w:val="6F592303"/>
    <w:rsid w:val="6F5F5B74"/>
    <w:rsid w:val="6F682400"/>
    <w:rsid w:val="6F9600A4"/>
    <w:rsid w:val="6F98032D"/>
    <w:rsid w:val="6F9B1C65"/>
    <w:rsid w:val="6FA44937"/>
    <w:rsid w:val="6FAD3FB9"/>
    <w:rsid w:val="6FE82C9C"/>
    <w:rsid w:val="6FFB146E"/>
    <w:rsid w:val="70104BD7"/>
    <w:rsid w:val="70160742"/>
    <w:rsid w:val="7030610F"/>
    <w:rsid w:val="70471F20"/>
    <w:rsid w:val="70612DB4"/>
    <w:rsid w:val="706516C3"/>
    <w:rsid w:val="70660714"/>
    <w:rsid w:val="70896E68"/>
    <w:rsid w:val="708A4844"/>
    <w:rsid w:val="70C94DCA"/>
    <w:rsid w:val="70E05E9D"/>
    <w:rsid w:val="70FE7FE5"/>
    <w:rsid w:val="71073061"/>
    <w:rsid w:val="711A201F"/>
    <w:rsid w:val="71215AE9"/>
    <w:rsid w:val="712864E5"/>
    <w:rsid w:val="71396ACC"/>
    <w:rsid w:val="715B60E9"/>
    <w:rsid w:val="716F0EE9"/>
    <w:rsid w:val="7196674D"/>
    <w:rsid w:val="719E245E"/>
    <w:rsid w:val="71BA3FE5"/>
    <w:rsid w:val="71EA1FED"/>
    <w:rsid w:val="72165C6B"/>
    <w:rsid w:val="722021E3"/>
    <w:rsid w:val="72290340"/>
    <w:rsid w:val="722C6DDA"/>
    <w:rsid w:val="72515945"/>
    <w:rsid w:val="72721626"/>
    <w:rsid w:val="729243CB"/>
    <w:rsid w:val="72D15854"/>
    <w:rsid w:val="72E661B1"/>
    <w:rsid w:val="730313F6"/>
    <w:rsid w:val="730E4732"/>
    <w:rsid w:val="73370D24"/>
    <w:rsid w:val="73397FB3"/>
    <w:rsid w:val="73472C84"/>
    <w:rsid w:val="7359268C"/>
    <w:rsid w:val="735F327A"/>
    <w:rsid w:val="7366631C"/>
    <w:rsid w:val="736C263C"/>
    <w:rsid w:val="73723640"/>
    <w:rsid w:val="737311F5"/>
    <w:rsid w:val="739503EB"/>
    <w:rsid w:val="73A05B28"/>
    <w:rsid w:val="73C07D69"/>
    <w:rsid w:val="73C979D4"/>
    <w:rsid w:val="73CC2623"/>
    <w:rsid w:val="73DC335B"/>
    <w:rsid w:val="74031DBD"/>
    <w:rsid w:val="740B60EC"/>
    <w:rsid w:val="745E7D35"/>
    <w:rsid w:val="7465362D"/>
    <w:rsid w:val="7475188D"/>
    <w:rsid w:val="749E16A8"/>
    <w:rsid w:val="74B42AE4"/>
    <w:rsid w:val="74C54993"/>
    <w:rsid w:val="74D43250"/>
    <w:rsid w:val="74EB68F6"/>
    <w:rsid w:val="750802B1"/>
    <w:rsid w:val="750A429D"/>
    <w:rsid w:val="752739E7"/>
    <w:rsid w:val="75474B47"/>
    <w:rsid w:val="75533AB0"/>
    <w:rsid w:val="75614792"/>
    <w:rsid w:val="75717F13"/>
    <w:rsid w:val="75761866"/>
    <w:rsid w:val="75784473"/>
    <w:rsid w:val="75B10995"/>
    <w:rsid w:val="75B161B3"/>
    <w:rsid w:val="75B96BD7"/>
    <w:rsid w:val="75DC6C44"/>
    <w:rsid w:val="75F05CC0"/>
    <w:rsid w:val="762F6A19"/>
    <w:rsid w:val="76341B33"/>
    <w:rsid w:val="765A7B13"/>
    <w:rsid w:val="76736B32"/>
    <w:rsid w:val="76807C04"/>
    <w:rsid w:val="76AF35EE"/>
    <w:rsid w:val="76C27A74"/>
    <w:rsid w:val="76C726A5"/>
    <w:rsid w:val="76E3765E"/>
    <w:rsid w:val="76EE61BE"/>
    <w:rsid w:val="76FB4FCD"/>
    <w:rsid w:val="76FC2AFA"/>
    <w:rsid w:val="770B20B3"/>
    <w:rsid w:val="77333516"/>
    <w:rsid w:val="77527424"/>
    <w:rsid w:val="77653671"/>
    <w:rsid w:val="77707007"/>
    <w:rsid w:val="778546CC"/>
    <w:rsid w:val="778B6B46"/>
    <w:rsid w:val="77A337B9"/>
    <w:rsid w:val="77B551B3"/>
    <w:rsid w:val="77B56730"/>
    <w:rsid w:val="77B92EBE"/>
    <w:rsid w:val="77C04A8B"/>
    <w:rsid w:val="77D85DB3"/>
    <w:rsid w:val="77EB1B74"/>
    <w:rsid w:val="77EC16DB"/>
    <w:rsid w:val="782A3EA3"/>
    <w:rsid w:val="78490703"/>
    <w:rsid w:val="787038CC"/>
    <w:rsid w:val="78A50513"/>
    <w:rsid w:val="78C43087"/>
    <w:rsid w:val="78CA3838"/>
    <w:rsid w:val="78D37FAF"/>
    <w:rsid w:val="78EF7AB5"/>
    <w:rsid w:val="790D6849"/>
    <w:rsid w:val="795767E3"/>
    <w:rsid w:val="79586707"/>
    <w:rsid w:val="796518DD"/>
    <w:rsid w:val="79724BEF"/>
    <w:rsid w:val="797264AC"/>
    <w:rsid w:val="79AA0532"/>
    <w:rsid w:val="79D35D8D"/>
    <w:rsid w:val="79FA22BC"/>
    <w:rsid w:val="79FE1DDD"/>
    <w:rsid w:val="7A075767"/>
    <w:rsid w:val="7A0C15B3"/>
    <w:rsid w:val="7A212062"/>
    <w:rsid w:val="7A2522C9"/>
    <w:rsid w:val="7A282A11"/>
    <w:rsid w:val="7A3A59B8"/>
    <w:rsid w:val="7A5D0F75"/>
    <w:rsid w:val="7A5D352D"/>
    <w:rsid w:val="7A715CD2"/>
    <w:rsid w:val="7A7716CC"/>
    <w:rsid w:val="7A921E9A"/>
    <w:rsid w:val="7A9E53BF"/>
    <w:rsid w:val="7AA914B9"/>
    <w:rsid w:val="7ABF2475"/>
    <w:rsid w:val="7AC21562"/>
    <w:rsid w:val="7AD474A4"/>
    <w:rsid w:val="7AD848DD"/>
    <w:rsid w:val="7AFC38DE"/>
    <w:rsid w:val="7B303E8C"/>
    <w:rsid w:val="7B7D6B6D"/>
    <w:rsid w:val="7B865D50"/>
    <w:rsid w:val="7B8D34C3"/>
    <w:rsid w:val="7B971D84"/>
    <w:rsid w:val="7BAB0CB7"/>
    <w:rsid w:val="7BB4028F"/>
    <w:rsid w:val="7BC1107E"/>
    <w:rsid w:val="7BF32F03"/>
    <w:rsid w:val="7BF50D2C"/>
    <w:rsid w:val="7C066F4E"/>
    <w:rsid w:val="7C1724A5"/>
    <w:rsid w:val="7C7A15DA"/>
    <w:rsid w:val="7C8561DF"/>
    <w:rsid w:val="7CA54112"/>
    <w:rsid w:val="7CA553D9"/>
    <w:rsid w:val="7CAB27F5"/>
    <w:rsid w:val="7CAF438A"/>
    <w:rsid w:val="7CCE726D"/>
    <w:rsid w:val="7CD71EA3"/>
    <w:rsid w:val="7CE50CE4"/>
    <w:rsid w:val="7CE94EE1"/>
    <w:rsid w:val="7CF877E9"/>
    <w:rsid w:val="7D134762"/>
    <w:rsid w:val="7D244CB3"/>
    <w:rsid w:val="7D2E5ABF"/>
    <w:rsid w:val="7D493B2A"/>
    <w:rsid w:val="7D4A45B8"/>
    <w:rsid w:val="7D535AC7"/>
    <w:rsid w:val="7D964A74"/>
    <w:rsid w:val="7DFB43EA"/>
    <w:rsid w:val="7E007625"/>
    <w:rsid w:val="7E0737C8"/>
    <w:rsid w:val="7E131C51"/>
    <w:rsid w:val="7E176B90"/>
    <w:rsid w:val="7E2142A2"/>
    <w:rsid w:val="7E240411"/>
    <w:rsid w:val="7E48335A"/>
    <w:rsid w:val="7E527BC8"/>
    <w:rsid w:val="7E5A7919"/>
    <w:rsid w:val="7E797DE5"/>
    <w:rsid w:val="7E7B0BF2"/>
    <w:rsid w:val="7E8D75B6"/>
    <w:rsid w:val="7E8E672B"/>
    <w:rsid w:val="7EA27DDF"/>
    <w:rsid w:val="7EC67BB0"/>
    <w:rsid w:val="7ED809AD"/>
    <w:rsid w:val="7EF760EE"/>
    <w:rsid w:val="7F043CC7"/>
    <w:rsid w:val="7F2536B5"/>
    <w:rsid w:val="7F2C3CE7"/>
    <w:rsid w:val="7F5A01CA"/>
    <w:rsid w:val="7F75661B"/>
    <w:rsid w:val="7FAA3E88"/>
    <w:rsid w:val="7FB17429"/>
    <w:rsid w:val="7FC237CA"/>
    <w:rsid w:val="7FD954A6"/>
    <w:rsid w:val="7FF12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3">
    <w:name w:val="heading 1"/>
    <w:basedOn w:val="1"/>
    <w:next w:val="1"/>
    <w:link w:val="75"/>
    <w:qFormat/>
    <w:uiPriority w:val="9"/>
    <w:pPr>
      <w:keepNext/>
      <w:keepLines/>
      <w:spacing w:before="340" w:after="330" w:line="576" w:lineRule="auto"/>
      <w:outlineLvl w:val="0"/>
    </w:pPr>
    <w:rPr>
      <w:b/>
      <w:kern w:val="44"/>
      <w:sz w:val="44"/>
    </w:rPr>
  </w:style>
  <w:style w:type="paragraph" w:styleId="2">
    <w:name w:val="heading 2"/>
    <w:basedOn w:val="1"/>
    <w:next w:val="1"/>
    <w:link w:val="4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4"/>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74"/>
    <w:semiHidden/>
    <w:unhideWhenUsed/>
    <w:qFormat/>
    <w:uiPriority w:val="9"/>
    <w:pPr>
      <w:keepNext/>
      <w:keepLines/>
      <w:spacing w:before="280" w:after="290" w:line="372" w:lineRule="auto"/>
      <w:outlineLvl w:val="4"/>
    </w:pPr>
    <w:rPr>
      <w:b/>
      <w:sz w:val="28"/>
    </w:rPr>
  </w:style>
  <w:style w:type="character" w:default="1" w:styleId="32">
    <w:name w:val="Default Paragraph Font"/>
    <w:semiHidden/>
    <w:unhideWhenUsed/>
    <w:qFormat/>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64"/>
    <w:semiHidden/>
    <w:unhideWhenUsed/>
    <w:qFormat/>
    <w:uiPriority w:val="99"/>
    <w:rPr>
      <w:b/>
      <w:bCs/>
    </w:rPr>
  </w:style>
  <w:style w:type="paragraph" w:styleId="8">
    <w:name w:val="annotation text"/>
    <w:basedOn w:val="1"/>
    <w:link w:val="63"/>
    <w:unhideWhenUsed/>
    <w:qFormat/>
    <w:uiPriority w:val="99"/>
  </w:style>
  <w:style w:type="paragraph" w:styleId="9">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10">
    <w:name w:val="Body Text First Indent"/>
    <w:basedOn w:val="11"/>
    <w:next w:val="12"/>
    <w:qFormat/>
    <w:uiPriority w:val="0"/>
    <w:pPr>
      <w:spacing w:after="120"/>
      <w:ind w:firstLine="420" w:firstLineChars="100"/>
    </w:pPr>
    <w:rPr>
      <w:bCs/>
      <w:szCs w:val="21"/>
    </w:rPr>
  </w:style>
  <w:style w:type="paragraph" w:styleId="11">
    <w:name w:val="Body Text"/>
    <w:basedOn w:val="1"/>
    <w:next w:val="1"/>
    <w:link w:val="66"/>
    <w:qFormat/>
    <w:uiPriority w:val="1"/>
    <w:pPr>
      <w:spacing w:before="161"/>
      <w:ind w:left="120"/>
    </w:pPr>
    <w:rPr>
      <w:rFonts w:ascii="宋体" w:hAnsi="宋体" w:cs="宋体"/>
      <w:sz w:val="24"/>
      <w:lang w:val="zh-CN" w:bidi="zh-CN"/>
    </w:rPr>
  </w:style>
  <w:style w:type="paragraph" w:customStyle="1" w:styleId="12">
    <w:name w:val="样式 正文首行缩进 + 首行缩进:  1 字符"/>
    <w:basedOn w:val="1"/>
    <w:next w:val="1"/>
    <w:qFormat/>
    <w:uiPriority w:val="0"/>
    <w:pPr>
      <w:ind w:firstLine="200" w:firstLineChars="200"/>
    </w:pPr>
    <w:rPr>
      <w:rFonts w:cs="宋体"/>
      <w:szCs w:val="20"/>
    </w:rPr>
  </w:style>
  <w:style w:type="paragraph" w:styleId="13">
    <w:name w:val="Normal Indent"/>
    <w:basedOn w:val="1"/>
    <w:qFormat/>
    <w:uiPriority w:val="0"/>
    <w:pPr>
      <w:widowControl/>
      <w:autoSpaceDE/>
      <w:autoSpaceDN/>
      <w:adjustRightInd/>
      <w:ind w:firstLine="420" w:firstLineChars="200"/>
    </w:pPr>
    <w:rPr>
      <w:rFonts w:ascii="Calibri"/>
      <w:sz w:val="20"/>
      <w:szCs w:val="20"/>
    </w:rPr>
  </w:style>
  <w:style w:type="paragraph" w:styleId="14">
    <w:name w:val="Body Text Indent"/>
    <w:basedOn w:val="1"/>
    <w:next w:val="15"/>
    <w:qFormat/>
    <w:uiPriority w:val="0"/>
    <w:pPr>
      <w:ind w:left="359" w:leftChars="171" w:firstLine="179" w:firstLineChars="85"/>
    </w:pPr>
    <w:rPr>
      <w:rFonts w:ascii="宋体" w:hAnsi="宋体"/>
      <w:b/>
      <w:bCs/>
      <w:szCs w:val="26"/>
    </w:rPr>
  </w:style>
  <w:style w:type="paragraph" w:styleId="15">
    <w:name w:val="envelope return"/>
    <w:basedOn w:val="1"/>
    <w:qFormat/>
    <w:uiPriority w:val="0"/>
  </w:style>
  <w:style w:type="paragraph" w:styleId="16">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7">
    <w:name w:val="toc 3"/>
    <w:basedOn w:val="1"/>
    <w:next w:val="1"/>
    <w:unhideWhenUsed/>
    <w:qFormat/>
    <w:uiPriority w:val="39"/>
    <w:pPr>
      <w:tabs>
        <w:tab w:val="right" w:leader="dot" w:pos="8296"/>
      </w:tabs>
      <w:ind w:left="838" w:leftChars="381"/>
    </w:pPr>
    <w:rPr>
      <w:szCs w:val="21"/>
    </w:rPr>
  </w:style>
  <w:style w:type="paragraph" w:styleId="18">
    <w:name w:val="Plain Text"/>
    <w:basedOn w:val="1"/>
    <w:link w:val="55"/>
    <w:qFormat/>
    <w:uiPriority w:val="0"/>
    <w:pPr>
      <w:widowControl w:val="0"/>
      <w:adjustRightInd/>
      <w:snapToGrid/>
      <w:jc w:val="both"/>
    </w:pPr>
    <w:rPr>
      <w:rFonts w:ascii="宋体" w:hAnsi="Courier New" w:cs="Times New Roman"/>
      <w:b/>
      <w:kern w:val="2"/>
      <w:szCs w:val="20"/>
    </w:rPr>
  </w:style>
  <w:style w:type="paragraph" w:styleId="19">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20">
    <w:name w:val="Balloon Text"/>
    <w:basedOn w:val="1"/>
    <w:link w:val="58"/>
    <w:semiHidden/>
    <w:unhideWhenUsed/>
    <w:qFormat/>
    <w:uiPriority w:val="99"/>
    <w:rPr>
      <w:sz w:val="18"/>
      <w:szCs w:val="18"/>
    </w:rPr>
  </w:style>
  <w:style w:type="paragraph" w:styleId="21">
    <w:name w:val="footer"/>
    <w:basedOn w:val="1"/>
    <w:link w:val="57"/>
    <w:unhideWhenUsed/>
    <w:qFormat/>
    <w:uiPriority w:val="99"/>
    <w:pPr>
      <w:tabs>
        <w:tab w:val="center" w:pos="4153"/>
        <w:tab w:val="right" w:pos="8306"/>
      </w:tabs>
    </w:pPr>
    <w:rPr>
      <w:sz w:val="18"/>
      <w:szCs w:val="18"/>
    </w:rPr>
  </w:style>
  <w:style w:type="paragraph" w:styleId="22">
    <w:name w:val="Body Text First Indent 2"/>
    <w:basedOn w:val="14"/>
    <w:qFormat/>
    <w:uiPriority w:val="0"/>
    <w:pPr>
      <w:ind w:left="0" w:leftChars="0" w:firstLine="420" w:firstLineChars="200"/>
    </w:pPr>
    <w:rPr>
      <w:rFonts w:ascii="Tahoma" w:hAnsi="Tahoma"/>
      <w:sz w:val="28"/>
    </w:rPr>
  </w:style>
  <w:style w:type="paragraph" w:styleId="23">
    <w:name w:val="header"/>
    <w:basedOn w:val="1"/>
    <w:link w:val="56"/>
    <w:unhideWhenUsed/>
    <w:qFormat/>
    <w:uiPriority w:val="99"/>
    <w:pPr>
      <w:pBdr>
        <w:bottom w:val="single" w:color="auto" w:sz="6" w:space="1"/>
      </w:pBdr>
      <w:tabs>
        <w:tab w:val="center" w:pos="4153"/>
        <w:tab w:val="right" w:pos="8306"/>
      </w:tabs>
      <w:jc w:val="center"/>
    </w:pPr>
    <w:rPr>
      <w:sz w:val="18"/>
      <w:szCs w:val="18"/>
    </w:rPr>
  </w:style>
  <w:style w:type="paragraph" w:styleId="24">
    <w:name w:val="toc 1"/>
    <w:basedOn w:val="1"/>
    <w:next w:val="1"/>
    <w:unhideWhenUsed/>
    <w:qFormat/>
    <w:uiPriority w:val="39"/>
  </w:style>
  <w:style w:type="paragraph" w:styleId="25">
    <w:name w:val="toc 4"/>
    <w:basedOn w:val="1"/>
    <w:next w:val="1"/>
    <w:unhideWhenUsed/>
    <w:qFormat/>
    <w:uiPriority w:val="39"/>
    <w:pPr>
      <w:tabs>
        <w:tab w:val="right" w:leader="dot" w:pos="8296"/>
      </w:tabs>
      <w:spacing w:after="120"/>
      <w:ind w:left="1320" w:leftChars="600"/>
    </w:pPr>
  </w:style>
  <w:style w:type="paragraph" w:styleId="26">
    <w:name w:val="footnote text"/>
    <w:basedOn w:val="1"/>
    <w:semiHidden/>
    <w:unhideWhenUsed/>
    <w:qFormat/>
    <w:uiPriority w:val="99"/>
    <w:rPr>
      <w:sz w:val="18"/>
    </w:rPr>
  </w:style>
  <w:style w:type="paragraph" w:styleId="27">
    <w:name w:val="toc 6"/>
    <w:basedOn w:val="1"/>
    <w:next w:val="1"/>
    <w:qFormat/>
    <w:uiPriority w:val="39"/>
    <w:pPr>
      <w:ind w:left="1200"/>
    </w:pPr>
    <w:rPr>
      <w:rFonts w:ascii="Calibri" w:cs="Calibri"/>
      <w:sz w:val="18"/>
      <w:szCs w:val="18"/>
    </w:rPr>
  </w:style>
  <w:style w:type="paragraph" w:styleId="28">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29">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30">
    <w:name w:val="Body Text 2"/>
    <w:basedOn w:val="1"/>
    <w:qFormat/>
    <w:uiPriority w:val="0"/>
    <w:pPr>
      <w:spacing w:line="360" w:lineRule="auto"/>
    </w:pPr>
    <w:rPr>
      <w:sz w:val="24"/>
    </w:rPr>
  </w:style>
  <w:style w:type="paragraph" w:styleId="31">
    <w:name w:val="Normal (Web)"/>
    <w:basedOn w:val="1"/>
    <w:link w:val="60"/>
    <w:qFormat/>
    <w:uiPriority w:val="0"/>
    <w:pPr>
      <w:widowControl w:val="0"/>
      <w:adjustRightInd/>
      <w:snapToGrid/>
      <w:jc w:val="both"/>
    </w:pPr>
    <w:rPr>
      <w:rFonts w:asciiTheme="minorHAnsi" w:hAnsiTheme="minorHAnsi"/>
      <w:kern w:val="2"/>
      <w:sz w:val="24"/>
      <w:szCs w:val="24"/>
    </w:rPr>
  </w:style>
  <w:style w:type="character" w:styleId="33">
    <w:name w:val="page number"/>
    <w:basedOn w:val="32"/>
    <w:qFormat/>
    <w:uiPriority w:val="0"/>
  </w:style>
  <w:style w:type="character" w:styleId="34">
    <w:name w:val="Emphasis"/>
    <w:basedOn w:val="32"/>
    <w:qFormat/>
    <w:uiPriority w:val="20"/>
    <w:rPr>
      <w:i/>
      <w:iCs/>
    </w:rPr>
  </w:style>
  <w:style w:type="character" w:styleId="35">
    <w:name w:val="Hyperlink"/>
    <w:qFormat/>
    <w:uiPriority w:val="99"/>
    <w:rPr>
      <w:rFonts w:hint="eastAsia" w:ascii="宋体" w:hAnsi="宋体" w:eastAsia="宋体" w:cs="宋体"/>
      <w:b/>
      <w:color w:val="0031C1"/>
      <w:kern w:val="0"/>
      <w:sz w:val="18"/>
      <w:szCs w:val="18"/>
      <w:u w:val="none"/>
      <w:lang w:eastAsia="en-US"/>
    </w:rPr>
  </w:style>
  <w:style w:type="character" w:styleId="36">
    <w:name w:val="annotation reference"/>
    <w:basedOn w:val="32"/>
    <w:semiHidden/>
    <w:unhideWhenUsed/>
    <w:qFormat/>
    <w:uiPriority w:val="99"/>
    <w:rPr>
      <w:sz w:val="21"/>
      <w:szCs w:val="21"/>
    </w:rPr>
  </w:style>
  <w:style w:type="character" w:styleId="37">
    <w:name w:val="footnote reference"/>
    <w:basedOn w:val="32"/>
    <w:semiHidden/>
    <w:unhideWhenUsed/>
    <w:qFormat/>
    <w:uiPriority w:val="99"/>
    <w:rPr>
      <w:vertAlign w:val="superscript"/>
    </w:rPr>
  </w:style>
  <w:style w:type="table" w:styleId="39">
    <w:name w:val="Table Grid"/>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0">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1">
    <w:name w:val="标题 2 字符"/>
    <w:basedOn w:val="32"/>
    <w:link w:val="2"/>
    <w:qFormat/>
    <w:uiPriority w:val="9"/>
    <w:rPr>
      <w:rFonts w:asciiTheme="majorHAnsi" w:hAnsiTheme="majorHAnsi" w:eastAsiaTheme="majorEastAsia" w:cstheme="majorBidi"/>
      <w:b/>
      <w:bCs/>
      <w:sz w:val="32"/>
      <w:szCs w:val="32"/>
    </w:rPr>
  </w:style>
  <w:style w:type="character" w:customStyle="1" w:styleId="42">
    <w:name w:val="标题 3 字符"/>
    <w:basedOn w:val="32"/>
    <w:link w:val="4"/>
    <w:qFormat/>
    <w:uiPriority w:val="9"/>
    <w:rPr>
      <w:rFonts w:ascii="Tahoma" w:hAnsi="Tahoma"/>
      <w:b/>
      <w:bCs/>
      <w:sz w:val="32"/>
      <w:szCs w:val="32"/>
    </w:rPr>
  </w:style>
  <w:style w:type="paragraph" w:styleId="43">
    <w:name w:val="List Paragraph"/>
    <w:basedOn w:val="1"/>
    <w:link w:val="65"/>
    <w:qFormat/>
    <w:uiPriority w:val="0"/>
    <w:pPr>
      <w:ind w:firstLine="420" w:firstLineChars="200"/>
    </w:pPr>
  </w:style>
  <w:style w:type="character" w:customStyle="1" w:styleId="44">
    <w:name w:val="标题 4 字符"/>
    <w:basedOn w:val="32"/>
    <w:link w:val="5"/>
    <w:qFormat/>
    <w:uiPriority w:val="9"/>
    <w:rPr>
      <w:rFonts w:eastAsia="宋体" w:asciiTheme="majorHAnsi" w:hAnsiTheme="majorHAnsi" w:cstheme="majorBidi"/>
      <w:b/>
      <w:bCs/>
      <w:sz w:val="24"/>
      <w:szCs w:val="28"/>
    </w:rPr>
  </w:style>
  <w:style w:type="character" w:customStyle="1" w:styleId="45">
    <w:name w:val="正文缩进2格 Char"/>
    <w:link w:val="46"/>
    <w:qFormat/>
    <w:uiPriority w:val="0"/>
    <w:rPr>
      <w:rFonts w:ascii="仿宋_GB2312" w:hAnsi="宋体" w:eastAsia="仿宋_GB2312"/>
      <w:kern w:val="2"/>
      <w:sz w:val="31"/>
    </w:rPr>
  </w:style>
  <w:style w:type="paragraph" w:customStyle="1" w:styleId="46">
    <w:name w:val="正文缩进2格"/>
    <w:basedOn w:val="1"/>
    <w:link w:val="45"/>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47">
    <w:name w:val="正文缩进4格"/>
    <w:basedOn w:val="46"/>
    <w:qFormat/>
    <w:uiPriority w:val="0"/>
    <w:pPr>
      <w:ind w:left="2" w:firstLine="538" w:firstLineChars="192"/>
    </w:pPr>
    <w:rPr>
      <w:color w:val="0000FF"/>
      <w:sz w:val="28"/>
    </w:rPr>
  </w:style>
  <w:style w:type="character" w:customStyle="1" w:styleId="48">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49">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50">
    <w:name w:val="标题1"/>
    <w:qFormat/>
    <w:uiPriority w:val="0"/>
    <w:rPr>
      <w:rFonts w:ascii="Times New Roman" w:hAnsi="Times New Roman" w:eastAsia="宋体" w:cs="Times New Roman"/>
      <w:b/>
      <w:kern w:val="0"/>
      <w:sz w:val="24"/>
      <w:szCs w:val="20"/>
      <w:lang w:eastAsia="en-US"/>
    </w:rPr>
  </w:style>
  <w:style w:type="character" w:customStyle="1" w:styleId="51">
    <w:name w:val="标题 3.1 Char"/>
    <w:link w:val="52"/>
    <w:qFormat/>
    <w:uiPriority w:val="0"/>
    <w:rPr>
      <w:rFonts w:ascii="宋体" w:hAnsi="宋体" w:eastAsia="宋体"/>
      <w:b/>
      <w:color w:val="FF0000"/>
      <w:kern w:val="2"/>
      <w:sz w:val="32"/>
    </w:rPr>
  </w:style>
  <w:style w:type="paragraph" w:customStyle="1" w:styleId="52">
    <w:name w:val="标题 3.1"/>
    <w:basedOn w:val="4"/>
    <w:link w:val="51"/>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53">
    <w:name w:val="样式 楷体_GB2312 小四"/>
    <w:qFormat/>
    <w:uiPriority w:val="0"/>
    <w:rPr>
      <w:rFonts w:ascii="楷体_GB2312" w:hAnsi="楷体_GB2312" w:eastAsia="仿宋_GB2312"/>
      <w:sz w:val="24"/>
    </w:rPr>
  </w:style>
  <w:style w:type="character" w:customStyle="1" w:styleId="54">
    <w:name w:val="纯文本 Char"/>
    <w:qFormat/>
    <w:uiPriority w:val="0"/>
    <w:rPr>
      <w:rFonts w:ascii="宋体" w:hAnsi="Courier New" w:eastAsia="宋体" w:cs="Times New Roman"/>
      <w:b/>
      <w:kern w:val="2"/>
      <w:sz w:val="21"/>
      <w:szCs w:val="20"/>
    </w:rPr>
  </w:style>
  <w:style w:type="character" w:customStyle="1" w:styleId="55">
    <w:name w:val="纯文本 字符"/>
    <w:basedOn w:val="32"/>
    <w:link w:val="18"/>
    <w:semiHidden/>
    <w:qFormat/>
    <w:uiPriority w:val="99"/>
    <w:rPr>
      <w:rFonts w:ascii="宋体" w:hAnsi="Courier New" w:eastAsia="宋体" w:cs="Courier New"/>
      <w:sz w:val="21"/>
      <w:szCs w:val="21"/>
    </w:rPr>
  </w:style>
  <w:style w:type="character" w:customStyle="1" w:styleId="56">
    <w:name w:val="页眉 字符"/>
    <w:basedOn w:val="32"/>
    <w:link w:val="23"/>
    <w:qFormat/>
    <w:uiPriority w:val="99"/>
    <w:rPr>
      <w:rFonts w:ascii="Tahoma" w:hAnsi="Tahoma"/>
      <w:sz w:val="18"/>
      <w:szCs w:val="18"/>
    </w:rPr>
  </w:style>
  <w:style w:type="character" w:customStyle="1" w:styleId="57">
    <w:name w:val="页脚 字符"/>
    <w:basedOn w:val="32"/>
    <w:link w:val="21"/>
    <w:qFormat/>
    <w:uiPriority w:val="99"/>
    <w:rPr>
      <w:rFonts w:ascii="Tahoma" w:hAnsi="Tahoma"/>
      <w:sz w:val="18"/>
      <w:szCs w:val="18"/>
    </w:rPr>
  </w:style>
  <w:style w:type="character" w:customStyle="1" w:styleId="58">
    <w:name w:val="批注框文本 字符"/>
    <w:basedOn w:val="32"/>
    <w:link w:val="20"/>
    <w:semiHidden/>
    <w:qFormat/>
    <w:uiPriority w:val="99"/>
    <w:rPr>
      <w:rFonts w:ascii="Tahoma" w:hAnsi="Tahoma"/>
      <w:sz w:val="18"/>
      <w:szCs w:val="18"/>
    </w:rPr>
  </w:style>
  <w:style w:type="paragraph" w:customStyle="1" w:styleId="59">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60">
    <w:name w:val="普通(网站) 字符"/>
    <w:link w:val="31"/>
    <w:qFormat/>
    <w:uiPriority w:val="0"/>
    <w:rPr>
      <w:rFonts w:eastAsia="宋体"/>
      <w:kern w:val="2"/>
      <w:sz w:val="24"/>
      <w:szCs w:val="24"/>
    </w:rPr>
  </w:style>
  <w:style w:type="paragraph" w:customStyle="1" w:styleId="61">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2">
    <w:name w:val="p141"/>
    <w:qFormat/>
    <w:uiPriority w:val="0"/>
    <w:rPr>
      <w:sz w:val="21"/>
      <w:szCs w:val="21"/>
    </w:rPr>
  </w:style>
  <w:style w:type="character" w:customStyle="1" w:styleId="63">
    <w:name w:val="批注文字 字符"/>
    <w:basedOn w:val="32"/>
    <w:link w:val="8"/>
    <w:qFormat/>
    <w:uiPriority w:val="99"/>
    <w:rPr>
      <w:rFonts w:ascii="Tahoma" w:hAnsi="Tahoma" w:eastAsia="微软雅黑" w:cstheme="minorBidi"/>
      <w:sz w:val="22"/>
      <w:szCs w:val="22"/>
    </w:rPr>
  </w:style>
  <w:style w:type="character" w:customStyle="1" w:styleId="64">
    <w:name w:val="批注主题 字符"/>
    <w:basedOn w:val="63"/>
    <w:link w:val="7"/>
    <w:semiHidden/>
    <w:qFormat/>
    <w:uiPriority w:val="99"/>
    <w:rPr>
      <w:rFonts w:ascii="Tahoma" w:hAnsi="Tahoma" w:eastAsia="微软雅黑" w:cstheme="minorBidi"/>
      <w:b/>
      <w:bCs/>
      <w:sz w:val="22"/>
      <w:szCs w:val="22"/>
    </w:rPr>
  </w:style>
  <w:style w:type="character" w:customStyle="1" w:styleId="65">
    <w:name w:val="列表段落 字符"/>
    <w:link w:val="43"/>
    <w:qFormat/>
    <w:uiPriority w:val="0"/>
    <w:rPr>
      <w:rFonts w:ascii="Tahoma" w:hAnsi="Tahoma" w:eastAsia="微软雅黑" w:cstheme="minorBidi"/>
      <w:sz w:val="22"/>
      <w:szCs w:val="22"/>
    </w:rPr>
  </w:style>
  <w:style w:type="character" w:customStyle="1" w:styleId="66">
    <w:name w:val="正文文本 字符"/>
    <w:basedOn w:val="32"/>
    <w:link w:val="11"/>
    <w:qFormat/>
    <w:uiPriority w:val="1"/>
    <w:rPr>
      <w:rFonts w:ascii="宋体" w:hAnsi="宋体" w:cs="宋体"/>
      <w:sz w:val="24"/>
      <w:szCs w:val="22"/>
      <w:lang w:val="zh-CN" w:bidi="zh-CN"/>
    </w:rPr>
  </w:style>
  <w:style w:type="paragraph" w:customStyle="1" w:styleId="6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8">
    <w:name w:val="_Style 1"/>
    <w:basedOn w:val="1"/>
    <w:qFormat/>
    <w:uiPriority w:val="0"/>
    <w:pPr>
      <w:ind w:firstLine="420" w:firstLineChars="200"/>
    </w:pPr>
  </w:style>
  <w:style w:type="paragraph" w:customStyle="1" w:styleId="69">
    <w:name w:val="列出段落2"/>
    <w:basedOn w:val="1"/>
    <w:qFormat/>
    <w:uiPriority w:val="0"/>
    <w:pPr>
      <w:ind w:firstLine="420" w:firstLineChars="200"/>
    </w:pPr>
  </w:style>
  <w:style w:type="paragraph" w:customStyle="1" w:styleId="70">
    <w:name w:val="p0"/>
    <w:basedOn w:val="1"/>
    <w:qFormat/>
    <w:uiPriority w:val="0"/>
    <w:rPr>
      <w:szCs w:val="21"/>
    </w:rPr>
  </w:style>
  <w:style w:type="paragraph" w:customStyle="1" w:styleId="71">
    <w:name w:val="正文文本缩进 21"/>
    <w:basedOn w:val="1"/>
    <w:qFormat/>
    <w:uiPriority w:val="0"/>
    <w:pPr>
      <w:spacing w:line="480" w:lineRule="auto"/>
      <w:ind w:firstLine="540"/>
    </w:pPr>
    <w:rPr>
      <w:rFonts w:ascii="Calibri" w:hAnsi="Calibri"/>
      <w:sz w:val="20"/>
      <w:szCs w:val="20"/>
    </w:rPr>
  </w:style>
  <w:style w:type="paragraph" w:customStyle="1" w:styleId="72">
    <w:name w:val="_Style 2"/>
    <w:basedOn w:val="1"/>
    <w:qFormat/>
    <w:uiPriority w:val="0"/>
    <w:pPr>
      <w:ind w:firstLine="420" w:firstLineChars="200"/>
    </w:pPr>
  </w:style>
  <w:style w:type="paragraph" w:customStyle="1" w:styleId="73">
    <w:name w:val="msolistparagraph"/>
    <w:basedOn w:val="1"/>
    <w:qFormat/>
    <w:uiPriority w:val="0"/>
    <w:pPr>
      <w:ind w:firstLine="420" w:firstLineChars="200"/>
    </w:pPr>
    <w:rPr>
      <w:rFonts w:hint="eastAsia" w:hAnsi="宋体"/>
    </w:rPr>
  </w:style>
  <w:style w:type="character" w:customStyle="1" w:styleId="74">
    <w:name w:val="标题 5 字符"/>
    <w:link w:val="6"/>
    <w:qFormat/>
    <w:uiPriority w:val="0"/>
    <w:rPr>
      <w:b/>
      <w:sz w:val="28"/>
    </w:rPr>
  </w:style>
  <w:style w:type="character" w:customStyle="1" w:styleId="75">
    <w:name w:val="标题 1 字符"/>
    <w:link w:val="3"/>
    <w:qFormat/>
    <w:uiPriority w:val="9"/>
    <w:rPr>
      <w:b/>
      <w:kern w:val="44"/>
      <w:sz w:val="44"/>
    </w:rPr>
  </w:style>
  <w:style w:type="paragraph" w:customStyle="1" w:styleId="76">
    <w:name w:val="修订1"/>
    <w:hidden/>
    <w:semiHidden/>
    <w:qFormat/>
    <w:uiPriority w:val="99"/>
    <w:rPr>
      <w:rFonts w:ascii="Tahoma" w:hAnsi="Tahoma" w:eastAsia="宋体" w:cstheme="minorBidi"/>
      <w:sz w:val="21"/>
      <w:szCs w:val="22"/>
      <w:lang w:val="en-US" w:eastAsia="zh-CN" w:bidi="ar-SA"/>
    </w:rPr>
  </w:style>
  <w:style w:type="paragraph" w:customStyle="1" w:styleId="77">
    <w:name w:val="表格文字"/>
    <w:basedOn w:val="1"/>
    <w:qFormat/>
    <w:uiPriority w:val="0"/>
    <w:pPr>
      <w:adjustRightInd/>
      <w:spacing w:before="25" w:after="25"/>
    </w:pPr>
    <w:rPr>
      <w:rFonts w:ascii="Times New Roman"/>
      <w:bCs/>
      <w:spacing w:val="10"/>
      <w:szCs w:val="20"/>
    </w:rPr>
  </w:style>
  <w:style w:type="paragraph" w:customStyle="1" w:styleId="78">
    <w:name w:val="纯文本1"/>
    <w:basedOn w:val="79"/>
    <w:qFormat/>
    <w:uiPriority w:val="0"/>
    <w:rPr>
      <w:rFonts w:ascii="宋体" w:hAnsi="Courier New"/>
      <w:szCs w:val="20"/>
    </w:rPr>
  </w:style>
  <w:style w:type="paragraph" w:customStyle="1" w:styleId="79">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80">
    <w:name w:val="正文2"/>
    <w:basedOn w:val="13"/>
    <w:qFormat/>
    <w:uiPriority w:val="0"/>
    <w:pPr>
      <w:jc w:val="both"/>
    </w:pPr>
    <w:rPr>
      <w:rFonts w:ascii="Times New Roman" w:hAnsi="Times New Roman" w:eastAsia="宋体" w:cs="Times New Roman"/>
      <w:kern w:val="2"/>
      <w:sz w:val="21"/>
      <w:szCs w:val="21"/>
      <w:lang w:val="en-US" w:eastAsia="zh-CN" w:bidi="ar-SA"/>
    </w:rPr>
  </w:style>
  <w:style w:type="table" w:customStyle="1" w:styleId="81">
    <w:name w:val="Table Normal"/>
    <w:semiHidden/>
    <w:unhideWhenUsed/>
    <w:qFormat/>
    <w:uiPriority w:val="2"/>
    <w:tblPr>
      <w:tblLayout w:type="fixed"/>
      <w:tblCellMar>
        <w:top w:w="0" w:type="dxa"/>
        <w:left w:w="0" w:type="dxa"/>
        <w:bottom w:w="0" w:type="dxa"/>
        <w:right w:w="0" w:type="dxa"/>
      </w:tblCellMar>
    </w:tblPr>
  </w:style>
  <w:style w:type="paragraph" w:customStyle="1" w:styleId="82">
    <w:name w:val="Table Paragraph"/>
    <w:basedOn w:val="1"/>
    <w:qFormat/>
    <w:uiPriority w:val="1"/>
  </w:style>
  <w:style w:type="paragraph" w:customStyle="1" w:styleId="83">
    <w:name w:val="正文文本缩进1"/>
    <w:basedOn w:val="79"/>
    <w:qFormat/>
    <w:uiPriority w:val="0"/>
    <w:pPr>
      <w:spacing w:after="120"/>
      <w:ind w:left="420" w:leftChars="200"/>
    </w:pPr>
  </w:style>
  <w:style w:type="paragraph" w:customStyle="1" w:styleId="84">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85">
    <w:name w:val="纯文本2"/>
    <w:basedOn w:val="79"/>
    <w:qFormat/>
    <w:uiPriority w:val="0"/>
    <w:rPr>
      <w:rFonts w:ascii="宋体" w:hAnsi="Courier New"/>
      <w:szCs w:val="20"/>
    </w:rPr>
  </w:style>
  <w:style w:type="character" w:customStyle="1" w:styleId="86">
    <w:name w:val="font141"/>
    <w:qFormat/>
    <w:uiPriority w:val="0"/>
    <w:rPr>
      <w:rFonts w:hint="default" w:ascii="Times New Roman" w:hAnsi="Times New Roman" w:cs="Times New Roman"/>
      <w:color w:val="000000"/>
      <w:sz w:val="18"/>
      <w:szCs w:val="18"/>
      <w:u w:val="none"/>
    </w:rPr>
  </w:style>
  <w:style w:type="character" w:customStyle="1" w:styleId="87">
    <w:name w:val="font71"/>
    <w:qFormat/>
    <w:uiPriority w:val="0"/>
    <w:rPr>
      <w:rFonts w:hint="eastAsia" w:ascii="宋体" w:hAnsi="宋体" w:eastAsia="宋体" w:cs="宋体"/>
      <w:color w:val="000000"/>
      <w:sz w:val="18"/>
      <w:szCs w:val="18"/>
      <w:u w:val="none"/>
    </w:rPr>
  </w:style>
  <w:style w:type="paragraph" w:customStyle="1" w:styleId="88">
    <w:name w:val="Table Text"/>
    <w:basedOn w:val="1"/>
    <w:semiHidden/>
    <w:qFormat/>
    <w:uiPriority w:val="0"/>
    <w:rPr>
      <w:rFonts w:ascii="宋体" w:hAnsi="宋体" w:eastAsia="宋体" w:cs="宋体"/>
      <w:sz w:val="28"/>
      <w:szCs w:val="28"/>
      <w:lang w:val="en-US" w:eastAsia="en-US" w:bidi="ar-SA"/>
    </w:rPr>
  </w:style>
  <w:style w:type="paragraph" w:customStyle="1" w:styleId="89">
    <w:name w:val="Normal-1"/>
    <w:basedOn w:val="1"/>
    <w:qFormat/>
    <w:uiPriority w:val="0"/>
    <w:pPr>
      <w:spacing w:after="156" w:afterLines="50" w:line="312" w:lineRule="auto"/>
      <w:ind w:firstLine="200" w:firstLineChars="200"/>
    </w:pPr>
    <w:rPr>
      <w:rFonts w:ascii="Arial" w:hAnsi="Arial" w:eastAsia="宋体" w:cs="Arial"/>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FDE4B-77BC-4B7C-94B1-DC883D12665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20959</Words>
  <Characters>21741</Characters>
  <Lines>66</Lines>
  <Paragraphs>65</Paragraphs>
  <TotalTime>6</TotalTime>
  <ScaleCrop>false</ScaleCrop>
  <LinksUpToDate>false</LinksUpToDate>
  <CharactersWithSpaces>21994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2022-10-28T09:19:00Z</dcterms:created>
  <dc:creator>MyPC</dc:creator>
  <cp:lastModifiedBy>彬</cp:lastModifiedBy>
  <cp:lastPrinted>2022-12-01T06:09:00Z</cp:lastPrinted>
  <dcterms:modified xsi:type="dcterms:W3CDTF">2025-05-22T06:31:30Z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37460E62BEBA43539EB66217565B8D2E_13</vt:lpwstr>
  </property>
  <property fmtid="{D5CDD505-2E9C-101B-9397-08002B2CF9AE}" pid="4" name="KSOTemplateDocerSaveRecord">
    <vt:lpwstr>eyJoZGlkIjoiMjY4NTZiOGViNTdmYTk5N2VlMjljZjkzNzBmZjA3YmQiLCJ1c2VySWQiOiI5NTk2MzY1MDIifQ==</vt:lpwstr>
  </property>
</Properties>
</file>