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auto"/>
          <w:szCs w:val="21"/>
          <w:highlight w:val="none"/>
        </w:rPr>
      </w:pPr>
    </w:p>
    <w:p>
      <w:pPr>
        <w:pStyle w:val="39"/>
        <w:ind w:firstLine="40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ind w:right="-28"/>
        <w:jc w:val="center"/>
        <w:textAlignment w:val="bottom"/>
        <w:rPr>
          <w:rFonts w:hint="eastAsia" w:ascii="宋体" w:hAnsi="宋体" w:eastAsia="宋体" w:cs="宋体"/>
          <w:bCs/>
          <w:color w:val="auto"/>
          <w:spacing w:val="57"/>
          <w:sz w:val="96"/>
          <w:szCs w:val="96"/>
          <w:highlight w:val="none"/>
        </w:rPr>
      </w:pPr>
      <w:r>
        <w:rPr>
          <w:rFonts w:hint="eastAsia" w:ascii="宋体" w:hAnsi="宋体" w:eastAsia="宋体" w:cs="宋体"/>
          <w:bCs/>
          <w:color w:val="auto"/>
          <w:spacing w:val="57"/>
          <w:sz w:val="96"/>
          <w:szCs w:val="96"/>
          <w:highlight w:val="none"/>
        </w:rPr>
        <w:t>公开采购文件</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tbl>
      <w:tblPr>
        <w:tblStyle w:val="38"/>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项目名称：</w:t>
            </w:r>
          </w:p>
        </w:tc>
        <w:tc>
          <w:tcPr>
            <w:tcW w:w="620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东鸿公司本部食堂食材2025-2026年度配送服务采购项目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项目采购编号：</w:t>
            </w:r>
          </w:p>
        </w:tc>
        <w:tc>
          <w:tcPr>
            <w:tcW w:w="620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u w:val="none"/>
              </w:rPr>
              <w:t>DHWY-SC-05-01-003(2025)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采购人：</w:t>
            </w:r>
          </w:p>
        </w:tc>
        <w:tc>
          <w:tcPr>
            <w:tcW w:w="6203" w:type="dxa"/>
            <w:noWrap/>
            <w:vAlign w:val="center"/>
          </w:tcPr>
          <w:p>
            <w:pPr>
              <w:spacing w:before="200"/>
              <w:jc w:val="both"/>
              <w:rPr>
                <w:rFonts w:hint="eastAsia" w:ascii="宋体" w:hAnsi="宋体" w:eastAsia="宋体" w:cs="宋体"/>
                <w:bCs/>
                <w:color w:val="auto"/>
                <w:sz w:val="32"/>
                <w:szCs w:val="24"/>
                <w:highlight w:val="none"/>
                <w:lang w:eastAsia="zh-CN"/>
              </w:rPr>
            </w:pPr>
            <w:r>
              <w:rPr>
                <w:rFonts w:hint="eastAsia" w:ascii="宋体" w:hAnsi="宋体" w:eastAsia="宋体" w:cs="宋体"/>
                <w:bCs/>
                <w:color w:val="auto"/>
                <w:sz w:val="32"/>
                <w:szCs w:val="24"/>
                <w:highlight w:val="none"/>
                <w:lang w:eastAsia="zh-CN"/>
              </w:rPr>
              <w:t>广东东鸿物业发展有限公司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采购代理：</w:t>
            </w:r>
          </w:p>
        </w:tc>
        <w:tc>
          <w:tcPr>
            <w:tcW w:w="6203" w:type="dxa"/>
            <w:noWrap/>
            <w:vAlign w:val="center"/>
          </w:tcPr>
          <w:p>
            <w:pPr>
              <w:spacing w:before="200"/>
              <w:jc w:val="both"/>
              <w:rPr>
                <w:rFonts w:hint="eastAsia" w:ascii="宋体" w:hAnsi="宋体" w:eastAsia="宋体" w:cs="宋体"/>
                <w:bCs/>
                <w:color w:val="auto"/>
                <w:sz w:val="32"/>
                <w:szCs w:val="24"/>
                <w:highlight w:val="none"/>
                <w:lang w:val="en-US" w:eastAsia="zh-CN"/>
              </w:rPr>
            </w:pPr>
            <w:r>
              <w:rPr>
                <w:rFonts w:hint="eastAsia" w:ascii="宋体" w:hAnsi="宋体" w:eastAsia="宋体" w:cs="宋体"/>
                <w:bCs/>
                <w:color w:val="auto"/>
                <w:sz w:val="32"/>
                <w:szCs w:val="24"/>
                <w:highlight w:val="none"/>
                <w:lang w:val="en-US" w:eastAsia="zh-CN"/>
              </w:rPr>
              <w:t>广西同泽工程项目管理股份有限公司</w:t>
            </w:r>
          </w:p>
        </w:tc>
      </w:tr>
    </w:tbl>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p>
      <w:pPr>
        <w:pStyle w:val="39"/>
        <w:ind w:firstLine="400"/>
        <w:rPr>
          <w:rFonts w:hint="eastAsia" w:ascii="宋体" w:hAnsi="宋体" w:eastAsia="宋体" w:cs="宋体"/>
          <w:color w:val="auto"/>
          <w:highlight w:val="none"/>
        </w:rPr>
      </w:pPr>
    </w:p>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p>
      <w:pPr>
        <w:spacing w:before="200"/>
        <w:jc w:val="center"/>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20</w:t>
      </w:r>
      <w:r>
        <w:rPr>
          <w:rFonts w:hint="eastAsia" w:ascii="宋体" w:hAnsi="宋体" w:eastAsia="宋体" w:cs="宋体"/>
          <w:bCs/>
          <w:color w:val="auto"/>
          <w:sz w:val="32"/>
          <w:szCs w:val="24"/>
          <w:highlight w:val="none"/>
          <w:lang w:val="en-US" w:eastAsia="zh-CN"/>
        </w:rPr>
        <w:t>25</w:t>
      </w:r>
      <w:r>
        <w:rPr>
          <w:rFonts w:hint="eastAsia" w:ascii="宋体" w:hAnsi="宋体" w:eastAsia="宋体" w:cs="宋体"/>
          <w:bCs/>
          <w:color w:val="auto"/>
          <w:sz w:val="32"/>
          <w:szCs w:val="24"/>
          <w:highlight w:val="none"/>
        </w:rPr>
        <w:t>年</w:t>
      </w:r>
      <w:r>
        <w:rPr>
          <w:rFonts w:hint="eastAsia" w:ascii="宋体" w:hAnsi="宋体" w:eastAsia="宋体" w:cs="宋体"/>
          <w:bCs/>
          <w:color w:val="auto"/>
          <w:sz w:val="32"/>
          <w:szCs w:val="24"/>
          <w:highlight w:val="none"/>
          <w:lang w:val="en-US" w:eastAsia="zh-CN"/>
        </w:rPr>
        <w:t>0</w:t>
      </w:r>
      <w:r>
        <w:rPr>
          <w:rFonts w:hint="eastAsia" w:ascii="宋体" w:hAnsi="宋体" w:cs="宋体"/>
          <w:bCs/>
          <w:color w:val="auto"/>
          <w:sz w:val="32"/>
          <w:szCs w:val="24"/>
          <w:highlight w:val="none"/>
          <w:lang w:val="en-US" w:eastAsia="zh-CN"/>
        </w:rPr>
        <w:t>5</w:t>
      </w:r>
      <w:r>
        <w:rPr>
          <w:rFonts w:hint="eastAsia" w:ascii="宋体" w:hAnsi="宋体" w:eastAsia="宋体" w:cs="宋体"/>
          <w:bCs/>
          <w:color w:val="auto"/>
          <w:sz w:val="32"/>
          <w:szCs w:val="24"/>
          <w:highlight w:val="none"/>
        </w:rPr>
        <w:t>月</w:t>
      </w:r>
    </w:p>
    <w:p>
      <w:pPr>
        <w:rPr>
          <w:rFonts w:hint="eastAsia" w:ascii="宋体" w:hAnsi="宋体" w:eastAsia="宋体" w:cs="宋体"/>
          <w:color w:val="auto"/>
          <w:highlight w:val="none"/>
        </w:rPr>
        <w:sectPr>
          <w:footerReference r:id="rId6" w:type="first"/>
          <w:footerReference r:id="rId4" w:type="default"/>
          <w:headerReference r:id="rId3" w:type="even"/>
          <w:footerReference r:id="rId5" w:type="even"/>
          <w:pgSz w:w="11906" w:h="16838"/>
          <w:pgMar w:top="1440" w:right="1800" w:bottom="1440" w:left="1800" w:header="708" w:footer="708" w:gutter="0"/>
          <w:pgNumType w:start="1"/>
          <w:cols w:space="708" w:num="1"/>
          <w:titlePg/>
          <w:docGrid w:type="lines" w:linePitch="360" w:charSpace="0"/>
        </w:sectPr>
      </w:pPr>
    </w:p>
    <w:p>
      <w:pPr>
        <w:pStyle w:val="27"/>
        <w:keepNext w:val="0"/>
        <w:keepLines w:val="0"/>
        <w:pageBreakBefore w:val="0"/>
        <w:widowControl/>
        <w:kinsoku/>
        <w:wordWrap/>
        <w:overflowPunct/>
        <w:topLinePunct w:val="0"/>
        <w:autoSpaceDE/>
        <w:autoSpaceDN/>
        <w:bidi w:val="0"/>
        <w:adjustRightInd w:val="0"/>
        <w:snapToGrid w:val="0"/>
        <w:ind w:left="0" w:left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_Toc11854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第一部分投标邀请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_Toc11854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_Toc25684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投标邀请书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_Toc25684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_Toc18500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第二部分相关资料表格</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_Toc18500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_Toc9432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附表一：投标资料表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_Toc9432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_Toc26271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附表二：商务技术评分及价格权重表（满分100分）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_Toc26271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第三部分用户需求书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_Toc2228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_Toc25197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商务需求书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_Toc25197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_Toc29383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技术需求书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_Toc29383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_Toc4311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第四部分投标人须知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_Toc4311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_Toc4670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一、 </w:t>
      </w:r>
      <w:r>
        <w:rPr>
          <w:rFonts w:hint="eastAsia" w:ascii="宋体" w:hAnsi="宋体" w:eastAsia="宋体" w:cs="宋体"/>
          <w:sz w:val="21"/>
          <w:szCs w:val="21"/>
          <w:highlight w:val="none"/>
        </w:rPr>
        <w:t>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_Toc4670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_Toc24689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 </w:t>
      </w:r>
      <w:r>
        <w:rPr>
          <w:rFonts w:hint="eastAsia" w:ascii="宋体" w:hAnsi="宋体" w:eastAsia="宋体" w:cs="宋体"/>
          <w:sz w:val="21"/>
          <w:szCs w:val="21"/>
          <w:highlight w:val="none"/>
        </w:rPr>
        <w:t>适用范围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_Toc24689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_Toc3852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 </w:t>
      </w:r>
      <w:r>
        <w:rPr>
          <w:rFonts w:hint="eastAsia" w:ascii="宋体" w:hAnsi="宋体" w:eastAsia="宋体" w:cs="宋体"/>
          <w:sz w:val="21"/>
          <w:szCs w:val="21"/>
          <w:highlight w:val="none"/>
        </w:rPr>
        <w:t>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_Toc3852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_Toc18000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 </w:t>
      </w:r>
      <w:r>
        <w:rPr>
          <w:rFonts w:hint="eastAsia" w:ascii="宋体" w:hAnsi="宋体" w:eastAsia="宋体" w:cs="宋体"/>
          <w:sz w:val="21"/>
          <w:szCs w:val="21"/>
          <w:highlight w:val="none"/>
        </w:rPr>
        <w:t>货物和服务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_Toc18000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_Toc27448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4. </w:t>
      </w:r>
      <w:r>
        <w:rPr>
          <w:rFonts w:hint="eastAsia" w:ascii="宋体" w:hAnsi="宋体" w:eastAsia="宋体" w:cs="宋体"/>
          <w:sz w:val="21"/>
          <w:szCs w:val="21"/>
          <w:highlight w:val="none"/>
        </w:rPr>
        <w:t>投标费用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_Toc27448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_Toc8341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5. </w:t>
      </w:r>
      <w:r>
        <w:rPr>
          <w:rFonts w:hint="eastAsia" w:ascii="宋体" w:hAnsi="宋体" w:eastAsia="宋体" w:cs="宋体"/>
          <w:sz w:val="21"/>
          <w:szCs w:val="21"/>
          <w:highlight w:val="none"/>
        </w:rPr>
        <w:t>知识产权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_Toc8341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_Toc18349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6. </w:t>
      </w:r>
      <w:r>
        <w:rPr>
          <w:rFonts w:hint="eastAsia" w:ascii="宋体" w:hAnsi="宋体" w:eastAsia="宋体" w:cs="宋体"/>
          <w:sz w:val="21"/>
          <w:szCs w:val="21"/>
          <w:highlight w:val="none"/>
        </w:rPr>
        <w:t>关于联合体投标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_Toc18349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_Toc8845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7. </w:t>
      </w:r>
      <w:r>
        <w:rPr>
          <w:rFonts w:hint="eastAsia" w:ascii="宋体" w:hAnsi="宋体" w:eastAsia="宋体" w:cs="宋体"/>
          <w:sz w:val="21"/>
          <w:szCs w:val="21"/>
          <w:highlight w:val="none"/>
        </w:rPr>
        <w:t>关于分支机构投标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_Toc8845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_Toc28775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8. </w:t>
      </w:r>
      <w:r>
        <w:rPr>
          <w:rFonts w:hint="eastAsia" w:ascii="宋体" w:hAnsi="宋体" w:eastAsia="宋体" w:cs="宋体"/>
          <w:sz w:val="21"/>
          <w:szCs w:val="21"/>
          <w:highlight w:val="none"/>
        </w:rPr>
        <w:t>踏勘现场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_Toc28775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_Toc16024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二、 </w:t>
      </w:r>
      <w:r>
        <w:rPr>
          <w:rFonts w:hint="eastAsia" w:ascii="宋体" w:hAnsi="宋体" w:eastAsia="宋体" w:cs="宋体"/>
          <w:sz w:val="21"/>
          <w:szCs w:val="21"/>
          <w:highlight w:val="none"/>
        </w:rPr>
        <w:t>采购文件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_Toc16024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_Toc29495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9. </w:t>
      </w:r>
      <w:r>
        <w:rPr>
          <w:rFonts w:hint="eastAsia" w:ascii="宋体" w:hAnsi="宋体" w:eastAsia="宋体" w:cs="宋体"/>
          <w:sz w:val="21"/>
          <w:szCs w:val="21"/>
          <w:highlight w:val="none"/>
        </w:rPr>
        <w:t>采购文件的组成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_Toc29495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_Toc25712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10. </w:t>
      </w:r>
      <w:r>
        <w:rPr>
          <w:rFonts w:hint="eastAsia" w:ascii="宋体" w:hAnsi="宋体" w:eastAsia="宋体" w:cs="宋体"/>
          <w:sz w:val="21"/>
          <w:szCs w:val="21"/>
          <w:highlight w:val="none"/>
        </w:rPr>
        <w:t>采购文件的澄清或修改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_Toc25712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_Toc23924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三、 </w:t>
      </w:r>
      <w:r>
        <w:rPr>
          <w:rFonts w:hint="eastAsia" w:ascii="宋体" w:hAnsi="宋体" w:eastAsia="宋体" w:cs="宋体"/>
          <w:sz w:val="21"/>
          <w:szCs w:val="21"/>
          <w:highlight w:val="none"/>
        </w:rPr>
        <w:t>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_Toc23924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_Toc24204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11. </w:t>
      </w:r>
      <w:r>
        <w:rPr>
          <w:rFonts w:hint="eastAsia" w:ascii="宋体" w:hAnsi="宋体" w:eastAsia="宋体" w:cs="宋体"/>
          <w:sz w:val="21"/>
          <w:szCs w:val="21"/>
          <w:highlight w:val="none"/>
        </w:rPr>
        <w:t>投标文件的语言及度量衡单位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_Toc24204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_Toc24651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12. </w:t>
      </w:r>
      <w:r>
        <w:rPr>
          <w:rFonts w:hint="eastAsia" w:ascii="宋体" w:hAnsi="宋体" w:eastAsia="宋体" w:cs="宋体"/>
          <w:sz w:val="21"/>
          <w:szCs w:val="21"/>
          <w:highlight w:val="none"/>
        </w:rPr>
        <w:t>投标文件的组成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_Toc24651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_Toc12205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13. </w:t>
      </w:r>
      <w:r>
        <w:rPr>
          <w:rFonts w:hint="eastAsia" w:ascii="宋体" w:hAnsi="宋体" w:eastAsia="宋体" w:cs="宋体"/>
          <w:sz w:val="21"/>
          <w:szCs w:val="21"/>
          <w:highlight w:val="none"/>
        </w:rPr>
        <w:t>投标文件编制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_Toc12205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_Toc22677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14. </w:t>
      </w:r>
      <w:r>
        <w:rPr>
          <w:rFonts w:hint="eastAsia" w:ascii="宋体" w:hAnsi="宋体" w:eastAsia="宋体" w:cs="宋体"/>
          <w:sz w:val="21"/>
          <w:szCs w:val="21"/>
          <w:highlight w:val="none"/>
        </w:rPr>
        <w:t>投标报价说明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_Toc22677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_Toc6628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15. </w:t>
      </w:r>
      <w:r>
        <w:rPr>
          <w:rFonts w:hint="eastAsia" w:ascii="宋体" w:hAnsi="宋体" w:eastAsia="宋体" w:cs="宋体"/>
          <w:sz w:val="21"/>
          <w:szCs w:val="21"/>
          <w:highlight w:val="none"/>
        </w:rPr>
        <w:t>投标人所提供的服务或货物的证明文件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_Toc6628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_Toc24153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16. </w:t>
      </w:r>
      <w:r>
        <w:rPr>
          <w:rFonts w:hint="eastAsia" w:ascii="宋体" w:hAnsi="宋体" w:eastAsia="宋体" w:cs="宋体"/>
          <w:sz w:val="21"/>
          <w:szCs w:val="21"/>
          <w:highlight w:val="none"/>
        </w:rPr>
        <w:t>投标有效期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_Toc24153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_Toc639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17. </w:t>
      </w:r>
      <w:r>
        <w:rPr>
          <w:rFonts w:hint="eastAsia" w:ascii="宋体" w:hAnsi="宋体" w:eastAsia="宋体" w:cs="宋体"/>
          <w:sz w:val="21"/>
          <w:szCs w:val="21"/>
          <w:highlight w:val="none"/>
        </w:rPr>
        <w:t>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_Toc639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_Toc24937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四、 </w:t>
      </w:r>
      <w:r>
        <w:rPr>
          <w:rFonts w:hint="eastAsia" w:ascii="宋体" w:hAnsi="宋体" w:eastAsia="宋体" w:cs="宋体"/>
          <w:sz w:val="21"/>
          <w:szCs w:val="21"/>
          <w:highlight w:val="none"/>
        </w:rPr>
        <w:t>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_Toc24937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_Toc17101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18. </w:t>
      </w:r>
      <w:r>
        <w:rPr>
          <w:rFonts w:hint="eastAsia" w:ascii="宋体" w:hAnsi="宋体" w:eastAsia="宋体" w:cs="宋体"/>
          <w:sz w:val="21"/>
          <w:szCs w:val="21"/>
          <w:highlight w:val="none"/>
        </w:rPr>
        <w:t>投标文件的装订，签署，密封和标记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_Toc17101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_Toc17324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19. </w:t>
      </w:r>
      <w:r>
        <w:rPr>
          <w:rFonts w:hint="eastAsia" w:ascii="宋体" w:hAnsi="宋体" w:eastAsia="宋体" w:cs="宋体"/>
          <w:sz w:val="21"/>
          <w:szCs w:val="21"/>
          <w:highlight w:val="none"/>
        </w:rPr>
        <w:t>迟交的投标文件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_Toc17324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_Toc13210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20. </w:t>
      </w:r>
      <w:r>
        <w:rPr>
          <w:rFonts w:hint="eastAsia" w:ascii="宋体" w:hAnsi="宋体" w:eastAsia="宋体" w:cs="宋体"/>
          <w:sz w:val="21"/>
          <w:szCs w:val="21"/>
          <w:highlight w:val="none"/>
        </w:rPr>
        <w:t>投标样品（如需提交）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_Toc13210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_Toc10019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21. </w:t>
      </w:r>
      <w:r>
        <w:rPr>
          <w:rFonts w:hint="eastAsia" w:ascii="宋体" w:hAnsi="宋体" w:eastAsia="宋体" w:cs="宋体"/>
          <w:sz w:val="21"/>
          <w:szCs w:val="21"/>
          <w:highlight w:val="none"/>
        </w:rPr>
        <w:t>投标截止期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_Toc10019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_Toc29122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22. </w:t>
      </w:r>
      <w:r>
        <w:rPr>
          <w:rFonts w:hint="eastAsia" w:ascii="宋体" w:hAnsi="宋体" w:eastAsia="宋体" w:cs="宋体"/>
          <w:sz w:val="21"/>
          <w:szCs w:val="21"/>
          <w:highlight w:val="none"/>
        </w:rPr>
        <w:t>投标文件的补充、修改与撤回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_Toc29122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_Toc5287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五、 </w:t>
      </w:r>
      <w:r>
        <w:rPr>
          <w:rFonts w:hint="eastAsia" w:ascii="宋体" w:hAnsi="宋体" w:eastAsia="宋体" w:cs="宋体"/>
          <w:sz w:val="21"/>
          <w:szCs w:val="21"/>
          <w:highlight w:val="none"/>
        </w:rPr>
        <w:t>开标与评标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_Toc5287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23. </w:t>
      </w:r>
      <w:r>
        <w:rPr>
          <w:rFonts w:hint="eastAsia" w:ascii="宋体" w:hAnsi="宋体" w:eastAsia="宋体" w:cs="宋体"/>
          <w:sz w:val="21"/>
          <w:szCs w:val="21"/>
          <w:highlight w:val="none"/>
        </w:rPr>
        <w:t>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_Toc3168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_Toc2538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24. </w:t>
      </w:r>
      <w:r>
        <w:rPr>
          <w:rFonts w:hint="eastAsia" w:ascii="宋体" w:hAnsi="宋体" w:eastAsia="宋体" w:cs="宋体"/>
          <w:sz w:val="21"/>
          <w:szCs w:val="21"/>
          <w:highlight w:val="none"/>
        </w:rPr>
        <w:t>评标委员会及评标方法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_Toc2538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_Toc4442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25. </w:t>
      </w:r>
      <w:r>
        <w:rPr>
          <w:rFonts w:hint="eastAsia" w:ascii="宋体" w:hAnsi="宋体" w:eastAsia="宋体" w:cs="宋体"/>
          <w:sz w:val="21"/>
          <w:szCs w:val="21"/>
          <w:highlight w:val="none"/>
        </w:rPr>
        <w:t>评审原则及评标过程的保密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_Toc4442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_Toc12366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26. </w:t>
      </w:r>
      <w:r>
        <w:rPr>
          <w:rFonts w:hint="eastAsia" w:ascii="宋体" w:hAnsi="宋体" w:eastAsia="宋体" w:cs="宋体"/>
          <w:sz w:val="21"/>
          <w:szCs w:val="21"/>
          <w:highlight w:val="none"/>
        </w:rPr>
        <w:t>评标程序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_Toc12366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_Toc21335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27. </w:t>
      </w:r>
      <w:r>
        <w:rPr>
          <w:rFonts w:hint="eastAsia" w:ascii="宋体" w:hAnsi="宋体" w:eastAsia="宋体" w:cs="宋体"/>
          <w:sz w:val="21"/>
          <w:szCs w:val="21"/>
          <w:highlight w:val="none"/>
        </w:rPr>
        <w:t>商务、技术、价格评审（具体评审项目详见投标资料表）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_Toc21335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_Toc19328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28. </w:t>
      </w:r>
      <w:r>
        <w:rPr>
          <w:rFonts w:hint="eastAsia" w:ascii="宋体" w:hAnsi="宋体" w:eastAsia="宋体" w:cs="宋体"/>
          <w:sz w:val="21"/>
          <w:szCs w:val="21"/>
          <w:highlight w:val="none"/>
        </w:rPr>
        <w:t>纪律和保密事项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_Toc19328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_Toc23653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六、 </w:t>
      </w:r>
      <w:r>
        <w:rPr>
          <w:rFonts w:hint="eastAsia" w:ascii="宋体" w:hAnsi="宋体" w:eastAsia="宋体" w:cs="宋体"/>
          <w:sz w:val="21"/>
          <w:szCs w:val="21"/>
          <w:highlight w:val="none"/>
        </w:rPr>
        <w:t>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_Toc23653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_Toc9736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29. </w:t>
      </w:r>
      <w:r>
        <w:rPr>
          <w:rFonts w:hint="eastAsia" w:ascii="宋体" w:hAnsi="宋体" w:eastAsia="宋体" w:cs="宋体"/>
          <w:sz w:val="21"/>
          <w:szCs w:val="21"/>
          <w:highlight w:val="none"/>
        </w:rPr>
        <w:t>合同授予标准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_Toc9736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_Toc23259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30. </w:t>
      </w:r>
      <w:r>
        <w:rPr>
          <w:rFonts w:hint="eastAsia" w:ascii="宋体" w:hAnsi="宋体" w:eastAsia="宋体" w:cs="宋体"/>
          <w:sz w:val="21"/>
          <w:szCs w:val="21"/>
          <w:highlight w:val="none"/>
        </w:rPr>
        <w:t>发布中标结果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_Toc23259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_Toc13090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31. </w:t>
      </w:r>
      <w:r>
        <w:rPr>
          <w:rFonts w:hint="eastAsia" w:ascii="宋体" w:hAnsi="宋体" w:eastAsia="宋体" w:cs="宋体"/>
          <w:sz w:val="21"/>
          <w:szCs w:val="21"/>
          <w:highlight w:val="none"/>
        </w:rPr>
        <w:t>资格后审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_Toc13090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32. </w:t>
      </w:r>
      <w:r>
        <w:rPr>
          <w:rFonts w:hint="eastAsia" w:ascii="宋体" w:hAnsi="宋体" w:eastAsia="宋体" w:cs="宋体"/>
          <w:sz w:val="21"/>
          <w:szCs w:val="21"/>
          <w:highlight w:val="none"/>
        </w:rPr>
        <w:t>合同的签订与履行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_Toc568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_Toc6306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33. </w:t>
      </w:r>
      <w:r>
        <w:rPr>
          <w:rFonts w:hint="eastAsia" w:ascii="宋体" w:hAnsi="宋体" w:eastAsia="宋体" w:cs="宋体"/>
          <w:sz w:val="21"/>
          <w:szCs w:val="21"/>
          <w:highlight w:val="none"/>
        </w:rPr>
        <w:t>履约担保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_Toc6306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_Toc26640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34. </w:t>
      </w:r>
      <w:r>
        <w:rPr>
          <w:rFonts w:hint="eastAsia" w:ascii="宋体" w:hAnsi="宋体" w:eastAsia="宋体" w:cs="宋体"/>
          <w:sz w:val="21"/>
          <w:szCs w:val="21"/>
          <w:highlight w:val="none"/>
        </w:rPr>
        <w:t>预付款保函（适用于预付款支付）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_Toc26640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_Toc10416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七、 </w:t>
      </w:r>
      <w:r>
        <w:rPr>
          <w:rFonts w:hint="eastAsia" w:ascii="宋体" w:hAnsi="宋体" w:eastAsia="宋体" w:cs="宋体"/>
          <w:sz w:val="21"/>
          <w:szCs w:val="21"/>
          <w:highlight w:val="none"/>
        </w:rPr>
        <w:t>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_Toc10416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_Toc25925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35. </w:t>
      </w:r>
      <w:r>
        <w:rPr>
          <w:rFonts w:hint="eastAsia" w:ascii="宋体" w:hAnsi="宋体" w:eastAsia="宋体" w:cs="宋体"/>
          <w:sz w:val="21"/>
          <w:szCs w:val="21"/>
          <w:highlight w:val="none"/>
        </w:rPr>
        <w:t>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_Toc25925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_Toc21144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八、 </w:t>
      </w:r>
      <w:r>
        <w:rPr>
          <w:rFonts w:hint="eastAsia" w:ascii="宋体" w:hAnsi="宋体" w:eastAsia="宋体" w:cs="宋体"/>
          <w:sz w:val="21"/>
          <w:szCs w:val="21"/>
          <w:highlight w:val="none"/>
        </w:rPr>
        <w:t>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_Toc21144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_Toc1563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36. </w:t>
      </w:r>
      <w:r>
        <w:rPr>
          <w:rFonts w:hint="eastAsia" w:ascii="宋体" w:hAnsi="宋体" w:eastAsia="宋体" w:cs="宋体"/>
          <w:sz w:val="21"/>
          <w:szCs w:val="21"/>
          <w:highlight w:val="none"/>
        </w:rPr>
        <w:t>采购文件的解释权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_Toc1563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第五部分  合同条款格式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_Toc2830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_Toc10223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合同格式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_Toc10223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_Toc28560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第六部分附件－投标文件格式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_Toc28560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_Toc6546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投标文件目录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_Toc6546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_Toc17866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价格文件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_Toc17866 </w:instrText>
      </w:r>
      <w:r>
        <w:rPr>
          <w:rFonts w:hint="eastAsia" w:ascii="宋体" w:hAnsi="宋体" w:eastAsia="宋体" w:cs="宋体"/>
          <w:sz w:val="21"/>
          <w:szCs w:val="21"/>
        </w:rPr>
        <w:fldChar w:fldCharType="separate"/>
      </w:r>
      <w:r>
        <w:rPr>
          <w:rFonts w:hint="eastAsia" w:ascii="宋体" w:hAnsi="宋体" w:eastAsia="宋体" w:cs="宋体"/>
          <w:sz w:val="21"/>
          <w:szCs w:val="21"/>
        </w:rPr>
        <w:t>57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_Toc31644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.开标一览表格式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_Toc31644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_Toc16168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商务文件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_Toc16168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_Toc18480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.投标文件商务部分索引表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_Toc18480 </w:instrText>
      </w:r>
      <w:r>
        <w:rPr>
          <w:rFonts w:hint="eastAsia" w:ascii="宋体" w:hAnsi="宋体" w:eastAsia="宋体" w:cs="宋体"/>
          <w:sz w:val="21"/>
          <w:szCs w:val="21"/>
        </w:rPr>
        <w:fldChar w:fldCharType="separate"/>
      </w:r>
      <w:r>
        <w:rPr>
          <w:rFonts w:hint="eastAsia" w:ascii="宋体" w:hAnsi="宋体" w:eastAsia="宋体" w:cs="宋体"/>
          <w:sz w:val="21"/>
          <w:szCs w:val="21"/>
        </w:rPr>
        <w:t>60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_Toc27135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_Toc27135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_Toc26123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.法定代表人证明书格式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_Toc26123 </w:instrText>
      </w:r>
      <w:r>
        <w:rPr>
          <w:rFonts w:hint="eastAsia" w:ascii="宋体" w:hAnsi="宋体" w:eastAsia="宋体" w:cs="宋体"/>
          <w:sz w:val="21"/>
          <w:szCs w:val="21"/>
        </w:rPr>
        <w:fldChar w:fldCharType="separate"/>
      </w:r>
      <w:r>
        <w:rPr>
          <w:rFonts w:hint="eastAsia" w:ascii="宋体" w:hAnsi="宋体" w:eastAsia="宋体" w:cs="宋体"/>
          <w:sz w:val="21"/>
          <w:szCs w:val="21"/>
        </w:rPr>
        <w:t>62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_Toc17649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.法定代表人授权书格式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_Toc17649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_Toc2254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.资格申明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_Toc2254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_Toc20089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.营业执照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_Toc20089 </w:instrText>
      </w:r>
      <w:r>
        <w:rPr>
          <w:rFonts w:hint="eastAsia" w:ascii="宋体" w:hAnsi="宋体" w:eastAsia="宋体" w:cs="宋体"/>
          <w:sz w:val="21"/>
          <w:szCs w:val="21"/>
        </w:rPr>
        <w:fldChar w:fldCharType="separate"/>
      </w:r>
      <w:r>
        <w:rPr>
          <w:rFonts w:hint="eastAsia"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_Toc28904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.相关资质证明文件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_Toc28904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_Toc31163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.在经营活动中没有重大违法记录的书面声明格式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_Toc31163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_Toc28558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.承诺书格式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_Toc28558 </w:instrText>
      </w:r>
      <w:r>
        <w:rPr>
          <w:rFonts w:hint="eastAsia" w:ascii="宋体" w:hAnsi="宋体" w:eastAsia="宋体" w:cs="宋体"/>
          <w:sz w:val="21"/>
          <w:szCs w:val="21"/>
        </w:rPr>
        <w:fldChar w:fldCharType="separate"/>
      </w:r>
      <w:r>
        <w:rPr>
          <w:rFonts w:hint="eastAsia" w:ascii="宋体" w:hAnsi="宋体" w:eastAsia="宋体" w:cs="宋体"/>
          <w:sz w:val="21"/>
          <w:szCs w:val="21"/>
        </w:rPr>
        <w:t>68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_Toc31513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.商务需求条款偏离表格式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_Toc31513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_Toc30621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.业绩表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_Toc30621 </w:instrText>
      </w:r>
      <w:r>
        <w:rPr>
          <w:rFonts w:hint="eastAsia" w:ascii="宋体" w:hAnsi="宋体" w:eastAsia="宋体" w:cs="宋体"/>
          <w:sz w:val="21"/>
          <w:szCs w:val="21"/>
        </w:rPr>
        <w:fldChar w:fldCharType="separate"/>
      </w:r>
      <w:r>
        <w:rPr>
          <w:rFonts w:hint="eastAsia" w:ascii="宋体" w:hAnsi="宋体" w:eastAsia="宋体" w:cs="宋体"/>
          <w:sz w:val="21"/>
          <w:szCs w:val="21"/>
        </w:rPr>
        <w:t>72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_Toc12820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.联合体协议书（如有）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_Toc12820 </w:instrText>
      </w:r>
      <w:r>
        <w:rPr>
          <w:rFonts w:hint="eastAsia" w:ascii="宋体" w:hAnsi="宋体" w:eastAsia="宋体" w:cs="宋体"/>
          <w:sz w:val="21"/>
          <w:szCs w:val="21"/>
        </w:rPr>
        <w:fldChar w:fldCharType="separate"/>
      </w:r>
      <w:r>
        <w:rPr>
          <w:rFonts w:hint="eastAsia" w:ascii="宋体" w:hAnsi="宋体" w:eastAsia="宋体" w:cs="宋体"/>
          <w:sz w:val="21"/>
          <w:szCs w:val="21"/>
        </w:rPr>
        <w:t>73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_Toc2650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技术文件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_Toc2650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_Toc25467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.技术规格偏离表格式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_Toc25467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_Toc1900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.项目实施方案格式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_Toc1900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_Toc19979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.实施本项目的有关人员资料表格式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_Toc19979 </w:instrText>
      </w:r>
      <w:r>
        <w:rPr>
          <w:rFonts w:hint="eastAsia" w:ascii="宋体" w:hAnsi="宋体" w:eastAsia="宋体" w:cs="宋体"/>
          <w:sz w:val="21"/>
          <w:szCs w:val="21"/>
        </w:rPr>
        <w:fldChar w:fldCharType="separate"/>
      </w:r>
      <w:r>
        <w:rPr>
          <w:rFonts w:hint="eastAsia" w:ascii="宋体" w:hAnsi="宋体" w:eastAsia="宋体" w:cs="宋体"/>
          <w:sz w:val="21"/>
          <w:szCs w:val="21"/>
        </w:rPr>
        <w:t>78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_Toc24973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.投标保证金汇入情况说明格式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_Toc24973 </w:instrText>
      </w:r>
      <w:r>
        <w:rPr>
          <w:rFonts w:hint="eastAsia" w:ascii="宋体" w:hAnsi="宋体" w:eastAsia="宋体" w:cs="宋体"/>
          <w:sz w:val="21"/>
          <w:szCs w:val="21"/>
        </w:rPr>
        <w:fldChar w:fldCharType="separate"/>
      </w:r>
      <w:r>
        <w:rPr>
          <w:rFonts w:hint="eastAsia" w:ascii="宋体" w:hAnsi="宋体" w:eastAsia="宋体" w:cs="宋体"/>
          <w:sz w:val="21"/>
          <w:szCs w:val="21"/>
        </w:rPr>
        <w:t>79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_Toc13527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.不可撤销履约保函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_Toc13527 </w:instrText>
      </w:r>
      <w:r>
        <w:rPr>
          <w:rFonts w:hint="eastAsia" w:ascii="宋体" w:hAnsi="宋体" w:eastAsia="宋体" w:cs="宋体"/>
          <w:sz w:val="21"/>
          <w:szCs w:val="21"/>
        </w:rPr>
        <w:fldChar w:fldCharType="separate"/>
      </w:r>
      <w:r>
        <w:rPr>
          <w:rFonts w:hint="eastAsia" w:ascii="宋体" w:hAnsi="宋体" w:eastAsia="宋体" w:cs="宋体"/>
          <w:sz w:val="21"/>
          <w:szCs w:val="21"/>
        </w:rPr>
        <w:t>81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.预付款保函（适用于预付款支付）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_Toc1466 </w:instrText>
      </w:r>
      <w:r>
        <w:rPr>
          <w:rFonts w:hint="eastAsia" w:ascii="宋体" w:hAnsi="宋体" w:eastAsia="宋体" w:cs="宋体"/>
          <w:sz w:val="21"/>
          <w:szCs w:val="21"/>
        </w:rPr>
        <w:fldChar w:fldCharType="separate"/>
      </w:r>
      <w:r>
        <w:rPr>
          <w:rFonts w:hint="eastAsia" w:ascii="宋体" w:hAnsi="宋体" w:eastAsia="宋体" w:cs="宋体"/>
          <w:sz w:val="21"/>
          <w:szCs w:val="21"/>
        </w:rPr>
        <w:t>82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_Toc5690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唱标信封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_Toc5690 </w:instrText>
      </w:r>
      <w:r>
        <w:rPr>
          <w:rFonts w:hint="eastAsia" w:ascii="宋体" w:hAnsi="宋体" w:eastAsia="宋体" w:cs="宋体"/>
          <w:sz w:val="21"/>
          <w:szCs w:val="21"/>
        </w:rPr>
        <w:fldChar w:fldCharType="separate"/>
      </w:r>
      <w:r>
        <w:rPr>
          <w:rFonts w:hint="eastAsia" w:ascii="宋体" w:hAnsi="宋体" w:eastAsia="宋体" w:cs="宋体"/>
          <w:sz w:val="21"/>
          <w:szCs w:val="21"/>
        </w:rPr>
        <w:t>83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_Toc28911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附件2</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.唱标信封内装（内容务必与投标文件正本一致）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_Toc28911 </w:instrText>
      </w:r>
      <w:r>
        <w:rPr>
          <w:rFonts w:hint="eastAsia" w:ascii="宋体" w:hAnsi="宋体" w:eastAsia="宋体" w:cs="宋体"/>
          <w:sz w:val="21"/>
          <w:szCs w:val="21"/>
        </w:rPr>
        <w:fldChar w:fldCharType="separate"/>
      </w:r>
      <w:r>
        <w:rPr>
          <w:rFonts w:hint="eastAsia" w:ascii="宋体" w:hAnsi="宋体" w:eastAsia="宋体" w:cs="宋体"/>
          <w:sz w:val="21"/>
          <w:szCs w:val="21"/>
        </w:rPr>
        <w:t>84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4"/>
        <w:spacing w:before="0" w:after="0" w:line="240" w:lineRule="auto"/>
        <w:rPr>
          <w:rFonts w:hint="eastAsia" w:ascii="宋体" w:hAnsi="宋体" w:eastAsia="宋体" w:cs="宋体"/>
          <w:color w:val="auto"/>
          <w:sz w:val="28"/>
          <w:szCs w:val="28"/>
          <w:highlight w:val="none"/>
        </w:rPr>
      </w:pPr>
      <w:bookmarkStart w:id="0" w:name="_Toc11854"/>
      <w:r>
        <w:rPr>
          <w:rFonts w:hint="eastAsia" w:ascii="宋体" w:hAnsi="宋体" w:eastAsia="宋体" w:cs="宋体"/>
          <w:color w:val="auto"/>
          <w:sz w:val="28"/>
          <w:szCs w:val="28"/>
          <w:highlight w:val="none"/>
        </w:rPr>
        <w:t>第一部分投标邀请</w:t>
      </w:r>
      <w:bookmarkEnd w:id="0"/>
    </w:p>
    <w:p>
      <w:pPr>
        <w:pStyle w:val="5"/>
        <w:spacing w:before="0" w:after="0" w:line="360" w:lineRule="auto"/>
        <w:jc w:val="center"/>
        <w:rPr>
          <w:rFonts w:hint="eastAsia" w:ascii="宋体" w:hAnsi="宋体" w:eastAsia="宋体" w:cs="宋体"/>
          <w:color w:val="auto"/>
          <w:highlight w:val="none"/>
        </w:rPr>
      </w:pPr>
      <w:bookmarkStart w:id="1" w:name="_Toc25684"/>
      <w:r>
        <w:rPr>
          <w:rFonts w:hint="eastAsia" w:ascii="宋体" w:hAnsi="宋体" w:eastAsia="宋体" w:cs="宋体"/>
          <w:color w:val="auto"/>
          <w:highlight w:val="none"/>
        </w:rPr>
        <w:t>投标邀请书</w:t>
      </w:r>
      <w:bookmarkEnd w:id="1"/>
    </w:p>
    <w:p>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广西同泽工程项目管理股份有限公司</w:t>
      </w:r>
      <w:r>
        <w:rPr>
          <w:rFonts w:hint="eastAsia" w:ascii="宋体" w:hAnsi="宋体" w:eastAsia="宋体" w:cs="宋体"/>
          <w:color w:val="auto"/>
          <w:szCs w:val="21"/>
          <w:highlight w:val="none"/>
        </w:rPr>
        <w:t>（以下简称“采购代理机构”）受</w:t>
      </w:r>
      <w:r>
        <w:rPr>
          <w:rFonts w:hint="eastAsia" w:ascii="宋体" w:hAnsi="宋体" w:eastAsia="宋体" w:cs="宋体"/>
          <w:b/>
          <w:bCs/>
          <w:color w:val="auto"/>
          <w:szCs w:val="21"/>
          <w:highlight w:val="none"/>
          <w:lang w:eastAsia="zh-CN"/>
        </w:rPr>
        <w:t>广东东鸿物业发展有限公司</w:t>
      </w:r>
      <w:r>
        <w:rPr>
          <w:rFonts w:hint="eastAsia" w:ascii="宋体" w:hAnsi="宋体" w:eastAsia="宋体" w:cs="宋体"/>
          <w:color w:val="auto"/>
          <w:szCs w:val="21"/>
          <w:highlight w:val="none"/>
        </w:rPr>
        <w:t>（以下简称“采购人”）委托，现就</w:t>
      </w:r>
      <w:r>
        <w:rPr>
          <w:rFonts w:hint="eastAsia" w:ascii="宋体" w:hAnsi="宋体" w:eastAsia="宋体" w:cs="宋体"/>
          <w:b/>
          <w:bCs/>
          <w:color w:val="auto"/>
          <w:szCs w:val="21"/>
          <w:highlight w:val="none"/>
          <w:lang w:eastAsia="zh-CN"/>
        </w:rPr>
        <w:t>东鸿公司本部食堂食材2025-2026年度配送服务采购项目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DHWY-SC-05-01-003(2025)</w:t>
      </w:r>
      <w:r>
        <w:rPr>
          <w:rFonts w:hint="eastAsia" w:ascii="宋体" w:hAnsi="宋体" w:eastAsia="宋体" w:cs="宋体"/>
          <w:color w:val="auto"/>
          <w:szCs w:val="21"/>
          <w:highlight w:val="none"/>
        </w:rPr>
        <w:t>）进行国内公开采购，欢迎符合采购文件要求的国内投标人参加投标。有关事项如下：</w:t>
      </w:r>
    </w:p>
    <w:p>
      <w:pPr>
        <w:ind w:firstLine="413" w:firstLineChars="196"/>
        <w:rPr>
          <w:rFonts w:hint="eastAsia" w:ascii="宋体" w:hAnsi="宋体" w:eastAsia="宋体" w:cs="宋体"/>
          <w:b/>
          <w:color w:val="auto"/>
          <w:szCs w:val="21"/>
          <w:highlight w:val="none"/>
        </w:rPr>
      </w:pPr>
    </w:p>
    <w:p>
      <w:pPr>
        <w:ind w:firstLine="41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1、采购项目名称：</w:t>
      </w:r>
      <w:r>
        <w:rPr>
          <w:rFonts w:hint="eastAsia" w:ascii="宋体" w:hAnsi="宋体" w:eastAsia="宋体" w:cs="宋体"/>
          <w:color w:val="auto"/>
          <w:szCs w:val="21"/>
          <w:highlight w:val="none"/>
          <w:lang w:eastAsia="zh-CN"/>
        </w:rPr>
        <w:t>东鸿公司本部食堂食材2025-2026年度配送服务采购项目</w:t>
      </w:r>
    </w:p>
    <w:p>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2、预算金额（元）：</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480,000.00</w:t>
      </w:r>
      <w:r>
        <w:rPr>
          <w:rFonts w:hint="eastAsia" w:ascii="宋体" w:hAnsi="宋体" w:eastAsia="宋体" w:cs="宋体"/>
          <w:color w:val="auto"/>
          <w:szCs w:val="21"/>
          <w:highlight w:val="none"/>
          <w:u w:val="single"/>
        </w:rPr>
        <w:t>元</w:t>
      </w:r>
      <w:bookmarkStart w:id="2" w:name="OLE_LINK2"/>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含税</w:t>
      </w:r>
      <w:r>
        <w:rPr>
          <w:rFonts w:hint="eastAsia" w:ascii="宋体" w:hAnsi="宋体" w:eastAsia="宋体" w:cs="宋体"/>
          <w:color w:val="auto"/>
          <w:szCs w:val="21"/>
          <w:highlight w:val="none"/>
          <w:u w:val="single"/>
          <w:lang w:eastAsia="zh-CN"/>
        </w:rPr>
        <w:t>）</w:t>
      </w:r>
      <w:bookmarkEnd w:id="2"/>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、项目内容</w:t>
      </w:r>
    </w:p>
    <w:tbl>
      <w:tblPr>
        <w:tblStyle w:val="3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139"/>
        <w:gridCol w:w="1595"/>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194"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采购包号</w:t>
            </w:r>
          </w:p>
        </w:tc>
        <w:tc>
          <w:tcPr>
            <w:tcW w:w="4139"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项目内容</w:t>
            </w:r>
          </w:p>
        </w:tc>
        <w:tc>
          <w:tcPr>
            <w:tcW w:w="1595"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采购服务单位数量</w:t>
            </w:r>
          </w:p>
        </w:tc>
        <w:tc>
          <w:tcPr>
            <w:tcW w:w="1594"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119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p>
        </w:tc>
        <w:tc>
          <w:tcPr>
            <w:tcW w:w="4139" w:type="dxa"/>
            <w:vAlign w:val="center"/>
          </w:tcPr>
          <w:p>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东鸿公司本部食堂食材2025-2026年度配送服务采购项目</w:t>
            </w:r>
          </w:p>
        </w:tc>
        <w:tc>
          <w:tcPr>
            <w:tcW w:w="1595"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594"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12个月</w:t>
            </w:r>
          </w:p>
        </w:tc>
      </w:tr>
    </w:tbl>
    <w:p>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注：供应商年度履约评价为优的前提下，采购人有权决定是否续约，续约合同期为12个月。</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、项目需求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详细内容请参阅采购文件第三部分《用户需求书》。</w:t>
      </w:r>
    </w:p>
    <w:p>
      <w:pPr>
        <w:ind w:firstLine="413" w:firstLineChars="196"/>
        <w:rPr>
          <w:rFonts w:hint="eastAsia" w:ascii="宋体" w:hAnsi="宋体" w:eastAsia="宋体" w:cs="宋体"/>
          <w:b/>
          <w:color w:val="auto"/>
          <w:szCs w:val="21"/>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二、投标人资格要求</w:t>
      </w:r>
    </w:p>
    <w:p>
      <w:pPr>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w:t>
      </w:r>
      <w:r>
        <w:rPr>
          <w:rFonts w:hint="eastAsia" w:ascii="宋体" w:hAnsi="宋体" w:eastAsia="宋体" w:cs="宋体"/>
          <w:color w:val="auto"/>
          <w:highlight w:val="none"/>
        </w:rPr>
        <w:t>重大税收违法失信主体</w:t>
      </w:r>
      <w:r>
        <w:rPr>
          <w:rFonts w:hint="eastAsia" w:ascii="宋体" w:hAnsi="宋体" w:eastAsia="宋体" w:cs="宋体"/>
          <w:color w:val="auto"/>
          <w:szCs w:val="21"/>
          <w:highlight w:val="none"/>
        </w:rPr>
        <w:t>或政府采购严重违法失信行为”记录名单。以代理机构于投标截止日当天在“信用中国”网站查询结果为准，如相关失信记录已失效，投标人需提供相关证明资料。</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（5）未被列入东实集团及下属企业相关领域黑名单。【以</w:t>
      </w:r>
      <w:r>
        <w:rPr>
          <w:rFonts w:hint="eastAsia" w:ascii="宋体" w:hAnsi="宋体" w:eastAsia="宋体" w:cs="宋体"/>
          <w:color w:val="auto"/>
          <w:kern w:val="2"/>
          <w:szCs w:val="21"/>
          <w:highlight w:val="none"/>
          <w:lang w:val="zh-CN"/>
        </w:rPr>
        <w:t>东莞实业投资控股集团有限公司</w:t>
      </w:r>
      <w:r>
        <w:rPr>
          <w:rFonts w:hint="eastAsia" w:ascii="宋体" w:hAnsi="宋体" w:eastAsia="宋体" w:cs="宋体"/>
          <w:color w:val="auto"/>
          <w:szCs w:val="21"/>
          <w:highlight w:val="none"/>
        </w:rPr>
        <w:t>发文（东实通〔2021〕44号）、（东实通〔2021〕98号）、（东实通〔2022〕75号）、（东实通〔2023〕37号）</w:t>
      </w:r>
      <w:r>
        <w:rPr>
          <w:rFonts w:hint="eastAsia" w:ascii="宋体" w:hAnsi="宋体" w:cs="宋体"/>
          <w:color w:val="auto"/>
          <w:szCs w:val="21"/>
          <w:highlight w:val="none"/>
          <w:lang w:eastAsia="zh-CN"/>
        </w:rPr>
        <w:t>、（东实通〔2024〕163号）、（东实通〔2024〕195号）</w:t>
      </w:r>
      <w:r>
        <w:rPr>
          <w:rFonts w:hint="eastAsia" w:ascii="宋体" w:hAnsi="宋体" w:eastAsia="宋体" w:cs="宋体"/>
          <w:color w:val="auto"/>
          <w:szCs w:val="21"/>
          <w:highlight w:val="none"/>
          <w:lang w:eastAsia="zh-CN"/>
        </w:rPr>
        <w:t>及下属企业发文</w:t>
      </w:r>
      <w:r>
        <w:rPr>
          <w:rFonts w:hint="eastAsia" w:ascii="宋体" w:hAnsi="宋体" w:eastAsia="宋体" w:cs="宋体"/>
          <w:color w:val="auto"/>
          <w:szCs w:val="21"/>
          <w:highlight w:val="none"/>
        </w:rPr>
        <w:t>为准，如有最新发文通知，按最新文件执行。】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（1）投标人具有食品药品监督管理部门</w:t>
      </w:r>
      <w:r>
        <w:rPr>
          <w:rFonts w:hint="eastAsia" w:ascii="宋体" w:hAnsi="宋体" w:eastAsia="宋体" w:cs="宋体"/>
          <w:color w:val="auto"/>
          <w:szCs w:val="21"/>
          <w:highlight w:val="none"/>
          <w:lang w:eastAsia="zh-CN"/>
        </w:rPr>
        <w:t>（或市场监督管理局部门）</w:t>
      </w:r>
      <w:r>
        <w:rPr>
          <w:rFonts w:hint="eastAsia" w:ascii="宋体" w:hAnsi="宋体" w:eastAsia="宋体" w:cs="宋体"/>
          <w:color w:val="auto"/>
          <w:szCs w:val="21"/>
          <w:highlight w:val="none"/>
        </w:rPr>
        <w:t>颁发</w:t>
      </w:r>
      <w:r>
        <w:rPr>
          <w:rFonts w:hint="eastAsia" w:ascii="宋体" w:hAnsi="宋体" w:eastAsia="宋体" w:cs="宋体"/>
          <w:color w:val="auto"/>
          <w:szCs w:val="21"/>
          <w:highlight w:val="none"/>
          <w:lang w:val="en-US" w:eastAsia="zh-CN"/>
        </w:rPr>
        <w:t>且在</w:t>
      </w:r>
      <w:r>
        <w:rPr>
          <w:rFonts w:hint="eastAsia" w:ascii="宋体" w:hAnsi="宋体" w:eastAsia="宋体" w:cs="宋体"/>
          <w:color w:val="auto"/>
          <w:szCs w:val="21"/>
          <w:highlight w:val="none"/>
        </w:rPr>
        <w:t>有效</w:t>
      </w:r>
      <w:r>
        <w:rPr>
          <w:rFonts w:hint="eastAsia" w:ascii="宋体" w:hAnsi="宋体" w:eastAsia="宋体" w:cs="宋体"/>
          <w:color w:val="auto"/>
          <w:szCs w:val="21"/>
          <w:highlight w:val="none"/>
          <w:lang w:val="en-US" w:eastAsia="zh-CN"/>
        </w:rPr>
        <w:t>期内</w:t>
      </w:r>
      <w:r>
        <w:rPr>
          <w:rFonts w:hint="eastAsia" w:ascii="宋体" w:hAnsi="宋体" w:eastAsia="宋体" w:cs="宋体"/>
          <w:color w:val="auto"/>
          <w:szCs w:val="21"/>
          <w:highlight w:val="none"/>
        </w:rPr>
        <w:t xml:space="preserve">的《食品经营许可证》。 </w:t>
      </w:r>
    </w:p>
    <w:p>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3、本项目不接受联合体投标。</w:t>
      </w:r>
    </w:p>
    <w:p>
      <w:pPr>
        <w:ind w:firstLine="413" w:firstLineChars="196"/>
        <w:rPr>
          <w:rFonts w:hint="eastAsia" w:ascii="宋体" w:hAnsi="宋体" w:eastAsia="宋体" w:cs="宋体"/>
          <w:b/>
          <w:color w:val="auto"/>
          <w:szCs w:val="21"/>
          <w:highlight w:val="none"/>
        </w:rPr>
      </w:pPr>
      <w:bookmarkStart w:id="206" w:name="_GoBack"/>
      <w:bookmarkEnd w:id="206"/>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pPr>
        <w:ind w:firstLine="420" w:firstLineChars="200"/>
        <w:rPr>
          <w:rFonts w:hint="eastAsia" w:ascii="宋体" w:hAnsi="宋体" w:eastAsia="宋体" w:cs="宋体"/>
          <w:bCs/>
          <w:color w:val="auto"/>
          <w:sz w:val="22"/>
          <w:szCs w:val="22"/>
          <w:highlight w:val="none"/>
        </w:rPr>
      </w:pPr>
      <w:r>
        <w:rPr>
          <w:rFonts w:hint="eastAsia" w:ascii="宋体" w:hAnsi="宋体" w:eastAsia="宋体" w:cs="宋体"/>
          <w:color w:val="auto"/>
          <w:szCs w:val="21"/>
          <w:highlight w:val="none"/>
          <w:lang w:val="en-US" w:eastAsia="zh-CN"/>
        </w:rPr>
        <w:t>本项目不进行实名登记报名，拟参加投标的投标人可于投标截止时间前自行网上下载采购文件</w:t>
      </w:r>
      <w:r>
        <w:rPr>
          <w:rFonts w:hint="eastAsia" w:ascii="宋体" w:hAnsi="宋体" w:eastAsia="宋体" w:cs="宋体"/>
          <w:bCs/>
          <w:color w:val="auto"/>
          <w:sz w:val="22"/>
          <w:szCs w:val="22"/>
          <w:highlight w:val="none"/>
        </w:rPr>
        <w:t>。下载地址：</w:t>
      </w:r>
      <w:r>
        <w:rPr>
          <w:rFonts w:hint="eastAsia" w:ascii="宋体" w:hAnsi="宋体" w:eastAsia="宋体" w:cs="宋体"/>
          <w:bCs/>
          <w:color w:val="auto"/>
          <w:sz w:val="22"/>
          <w:szCs w:val="22"/>
          <w:highlight w:val="none"/>
          <w:u w:val="single"/>
        </w:rPr>
        <w:t>东莞实业投资控股集团有限公司-招标采购栏目（http://www.dgsy.com.cn/）</w:t>
      </w:r>
      <w:r>
        <w:rPr>
          <w:rFonts w:hint="eastAsia" w:ascii="宋体" w:hAnsi="宋体" w:eastAsia="宋体" w:cs="宋体"/>
          <w:bCs/>
          <w:color w:val="auto"/>
          <w:sz w:val="22"/>
          <w:szCs w:val="22"/>
          <w:highlight w:val="none"/>
        </w:rPr>
        <w:t>。</w:t>
      </w:r>
    </w:p>
    <w:p>
      <w:pPr>
        <w:rPr>
          <w:rFonts w:hint="eastAsia" w:ascii="宋体" w:hAnsi="宋体" w:eastAsia="宋体" w:cs="宋体"/>
          <w:color w:val="auto"/>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四、投标文件的递交</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1、递交投标文件时间：20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06</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06</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日（北京时间）</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00</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09</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30</w:t>
      </w:r>
      <w:r>
        <w:rPr>
          <w:rFonts w:hint="eastAsia" w:ascii="宋体" w:hAnsi="宋体" w:eastAsia="宋体" w:cs="宋体"/>
          <w:color w:val="auto"/>
          <w:szCs w:val="21"/>
          <w:highlight w:val="none"/>
        </w:rPr>
        <w:t>。</w:t>
      </w:r>
    </w:p>
    <w:p>
      <w:pP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2、递交投标文件截止及开标时间：20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06</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06</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30</w:t>
      </w:r>
      <w:r>
        <w:rPr>
          <w:rFonts w:hint="eastAsia" w:ascii="宋体" w:hAnsi="宋体" w:eastAsia="宋体" w:cs="宋体"/>
          <w:color w:val="auto"/>
          <w:szCs w:val="21"/>
          <w:highlight w:val="none"/>
        </w:rPr>
        <w:t>（北京时间），所有投标文件应于截止时间之前递交，迟交或以电报、传真形式的投标文件将拒绝接收。</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3、开标地点：</w:t>
      </w:r>
      <w:r>
        <w:rPr>
          <w:rFonts w:hint="eastAsia" w:ascii="宋体" w:hAnsi="宋体" w:eastAsia="宋体" w:cs="宋体"/>
          <w:color w:val="auto"/>
          <w:szCs w:val="21"/>
          <w:highlight w:val="none"/>
          <w:u w:val="single"/>
        </w:rPr>
        <w:t xml:space="preserve"> 广东省东莞市南城街道胜和路3号胜和广场2栋100</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室。</w:t>
      </w:r>
    </w:p>
    <w:p>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届时请投标人的法定代表人或其授权代表务必携带有效身份证明出席开标会</w:t>
      </w:r>
      <w:r>
        <w:rPr>
          <w:rFonts w:hint="eastAsia" w:ascii="宋体" w:hAnsi="宋体" w:eastAsia="宋体" w:cs="宋体"/>
          <w:bCs/>
          <w:color w:val="auto"/>
          <w:szCs w:val="21"/>
          <w:highlight w:val="none"/>
        </w:rPr>
        <w:t>。</w:t>
      </w:r>
    </w:p>
    <w:p>
      <w:pPr>
        <w:pStyle w:val="39"/>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5、出现以下情形时，采购代理机构不予接收投标（响应）文件：</w:t>
      </w:r>
    </w:p>
    <w:p>
      <w:pPr>
        <w:pStyle w:val="39"/>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逾期送</w:t>
      </w:r>
      <w:r>
        <w:rPr>
          <w:rFonts w:hint="eastAsia" w:ascii="宋体" w:hAnsi="宋体" w:eastAsia="宋体" w:cs="宋体"/>
          <w:color w:val="auto"/>
          <w:sz w:val="21"/>
          <w:szCs w:val="21"/>
          <w:highlight w:val="none"/>
          <w:u w:val="none"/>
        </w:rPr>
        <w:t>达或者未送达指定地点的；</w:t>
      </w:r>
    </w:p>
    <w:p>
      <w:pPr>
        <w:pStyle w:val="39"/>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未按采购文件要求密封的。</w:t>
      </w:r>
    </w:p>
    <w:p>
      <w:pPr>
        <w:pStyle w:val="39"/>
        <w:ind w:firstLine="400"/>
        <w:rPr>
          <w:rFonts w:hint="eastAsia" w:ascii="宋体" w:hAnsi="宋体" w:eastAsia="宋体" w:cs="宋体"/>
          <w:color w:val="auto"/>
          <w:highlight w:val="none"/>
        </w:rPr>
      </w:pPr>
    </w:p>
    <w:p>
      <w:pPr>
        <w:pStyle w:val="39"/>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pPr>
        <w:pStyle w:val="39"/>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1、采购公告发布媒介：</w:t>
      </w:r>
    </w:p>
    <w:p>
      <w:pPr>
        <w:pStyle w:val="39"/>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中国招标投标公共服务平台（http://www.cebpubservice.com/）</w:t>
      </w:r>
      <w:r>
        <w:rPr>
          <w:rFonts w:hint="eastAsia" w:ascii="宋体" w:hAnsi="宋体" w:eastAsia="宋体" w:cs="宋体"/>
          <w:color w:val="auto"/>
          <w:sz w:val="21"/>
          <w:szCs w:val="21"/>
          <w:highlight w:val="none"/>
          <w:u w:val="single"/>
          <w:lang w:eastAsia="zh-CN"/>
        </w:rPr>
        <w:t>；</w:t>
      </w:r>
    </w:p>
    <w:p>
      <w:pPr>
        <w:pStyle w:val="39"/>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）广东省公共资源交易平台（https://ygp.gdzwfw.gov.cn/）；</w:t>
      </w:r>
    </w:p>
    <w:p>
      <w:pPr>
        <w:pStyle w:val="39"/>
        <w:keepNext w:val="0"/>
        <w:keepLines w:val="0"/>
        <w:pageBreakBefore w:val="0"/>
        <w:widowControl/>
        <w:kinsoku w:val="0"/>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东莞实业投资控股集团有限公司官网-招标采购栏目（http://www.dgsy.com.cn）</w:t>
      </w:r>
      <w:r>
        <w:rPr>
          <w:rFonts w:hint="eastAsia" w:ascii="宋体" w:hAnsi="宋体" w:eastAsia="宋体" w:cs="宋体"/>
          <w:color w:val="auto"/>
          <w:sz w:val="21"/>
          <w:szCs w:val="21"/>
          <w:highlight w:val="none"/>
          <w:u w:val="single"/>
          <w:lang w:eastAsia="zh-CN"/>
        </w:rPr>
        <w:t>；</w:t>
      </w:r>
    </w:p>
    <w:p>
      <w:pPr>
        <w:pStyle w:val="3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广西同泽工程项目管理股份有限公司网（http://www.gxtzfz.cn/）</w:t>
      </w:r>
      <w:r>
        <w:rPr>
          <w:rFonts w:hint="eastAsia" w:ascii="宋体" w:hAnsi="宋体" w:eastAsia="宋体" w:cs="宋体"/>
          <w:color w:val="auto"/>
          <w:sz w:val="21"/>
          <w:szCs w:val="21"/>
          <w:highlight w:val="none"/>
        </w:rPr>
        <w:t>。</w:t>
      </w:r>
    </w:p>
    <w:p>
      <w:pPr>
        <w:pStyle w:val="39"/>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结果公告发布媒介：</w:t>
      </w:r>
    </w:p>
    <w:p>
      <w:pPr>
        <w:pStyle w:val="39"/>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东莞实业投资控股集团有限公司-招标采购栏目（http://www.dgsy.com.cn/）。</w:t>
      </w:r>
    </w:p>
    <w:p>
      <w:pPr>
        <w:pStyle w:val="39"/>
        <w:spacing w:line="360" w:lineRule="auto"/>
        <w:rPr>
          <w:rFonts w:hint="eastAsia" w:ascii="宋体" w:hAnsi="宋体" w:eastAsia="宋体" w:cs="宋体"/>
          <w:bCs/>
          <w:color w:val="auto"/>
          <w:sz w:val="21"/>
          <w:szCs w:val="21"/>
          <w:highlight w:val="none"/>
        </w:rPr>
      </w:pPr>
    </w:p>
    <w:p>
      <w:pPr>
        <w:ind w:firstLine="413" w:firstLineChars="196"/>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六、采购人及采购代理机构的名称、地址和联系方法：</w:t>
      </w:r>
    </w:p>
    <w:p>
      <w:pPr>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采购人名称：</w:t>
      </w:r>
      <w:r>
        <w:rPr>
          <w:rFonts w:hint="eastAsia" w:ascii="宋体" w:hAnsi="宋体" w:eastAsia="宋体" w:cs="宋体"/>
          <w:bCs/>
          <w:color w:val="auto"/>
          <w:szCs w:val="21"/>
          <w:highlight w:val="none"/>
          <w:lang w:eastAsia="zh-CN"/>
        </w:rPr>
        <w:t>广东东鸿物业发展有限公司</w:t>
      </w:r>
    </w:p>
    <w:p>
      <w:pPr>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采购人联系人：</w:t>
      </w:r>
      <w:r>
        <w:rPr>
          <w:rFonts w:hint="eastAsia" w:ascii="宋体" w:hAnsi="宋体" w:eastAsia="宋体" w:cs="宋体"/>
          <w:bCs/>
          <w:color w:val="auto"/>
          <w:szCs w:val="21"/>
          <w:highlight w:val="none"/>
          <w:lang w:val="en-US" w:eastAsia="zh-CN"/>
        </w:rPr>
        <w:t>吴先生</w:t>
      </w:r>
    </w:p>
    <w:p>
      <w:pPr>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w:t>
      </w:r>
      <w:r>
        <w:rPr>
          <w:rFonts w:hint="eastAsia" w:ascii="宋体" w:hAnsi="宋体" w:eastAsia="宋体" w:cs="宋体"/>
          <w:bCs/>
          <w:color w:val="auto"/>
          <w:szCs w:val="21"/>
          <w:highlight w:val="none"/>
          <w:lang w:eastAsia="zh-CN"/>
        </w:rPr>
        <w:t>广东省东莞市南城西平雅园新村物业服务中心</w:t>
      </w:r>
    </w:p>
    <w:p>
      <w:pPr>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采购人联系电话：0769</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23078130</w:t>
      </w:r>
    </w:p>
    <w:p>
      <w:pPr>
        <w:outlineLvl w:val="9"/>
        <w:rPr>
          <w:rFonts w:hint="eastAsia" w:ascii="宋体" w:hAnsi="宋体" w:eastAsia="宋体" w:cs="宋体"/>
          <w:color w:val="auto"/>
          <w:highlight w:val="none"/>
        </w:rPr>
      </w:pPr>
    </w:p>
    <w:p>
      <w:pPr>
        <w:shd w:val="clea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采购代理机构名称：</w:t>
      </w:r>
      <w:r>
        <w:rPr>
          <w:rFonts w:hint="eastAsia" w:ascii="宋体" w:hAnsi="宋体" w:eastAsia="宋体" w:cs="宋体"/>
          <w:color w:val="auto"/>
          <w:szCs w:val="21"/>
          <w:highlight w:val="none"/>
          <w:lang w:eastAsia="zh-CN"/>
        </w:rPr>
        <w:t>广西同泽工程项目管理股份有限公司</w:t>
      </w: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采购代理机构地址：广东省东莞市南城街道胜和路3号胜和广场2栋1006室</w:t>
      </w:r>
    </w:p>
    <w:p>
      <w:pPr>
        <w:shd w:val="clea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采购代理机构联系人：</w:t>
      </w:r>
      <w:r>
        <w:rPr>
          <w:rFonts w:hint="eastAsia" w:ascii="宋体" w:hAnsi="宋体" w:eastAsia="宋体" w:cs="宋体"/>
          <w:color w:val="auto"/>
          <w:szCs w:val="21"/>
          <w:highlight w:val="none"/>
          <w:lang w:val="en-US" w:eastAsia="zh-CN"/>
        </w:rPr>
        <w:t>张先生</w:t>
      </w:r>
    </w:p>
    <w:p>
      <w:pPr>
        <w:shd w:val="clea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采购代理机构联系电话：0769-</w:t>
      </w:r>
      <w:r>
        <w:rPr>
          <w:rFonts w:hint="eastAsia" w:ascii="宋体" w:hAnsi="宋体" w:eastAsia="宋体" w:cs="宋体"/>
          <w:color w:val="auto"/>
          <w:szCs w:val="21"/>
          <w:highlight w:val="none"/>
          <w:lang w:val="en-US" w:eastAsia="zh-CN"/>
        </w:rPr>
        <w:t>21688191</w:t>
      </w: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采购代理机构邮箱：2195953904@qq.com</w:t>
      </w:r>
    </w:p>
    <w:p>
      <w:pPr>
        <w:ind w:firstLine="420" w:firstLineChars="200"/>
        <w:rPr>
          <w:rFonts w:hint="eastAsia" w:ascii="宋体" w:hAnsi="宋体" w:eastAsia="宋体" w:cs="宋体"/>
          <w:color w:val="auto"/>
          <w:highlight w:val="none"/>
        </w:rPr>
      </w:pPr>
    </w:p>
    <w:p>
      <w:pPr>
        <w:ind w:right="752" w:rightChars="358"/>
        <w:jc w:val="right"/>
        <w:rPr>
          <w:rFonts w:hint="eastAsia" w:ascii="宋体" w:hAnsi="宋体" w:eastAsia="宋体" w:cs="宋体"/>
          <w:color w:val="auto"/>
          <w:highlight w:val="none"/>
        </w:rPr>
      </w:pPr>
    </w:p>
    <w:p>
      <w:pPr>
        <w:ind w:right="752" w:rightChars="358"/>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广西同泽工程项目管理股份有限公司</w:t>
      </w:r>
    </w:p>
    <w:p>
      <w:pPr>
        <w:ind w:right="752" w:rightChars="358"/>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月 </w:t>
      </w:r>
    </w:p>
    <w:p>
      <w:pPr>
        <w:ind w:left="6205" w:leftChars="2755"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pPr>
        <w:pStyle w:val="4"/>
        <w:spacing w:before="0" w:after="0" w:line="240" w:lineRule="auto"/>
        <w:rPr>
          <w:rFonts w:hint="eastAsia" w:ascii="宋体" w:hAnsi="宋体" w:eastAsia="宋体" w:cs="宋体"/>
          <w:color w:val="auto"/>
          <w:sz w:val="28"/>
          <w:szCs w:val="28"/>
          <w:highlight w:val="none"/>
        </w:rPr>
      </w:pPr>
      <w:bookmarkStart w:id="3" w:name="_Toc18500"/>
      <w:r>
        <w:rPr>
          <w:rFonts w:hint="eastAsia" w:ascii="宋体" w:hAnsi="宋体" w:eastAsia="宋体" w:cs="宋体"/>
          <w:color w:val="auto"/>
          <w:sz w:val="28"/>
          <w:szCs w:val="28"/>
          <w:highlight w:val="none"/>
        </w:rPr>
        <w:t>第二部分相关资料表格</w:t>
      </w:r>
      <w:bookmarkEnd w:id="3"/>
    </w:p>
    <w:p>
      <w:pPr>
        <w:pStyle w:val="5"/>
        <w:spacing w:before="0" w:after="0" w:line="240" w:lineRule="auto"/>
        <w:jc w:val="center"/>
        <w:rPr>
          <w:rFonts w:hint="eastAsia" w:ascii="宋体" w:hAnsi="宋体" w:eastAsia="宋体" w:cs="宋体"/>
          <w:color w:val="auto"/>
          <w:sz w:val="24"/>
          <w:szCs w:val="24"/>
          <w:highlight w:val="none"/>
        </w:rPr>
      </w:pPr>
      <w:bookmarkStart w:id="4" w:name="_Toc9432"/>
      <w:r>
        <w:rPr>
          <w:rFonts w:hint="eastAsia" w:ascii="宋体" w:hAnsi="宋体" w:eastAsia="宋体" w:cs="宋体"/>
          <w:color w:val="auto"/>
          <w:sz w:val="24"/>
          <w:szCs w:val="24"/>
          <w:highlight w:val="none"/>
        </w:rPr>
        <w:t>附表一：投标资料表</w:t>
      </w:r>
      <w:bookmarkEnd w:id="4"/>
    </w:p>
    <w:tbl>
      <w:tblPr>
        <w:tblStyle w:val="37"/>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263"/>
        <w:gridCol w:w="526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78" w:type="dxa"/>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32" w:type="dxa"/>
            <w:gridSpan w:val="2"/>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项目最高限价（</w:t>
            </w:r>
            <w:r>
              <w:rPr>
                <w:rFonts w:hint="eastAsia" w:ascii="宋体" w:hAnsi="宋体" w:eastAsia="宋体" w:cs="宋体"/>
                <w:b/>
                <w:bCs/>
                <w:color w:val="auto"/>
                <w:szCs w:val="21"/>
                <w:highlight w:val="none"/>
                <w:u w:val="single"/>
              </w:rPr>
              <w:t>单位：元</w:t>
            </w:r>
            <w:r>
              <w:rPr>
                <w:rFonts w:hint="eastAsia" w:ascii="宋体" w:hAnsi="宋体" w:eastAsia="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48</w:t>
            </w:r>
            <w:r>
              <w:rPr>
                <w:rFonts w:hint="eastAsia" w:ascii="宋体" w:hAnsi="宋体" w:eastAsia="宋体" w:cs="宋体"/>
                <w:b w:val="0"/>
                <w:bCs w:val="0"/>
                <w:color w:val="auto"/>
                <w:szCs w:val="21"/>
                <w:highlight w:val="none"/>
              </w:rPr>
              <w:t>0,000.00元</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含税</w:t>
            </w:r>
            <w:r>
              <w:rPr>
                <w:rFonts w:hint="eastAsia" w:ascii="宋体" w:hAnsi="宋体" w:eastAsia="宋体" w:cs="宋体"/>
                <w:b w:val="0"/>
                <w:bCs w:val="0"/>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b/>
                <w:bCs/>
                <w:color w:val="auto"/>
                <w:szCs w:val="21"/>
                <w:highlight w:val="none"/>
              </w:rPr>
              <w:t>固定总价包干；</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b/>
                <w:bCs/>
                <w:color w:val="auto"/>
                <w:szCs w:val="21"/>
                <w:highlight w:val="none"/>
              </w:rPr>
              <w:t>固定单价暂定总价包干；</w:t>
            </w:r>
          </w:p>
          <w:p>
            <w:pPr>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sym w:font="Wingdings" w:char="00A8"/>
            </w:r>
            <w:r>
              <w:rPr>
                <w:rFonts w:hint="eastAsia" w:ascii="宋体" w:hAnsi="宋体" w:eastAsia="宋体" w:cs="宋体"/>
                <w:b/>
                <w:bCs/>
                <w:color w:val="auto"/>
                <w:szCs w:val="21"/>
                <w:highlight w:val="none"/>
              </w:rPr>
              <w:t>费率</w:t>
            </w:r>
            <w:r>
              <w:rPr>
                <w:rFonts w:hint="eastAsia" w:ascii="宋体" w:hAnsi="宋体" w:eastAsia="宋体" w:cs="宋体"/>
                <w:b/>
                <w:bCs/>
                <w:color w:val="auto"/>
                <w:szCs w:val="21"/>
                <w:highlight w:val="none"/>
                <w:u w:val="single"/>
              </w:rPr>
              <w:t xml:space="preserve">         ；</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下浮率</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pStyle w:val="42"/>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color w:val="auto"/>
                <w:szCs w:val="21"/>
                <w:highlight w:val="none"/>
              </w:rPr>
              <w:t>是，联合体投标的，应满足下列要求：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532" w:type="dxa"/>
            <w:gridSpan w:val="2"/>
            <w:tcBorders>
              <w:tl2br w:val="nil"/>
              <w:tr2bl w:val="nil"/>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bCs/>
                <w:color w:val="auto"/>
                <w:szCs w:val="21"/>
                <w:highlight w:val="none"/>
              </w:rPr>
              <w:t>不组织 。</w:t>
            </w:r>
          </w:p>
          <w:p>
            <w:pPr>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bCs/>
                <w:color w:val="auto"/>
                <w:szCs w:val="21"/>
                <w:highlight w:val="none"/>
              </w:rPr>
              <w:t>组织，踏勘现场时间、地点：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532" w:type="dxa"/>
            <w:gridSpan w:val="2"/>
            <w:tcBorders>
              <w:tl2br w:val="nil"/>
              <w:tr2bl w:val="nil"/>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（1）投标保证金金额：人民币</w:t>
            </w:r>
            <w:r>
              <w:rPr>
                <w:rFonts w:hint="eastAsia" w:ascii="宋体" w:hAnsi="宋体" w:eastAsia="宋体" w:cs="宋体"/>
                <w:b/>
                <w:color w:val="auto"/>
                <w:szCs w:val="21"/>
                <w:highlight w:val="none"/>
              </w:rPr>
              <w:t>（大写）</w:t>
            </w:r>
            <w:r>
              <w:rPr>
                <w:rFonts w:hint="eastAsia" w:ascii="宋体" w:hAnsi="宋体" w:eastAsia="宋体" w:cs="宋体"/>
                <w:b/>
                <w:color w:val="auto"/>
                <w:szCs w:val="21"/>
                <w:highlight w:val="none"/>
                <w:u w:val="single"/>
                <w:lang w:val="en-US" w:eastAsia="zh-CN"/>
              </w:rPr>
              <w:t xml:space="preserve"> 玖仟陆佰元整 </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9,600.00  </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tabs>
                <w:tab w:val="left" w:pos="567"/>
              </w:tabs>
              <w:jc w:val="both"/>
              <w:rPr>
                <w:rFonts w:hint="eastAsia" w:ascii="宋体" w:hAnsi="宋体" w:eastAsia="宋体" w:cs="宋体"/>
                <w:color w:val="auto"/>
                <w:kern w:val="2"/>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kern w:val="2"/>
                <w:szCs w:val="21"/>
                <w:highlight w:val="none"/>
                <w:lang w:val="zh-CN"/>
              </w:rPr>
              <w:t>投标保证金采用转</w:t>
            </w:r>
            <w:r>
              <w:rPr>
                <w:rFonts w:hint="eastAsia" w:ascii="宋体" w:hAnsi="宋体" w:eastAsia="宋体" w:cs="宋体"/>
                <w:color w:val="auto"/>
                <w:kern w:val="2"/>
                <w:szCs w:val="21"/>
                <w:highlight w:val="none"/>
                <w:lang w:val="en-US" w:eastAsia="zh-CN"/>
              </w:rPr>
              <w:t>账</w:t>
            </w:r>
            <w:r>
              <w:rPr>
                <w:rFonts w:hint="eastAsia" w:ascii="宋体" w:hAnsi="宋体" w:eastAsia="宋体" w:cs="宋体"/>
                <w:color w:val="auto"/>
                <w:kern w:val="2"/>
                <w:szCs w:val="21"/>
                <w:highlight w:val="none"/>
                <w:lang w:val="zh-CN"/>
              </w:rPr>
              <w:t>、电汇方式提交，应符合以下要求：采用银行转账、电汇方式提交的，保证金汇入以下投标保证金专用账户，不接收由以投标人分支机构、私人</w:t>
            </w:r>
            <w:r>
              <w:rPr>
                <w:rFonts w:hint="eastAsia" w:ascii="宋体" w:hAnsi="宋体" w:eastAsia="宋体" w:cs="宋体"/>
                <w:color w:val="auto"/>
                <w:kern w:val="2"/>
                <w:szCs w:val="21"/>
                <w:highlight w:val="none"/>
                <w:lang w:val="en-US" w:eastAsia="zh-CN"/>
              </w:rPr>
              <w:t>账</w:t>
            </w:r>
            <w:r>
              <w:rPr>
                <w:rFonts w:hint="eastAsia" w:ascii="宋体" w:hAnsi="宋体" w:eastAsia="宋体" w:cs="宋体"/>
                <w:color w:val="auto"/>
                <w:kern w:val="2"/>
                <w:szCs w:val="21"/>
                <w:highlight w:val="none"/>
                <w:lang w:val="zh-CN"/>
              </w:rPr>
              <w:t>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ind w:left="567" w:hanging="567"/>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投标保证金专用账户如下：</w:t>
            </w:r>
          </w:p>
          <w:p>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帐户名称： </w:t>
            </w:r>
            <w:r>
              <w:rPr>
                <w:rFonts w:hint="eastAsia" w:hAnsi="宋体" w:cs="宋体"/>
                <w:color w:val="auto"/>
                <w:kern w:val="2"/>
                <w:szCs w:val="21"/>
                <w:highlight w:val="none"/>
                <w:u w:val="single"/>
              </w:rPr>
              <w:t xml:space="preserve"> 东莞实业投资控股集团有限公司 </w:t>
            </w:r>
            <w:r>
              <w:rPr>
                <w:rFonts w:hint="eastAsia" w:hAnsi="宋体" w:cs="宋体"/>
                <w:color w:val="auto"/>
                <w:kern w:val="2"/>
                <w:szCs w:val="21"/>
                <w:highlight w:val="none"/>
                <w:lang w:val="zh-CN"/>
              </w:rPr>
              <w:t>；</w:t>
            </w:r>
          </w:p>
          <w:p>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开户银行： </w:t>
            </w:r>
            <w:r>
              <w:rPr>
                <w:rFonts w:hint="eastAsia" w:hAnsi="宋体" w:cs="宋体"/>
                <w:color w:val="auto"/>
                <w:kern w:val="2"/>
                <w:szCs w:val="21"/>
                <w:highlight w:val="none"/>
                <w:u w:val="single"/>
              </w:rPr>
              <w:t xml:space="preserve"> 中国邮政储蓄银行东莞市分行   </w:t>
            </w:r>
            <w:r>
              <w:rPr>
                <w:rFonts w:hint="eastAsia" w:hAnsi="宋体" w:cs="宋体"/>
                <w:color w:val="auto"/>
                <w:kern w:val="2"/>
                <w:szCs w:val="21"/>
                <w:highlight w:val="none"/>
                <w:lang w:val="zh-CN"/>
              </w:rPr>
              <w:t>；</w:t>
            </w:r>
          </w:p>
          <w:p>
            <w:pPr>
              <w:tabs>
                <w:tab w:val="left" w:pos="567"/>
              </w:tabs>
              <w:ind w:firstLine="420" w:firstLineChars="200"/>
              <w:jc w:val="both"/>
              <w:rPr>
                <w:rFonts w:hint="eastAsia" w:hAnsi="宋体" w:eastAsia="宋体" w:cs="宋体"/>
                <w:color w:val="auto"/>
                <w:kern w:val="2"/>
                <w:szCs w:val="21"/>
                <w:highlight w:val="none"/>
                <w:lang w:val="zh-CN" w:eastAsia="zh-CN"/>
              </w:rPr>
            </w:pPr>
            <w:r>
              <w:rPr>
                <w:rFonts w:hint="eastAsia" w:hAnsi="宋体" w:cs="宋体"/>
                <w:color w:val="auto"/>
                <w:kern w:val="2"/>
                <w:szCs w:val="21"/>
                <w:highlight w:val="none"/>
                <w:lang w:val="zh-CN"/>
              </w:rPr>
              <w:t xml:space="preserve">银行帐号： </w:t>
            </w:r>
            <w:r>
              <w:rPr>
                <w:rFonts w:hint="eastAsia" w:hAnsi="宋体" w:cs="宋体"/>
                <w:color w:val="auto"/>
                <w:kern w:val="2"/>
                <w:szCs w:val="21"/>
                <w:highlight w:val="none"/>
                <w:u w:val="single"/>
              </w:rPr>
              <w:t xml:space="preserve"> </w:t>
            </w:r>
            <w:r>
              <w:rPr>
                <w:rFonts w:hint="eastAsia" w:ascii="宋体" w:hAnsi="宋体" w:eastAsia="宋体" w:cs="宋体"/>
                <w:color w:val="auto"/>
                <w:kern w:val="2"/>
                <w:szCs w:val="21"/>
                <w:highlight w:val="none"/>
                <w:u w:val="single"/>
              </w:rPr>
              <w:t>100899920180018888</w:t>
            </w:r>
            <w:r>
              <w:rPr>
                <w:rFonts w:hint="eastAsia" w:ascii="宋体" w:hAnsi="宋体" w:cs="宋体"/>
                <w:color w:val="auto"/>
                <w:kern w:val="2"/>
                <w:szCs w:val="21"/>
                <w:highlight w:val="none"/>
                <w:u w:val="single"/>
                <w:lang w:val="en-US" w:eastAsia="zh-CN"/>
              </w:rPr>
              <w:t xml:space="preserve"> </w:t>
            </w:r>
            <w:r>
              <w:rPr>
                <w:rFonts w:hint="eastAsia" w:ascii="宋体" w:hAnsi="宋体" w:eastAsia="宋体" w:cs="宋体"/>
                <w:color w:val="auto"/>
                <w:kern w:val="2"/>
                <w:szCs w:val="21"/>
                <w:highlight w:val="none"/>
                <w:u w:val="single"/>
              </w:rPr>
              <w:t xml:space="preserve"> </w:t>
            </w:r>
            <w:r>
              <w:rPr>
                <w:rFonts w:hint="eastAsia" w:hAnsi="宋体" w:cs="宋体"/>
                <w:color w:val="auto"/>
                <w:kern w:val="2"/>
                <w:szCs w:val="21"/>
                <w:highlight w:val="none"/>
                <w:u w:val="single"/>
                <w:lang w:eastAsia="zh-CN"/>
              </w:rPr>
              <w:t>。</w:t>
            </w:r>
          </w:p>
          <w:p>
            <w:pPr>
              <w:tabs>
                <w:tab w:val="left" w:pos="567"/>
              </w:tabs>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bCs w:val="0"/>
                <w:color w:val="auto"/>
                <w:szCs w:val="21"/>
                <w:highlight w:val="none"/>
              </w:rPr>
              <w:t>：各投标人在转</w:t>
            </w:r>
            <w:r>
              <w:rPr>
                <w:rFonts w:hint="eastAsia" w:ascii="宋体" w:hAnsi="宋体" w:eastAsia="宋体" w:cs="宋体"/>
                <w:b/>
                <w:bCs w:val="0"/>
                <w:color w:val="auto"/>
                <w:kern w:val="2"/>
                <w:szCs w:val="21"/>
                <w:highlight w:val="none"/>
                <w:lang w:val="en-US" w:eastAsia="zh-CN"/>
              </w:rPr>
              <w:t>账</w:t>
            </w:r>
            <w:r>
              <w:rPr>
                <w:rFonts w:hint="eastAsia" w:ascii="宋体" w:hAnsi="宋体" w:eastAsia="宋体" w:cs="宋体"/>
                <w:b/>
                <w:bCs w:val="0"/>
                <w:color w:val="auto"/>
                <w:szCs w:val="21"/>
                <w:highlight w:val="none"/>
              </w:rPr>
              <w:t>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532" w:type="dxa"/>
            <w:gridSpan w:val="2"/>
            <w:tcBorders>
              <w:tl2br w:val="nil"/>
              <w:tr2bl w:val="nil"/>
            </w:tcBorders>
            <w:vAlign w:val="center"/>
          </w:tcPr>
          <w:p>
            <w:pPr>
              <w:jc w:val="both"/>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）未中标的投标人的保证金应当在中标通知书发出后退还，中标</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投标人的保证金应当在采购合同签订</w:t>
            </w:r>
            <w:r>
              <w:rPr>
                <w:rFonts w:hint="eastAsia" w:ascii="宋体" w:hAnsi="宋体" w:eastAsia="宋体" w:cs="宋体"/>
                <w:color w:val="auto"/>
                <w:szCs w:val="21"/>
                <w:highlight w:val="none"/>
              </w:rPr>
              <w:t>并缴纳履约保证金</w:t>
            </w:r>
            <w:r>
              <w:rPr>
                <w:rFonts w:hint="eastAsia" w:ascii="宋体" w:hAnsi="宋体" w:eastAsia="宋体" w:cs="宋体"/>
                <w:color w:val="auto"/>
                <w:szCs w:val="21"/>
                <w:highlight w:val="none"/>
                <w:lang w:val="zh-CN"/>
              </w:rPr>
              <w:t>后退还。</w:t>
            </w:r>
          </w:p>
          <w:p>
            <w:pPr>
              <w:jc w:val="both"/>
              <w:rPr>
                <w:rFonts w:hint="eastAsia" w:ascii="宋体" w:hAnsi="宋体" w:eastAsia="宋体" w:cs="宋体"/>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532" w:type="dxa"/>
            <w:gridSpan w:val="2"/>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投标文件类型</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唱标信封</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投标文件正本</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投标文件副本</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b/>
                <w:color w:val="auto"/>
                <w:szCs w:val="21"/>
                <w:highlight w:val="none"/>
              </w:rPr>
              <w:t xml:space="preserve">5  </w:t>
            </w:r>
            <w:r>
              <w:rPr>
                <w:rFonts w:hint="eastAsia" w:ascii="宋体" w:hAnsi="宋体" w:eastAsia="宋体" w:cs="宋体"/>
                <w:b/>
                <w:bCs/>
                <w:color w:val="auto"/>
                <w:szCs w:val="21"/>
                <w:highlight w:val="none"/>
              </w:rPr>
              <w:sym w:font="Wingdings" w:char="00A8"/>
            </w:r>
            <w:r>
              <w:rPr>
                <w:rFonts w:hint="eastAsia" w:ascii="宋体" w:hAnsi="宋体" w:eastAsia="宋体" w:cs="宋体"/>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vMerge w:val="restart"/>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电子文档</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vMerge w:val="continue"/>
            <w:tcBorders>
              <w:tl2br w:val="nil"/>
              <w:tr2bl w:val="nil"/>
            </w:tcBorders>
            <w:vAlign w:val="center"/>
          </w:tcPr>
          <w:p>
            <w:pPr>
              <w:jc w:val="center"/>
              <w:rPr>
                <w:rFonts w:hint="eastAsia" w:ascii="宋体" w:hAnsi="宋体" w:eastAsia="宋体" w:cs="宋体"/>
                <w:b/>
                <w:color w:val="auto"/>
                <w:szCs w:val="21"/>
                <w:highlight w:val="none"/>
              </w:rPr>
            </w:pP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评标委员会由采购人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成员人数为五人或五人以上单数</w:t>
            </w:r>
            <w:r>
              <w:rPr>
                <w:rFonts w:hint="eastAsia" w:ascii="宋体" w:hAnsi="宋体" w:eastAsia="宋体" w:cs="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532" w:type="dxa"/>
            <w:gridSpan w:val="2"/>
            <w:tcBorders>
              <w:tl2br w:val="nil"/>
              <w:tr2bl w:val="nil"/>
            </w:tcBorders>
            <w:shd w:val="clear" w:color="auto" w:fill="auto"/>
            <w:vAlign w:val="center"/>
          </w:tcPr>
          <w:p>
            <w:pPr>
              <w:jc w:val="both"/>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shd w:val="clear" w:color="auto" w:fill="auto"/>
            <w:vAlign w:val="center"/>
          </w:tcPr>
          <w:p>
            <w:pPr>
              <w:jc w:val="both"/>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1.履约担保金额为：</w:t>
            </w:r>
            <w:r>
              <w:rPr>
                <w:rFonts w:hint="eastAsia" w:ascii="宋体" w:hAnsi="宋体" w:eastAsia="宋体" w:cs="宋体"/>
                <w:color w:val="auto"/>
                <w:szCs w:val="21"/>
                <w:highlight w:val="none"/>
                <w:u w:val="single"/>
              </w:rPr>
              <w:t xml:space="preserve">  合同金额的</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w:t>
            </w:r>
          </w:p>
          <w:p>
            <w:pPr>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2.履约保证金账户信息：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中标后采购人提供账号信息</w:t>
            </w:r>
            <w:r>
              <w:rPr>
                <w:rFonts w:hint="eastAsia" w:ascii="宋体" w:hAnsi="宋体" w:eastAsia="宋体" w:cs="宋体"/>
                <w:color w:val="auto"/>
                <w:szCs w:val="21"/>
                <w:highlight w:val="none"/>
                <w:lang w:eastAsia="zh-CN"/>
              </w:rPr>
              <w:t>）</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3.中标人在采购（合同签署）时提交履约担保，履约担保金额不超过</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4.履约担保期限从合同签订之日起至项目完工验收合格并结算完毕后，经双方签字</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天内保持有效。</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方式提交，但不可以采用现金方式提交。中标人必须保证履约保证金以中标人名称在签订合同前提交至采购人指定账户。</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（4）为取得履约担保所需的费用，由中标人承担；若工期延误，履约担保时间延长，延长费用由中标人承担。</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①中标人将本项目转让给他人，或者在投标文件中未说明，且未经采购人同意，将中标项目分包给他人的；</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②中标人在履行采购合同期间，违反有关法律法规的规定及合同约定的条款，损害了采购人的利益。</w:t>
            </w:r>
          </w:p>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widowControl/>
              <w:adjustRightInd/>
              <w:snapToGrid/>
              <w:spacing w:line="240" w:lineRule="auto"/>
              <w:jc w:val="both"/>
              <w:rPr>
                <w:rFonts w:hint="eastAsia" w:ascii="宋体" w:hAnsi="宋体" w:eastAsia="宋体" w:cs="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val="en-US" w:eastAsia="zh-CN"/>
              </w:rPr>
              <w:t>中标</w:t>
            </w:r>
            <w:r>
              <w:rPr>
                <w:rFonts w:hint="eastAsia" w:ascii="宋体" w:hAnsi="宋体"/>
                <w:color w:val="auto"/>
                <w:szCs w:val="21"/>
                <w:highlight w:val="none"/>
              </w:rPr>
              <w:t>服务费由项目</w:t>
            </w:r>
            <w:r>
              <w:rPr>
                <w:rFonts w:hint="eastAsia" w:ascii="宋体" w:hAnsi="宋体"/>
                <w:color w:val="auto"/>
                <w:szCs w:val="21"/>
                <w:highlight w:val="none"/>
                <w:lang w:val="en-US" w:eastAsia="zh-CN"/>
              </w:rPr>
              <w:t>采购人</w:t>
            </w:r>
            <w:r>
              <w:rPr>
                <w:rFonts w:hint="eastAsia" w:ascii="宋体" w:hAnsi="宋体"/>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pPr>
              <w:widowControl w:val="0"/>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pacing w:before="0" w:after="0" w:line="240" w:lineRule="auto"/>
        <w:jc w:val="center"/>
        <w:rPr>
          <w:rFonts w:hint="eastAsia" w:ascii="宋体" w:hAnsi="宋体" w:eastAsia="宋体" w:cs="宋体"/>
          <w:color w:val="auto"/>
          <w:sz w:val="21"/>
          <w:szCs w:val="21"/>
          <w:highlight w:val="none"/>
        </w:rPr>
      </w:pPr>
      <w:bookmarkStart w:id="5" w:name="_Toc26271"/>
      <w:r>
        <w:rPr>
          <w:rFonts w:hint="eastAsia" w:ascii="宋体" w:hAnsi="宋体" w:eastAsia="宋体" w:cs="宋体"/>
          <w:color w:val="auto"/>
          <w:sz w:val="24"/>
          <w:szCs w:val="24"/>
          <w:highlight w:val="none"/>
        </w:rPr>
        <w:t>附表二：商务技术评分及价格权重表（满分100分）</w:t>
      </w:r>
      <w:bookmarkEnd w:id="5"/>
    </w:p>
    <w:tbl>
      <w:tblPr>
        <w:tblStyle w:val="3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63"/>
        <w:gridCol w:w="690"/>
        <w:gridCol w:w="5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3" w:type="dxa"/>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90" w:type="dxa"/>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79" w:type="dxa"/>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w:t>
            </w:r>
          </w:p>
        </w:tc>
        <w:tc>
          <w:tcPr>
            <w:tcW w:w="1263" w:type="dxa"/>
            <w:tcBorders>
              <w:top w:val="single" w:color="auto" w:sz="4" w:space="0"/>
              <w:left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认证体系</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4分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投标人具有由国家认证认可监督管理部门批准设立的认证机构颁发并有效的认证证书，每提供一个证书得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（1）质量管理体系认证证书；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（2）环境管理体系认证证书；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（3）职业健康安全管理体系认证证书；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（4）食品安全管理体系认证证书；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（5）食品安全风险评估体系类认证证书；</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（6）应急预案管理能力评价类认证证书</w:t>
            </w:r>
            <w:r>
              <w:rPr>
                <w:rFonts w:hint="eastAsia" w:ascii="宋体" w:hAnsi="宋体" w:cs="宋体"/>
                <w:color w:val="auto"/>
                <w:szCs w:val="21"/>
                <w:highlight w:val="none"/>
                <w:lang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有机产品</w:t>
            </w:r>
            <w:r>
              <w:rPr>
                <w:rFonts w:hint="eastAsia" w:ascii="宋体" w:hAnsi="宋体" w:eastAsia="宋体" w:cs="宋体"/>
                <w:color w:val="auto"/>
                <w:szCs w:val="21"/>
                <w:highlight w:val="none"/>
              </w:rPr>
              <w:t>认证证书；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食品可追溯管理体系</w:t>
            </w:r>
            <w:r>
              <w:rPr>
                <w:rFonts w:hint="eastAsia" w:ascii="宋体" w:hAnsi="宋体" w:eastAsia="宋体" w:cs="宋体"/>
                <w:color w:val="auto"/>
                <w:szCs w:val="21"/>
                <w:highlight w:val="none"/>
              </w:rPr>
              <w:t>认证证书。</w:t>
            </w:r>
          </w:p>
          <w:p>
            <w:pPr>
              <w:spacing w:line="360" w:lineRule="auto"/>
              <w:rPr>
                <w:rFonts w:hint="eastAsia" w:ascii="宋体" w:hAnsi="宋体" w:eastAsia="宋体" w:cs="宋体"/>
                <w:bCs/>
                <w:color w:val="auto"/>
                <w:sz w:val="21"/>
                <w:szCs w:val="21"/>
                <w:highlight w:val="none"/>
                <w:u w:val="single"/>
                <w:lang w:val="zh-CN"/>
              </w:rPr>
            </w:pPr>
            <w:r>
              <w:rPr>
                <w:rFonts w:hint="eastAsia" w:ascii="宋体" w:hAnsi="宋体" w:eastAsia="宋体" w:cs="宋体"/>
                <w:b/>
                <w:color w:val="auto"/>
                <w:szCs w:val="21"/>
                <w:highlight w:val="none"/>
              </w:rPr>
              <w:t>注：须提供在有效期内的证书及证书在全国认证认可信息公共服务平台（https://www.cnca.gov.cn/）有效信息</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rPr>
              <w:t>查询截图，以上复印件加盖章投标人公章。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2</w:t>
            </w:r>
          </w:p>
        </w:tc>
        <w:tc>
          <w:tcPr>
            <w:tcW w:w="1263"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同类业绩情况</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根据投标人自2023年</w:t>
            </w:r>
            <w:r>
              <w:rPr>
                <w:rFonts w:hint="eastAsia" w:ascii="宋体" w:hAnsi="宋体" w:eastAsia="宋体" w:cs="宋体"/>
                <w:color w:val="auto"/>
                <w:szCs w:val="21"/>
                <w:highlight w:val="none"/>
                <w:lang w:val="en-US" w:eastAsia="zh-CN"/>
              </w:rPr>
              <w:t>1月1日</w:t>
            </w:r>
            <w:r>
              <w:rPr>
                <w:rFonts w:hint="eastAsia" w:ascii="宋体" w:hAnsi="宋体" w:eastAsia="宋体" w:cs="宋体"/>
                <w:color w:val="auto"/>
                <w:szCs w:val="21"/>
                <w:highlight w:val="none"/>
              </w:rPr>
              <w:t>至今具有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年度配送合同金额不少于32万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的食材配送类项目业绩进行评审，每提供一个业绩合同得2分，最高得1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pPr>
              <w:spacing w:line="360" w:lineRule="auto"/>
              <w:rPr>
                <w:rFonts w:hint="eastAsia" w:ascii="宋体" w:hAnsi="宋体" w:eastAsia="宋体" w:cs="宋体"/>
                <w:bCs/>
                <w:color w:val="auto"/>
                <w:sz w:val="21"/>
                <w:szCs w:val="21"/>
                <w:highlight w:val="none"/>
                <w:u w:val="single"/>
                <w:lang w:val="zh-CN"/>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val="en-US" w:eastAsia="zh-CN"/>
              </w:rPr>
              <w:t>以合同签订时间为准，</w:t>
            </w:r>
            <w:r>
              <w:rPr>
                <w:rFonts w:hint="eastAsia" w:ascii="宋体" w:hAnsi="宋体" w:eastAsia="宋体" w:cs="宋体"/>
                <w:b/>
                <w:color w:val="auto"/>
                <w:szCs w:val="21"/>
                <w:highlight w:val="none"/>
              </w:rPr>
              <w:t>须提供合同关键页及</w:t>
            </w:r>
            <w:r>
              <w:rPr>
                <w:rFonts w:hint="eastAsia" w:ascii="宋体" w:hAnsi="宋体" w:eastAsia="宋体" w:cs="宋体"/>
                <w:b/>
                <w:color w:val="auto"/>
                <w:szCs w:val="21"/>
                <w:highlight w:val="none"/>
                <w:lang w:val="en-US" w:eastAsia="zh-CN"/>
              </w:rPr>
              <w:t>合同服务期内任意一期</w:t>
            </w:r>
            <w:r>
              <w:rPr>
                <w:rFonts w:hint="eastAsia" w:ascii="宋体" w:hAnsi="宋体" w:eastAsia="宋体" w:cs="宋体"/>
                <w:b/>
                <w:color w:val="auto"/>
                <w:szCs w:val="21"/>
                <w:highlight w:val="none"/>
              </w:rPr>
              <w:t>发票复印件加盖</w:t>
            </w:r>
            <w:r>
              <w:rPr>
                <w:rFonts w:hint="eastAsia" w:ascii="宋体" w:hAnsi="宋体" w:eastAsia="宋体" w:cs="宋体"/>
                <w:b/>
                <w:color w:val="auto"/>
                <w:szCs w:val="21"/>
                <w:highlight w:val="none"/>
                <w:lang w:val="en-US" w:eastAsia="zh-CN"/>
              </w:rPr>
              <w:t>投标人</w:t>
            </w:r>
            <w:r>
              <w:rPr>
                <w:rFonts w:hint="eastAsia" w:ascii="宋体" w:hAnsi="宋体" w:eastAsia="宋体" w:cs="宋体"/>
                <w:b/>
                <w:color w:val="auto"/>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3</w:t>
            </w:r>
          </w:p>
        </w:tc>
        <w:tc>
          <w:tcPr>
            <w:tcW w:w="1263"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拟投入配送车辆情况</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根据投标人拟投入本项目的配送车辆进行评审：</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（1）每投入一台厢式运输车的得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分，最高</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（2）每投入一台冷链运输车的得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分，最高</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注：（1）车辆为投标人自有的，须同时提供：①车辆登记证书或车辆行驶证（所有人须为投标人</w:t>
            </w:r>
            <w:r>
              <w:rPr>
                <w:rFonts w:hint="eastAsia" w:ascii="宋体" w:hAnsi="宋体" w:eastAsia="宋体" w:cs="宋体"/>
                <w:b/>
                <w:color w:val="auto"/>
                <w:szCs w:val="21"/>
                <w:highlight w:val="none"/>
                <w:lang w:val="en-US" w:eastAsia="zh-CN"/>
              </w:rPr>
              <w:t>或投标单位法人</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②车辆照片（冷链运输车须提供能显示制冷设备的图片）</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上述复印件加盖投标人公章。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（2）车辆为投标人租赁的，须同时提供：①车辆登记证书或车辆行驶证</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②车辆照片（冷链运输车须提供能显示制冷设备的图片）</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③以投标人名义签订并在有效期内的租赁合同，上述复印件加盖投标人公章。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4</w:t>
            </w:r>
          </w:p>
        </w:tc>
        <w:tc>
          <w:tcPr>
            <w:tcW w:w="1263"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拟投入检测设备情况</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lang w:val="en-US" w:eastAsia="zh-CN"/>
              </w:rPr>
              <w:t>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根据投标人拟投入服务本项目的食品安全检测室及相关检测设备进行评审，每投入一项以下检测室或检测设备的得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（1）食品安全检测室；</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（2）农药残留检测仪器；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（3）肉类水分检测仪器；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重</w:t>
            </w:r>
            <w:r>
              <w:rPr>
                <w:rFonts w:hint="eastAsia" w:ascii="宋体" w:hAnsi="宋体" w:eastAsia="宋体" w:cs="宋体"/>
                <w:color w:val="auto"/>
                <w:szCs w:val="21"/>
                <w:highlight w:val="none"/>
              </w:rPr>
              <w:t>金属检测仪器；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（5）甲醛检测仪器；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（6）二氧化硫检测仪器；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（7）亚硝酸盐快速检测仪器；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（8）金标读数仪器。</w:t>
            </w:r>
          </w:p>
          <w:p>
            <w:pPr>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b/>
                <w:color w:val="auto"/>
                <w:szCs w:val="21"/>
                <w:highlight w:val="none"/>
              </w:rPr>
              <w:t>注：（1）食品安全检测室须提供建造合同或提供租赁合同复印件加盖投标人公章；（2）检测设备为投标人自有的，须提供购买发票复印件加盖投标人公章；（3）检测设备为投标人租赁的，须提供租赁合同及设备照片图片，以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5</w:t>
            </w:r>
          </w:p>
        </w:tc>
        <w:tc>
          <w:tcPr>
            <w:tcW w:w="1263"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种植基地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single"/>
                <w:lang w:val="en-US"/>
              </w:rPr>
            </w:pP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投标人在国内有自有的种植基地或租赁的种植基地，最高得6分：</w:t>
            </w:r>
          </w:p>
          <w:p>
            <w:pPr>
              <w:spacing w:line="360" w:lineRule="auto"/>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（1）种植基地面积在1000亩以上的得</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lang w:val="en-US" w:eastAsia="zh-CN"/>
              </w:rPr>
              <w:t>分；</w:t>
            </w:r>
          </w:p>
          <w:p>
            <w:pPr>
              <w:spacing w:line="360" w:lineRule="auto"/>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（2）种植基地</w:t>
            </w:r>
            <w:r>
              <w:rPr>
                <w:rFonts w:hint="eastAsia" w:ascii="宋体" w:hAnsi="宋体" w:eastAsia="宋体" w:cs="宋体"/>
                <w:color w:val="auto"/>
                <w:szCs w:val="21"/>
                <w:highlight w:val="none"/>
                <w:lang w:val="en-US" w:eastAsia="zh-CN"/>
              </w:rPr>
              <w:t>面积</w:t>
            </w:r>
            <w:r>
              <w:rPr>
                <w:rFonts w:hint="eastAsia" w:ascii="宋体" w:hAnsi="宋体" w:eastAsia="宋体" w:cs="宋体"/>
                <w:bCs/>
                <w:color w:val="auto"/>
                <w:sz w:val="21"/>
                <w:szCs w:val="21"/>
                <w:highlight w:val="none"/>
                <w:u w:val="none"/>
                <w:lang w:val="en-US" w:eastAsia="zh-CN"/>
              </w:rPr>
              <w:t>在501亩～1000亩的得</w:t>
            </w:r>
            <w:r>
              <w:rPr>
                <w:rFonts w:hint="eastAsia" w:ascii="宋体" w:hAnsi="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lang w:val="en-US" w:eastAsia="zh-CN"/>
              </w:rPr>
              <w:t>分；</w:t>
            </w:r>
          </w:p>
          <w:p>
            <w:pPr>
              <w:spacing w:line="360" w:lineRule="auto"/>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lang w:val="en-US" w:eastAsia="zh-CN"/>
              </w:rPr>
              <w:t>（3）种植基地面积在500亩及以下的得</w:t>
            </w:r>
            <w:r>
              <w:rPr>
                <w:rFonts w:hint="eastAsia" w:ascii="宋体" w:hAnsi="宋体" w:cs="宋体"/>
                <w:bCs/>
                <w:color w:val="auto"/>
                <w:sz w:val="21"/>
                <w:szCs w:val="21"/>
                <w:highlight w:val="none"/>
                <w:u w:val="none"/>
                <w:lang w:val="en-US" w:eastAsia="zh-CN"/>
              </w:rPr>
              <w:t>1</w:t>
            </w:r>
            <w:r>
              <w:rPr>
                <w:rFonts w:hint="eastAsia" w:ascii="宋体" w:hAnsi="宋体" w:eastAsia="宋体" w:cs="宋体"/>
                <w:bCs/>
                <w:color w:val="auto"/>
                <w:sz w:val="21"/>
                <w:szCs w:val="21"/>
                <w:highlight w:val="none"/>
                <w:u w:val="none"/>
                <w:lang w:val="en-US" w:eastAsia="zh-CN"/>
              </w:rPr>
              <w:t>分；</w:t>
            </w:r>
            <w:r>
              <w:rPr>
                <w:rFonts w:hint="eastAsia" w:ascii="宋体" w:hAnsi="宋体" w:eastAsia="宋体" w:cs="宋体"/>
                <w:bCs/>
                <w:color w:val="auto"/>
                <w:sz w:val="21"/>
                <w:szCs w:val="21"/>
                <w:highlight w:val="none"/>
                <w:u w:val="none"/>
                <w:lang w:val="en-US" w:eastAsia="zh-CN"/>
              </w:rPr>
              <w:br w:type="textWrapping"/>
            </w:r>
            <w:r>
              <w:rPr>
                <w:rFonts w:hint="eastAsia" w:ascii="宋体" w:hAnsi="宋体" w:eastAsia="宋体" w:cs="宋体"/>
                <w:bCs/>
                <w:color w:val="auto"/>
                <w:sz w:val="21"/>
                <w:szCs w:val="21"/>
                <w:highlight w:val="none"/>
                <w:u w:val="none"/>
                <w:lang w:val="en-US" w:eastAsia="zh-CN"/>
              </w:rPr>
              <w:t>（4）无种植基地的不得分。</w:t>
            </w:r>
          </w:p>
          <w:p>
            <w:pP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注：①基地为投标人自营的，提供以投标人名义签署的租地协议或土地承包</w:t>
            </w:r>
            <w:r>
              <w:rPr>
                <w:rFonts w:hint="eastAsia" w:ascii="宋体" w:hAnsi="宋体" w:eastAsia="宋体" w:cs="宋体"/>
                <w:b/>
                <w:color w:val="auto"/>
                <w:szCs w:val="21"/>
                <w:highlight w:val="none"/>
                <w:lang w:val="en-US" w:eastAsia="zh-CN"/>
              </w:rPr>
              <w:t>合同</w:t>
            </w:r>
            <w:r>
              <w:rPr>
                <w:rFonts w:hint="eastAsia" w:ascii="宋体" w:hAnsi="宋体" w:eastAsia="宋体" w:cs="宋体"/>
                <w:b/>
                <w:color w:val="auto"/>
                <w:kern w:val="2"/>
                <w:sz w:val="21"/>
                <w:szCs w:val="21"/>
                <w:highlight w:val="none"/>
                <w:lang w:val="en-US" w:eastAsia="zh-CN" w:bidi="ar-SA"/>
              </w:rPr>
              <w:t>复印件加盖投标人公章。</w:t>
            </w:r>
          </w:p>
          <w:p>
            <w:pPr>
              <w:spacing w:line="360" w:lineRule="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
                <w:color w:val="auto"/>
                <w:kern w:val="2"/>
                <w:sz w:val="21"/>
                <w:szCs w:val="21"/>
                <w:highlight w:val="none"/>
                <w:lang w:val="en-US" w:eastAsia="zh-CN" w:bidi="ar-SA"/>
              </w:rPr>
              <w:t>②基地为投标人</w:t>
            </w:r>
            <w:r>
              <w:rPr>
                <w:rFonts w:hint="eastAsia" w:ascii="宋体" w:hAnsi="宋体" w:eastAsia="宋体" w:cs="宋体"/>
                <w:b/>
                <w:color w:val="auto"/>
                <w:szCs w:val="21"/>
                <w:highlight w:val="none"/>
                <w:lang w:val="en-US" w:eastAsia="zh-CN"/>
              </w:rPr>
              <w:t>合作</w:t>
            </w:r>
            <w:r>
              <w:rPr>
                <w:rFonts w:hint="eastAsia" w:ascii="宋体" w:hAnsi="宋体" w:eastAsia="宋体" w:cs="宋体"/>
                <w:b/>
                <w:color w:val="auto"/>
                <w:kern w:val="2"/>
                <w:sz w:val="21"/>
                <w:szCs w:val="21"/>
                <w:highlight w:val="none"/>
                <w:lang w:val="en-US" w:eastAsia="zh-CN" w:bidi="ar-SA"/>
              </w:rPr>
              <w:t>的，提供合作基地的有效营业执照复印件及有效期内的基地合作协议</w:t>
            </w:r>
            <w:r>
              <w:rPr>
                <w:rFonts w:hint="eastAsia" w:ascii="宋体" w:hAnsi="宋体" w:eastAsia="宋体" w:cs="宋体"/>
                <w:b/>
                <w:color w:val="auto"/>
                <w:szCs w:val="21"/>
                <w:highlight w:val="none"/>
                <w:lang w:val="en-US" w:eastAsia="zh-CN"/>
              </w:rPr>
              <w:t>复印件</w:t>
            </w:r>
            <w:r>
              <w:rPr>
                <w:rFonts w:hint="eastAsia" w:ascii="宋体" w:hAnsi="宋体" w:eastAsia="宋体" w:cs="宋体"/>
                <w:b/>
                <w:color w:val="auto"/>
                <w:kern w:val="2"/>
                <w:sz w:val="21"/>
                <w:szCs w:val="21"/>
                <w:highlight w:val="none"/>
                <w:lang w:val="en-US" w:eastAsia="zh-CN" w:bidi="ar-SA"/>
              </w:rPr>
              <w:t>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6</w:t>
            </w:r>
          </w:p>
        </w:tc>
        <w:tc>
          <w:tcPr>
            <w:tcW w:w="1263"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保险保障</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投标人已购买食品安全责任保险或公众责任保险，并承诺中标后为采购人购买同类保险，且保额在</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000万元(含)以上的得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分；保额在</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000（含）-</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000万元（不含）元的得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分；保额在5</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00万元(不含)以下的得1分。</w:t>
            </w:r>
          </w:p>
          <w:p>
            <w:pPr>
              <w:spacing w:line="360" w:lineRule="auto"/>
              <w:rPr>
                <w:rFonts w:hint="eastAsia" w:ascii="宋体" w:hAnsi="宋体" w:eastAsia="宋体" w:cs="宋体"/>
                <w:bCs/>
                <w:color w:val="auto"/>
                <w:sz w:val="21"/>
                <w:szCs w:val="21"/>
                <w:highlight w:val="none"/>
                <w:u w:val="single"/>
                <w:lang w:val="zh-CN" w:eastAsia="zh-CN"/>
              </w:rPr>
            </w:pPr>
            <w:r>
              <w:rPr>
                <w:rFonts w:hint="eastAsia" w:ascii="宋体" w:hAnsi="宋体" w:eastAsia="宋体" w:cs="宋体"/>
                <w:b/>
                <w:color w:val="auto"/>
                <w:szCs w:val="21"/>
                <w:highlight w:val="none"/>
              </w:rPr>
              <w:t>注：须同时提供①已有保险合同（或保单）及购买发票；②购买食品安全责任保险或公众责任保险承诺函（格式自拟）；以上加盖投标人公章。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63"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食品安全控制措施方案</w:t>
            </w:r>
          </w:p>
        </w:tc>
        <w:tc>
          <w:tcPr>
            <w:tcW w:w="690"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根据投标人的食品安全控制措施方案（包括但不限于供货保障、食材采购、分拣、</w:t>
            </w:r>
            <w:r>
              <w:rPr>
                <w:rFonts w:hint="eastAsia" w:ascii="宋体" w:hAnsi="宋体" w:cs="宋体"/>
                <w:color w:val="auto"/>
                <w:szCs w:val="21"/>
                <w:highlight w:val="none"/>
                <w:lang w:val="en-US" w:eastAsia="zh-CN"/>
              </w:rPr>
              <w:t>配送、</w:t>
            </w:r>
            <w:r>
              <w:rPr>
                <w:rFonts w:hint="eastAsia" w:ascii="宋体" w:hAnsi="宋体" w:eastAsia="宋体" w:cs="宋体"/>
                <w:color w:val="auto"/>
                <w:szCs w:val="21"/>
                <w:highlight w:val="none"/>
              </w:rPr>
              <w:t>粗加工管理流程、食材品质管控措施等）进行综合评审：</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（1）食品安全控制措施方案非常详细完善，流程非常严谨规范，安全控制措施非常科学合理，可行性非常强的，得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）食品安全控制措施方案</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rPr>
              <w:t>详细完善，流程严谨规范，安全控制措施</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rPr>
              <w:t>科学合理，可行性</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rPr>
              <w:t>强的，得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）食品安全控制措施方案详细完善度一般，流程严谨规范性一般，安全控制措施科学合理性一般，可行性一般的，得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）食品安全控制措施方案简单粗略，流程严谨规范性差，安全控制措施不科学不合理，可行性差的，得1分；</w:t>
            </w:r>
          </w:p>
          <w:p>
            <w:pPr>
              <w:spacing w:line="360" w:lineRule="auto"/>
              <w:jc w:val="left"/>
              <w:rPr>
                <w:rFonts w:hint="eastAsia" w:ascii="宋体" w:hAnsi="宋体" w:eastAsia="宋体" w:cs="宋体"/>
                <w:bCs/>
                <w:color w:val="auto"/>
                <w:sz w:val="21"/>
                <w:szCs w:val="21"/>
                <w:highlight w:val="none"/>
                <w:u w:val="single"/>
                <w:lang w:val="zh-CN"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63"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食品溯源管理方案</w:t>
            </w:r>
          </w:p>
        </w:tc>
        <w:tc>
          <w:tcPr>
            <w:tcW w:w="690" w:type="dxa"/>
            <w:tcBorders>
              <w:top w:val="single" w:color="auto" w:sz="4" w:space="0"/>
              <w:left w:val="single" w:color="auto" w:sz="4" w:space="0"/>
              <w:bottom w:val="single" w:color="auto" w:sz="4" w:space="0"/>
              <w:right w:val="single" w:color="auto" w:sz="4" w:space="0"/>
            </w:tcBorders>
            <w:vAlign w:val="center"/>
          </w:tcPr>
          <w:p>
            <w:pPr>
              <w:pStyle w:val="88"/>
              <w:spacing w:after="0" w:afterLines="0"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5879"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根据投标人提供的食品溯源管理方案（包括但不限于食品溯源管理制度、采购渠道、进出货台账、留样检测制度</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Cs w:val="21"/>
                <w:highlight w:val="none"/>
              </w:rPr>
              <w:t>等）进行综合评审：</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（1）食品溯源管理方案非常详细完善，食品溯源管理制度非常科学严谨、食品溯源管理措施可行性非常强的，得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）食品溯源管理方案</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rPr>
              <w:t>详细完善，食品溯源管理制度科学严谨、食品溯源管理措施可行性</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rPr>
              <w:t>强的，得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）食品溯源管理方案详细完善程度一般，食品溯源管理制度科学严谨性一般、食品溯源管理措施可行性一般的，得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）食品溯源管理方案简单粗略，食品溯源管理制度不科学不严谨、食品溯源管理措施可行性差的，得1分；</w:t>
            </w:r>
          </w:p>
          <w:p>
            <w:pPr>
              <w:spacing w:line="360" w:lineRule="auto"/>
              <w:jc w:val="left"/>
              <w:rPr>
                <w:rFonts w:hint="eastAsia" w:ascii="宋体" w:hAnsi="宋体" w:eastAsia="宋体" w:cs="宋体"/>
                <w:bCs/>
                <w:color w:val="auto"/>
                <w:sz w:val="21"/>
                <w:szCs w:val="21"/>
                <w:highlight w:val="none"/>
                <w:u w:val="single"/>
                <w:lang w:val="zh-CN"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（1）无特殊说明外，以上评审项，同一证明文件不重复计分。</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（2）投标人根据以上评分要求提供的投标材料因模糊不清导致评标委员会无法清晰辨认进行评审的，视为无效材料。</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w:t>
            </w:r>
            <w:r>
              <w:rPr>
                <w:rFonts w:hint="eastAsia" w:ascii="宋体" w:eastAsia="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0</w:t>
            </w:r>
            <w:r>
              <w:rPr>
                <w:rFonts w:hint="eastAsia" w:ascii="宋体" w:hAnsi="宋体" w:eastAsia="宋体" w:cs="宋体"/>
                <w:b/>
                <w:bCs/>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投标总价</w:t>
            </w:r>
          </w:p>
        </w:tc>
        <w:tc>
          <w:tcPr>
            <w:tcW w:w="6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jc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0分</w:t>
            </w:r>
          </w:p>
        </w:tc>
        <w:tc>
          <w:tcPr>
            <w:tcW w:w="58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价格分计算方法：满足招标文件要求且投标报价最低（即最大下浮率）的投标报价为评标基准价，其价格分为满分。其他供应商的价格分统一按照下列公式计算：</w:t>
            </w:r>
          </w:p>
          <w:p>
            <w:pPr>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投标报价得分=[(1-最大下浮率)／(1-投标下浮率)] ×价格权重</w:t>
            </w:r>
          </w:p>
        </w:tc>
      </w:tr>
    </w:tbl>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
        <w:spacing w:before="0" w:after="0" w:line="240" w:lineRule="auto"/>
        <w:rPr>
          <w:rFonts w:hint="eastAsia" w:ascii="宋体" w:hAnsi="宋体" w:eastAsia="宋体" w:cs="宋体"/>
          <w:color w:val="auto"/>
          <w:sz w:val="36"/>
          <w:szCs w:val="36"/>
          <w:highlight w:val="none"/>
        </w:rPr>
      </w:pPr>
      <w:bookmarkStart w:id="6" w:name="_Toc2228"/>
      <w:r>
        <w:rPr>
          <w:rFonts w:hint="eastAsia" w:ascii="宋体" w:hAnsi="宋体" w:eastAsia="宋体" w:cs="宋体"/>
          <w:color w:val="auto"/>
          <w:sz w:val="28"/>
          <w:szCs w:val="28"/>
          <w:highlight w:val="none"/>
        </w:rPr>
        <w:t>第三部分用户需求书</w:t>
      </w:r>
      <w:bookmarkEnd w:id="6"/>
    </w:p>
    <w:p>
      <w:pPr>
        <w:pStyle w:val="5"/>
        <w:spacing w:before="0" w:after="0" w:line="360" w:lineRule="auto"/>
        <w:jc w:val="center"/>
        <w:rPr>
          <w:rFonts w:hint="eastAsia" w:ascii="宋体" w:hAnsi="宋体" w:eastAsia="宋体" w:cs="宋体"/>
          <w:color w:val="auto"/>
          <w:highlight w:val="none"/>
        </w:rPr>
      </w:pPr>
      <w:bookmarkStart w:id="7" w:name="_Toc25197"/>
      <w:bookmarkStart w:id="8" w:name="_Toc1593"/>
      <w:bookmarkStart w:id="9" w:name="_Toc308786492"/>
      <w:bookmarkStart w:id="10" w:name="_Toc14462"/>
      <w:bookmarkStart w:id="11" w:name="_Toc31278"/>
      <w:bookmarkStart w:id="12" w:name="_Toc24679"/>
      <w:bookmarkStart w:id="13" w:name="_Toc13112"/>
      <w:r>
        <w:rPr>
          <w:rFonts w:hint="eastAsia" w:ascii="宋体" w:hAnsi="宋体" w:eastAsia="宋体" w:cs="宋体"/>
          <w:color w:val="auto"/>
          <w:highlight w:val="none"/>
        </w:rPr>
        <w:t>第一章 商务需求书</w:t>
      </w:r>
      <w:bookmarkEnd w:id="7"/>
      <w:bookmarkEnd w:id="8"/>
    </w:p>
    <w:tbl>
      <w:tblPr>
        <w:tblStyle w:val="37"/>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341"/>
        <w:gridCol w:w="66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62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合格投标人</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详见“第一部分 投标邀请”中“二、投标人资格要求”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签订合同</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lang w:val="en-US" w:eastAsia="zh-CN"/>
              </w:rPr>
              <w:t>12个月。（供应商年度履约评价为优的前提下，采购人有权决定是否续约，续约合同期为12个月。）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626" w:type="dxa"/>
            <w:shd w:val="clear" w:color="auto" w:fill="auto"/>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1、本合同的付款方式为：采取“先送货后结款”的方式，货款按月进行考核结算，结算价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（1-中标下浮率）*基准价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*实际配送数量-当月扣减金额</w:t>
            </w:r>
            <w:r>
              <w:rPr>
                <w:rFonts w:hint="eastAsia" w:ascii="宋体" w:hAnsi="宋体" w:eastAsia="宋体" w:cs="宋体"/>
                <w:color w:val="auto"/>
                <w:sz w:val="21"/>
                <w:szCs w:val="21"/>
                <w:highlight w:val="none"/>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在次月10号前根据上月的收货凭证与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对上月货款进行确认结算。</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收到</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的全部结算资料后，20个工作日内以转账付款方式进行支付货款。</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3、收款方、发票的销售方、合同乙方均必须与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名称一致。</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4、按照现行税收政策规定，每次付款前，</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必须提供合法有效、与本合同总价款条款中增值税税率一致的增值税发票给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，否则采购人有权拒绝付款且不构成违约。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6626" w:type="dxa"/>
            <w:shd w:val="clear" w:color="auto" w:fill="auto"/>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★供货价格要求</w:t>
            </w:r>
          </w:p>
        </w:tc>
        <w:tc>
          <w:tcPr>
            <w:tcW w:w="6626" w:type="dxa"/>
            <w:shd w:val="clear" w:color="auto" w:fill="auto"/>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货价格为采购人指定目的地交货价。包含：购货成本、包装配送运输、保险、装卸、退换、雇员费用、质保期售后服务、全额含税发票、合同实施过程中的应预见和不可预见费用等。在项目的实施过程中，中标人必须充分考虑在本项目实施期间的一切可能产生的风险和相关费用，采购人将拒绝支付合同约定配送费之外的任何费用和补偿。</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中标后，完善价格调整机制。双方进行基准价确定，采购人参考当前时段东莞市发展和改革局公布同期“广东省菜篮子价格监测表”中最新一期的“东莞市菜篮子价格监测表”的价格，若“广东省菜篮子价格监测表”无采购人所需的货品，则采购人通过线上（美团、京东超市等）参考同类产品价格的</w:t>
            </w:r>
            <w:r>
              <w:rPr>
                <w:rFonts w:hint="eastAsia" w:ascii="宋体" w:hAnsi="宋体" w:cs="宋体"/>
                <w:color w:val="auto"/>
                <w:sz w:val="21"/>
                <w:szCs w:val="21"/>
                <w:highlight w:val="none"/>
                <w:lang w:val="en-US" w:eastAsia="zh-CN"/>
              </w:rPr>
              <w:t>最低</w:t>
            </w:r>
            <w:r>
              <w:rPr>
                <w:rFonts w:hint="eastAsia" w:ascii="宋体" w:hAnsi="宋体" w:eastAsia="宋体" w:cs="宋体"/>
                <w:color w:val="auto"/>
                <w:sz w:val="21"/>
                <w:szCs w:val="21"/>
                <w:highlight w:val="none"/>
                <w:lang w:val="en-US" w:eastAsia="zh-CN"/>
              </w:rPr>
              <w:t>价作为基准价，确定供货价格。原则上每隔二个星期调整一次价格，中标人须于东莞市发展和改革局网站最新价格挂出后第二天提供最新一期的价格表，供采购人确认后方可开始执行。</w:t>
            </w:r>
          </w:p>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采购人临时需求货品不在核定的供货价格清单内的，中标人必须按采购人要求供货，供货价格由双方临时确定。下次该货品应纳入报价清单，并按上述定价原则确定供货价格。</w:t>
            </w:r>
          </w:p>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中标人不得擅自变更货物品种及产地、包装、规格和重量等，严格按采购人要求供应，否则采购人有权拒收。对不易购买或暂时短缺的品种，经采购人同意，可由中标人通过其它途径采购或使用指定替代品替换。</w:t>
            </w:r>
          </w:p>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采购人根据自身的需求，有权终止某类中的某些商品的采购或变更某类商品的采购。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本项目采用</w:t>
            </w:r>
            <w:r>
              <w:rPr>
                <w:rFonts w:hint="eastAsia" w:ascii="宋体" w:hAnsi="宋体" w:eastAsia="宋体" w:cs="宋体"/>
                <w:color w:val="auto"/>
                <w:sz w:val="21"/>
                <w:szCs w:val="21"/>
                <w:highlight w:val="none"/>
              </w:rPr>
              <w:t>下浮率</w:t>
            </w:r>
            <w:r>
              <w:rPr>
                <w:rFonts w:hint="eastAsia" w:ascii="宋体" w:hAnsi="宋体" w:eastAsia="宋体" w:cs="宋体"/>
                <w:color w:val="auto"/>
                <w:sz w:val="21"/>
                <w:szCs w:val="21"/>
                <w:highlight w:val="none"/>
                <w:lang w:val="en-US" w:eastAsia="zh-CN"/>
              </w:rPr>
              <w:t>方式进行报价，0＜投标下浮率＜100%；结算时统一采用以下方式计算费用：</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供货单价=（1-中标下浮率）*基准价。</w:t>
            </w:r>
            <w:r>
              <w:rPr>
                <w:rFonts w:hint="eastAsia" w:ascii="宋体" w:hAnsi="宋体" w:eastAsia="宋体" w:cs="宋体"/>
                <w:color w:val="auto"/>
                <w:sz w:val="21"/>
                <w:szCs w:val="21"/>
                <w:highlight w:val="none"/>
              </w:rPr>
              <w:t>报价包含：购货成本、包装配送运输、保险、装卸、退换、雇员费用、质保期售后服务、全额含税发票、合同实施过程中的应预见和不可预见费用等。</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若投标人对某些项目未报价，则应认为已包括在投标报价内。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所供应的货品需要符合国家和东莞市的相关安全质量标准、卫生标准等，同时符合采购人的使用要求，包括但不限于各类所列的货品质量要求。中标人在接受订单时需要确认采购人对货品的使用要求，对于不符合采购人要求的货品，采购人有权拒收或要求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违约处理</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针对中标人在服务过程中出现的违反采购文件或合同约定的行为，采购人有权对中标人收取违约金，违约金从未结配送费中扣除。情节严重的,采购人有权单方终止合同,并依法追究中标人法律责任。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中标人没有使用专用冷藏、冷冻载具运输配送的，每次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00元，且采购人有权拒收该批次所有货品。</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中标人提供过期、变质货品的，每次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00元,且采购人有权拒收该批次所有货品。</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中标人随意报价，导致采购人某货品定价明显低于市场价，但中标人却不能按要求供货的，每次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中标人超过规定时限未提交报价且无书面说明合理理由的，每次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00元，且视为放弃下一期的食材配送服务，采购人可另行组织采购。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中标人供货数量与采购人订单偏差超过±10%但没有事先说明的，每次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中标人接受了采购人的采购订单，但不能按要求提供配送服务，导致采购人供餐受影响的，每次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已经定价的货品，中标人称没货，但采购人能通过常规途径在市场、超市等场所购买到所需数量的，每次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中标人货品溯源制度不落实、进货查验记录不全的，每次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中标人上述违约行为单独累计发生已达3次的，再发生时每次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000元，且采购人有权单方终止合同。</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中标人无故中途退出，</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违约金人民币10000元。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626" w:type="dxa"/>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1、中标人必须服从采购人的监督、管理，配合采购人到货品配送点进行现场考察。</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2、食品供应链要求：所有食品的来源必须清晰可追溯和追责。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3、如发现中标人泄露采购人的秘密，或有弄虚作假行为（如提供假证照、供应假冒伪劣产品等）,或以贿赂等不正当手段获取配送资格的，即时取消成交资格，情节严重的还将依法追究其经济责任和法律责任。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4、中标人存在违反采购文件和合同约定的行为，并且不予纠正的，将取消其成交资格。此项下违约行为包括但不限于下列各项：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（1）中标人在收到采购人订货要求后，在承诺的供货时间内不能供货的。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（2）中标人未能提供承诺的服务的。</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（3）中标人不能在约定时间内提供合法票据进行结算的。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（4）中标人送货人员在采购人单位活动但不遵守采购人单位各项规章制度或做出有损采购人形象和利益的事情的。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投标人实质响应合同各条款。</w:t>
            </w:r>
          </w:p>
        </w:tc>
      </w:tr>
    </w:tbl>
    <w:p>
      <w:pPr>
        <w:rPr>
          <w:rFonts w:hint="eastAsia" w:ascii="宋体" w:hAnsi="宋体" w:eastAsia="宋体" w:cs="宋体"/>
          <w:color w:val="auto"/>
          <w:highlight w:val="none"/>
        </w:rPr>
      </w:pPr>
      <w:bookmarkStart w:id="14" w:name="_Toc19316"/>
      <w:r>
        <w:rPr>
          <w:rFonts w:hint="eastAsia" w:ascii="宋体" w:hAnsi="宋体" w:eastAsia="宋体" w:cs="宋体"/>
          <w:color w:val="auto"/>
          <w:highlight w:val="none"/>
        </w:rPr>
        <w:br w:type="page"/>
      </w:r>
    </w:p>
    <w:p>
      <w:pPr>
        <w:pStyle w:val="5"/>
        <w:spacing w:before="0" w:after="0" w:line="360" w:lineRule="auto"/>
        <w:jc w:val="center"/>
        <w:rPr>
          <w:rFonts w:hint="eastAsia" w:ascii="宋体" w:hAnsi="宋体" w:eastAsia="宋体" w:cs="宋体"/>
          <w:color w:val="auto"/>
          <w:highlight w:val="none"/>
        </w:rPr>
      </w:pPr>
      <w:bookmarkStart w:id="15" w:name="_Toc29383"/>
      <w:r>
        <w:rPr>
          <w:rFonts w:hint="eastAsia" w:ascii="宋体" w:hAnsi="宋体" w:eastAsia="宋体" w:cs="宋体"/>
          <w:color w:val="auto"/>
          <w:highlight w:val="none"/>
        </w:rPr>
        <w:t>第二章 技术需求书</w:t>
      </w:r>
      <w:bookmarkEnd w:id="14"/>
      <w:bookmarkEnd w:id="15"/>
    </w:p>
    <w:bookmarkEnd w:id="9"/>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一、采购项目概述</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本项目服务内容为东鸿公司本部食堂食材2025-2026年度配送服务。主要配送食材为蔬菜类、鱼肉类、</w:t>
      </w:r>
      <w:r>
        <w:rPr>
          <w:rFonts w:hint="eastAsia" w:ascii="宋体" w:hAnsi="宋体" w:eastAsia="宋体" w:cs="宋体"/>
          <w:color w:val="auto"/>
          <w:highlight w:val="none"/>
          <w:lang w:val="en-US" w:eastAsia="zh-CN"/>
        </w:rPr>
        <w:t>米麺</w:t>
      </w:r>
      <w:r>
        <w:rPr>
          <w:rFonts w:hint="eastAsia" w:ascii="宋体" w:hAnsi="宋体" w:eastAsia="宋体" w:cs="宋体"/>
          <w:color w:val="auto"/>
          <w:highlight w:val="none"/>
        </w:rPr>
        <w:t>类、副食品、糕点类、调味品、水果等，具体数量和食材以实际</w:t>
      </w:r>
      <w:r>
        <w:rPr>
          <w:rFonts w:hint="eastAsia" w:ascii="宋体" w:hAnsi="宋体" w:eastAsia="宋体" w:cs="宋体"/>
          <w:color w:val="auto"/>
          <w:highlight w:val="none"/>
          <w:lang w:eastAsia="zh-CN"/>
        </w:rPr>
        <w:t>下单</w:t>
      </w:r>
      <w:r>
        <w:rPr>
          <w:rFonts w:hint="eastAsia" w:ascii="宋体" w:hAnsi="宋体" w:eastAsia="宋体" w:cs="宋体"/>
          <w:color w:val="auto"/>
          <w:highlight w:val="none"/>
        </w:rPr>
        <w:t>为准。</w:t>
      </w:r>
    </w:p>
    <w:p>
      <w:pPr>
        <w:keepNext w:val="0"/>
        <w:keepLines w:val="0"/>
        <w:pageBreakBefore w:val="0"/>
        <w:widowControl/>
        <w:kinsoku/>
        <w:wordWrap/>
        <w:overflowPunct/>
        <w:topLinePunct w:val="0"/>
        <w:autoSpaceDE/>
        <w:autoSpaceDN/>
        <w:bidi w:val="0"/>
        <w:adjustRightInd w:val="0"/>
        <w:snapToGrid w:val="0"/>
        <w:spacing w:line="324"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br w:type="textWrapping"/>
      </w:r>
      <w:r>
        <w:rPr>
          <w:rFonts w:hint="eastAsia" w:ascii="宋体" w:hAnsi="宋体" w:eastAsia="宋体" w:cs="宋体"/>
          <w:b/>
          <w:bCs/>
          <w:color w:val="auto"/>
          <w:highlight w:val="none"/>
        </w:rPr>
        <w:t>二、采购项目</w:t>
      </w:r>
      <w:r>
        <w:rPr>
          <w:rFonts w:hint="eastAsia" w:ascii="宋体" w:hAnsi="宋体" w:eastAsia="宋体" w:cs="宋体"/>
          <w:b/>
          <w:bCs/>
          <w:color w:val="auto"/>
          <w:highlight w:val="none"/>
          <w:lang w:val="en-US" w:eastAsia="zh-CN"/>
        </w:rPr>
        <w:t>服务</w:t>
      </w:r>
      <w:r>
        <w:rPr>
          <w:rFonts w:hint="eastAsia" w:ascii="宋体" w:hAnsi="宋体" w:eastAsia="宋体" w:cs="宋体"/>
          <w:b/>
          <w:bCs/>
          <w:color w:val="auto"/>
          <w:highlight w:val="none"/>
        </w:rPr>
        <w:t>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项目总体要求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中标人不得将成交项目转让或分包给他人，否则采购人有权单方终止合同,由此产生的一切经济损失由中标人自行承担。</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中标人在合同履行期间保证对采购人的服务供应，成交后不得拒绝采购人分配的任务。中标人在服务期内没能达到响应文件承诺的服务要求或中标人未按要求履行合同义务或中标人的资质在服务期内发生变化不再符合要求，采购人均有权单方终止协议，由此产生的一切经济损失由中标人自行承担。</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在合同履行期间，采购人</w:t>
      </w:r>
      <w:r>
        <w:rPr>
          <w:rFonts w:hint="eastAsia" w:ascii="宋体" w:hAnsi="宋体" w:eastAsia="宋体" w:cs="宋体"/>
          <w:color w:val="auto"/>
          <w:highlight w:val="none"/>
          <w:lang w:eastAsia="zh-CN"/>
        </w:rPr>
        <w:t>有权</w:t>
      </w:r>
      <w:r>
        <w:rPr>
          <w:rFonts w:hint="eastAsia" w:ascii="宋体" w:hAnsi="宋体" w:eastAsia="宋体" w:cs="宋体"/>
          <w:color w:val="auto"/>
          <w:highlight w:val="none"/>
        </w:rPr>
        <w:t>结合自身的特点和需要制定具体配送管理方式。中标人在拟实施新增设备设施和人力资源等投入前，须充分考虑评估潜在的投资经营风险并制定应对措施。</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采购人根据业务需要而需增补同类供应商时，可直接</w:t>
      </w:r>
      <w:r>
        <w:rPr>
          <w:rFonts w:hint="eastAsia" w:ascii="宋体" w:hAnsi="宋体" w:eastAsia="宋体" w:cs="宋体"/>
          <w:color w:val="auto"/>
          <w:highlight w:val="none"/>
          <w:lang w:eastAsia="zh-CN"/>
        </w:rPr>
        <w:t>根据采购人内部的管理办法自行决定</w:t>
      </w:r>
      <w:r>
        <w:rPr>
          <w:rFonts w:hint="eastAsia" w:ascii="宋体" w:hAnsi="宋体" w:eastAsia="宋体" w:cs="宋体"/>
          <w:color w:val="auto"/>
          <w:highlight w:val="none"/>
        </w:rPr>
        <w:t>，采购人无需征得原中标人同意，且将不作任何补偿。</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中标人需服从采购人和食品监督部门的监督管理，配合采购人及时更新所提供的符合卫监部门的有效证明材料。如有效的营业执照、产品合格证或食品生产经营许可证等。</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2.中标人</w:t>
      </w:r>
      <w:r>
        <w:rPr>
          <w:rFonts w:hint="eastAsia" w:ascii="宋体" w:hAnsi="宋体" w:eastAsia="宋体" w:cs="宋体"/>
          <w:color w:val="auto"/>
          <w:highlight w:val="none"/>
        </w:rPr>
        <w:t>须承诺食材采购符合以下标准：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（1）大米、食用油须在具有资质的供应商采购，须提供产地及合格检验报告。</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（2）佐料、食盐须从具有资质可靠供应商采购品牌企业产品。</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（3）蔬菜须从无公害基地采购，须提供合格农药残留检验报告。</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（4）肉类产品须有合格检验、检疫报告。</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（5）每</w:t>
      </w:r>
      <w:r>
        <w:rPr>
          <w:rFonts w:hint="eastAsia" w:ascii="宋体" w:hAnsi="宋体" w:eastAsia="宋体" w:cs="宋体"/>
          <w:color w:val="auto"/>
          <w:highlight w:val="none"/>
          <w:lang w:eastAsia="zh-CN"/>
        </w:rPr>
        <w:t>天</w:t>
      </w:r>
      <w:r>
        <w:rPr>
          <w:rFonts w:hint="eastAsia" w:ascii="宋体" w:hAnsi="宋体" w:eastAsia="宋体" w:cs="宋体"/>
          <w:color w:val="auto"/>
          <w:highlight w:val="none"/>
        </w:rPr>
        <w:t>菜式均有留样管理，留样时间48小时。</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鲜肉蔬菜冻肉类要求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.1鲜肉蔬菜供应货品质量要求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人提供的鲜肉蔬菜需要保证每日新鲜，品种、质量应符合采购人要求，产品符合食品卫生安全法要求并出具有效的《农产品检验报告》。采购人使用“农药测试卡”检验蔬菜农药含量，如含量超标要求中标人无条件退货或换货，同时做好相关记录。</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（2）应保持较好的色泽和新鲜度，不得有黄叶，不得腐烂或有异常味道，不存在泥沙和异物，利用率不得低于95%。</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（3）不得供应转基因产品。</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（4）鲜肉类全部来源于正规肉联厂（或正规肉类屠宰场所）并提供政府检疫部门出示的检疫合格证明（鲜肉类利用率不低于98%）。</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.2冻肉供应货品质量要求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人提供的冷冻产品须源于合格的生产厂家，生产厂家拥有标准化作业流程、可溯源，产品包装上须清晰标注生产日期和保质期，严禁将三无作坊、变质、过期等不合格的产品配送给采购人（从收货之日起计算剩余保质期不得低于标注保质期的</w:t>
      </w:r>
      <w:r>
        <w:rPr>
          <w:rFonts w:hint="eastAsia" w:ascii="宋体" w:hAnsi="宋体" w:cs="宋体"/>
          <w:color w:val="auto"/>
          <w:highlight w:val="none"/>
          <w:lang w:val="en-US" w:eastAsia="zh-CN"/>
        </w:rPr>
        <w:t>75</w:t>
      </w:r>
      <w:r>
        <w:rPr>
          <w:rFonts w:hint="eastAsia" w:ascii="宋体" w:hAnsi="宋体" w:eastAsia="宋体" w:cs="宋体"/>
          <w:color w:val="auto"/>
          <w:highlight w:val="none"/>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（2）冷冻肉要求肉体冻实而坚硬，无化冻现象，肉质紧密而有弹性，色泽均匀，不粘手，交货时干净、新鲜、无异味。</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（3）冷冻鱼类要求鱼眼睛清亮，角膜透明，鳞片上覆有冻结的透明黏液层，皮肤天然色泽明显。</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配送要求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（1）容器要求清洁、干燥、牢固、透气，无污染、无异味、无霉变现象。</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需要采用符合卫生要求的运载工具，要保持清洁和定期消毒。运载车厢的内仓应为抗腐蚀、防潮、防虫、防鼠的设计，车厢内无异味。送货车辆应保持清洁，堆放科学合理，避免造成食材的交叉污染；如对温度有要求的应确定食材的温度，记录送货车辆温度，并记录存档。</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（3）中标人要免费提供运送及卸货服务。</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（4）蔬菜应小心轻卸，严防机械损伤。</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需要按照采购人要求的货品规格、数量、质量配送，如数量不足的，中标人应立即补足；如有10%以下（含10%）货品规格、质量不符合要求的，中标人应对不符合要求的货品进行更换；如有10%以上的货品规格、质量不符合要求的，由采购人选择整批退货或要求中标人按时整批更换。</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3.4</w:t>
      </w:r>
      <w:r>
        <w:rPr>
          <w:rFonts w:hint="eastAsia" w:ascii="宋体" w:hAnsi="宋体" w:eastAsia="宋体" w:cs="宋体"/>
          <w:color w:val="auto"/>
          <w:highlight w:val="none"/>
        </w:rPr>
        <w:t>中标人需设立自有检测室或有固定的送检机构，每种蔬菜每天都</w:t>
      </w:r>
      <w:r>
        <w:rPr>
          <w:rFonts w:hint="eastAsia" w:ascii="宋体" w:hAnsi="宋体" w:eastAsia="宋体" w:cs="宋体"/>
          <w:color w:val="auto"/>
          <w:highlight w:val="none"/>
          <w:lang w:eastAsia="zh-CN"/>
        </w:rPr>
        <w:t>需有</w:t>
      </w:r>
      <w:r>
        <w:rPr>
          <w:rFonts w:hint="eastAsia" w:ascii="宋体" w:hAnsi="宋体" w:eastAsia="宋体" w:cs="宋体"/>
          <w:color w:val="auto"/>
          <w:highlight w:val="none"/>
        </w:rPr>
        <w:t>农药残留的检测报告，食品检测人员或检测机构资料存档备查。</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rPr>
        <w:t>对食品安全质量问题的处理：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（1）对危及人体健康的食品质量问题（如农药残留超标、腐烂变质等）采取零容忍措施，一经发现，当日所送同批次货品全部退货，并追究相关责任。</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（2）若验收时未发现问题，而在加工食用前发现部分货品质量有问题，采购人立即通知中标人，将问题货品作退换货处理，并追究</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相关责任。</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（3）中标人所供应货品出现质量问题造成食品安全事故，经查实后属中标人责任的，中标人应承担全部责任和经济损失。</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水产海鲜类要求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w:t>
      </w:r>
      <w:r>
        <w:rPr>
          <w:rFonts w:hint="eastAsia" w:ascii="宋体" w:hAnsi="宋体" w:eastAsia="宋体" w:cs="宋体"/>
          <w:color w:val="auto"/>
          <w:highlight w:val="none"/>
        </w:rPr>
        <w:t>供应货品质量要求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（1）非冰鲜类必须鲜活，利用率不低于95%；冰鲜类水产品解冻后利用率不低于80%</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（2）鲜鱼鳞片完整，有光泽无脱落，眼球光亮透明，鳃口紧闭，鱼鳃鲜红，鳍尾完整，确保新鲜</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（3）身体饱满结实，无腐烂，无异味（如泥腥味、电油味等），肉质紧密有弹性，无离骨脱刺现象</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（4）来源可靠放心，无毒、无害、无污染。</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4.2</w:t>
      </w:r>
      <w:r>
        <w:rPr>
          <w:rFonts w:hint="eastAsia" w:ascii="宋体" w:hAnsi="宋体" w:eastAsia="宋体" w:cs="宋体"/>
          <w:color w:val="auto"/>
          <w:highlight w:val="none"/>
        </w:rPr>
        <w:t>配送要求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需要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（2）冰鲜类水产品需要用专用冷藏、冷冻载具运输，保证运输过程冷链不中断，到达目的地时外包装箱干爽，无软化现象。</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（3）中标人要免费提供运送及卸货服务。</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需要按照采购人要求的货品规格、数量、质量配送，如数量不足的，中标人应立即补足；如有10%以下（含10%）货品规格、质量不符合要求的，中标人应对不符合要求的货品进行更换；如有10%以上的货品规格、质量不符合要求的，由采购人选择整批退货或要求中标人按时整批更换。</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4.3</w:t>
      </w:r>
      <w:r>
        <w:rPr>
          <w:rFonts w:hint="eastAsia" w:ascii="宋体" w:hAnsi="宋体" w:eastAsia="宋体" w:cs="宋体"/>
          <w:color w:val="auto"/>
          <w:highlight w:val="none"/>
        </w:rPr>
        <w:t>对食品安全质量问题的处理：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（1）对危及人体健康的食品质量问题采取零容忍措施，一经发现，当日所送同批次货品全部退货，并追究相关责任。</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（2）若验收时未发现问题，而在加工食用前发现部分货品质量有问题，采购人立即通知中标人，将问题货品作退换货处理，并追究相关责任。</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（3）中标人所供应货品出现质量问题造成食品安全事故，经查实后属中标人责任的，中标人应承担全部责任和经济损失。</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粮油副食品类要求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1供应货品质量要求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（1）需要由正规厂家生产，有相应的食品生产许可证号，内外包装完整无变形。</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（2）所供应货品需要符合相关质量安全要求，需要通过QS认证的货品必须有QS认证标志。</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（3）颜色品质纯正，不得有掺假、变质、变味等现象出现。</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（4）剩余保质期不得少于75%。</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.2配送要求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（1）包装需要符合国家规范，包装、容器清洁、干燥、牢固、透气，无污染、无异味、无霉变现象。</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需要采用符合卫生要求的运载工具，要保持清洁和定期消毒。运载车厢的内仓应为抗腐蚀、防潮、防虫、防鼠的设计，车厢内无异味。送货车辆应保持清洁，堆放科学合理，避免造成食材的交叉污染；如对温度有要求的应确定食材的温度，记录送货车辆温度，并记录存档。</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（3）中标人要免费提供运送及卸货服务。</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需要按照采购人要求的货品规格、数量、质量配送，如数量不足的，中标人应立即补足；如有10%以下（含10%）货品规格、质量不符合要求的，中标人应对不符合要求的货品进行更换；如有10%以上的货品规格、质量不符合要求的，由采购人选择整批退货或要求中标人按时整批更换。</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.3对食品安全质量问题的处理：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（1）对危及人体健康的食品质量问题采取零容忍措施，一经发现，当日所送同批次货品全部退货，并追究相关责任。</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（2）若验收时未发现问题，而在加工食用前发现部分货品质量有问题，采购人立即通知中标人，将问题货品作退换货处理，并追究相关责任。</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（3）中标人所供应货品出现质量问题造成食品安全事故，经查实后属中标人责任的，中标人应承担全部责任和经济损失。</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质量及包装要求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1中标人应充分理解并认真遵循本采购文件的要求，所提供的货物需要是满足采购文件要求。保证供应的货品均为正规生产的新鲜（冰鲜除外）、检验合格、无毒、无辐射、无侵权货品，符合国家有关卫生、质量、包装和保质标准，有使用有效期的货品，其剩余有效期不得少于标注有效期的75%。</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.2中标人保证所提供的水产品和蔬菜种类的多样性和季节性，以保证新鲜感。</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.3货物有包装的，货物的包装必须完整清洁（无损、无污、无皱），采购人有权拒收包装不整齐、已拆封的货品。</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.4货品质量或包装不符合采购人要求的，中标人需要无条件退货或更换。</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.5中标人提供假冒伪劣、过期、变质货品的，一经发现，除按采购人要求无条件退货或换货外，还将受到如下处罚：</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（1）中标人提供过期、变质货品3次以上或提供假冒伪劣货品的，采购人有权单方终止合同；</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中标人提供配送食品必须符合《中华人民共和国食品安全法》的要求，严格执行各项食品安全检验，如发生食物中毒或其他因配送物品造成人员中毒、伤残、伤亡等事故，经有关部门鉴定后，由责任方全部承担相关民事和法律责任。</w:t>
      </w:r>
      <w:r>
        <w:rPr>
          <w:rFonts w:hint="eastAsia" w:ascii="宋体" w:hAnsi="宋体" w:eastAsia="宋体" w:cs="宋体"/>
          <w:b/>
          <w:bCs/>
          <w:color w:val="auto"/>
          <w:highlight w:val="none"/>
          <w:lang w:val="en-US" w:eastAsia="zh-CN"/>
        </w:rPr>
        <w:t>(投标人须提供承诺</w:t>
      </w:r>
      <w:r>
        <w:rPr>
          <w:rFonts w:hint="eastAsia" w:ascii="宋体" w:hAnsi="宋体" w:cs="宋体"/>
          <w:b/>
          <w:bCs/>
          <w:color w:val="auto"/>
          <w:highlight w:val="none"/>
          <w:lang w:val="en-US" w:eastAsia="zh-CN"/>
        </w:rPr>
        <w:t>函并加盖投标人公章</w:t>
      </w:r>
      <w:r>
        <w:rPr>
          <w:rFonts w:hint="eastAsia" w:ascii="宋体" w:hAnsi="宋体" w:eastAsia="宋体" w:cs="宋体"/>
          <w:b/>
          <w:bCs/>
          <w:color w:val="auto"/>
          <w:highlight w:val="none"/>
          <w:lang w:val="en-US"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配送服务要求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中标人应当根据采购人实际情况，按照与采购人的约定，在规定的时间内将预定的货物如数送到指定地点。除发生客观不可抗力的情况外，中标人不得推迟送货。如确需延迟送货的，中标人应在得知情况的同时告知采购人并征得采购人同意，由于中标人延迟造成采购人利益受损的，采购人有权要求中标人赔偿。</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.2一般每天食堂</w:t>
      </w:r>
      <w:r>
        <w:rPr>
          <w:rFonts w:hint="eastAsia" w:ascii="宋体" w:hAnsi="宋体" w:eastAsia="宋体" w:cs="宋体"/>
          <w:color w:val="auto"/>
          <w:highlight w:val="none"/>
          <w:lang w:val="en-US" w:eastAsia="zh-CN"/>
        </w:rPr>
        <w:t>食材</w:t>
      </w:r>
      <w:r>
        <w:rPr>
          <w:rFonts w:hint="eastAsia" w:ascii="宋体" w:hAnsi="宋体" w:eastAsia="宋体" w:cs="宋体"/>
          <w:color w:val="auto"/>
          <w:highlight w:val="none"/>
        </w:rPr>
        <w:t>送货1次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采购人在前一天确认采购订单。每次订单不论数量多少，中标人都需要按采购人要求配送。对于临时性采购订单，中标人需要积极配合，按照采购人要求按时、按质、按量将货品配送到指定地点。</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.3中标人负责货品配送前的仓储，采购人不提供仓库。</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.4在采购人签收之前，货物的所有权和风险属于中标人，货物发生遗失、损坏由中标人负责。</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中标人需要严格按照采购人的订单配送货品，不得随意增减数量或改变品种。如因市场流通问题确实需要变更供货内容的，中标人应在得知情况的同时书面告知采购人并征得采购人同意后方可变更，否则，采购人有权拒收，由此产生的一切损失和费用由中标人承担。</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中标人不能按核定的供货价交付本项目中的某些货品、不能提供与其承诺相符的服务或中标人存在违反采购文件和合同的行为，并且不予纠正的，将取消其成交资格。此项下违约行为包括但不限于下列各项：</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（1）中标人在收到采购人订货要求后，在承诺的供货时间内不能供货的。</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（2）中标人未能提供承诺的服务的。</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（3）中标人不能在约定时间内提供合法票据进行结算的。</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（4）中标人送货专员在采购人单位活动但不遵守采购人单位各项规章制度或做出有损采购人形象和利益的事情的。</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（5）中标人泄露采购人秘密的。如泄密行为造成采购人损失的，中标人将承担由此产生的一切损失和法律责任。</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7.8 如采购人因特殊需求，需临时增加配送材料，中标人必须在规定时间内送达，对小量常用品的临时需求能做到60分钟内送到。对不合格产品需及时更换且60分钟内送到。</w:t>
      </w:r>
      <w:r>
        <w:rPr>
          <w:rFonts w:hint="eastAsia" w:ascii="宋体" w:hAnsi="宋体" w:eastAsia="宋体" w:cs="宋体"/>
          <w:b/>
          <w:bCs/>
          <w:color w:val="auto"/>
          <w:highlight w:val="none"/>
          <w:lang w:val="en-US" w:eastAsia="zh-CN"/>
        </w:rPr>
        <w:t>(投标人须提供承诺</w:t>
      </w:r>
      <w:r>
        <w:rPr>
          <w:rFonts w:hint="eastAsia" w:ascii="宋体" w:hAnsi="宋体" w:cs="宋体"/>
          <w:b/>
          <w:bCs/>
          <w:color w:val="auto"/>
          <w:highlight w:val="none"/>
          <w:lang w:val="en-US" w:eastAsia="zh-CN"/>
        </w:rPr>
        <w:t>函并加盖投标人公章</w:t>
      </w:r>
      <w:r>
        <w:rPr>
          <w:rFonts w:hint="eastAsia" w:ascii="宋体" w:hAnsi="宋体" w:eastAsia="宋体" w:cs="宋体"/>
          <w:b/>
          <w:bCs/>
          <w:color w:val="auto"/>
          <w:highlight w:val="none"/>
          <w:lang w:val="en-US"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考核标准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对食材配送供应商实行考核制度，考核指标包括食品安全、供货质量、供货数量准确性、供货价格、服务质量等，每月进行一次月考核。中标人在服务期限内须接受采购人的考核。考核具体内容详见附件1。</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8.1</w:t>
      </w:r>
      <w:r>
        <w:rPr>
          <w:rFonts w:hint="eastAsia" w:ascii="宋体" w:hAnsi="宋体" w:eastAsia="宋体" w:cs="宋体"/>
          <w:color w:val="auto"/>
          <w:highlight w:val="none"/>
        </w:rPr>
        <w:t>考核结果分为合格和不合格2个等次：</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（1）考核得分为80分或以上的，考核结果为合格</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（2）考核得分低于80分的，考核结果为不合格。</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如月度考核</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rPr>
        <w:t>考核结果</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rPr>
        <w:t>须对存在问题限时整改。</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rPr>
        <w:t>考核结果</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rPr>
        <w:t>，采购人有权暂停中标人的服务资格，直至中标人整改完毕。</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8.2</w:t>
      </w:r>
      <w:r>
        <w:rPr>
          <w:rFonts w:hint="eastAsia" w:ascii="宋体" w:hAnsi="宋体" w:eastAsia="宋体" w:cs="宋体"/>
          <w:color w:val="auto"/>
          <w:highlight w:val="none"/>
        </w:rPr>
        <w:t>考核结果</w:t>
      </w:r>
      <w:r>
        <w:rPr>
          <w:rFonts w:hint="eastAsia" w:ascii="宋体" w:hAnsi="宋体" w:eastAsia="宋体" w:cs="宋体"/>
          <w:color w:val="auto"/>
          <w:highlight w:val="none"/>
          <w:lang w:val="en-US" w:eastAsia="zh-CN"/>
        </w:rPr>
        <w:t>支付比例</w:t>
      </w:r>
      <w:r>
        <w:rPr>
          <w:rFonts w:hint="eastAsia" w:ascii="宋体" w:hAnsi="宋体" w:eastAsia="宋体" w:cs="宋体"/>
          <w:color w:val="auto"/>
          <w:highlight w:val="none"/>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（1）考核得分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9</w:t>
      </w:r>
      <w:r>
        <w:rPr>
          <w:rFonts w:hint="eastAsia" w:ascii="宋体" w:hAnsi="宋体" w:cs="宋体"/>
          <w:color w:val="auto"/>
          <w:highlight w:val="none"/>
          <w:lang w:val="en-US" w:eastAsia="zh-CN"/>
        </w:rPr>
        <w:t>0</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，支付本月配送费的100%</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rPr>
        <w:t>考核得分</w:t>
      </w: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0</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，支付本月配送费的9</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（3）考核得分</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rPr>
        <w:t>考核得分，支付本月配送费的</w:t>
      </w:r>
      <w:r>
        <w:rPr>
          <w:rFonts w:hint="eastAsia" w:ascii="宋体" w:hAnsi="宋体" w:cs="宋体"/>
          <w:color w:val="auto"/>
          <w:highlight w:val="none"/>
          <w:lang w:val="en-US" w:eastAsia="zh-CN"/>
        </w:rPr>
        <w:t>9</w:t>
      </w:r>
      <w:r>
        <w:rPr>
          <w:rFonts w:hint="eastAsia" w:ascii="宋体" w:hAnsi="宋体" w:eastAsia="宋体" w:cs="宋体"/>
          <w:color w:val="auto"/>
          <w:highlight w:val="none"/>
        </w:rPr>
        <w:t>0%</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考核得分</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分的，</w:t>
      </w:r>
      <w:r>
        <w:rPr>
          <w:rFonts w:hint="eastAsia" w:ascii="宋体" w:hAnsi="宋体" w:eastAsia="宋体" w:cs="宋体"/>
          <w:color w:val="auto"/>
          <w:highlight w:val="none"/>
        </w:rPr>
        <w:t>支付本月配送费的</w:t>
      </w:r>
      <w:r>
        <w:rPr>
          <w:rFonts w:hint="eastAsia" w:ascii="宋体" w:hAnsi="宋体" w:cs="宋体"/>
          <w:color w:val="auto"/>
          <w:highlight w:val="none"/>
          <w:lang w:val="en-US" w:eastAsia="zh-CN"/>
        </w:rPr>
        <w:t>8</w:t>
      </w:r>
      <w:r>
        <w:rPr>
          <w:rFonts w:hint="eastAsia" w:ascii="宋体" w:hAnsi="宋体" w:eastAsia="宋体" w:cs="宋体"/>
          <w:color w:val="auto"/>
          <w:highlight w:val="none"/>
        </w:rPr>
        <w:t>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如出现考核得分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rPr>
        <w:t>两次的，采购人</w:t>
      </w:r>
      <w:r>
        <w:rPr>
          <w:rFonts w:hint="eastAsia" w:ascii="宋体" w:hAnsi="宋体" w:eastAsia="宋体" w:cs="宋体"/>
          <w:color w:val="auto"/>
          <w:highlight w:val="none"/>
          <w:lang w:val="en-US" w:eastAsia="zh-CN"/>
        </w:rPr>
        <w:t>有权</w:t>
      </w:r>
      <w:r>
        <w:rPr>
          <w:rFonts w:hint="eastAsia" w:ascii="宋体" w:hAnsi="宋体" w:eastAsia="宋体" w:cs="宋体"/>
          <w:color w:val="auto"/>
          <w:highlight w:val="none"/>
        </w:rPr>
        <w:t>单方面结束合同并要求赔偿相应损失</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其他类要求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采购人需求供货物资或品种不在上述类别内的，中标人须按采购人要求供货。同时须遵守国家规定的《食品安全法》、《农产品质量安全法》、《食品卫生法》等法律和行政法规的规定，提供的货品须符合国家有关卫生标准，保质、保量、保鲜，严禁配送假冒、变质、过期的货品。不合格的货品，中标人须无条件包退包换。</w:t>
      </w:r>
    </w:p>
    <w:p>
      <w:pPr>
        <w:ind w:firstLine="420" w:firstLineChars="20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11"/>
        <w:spacing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附件1：供应商月评价表</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4921"/>
        <w:gridCol w:w="1395"/>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49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种类</w:t>
            </w:r>
          </w:p>
        </w:tc>
        <w:tc>
          <w:tcPr>
            <w:tcW w:w="58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评价指标</w:t>
            </w:r>
          </w:p>
        </w:tc>
        <w:tc>
          <w:tcPr>
            <w:tcW w:w="49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指标说明</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c>
          <w:tcPr>
            <w:tcW w:w="58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食品安全</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（满分30分）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1.应附未附货品检验检疫证明的，每次扣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2.应用未用冷链配送货品，或运</w:t>
            </w:r>
            <w:r>
              <w:rPr>
                <w:rFonts w:hint="eastAsia" w:ascii="宋体" w:hAnsi="宋体" w:eastAsia="宋体" w:cs="宋体"/>
                <w:color w:val="auto"/>
                <w:szCs w:val="21"/>
                <w:highlight w:val="none"/>
                <w:lang w:val="en-US"/>
              </w:rPr>
              <w:t>输</w:t>
            </w:r>
            <w:r>
              <w:rPr>
                <w:rFonts w:hint="eastAsia" w:ascii="宋体" w:hAnsi="宋体" w:eastAsia="宋体" w:cs="宋体"/>
                <w:color w:val="auto"/>
                <w:szCs w:val="21"/>
                <w:highlight w:val="none"/>
              </w:rPr>
              <w:t>工具不符合卫生要求的，每次扣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3.所供货品包装破损或掺有异物，且有可能对货品造成污染的，每次扣5分。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货品质量</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（满分30分）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1.所供货品</w:t>
            </w:r>
            <w:r>
              <w:rPr>
                <w:rFonts w:hint="eastAsia" w:ascii="宋体" w:hAnsi="宋体" w:eastAsia="宋体" w:cs="宋体"/>
                <w:color w:val="auto"/>
                <w:szCs w:val="21"/>
                <w:highlight w:val="none"/>
                <w:lang w:val="en-US"/>
              </w:rPr>
              <w:t>为</w:t>
            </w:r>
            <w:r>
              <w:rPr>
                <w:rFonts w:hint="eastAsia" w:ascii="宋体" w:hAnsi="宋体" w:eastAsia="宋体" w:cs="宋体"/>
                <w:color w:val="auto"/>
                <w:szCs w:val="21"/>
                <w:highlight w:val="none"/>
              </w:rPr>
              <w:t>不合格食品（食品不新鲜、</w:t>
            </w:r>
            <w:r>
              <w:rPr>
                <w:rFonts w:hint="eastAsia" w:ascii="宋体" w:hAnsi="宋体" w:eastAsia="宋体" w:cs="宋体"/>
                <w:color w:val="auto"/>
                <w:szCs w:val="21"/>
                <w:highlight w:val="none"/>
                <w:lang w:val="en-US"/>
              </w:rPr>
              <w:t>过期或变质</w:t>
            </w:r>
            <w:r>
              <w:rPr>
                <w:rFonts w:hint="eastAsia" w:ascii="宋体" w:hAnsi="宋体" w:eastAsia="宋体" w:cs="宋体"/>
                <w:color w:val="auto"/>
                <w:szCs w:val="21"/>
                <w:highlight w:val="none"/>
              </w:rPr>
              <w:t>并经确认），</w:t>
            </w:r>
            <w:r>
              <w:rPr>
                <w:rFonts w:hint="eastAsia" w:ascii="宋体" w:hAnsi="宋体" w:eastAsia="宋体" w:cs="宋体"/>
                <w:color w:val="auto"/>
                <w:szCs w:val="21"/>
                <w:highlight w:val="none"/>
                <w:lang w:val="en-US"/>
              </w:rPr>
              <w:t>每次扣10分</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.供货品种、规格与订单或送货单不符的，每次扣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货品数量</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（满分20分）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1.供货数量与订单数量相差超过±5%的，每次扣</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2.供货数量与订单数量相差超过±10%的，每次扣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3.供货数量与订单数量相差超过±20%的，每次扣</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4.供货数量与送货单数量不符的，每次扣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货品价格</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（满分10分）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1.不按要求报价，或报价后无货可供的，每次扣5分。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2.送货单价格与当期定价不符的，每次扣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服务质量</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（满分10分）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1.服务态度差，每次扣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2.未按时送货，</w:t>
            </w:r>
            <w:r>
              <w:rPr>
                <w:rFonts w:hint="eastAsia" w:ascii="宋体" w:hAnsi="宋体" w:eastAsia="宋体" w:cs="宋体"/>
                <w:color w:val="auto"/>
                <w:szCs w:val="21"/>
                <w:highlight w:val="none"/>
                <w:lang w:val="en-US"/>
              </w:rPr>
              <w:t>误差在30分钟内</w:t>
            </w:r>
            <w:r>
              <w:rPr>
                <w:rFonts w:hint="eastAsia" w:ascii="宋体" w:hAnsi="宋体" w:eastAsia="宋体" w:cs="宋体"/>
                <w:color w:val="auto"/>
                <w:szCs w:val="21"/>
                <w:highlight w:val="none"/>
              </w:rPr>
              <w:t>的，每迟送一次扣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3.未按时送货，</w:t>
            </w:r>
            <w:r>
              <w:rPr>
                <w:rFonts w:hint="eastAsia" w:ascii="宋体" w:hAnsi="宋体" w:eastAsia="宋体" w:cs="宋体"/>
                <w:color w:val="auto"/>
                <w:szCs w:val="21"/>
                <w:highlight w:val="none"/>
                <w:lang w:val="en-US"/>
              </w:rPr>
              <w:t>误差在60分钟</w:t>
            </w:r>
            <w:r>
              <w:rPr>
                <w:rFonts w:hint="eastAsia" w:ascii="宋体" w:hAnsi="宋体" w:eastAsia="宋体" w:cs="宋体"/>
                <w:color w:val="auto"/>
                <w:szCs w:val="21"/>
                <w:highlight w:val="none"/>
              </w:rPr>
              <w:t>的，每迟送一次扣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是否存在以下行为</w:t>
            </w:r>
          </w:p>
        </w:tc>
        <w:tc>
          <w:tcPr>
            <w:tcW w:w="49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1.供应假冒伪劣产品。</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2.逾期未整改到位。</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1.口是 口否</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2.口是 口否</w:t>
            </w: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62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综合评价</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综合得分</w:t>
            </w: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162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6899" w:type="dxa"/>
            <w:gridSpan w:val="3"/>
            <w:noWrap w:val="0"/>
            <w:vAlign w:val="top"/>
          </w:tcPr>
          <w:p>
            <w:pPr>
              <w:pStyle w:val="11"/>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采购管理人：</w:t>
            </w:r>
          </w:p>
          <w:p>
            <w:pPr>
              <w:pStyle w:val="11"/>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bl>
    <w:p>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br w:type="page"/>
      </w:r>
    </w:p>
    <w:p>
      <w:pPr>
        <w:pStyle w:val="11"/>
        <w:spacing w:line="24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附件2：供应商年度履约评价</w:t>
      </w:r>
    </w:p>
    <w:p>
      <w:pPr>
        <w:spacing w:line="0" w:lineRule="atLeast"/>
        <w:ind w:left="-540" w:leftChars="-257" w:right="-439" w:rightChars="-209"/>
        <w:jc w:val="center"/>
        <w:rPr>
          <w:rFonts w:hint="eastAsia" w:ascii="黑体" w:eastAsia="黑体"/>
          <w:b/>
          <w:color w:val="auto"/>
          <w:sz w:val="32"/>
          <w:szCs w:val="32"/>
          <w:lang w:val="en-US" w:eastAsia="zh-CN"/>
        </w:rPr>
      </w:pPr>
    </w:p>
    <w:p>
      <w:pPr>
        <w:spacing w:line="0" w:lineRule="atLeast"/>
        <w:ind w:left="-540" w:leftChars="-257" w:right="-439" w:rightChars="-209"/>
        <w:jc w:val="center"/>
        <w:rPr>
          <w:rFonts w:hint="eastAsia" w:ascii="黑体" w:eastAsia="黑体"/>
          <w:b w:val="0"/>
          <w:bCs/>
          <w:color w:val="auto"/>
          <w:sz w:val="32"/>
          <w:szCs w:val="32"/>
        </w:rPr>
      </w:pPr>
      <w:r>
        <w:rPr>
          <w:rFonts w:hint="eastAsia" w:ascii="黑体" w:eastAsia="黑体"/>
          <w:b w:val="0"/>
          <w:bCs/>
          <w:color w:val="auto"/>
          <w:sz w:val="32"/>
          <w:szCs w:val="32"/>
          <w:lang w:val="en-US" w:eastAsia="zh-CN"/>
        </w:rPr>
        <w:t>合作</w:t>
      </w:r>
      <w:r>
        <w:rPr>
          <w:rFonts w:hint="eastAsia" w:ascii="黑体" w:eastAsia="黑体"/>
          <w:b w:val="0"/>
          <w:bCs/>
          <w:color w:val="auto"/>
          <w:sz w:val="32"/>
          <w:szCs w:val="32"/>
        </w:rPr>
        <w:t>供应商履约</w:t>
      </w:r>
      <w:r>
        <w:rPr>
          <w:rFonts w:hint="eastAsia" w:ascii="黑体" w:eastAsia="黑体"/>
          <w:b w:val="0"/>
          <w:bCs/>
          <w:color w:val="auto"/>
          <w:sz w:val="32"/>
          <w:szCs w:val="32"/>
          <w:lang w:val="en-US" w:eastAsia="zh-CN"/>
        </w:rPr>
        <w:t>评分细则</w:t>
      </w:r>
    </w:p>
    <w:p>
      <w:pPr>
        <w:spacing w:before="120" w:beforeLines="50" w:after="120" w:afterLines="50" w:line="0" w:lineRule="atLeast"/>
        <w:ind w:right="-178" w:rightChars="-85" w:firstLine="102" w:firstLineChars="49"/>
        <w:rPr>
          <w:rFonts w:hint="eastAsia"/>
          <w:b w:val="0"/>
          <w:bCs/>
          <w:color w:val="auto"/>
          <w:szCs w:val="21"/>
        </w:rPr>
      </w:pPr>
      <w:r>
        <w:rPr>
          <w:rFonts w:hint="eastAsia"/>
          <w:b w:val="0"/>
          <w:bCs/>
          <w:color w:val="auto"/>
          <w:szCs w:val="21"/>
        </w:rPr>
        <w:t xml:space="preserve">供应商名称：                        </w:t>
      </w:r>
      <w:r>
        <w:rPr>
          <w:b w:val="0"/>
          <w:bCs/>
          <w:color w:val="auto"/>
          <w:szCs w:val="21"/>
        </w:rPr>
        <w:t xml:space="preserve">                        </w:t>
      </w:r>
      <w:r>
        <w:rPr>
          <w:rFonts w:hint="eastAsia"/>
          <w:b w:val="0"/>
          <w:bCs/>
          <w:color w:val="auto"/>
          <w:szCs w:val="21"/>
        </w:rPr>
        <w:t xml:space="preserve">   </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75"/>
        <w:gridCol w:w="2148"/>
        <w:gridCol w:w="942"/>
        <w:gridCol w:w="328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序号</w:t>
            </w:r>
          </w:p>
        </w:tc>
        <w:tc>
          <w:tcPr>
            <w:tcW w:w="2823" w:type="dxa"/>
            <w:gridSpan w:val="2"/>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考评项目</w:t>
            </w:r>
          </w:p>
        </w:tc>
        <w:tc>
          <w:tcPr>
            <w:tcW w:w="942"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标准分</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实际情况</w:t>
            </w: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1</w:t>
            </w:r>
          </w:p>
        </w:tc>
        <w:tc>
          <w:tcPr>
            <w:tcW w:w="2823" w:type="dxa"/>
            <w:gridSpan w:val="2"/>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货物质量</w:t>
            </w:r>
          </w:p>
        </w:tc>
        <w:tc>
          <w:tcPr>
            <w:tcW w:w="942" w:type="dxa"/>
            <w:noWrap w:val="0"/>
            <w:vAlign w:val="center"/>
          </w:tcPr>
          <w:p>
            <w:pPr>
              <w:widowControl/>
              <w:spacing w:line="24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40</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2</w:t>
            </w:r>
          </w:p>
        </w:tc>
        <w:tc>
          <w:tcPr>
            <w:tcW w:w="2823" w:type="dxa"/>
            <w:gridSpan w:val="2"/>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供货能力</w:t>
            </w:r>
          </w:p>
        </w:tc>
        <w:tc>
          <w:tcPr>
            <w:tcW w:w="942" w:type="dxa"/>
            <w:noWrap w:val="0"/>
            <w:vAlign w:val="center"/>
          </w:tcPr>
          <w:p>
            <w:pPr>
              <w:widowControl/>
              <w:spacing w:line="24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rPr>
              <w:t>2</w:t>
            </w:r>
            <w:r>
              <w:rPr>
                <w:rFonts w:hint="eastAsia" w:ascii="宋体" w:hAnsi="宋体" w:eastAsia="宋体" w:cs="宋体"/>
                <w:b w:val="0"/>
                <w:bCs/>
                <w:color w:val="auto"/>
                <w:szCs w:val="21"/>
                <w:lang w:val="en-US" w:eastAsia="zh-CN"/>
              </w:rPr>
              <w:t>5</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3</w:t>
            </w:r>
          </w:p>
        </w:tc>
        <w:tc>
          <w:tcPr>
            <w:tcW w:w="2823" w:type="dxa"/>
            <w:gridSpan w:val="2"/>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送货及时性</w:t>
            </w:r>
          </w:p>
        </w:tc>
        <w:tc>
          <w:tcPr>
            <w:tcW w:w="942" w:type="dxa"/>
            <w:noWrap w:val="0"/>
            <w:vAlign w:val="center"/>
          </w:tcPr>
          <w:p>
            <w:pPr>
              <w:spacing w:line="240" w:lineRule="auto"/>
              <w:jc w:val="center"/>
              <w:rPr>
                <w:rFonts w:hint="eastAsia" w:ascii="宋体" w:hAnsi="宋体" w:eastAsia="宋体" w:cs="宋体"/>
                <w:b w:val="0"/>
                <w:bCs/>
                <w:color w:val="auto"/>
                <w:szCs w:val="21"/>
                <w:lang w:val="en-US"/>
              </w:rPr>
            </w:pPr>
            <w:r>
              <w:rPr>
                <w:rFonts w:hint="eastAsia" w:ascii="宋体" w:hAnsi="宋体" w:eastAsia="宋体" w:cs="宋体"/>
                <w:b w:val="0"/>
                <w:bCs/>
                <w:color w:val="auto"/>
                <w:szCs w:val="21"/>
                <w:lang w:val="en-US" w:eastAsia="zh-CN"/>
              </w:rPr>
              <w:t>25</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4</w:t>
            </w:r>
          </w:p>
        </w:tc>
        <w:tc>
          <w:tcPr>
            <w:tcW w:w="2823" w:type="dxa"/>
            <w:gridSpan w:val="2"/>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服务态度</w:t>
            </w:r>
          </w:p>
        </w:tc>
        <w:tc>
          <w:tcPr>
            <w:tcW w:w="942" w:type="dxa"/>
            <w:noWrap w:val="0"/>
            <w:vAlign w:val="center"/>
          </w:tcPr>
          <w:p>
            <w:pPr>
              <w:widowControl/>
              <w:spacing w:line="24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10</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411" w:type="dxa"/>
            <w:gridSpan w:val="3"/>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合计</w:t>
            </w:r>
          </w:p>
        </w:tc>
        <w:tc>
          <w:tcPr>
            <w:tcW w:w="942"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100</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noWrap w:val="0"/>
            <w:vAlign w:val="center"/>
          </w:tcPr>
          <w:p>
            <w:pPr>
              <w:spacing w:line="240" w:lineRule="auto"/>
              <w:jc w:val="left"/>
              <w:rPr>
                <w:rFonts w:hint="eastAsia" w:ascii="宋体" w:hAnsi="宋体" w:eastAsia="宋体" w:cs="宋体"/>
                <w:b w:val="0"/>
                <w:bCs/>
                <w:color w:val="auto"/>
                <w:szCs w:val="21"/>
              </w:rPr>
            </w:pPr>
            <w:r>
              <w:rPr>
                <w:rFonts w:hint="eastAsia" w:ascii="宋体" w:hAnsi="宋体" w:eastAsia="宋体" w:cs="宋体"/>
                <w:b w:val="0"/>
                <w:bCs/>
                <w:color w:val="auto"/>
                <w:szCs w:val="21"/>
              </w:rPr>
              <w:t>说明：90-100分为优，80-</w:t>
            </w:r>
            <w:r>
              <w:rPr>
                <w:rFonts w:hint="eastAsia" w:ascii="宋体" w:hAnsi="宋体" w:eastAsia="宋体" w:cs="宋体"/>
                <w:b w:val="0"/>
                <w:bCs/>
                <w:color w:val="auto"/>
                <w:szCs w:val="21"/>
                <w:lang w:val="en-US" w:eastAsia="zh-CN"/>
              </w:rPr>
              <w:t>89</w:t>
            </w:r>
            <w:r>
              <w:rPr>
                <w:rFonts w:hint="eastAsia" w:ascii="宋体" w:hAnsi="宋体" w:eastAsia="宋体" w:cs="宋体"/>
                <w:b w:val="0"/>
                <w:bCs/>
                <w:color w:val="auto"/>
                <w:szCs w:val="21"/>
              </w:rPr>
              <w:t>分为合格，80分以下为不合格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88" w:type="dxa"/>
            <w:noWrap w:val="0"/>
            <w:vAlign w:val="top"/>
          </w:tcPr>
          <w:p>
            <w:pPr>
              <w:widowControl/>
              <w:spacing w:line="240" w:lineRule="auto"/>
              <w:rPr>
                <w:rFonts w:hint="eastAsia" w:ascii="宋体" w:hAnsi="宋体" w:eastAsia="宋体" w:cs="宋体"/>
                <w:b w:val="0"/>
                <w:bCs/>
                <w:color w:val="auto"/>
                <w:szCs w:val="21"/>
              </w:rPr>
            </w:pPr>
          </w:p>
          <w:p>
            <w:pPr>
              <w:widowControl/>
              <w:spacing w:line="240" w:lineRule="auto"/>
              <w:jc w:val="center"/>
              <w:rPr>
                <w:rFonts w:hint="eastAsia" w:ascii="宋体" w:hAnsi="宋体" w:eastAsia="宋体" w:cs="宋体"/>
                <w:b w:val="0"/>
                <w:bCs/>
                <w:color w:val="auto"/>
                <w:szCs w:val="21"/>
              </w:rPr>
            </w:pPr>
          </w:p>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综合评价结论</w:t>
            </w:r>
          </w:p>
        </w:tc>
        <w:tc>
          <w:tcPr>
            <w:tcW w:w="7934" w:type="dxa"/>
            <w:gridSpan w:val="5"/>
            <w:noWrap w:val="0"/>
            <w:vAlign w:val="top"/>
          </w:tcPr>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pStyle w:val="2"/>
              <w:rPr>
                <w:rFonts w:hint="eastAsia" w:ascii="宋体" w:hAnsi="宋体" w:eastAsia="宋体" w:cs="宋体"/>
                <w:b w:val="0"/>
                <w:bCs/>
                <w:color w:val="auto"/>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r>
              <w:rPr>
                <w:rFonts w:hint="eastAsia" w:ascii="宋体" w:hAnsi="宋体" w:eastAsia="宋体" w:cs="宋体"/>
                <w:b w:val="0"/>
                <w:bCs/>
                <w:color w:val="auto"/>
                <w:szCs w:val="21"/>
              </w:rPr>
              <w:t>评价人：</w:t>
            </w:r>
          </w:p>
          <w:p>
            <w:pPr>
              <w:widowControl/>
              <w:spacing w:line="240" w:lineRule="auto"/>
              <w:ind w:firstLine="1680" w:firstLineChars="800"/>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r>
              <w:rPr>
                <w:rFonts w:hint="eastAsia" w:ascii="宋体" w:hAnsi="宋体" w:eastAsia="宋体" w:cs="宋体"/>
                <w:b w:val="0"/>
                <w:bCs/>
                <w:color w:val="auto"/>
                <w:szCs w:val="21"/>
              </w:rPr>
              <w:t xml:space="preserve">需求部门：         </w:t>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 xml:space="preserve">需求部门负责人：     </w:t>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522" w:type="dxa"/>
            <w:gridSpan w:val="6"/>
            <w:noWrap w:val="0"/>
            <w:vAlign w:val="center"/>
          </w:tcPr>
          <w:p>
            <w:pPr>
              <w:spacing w:before="120" w:beforeLines="50" w:line="240" w:lineRule="auto"/>
              <w:ind w:right="-359" w:rightChars="-171"/>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取分标准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货物质量</w:t>
            </w:r>
          </w:p>
        </w:tc>
        <w:tc>
          <w:tcPr>
            <w:tcW w:w="7259" w:type="dxa"/>
            <w:gridSpan w:val="4"/>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1、提供公司货物质量品质达到公司要求，未出现退货情况，得40分。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2、出现退货情况，每退换一次扣5分。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供货能力</w:t>
            </w:r>
          </w:p>
        </w:tc>
        <w:tc>
          <w:tcPr>
            <w:tcW w:w="7259"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每次均能按公司提出的要求，提供</w:t>
            </w:r>
            <w:r>
              <w:rPr>
                <w:rFonts w:hint="eastAsia" w:ascii="宋体" w:hAnsi="宋体" w:eastAsia="宋体" w:cs="宋体"/>
                <w:b w:val="0"/>
                <w:bCs/>
                <w:color w:val="auto"/>
                <w:szCs w:val="21"/>
                <w:highlight w:val="none"/>
                <w:lang w:val="en-US" w:eastAsia="zh-CN"/>
              </w:rPr>
              <w:t>合格的货物。得25分。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未能按公司的要求提供</w:t>
            </w:r>
            <w:r>
              <w:rPr>
                <w:rFonts w:hint="eastAsia" w:ascii="宋体" w:hAnsi="宋体" w:eastAsia="宋体" w:cs="宋体"/>
                <w:b w:val="0"/>
                <w:bCs/>
                <w:color w:val="auto"/>
                <w:szCs w:val="21"/>
                <w:highlight w:val="none"/>
                <w:lang w:val="en-US" w:eastAsia="zh-CN"/>
              </w:rPr>
              <w:t>合格的</w:t>
            </w:r>
            <w:r>
              <w:rPr>
                <w:rFonts w:hint="eastAsia" w:ascii="宋体" w:hAnsi="宋体" w:eastAsia="宋体" w:cs="宋体"/>
                <w:b w:val="0"/>
                <w:bCs/>
                <w:color w:val="auto"/>
                <w:szCs w:val="21"/>
                <w:highlight w:val="none"/>
              </w:rPr>
              <w:t>货物，每次扣5分</w:t>
            </w:r>
            <w:r>
              <w:rPr>
                <w:rFonts w:hint="eastAsia" w:ascii="宋体" w:hAnsi="宋体" w:eastAsia="宋体" w:cs="宋体"/>
                <w:b w:val="0"/>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送货</w:t>
            </w:r>
            <w:r>
              <w:rPr>
                <w:rFonts w:hint="eastAsia" w:ascii="宋体" w:hAnsi="宋体" w:eastAsia="宋体" w:cs="宋体"/>
                <w:b w:val="0"/>
                <w:bCs/>
                <w:color w:val="auto"/>
                <w:szCs w:val="21"/>
                <w:highlight w:val="none"/>
              </w:rPr>
              <w:t>及时</w:t>
            </w:r>
            <w:r>
              <w:rPr>
                <w:rFonts w:hint="eastAsia" w:ascii="宋体" w:hAnsi="宋体" w:eastAsia="宋体" w:cs="宋体"/>
                <w:b w:val="0"/>
                <w:bCs/>
                <w:color w:val="auto"/>
                <w:szCs w:val="21"/>
                <w:highlight w:val="none"/>
                <w:lang w:val="en-US" w:eastAsia="zh-CN"/>
              </w:rPr>
              <w:t>性</w:t>
            </w:r>
          </w:p>
        </w:tc>
        <w:tc>
          <w:tcPr>
            <w:tcW w:w="7259"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1、每次均能按公司提出的节点要求，提供相应的货物，</w:t>
            </w:r>
            <w:r>
              <w:rPr>
                <w:rFonts w:hint="eastAsia" w:ascii="宋体" w:hAnsi="宋体" w:eastAsia="宋体" w:cs="宋体"/>
                <w:b w:val="0"/>
                <w:bCs/>
                <w:color w:val="auto"/>
                <w:szCs w:val="21"/>
                <w:highlight w:val="none"/>
                <w:lang w:val="en-US" w:eastAsia="zh-CN"/>
              </w:rPr>
              <w:t>送货及时，</w:t>
            </w:r>
            <w:r>
              <w:rPr>
                <w:rFonts w:hint="eastAsia" w:ascii="宋体" w:hAnsi="宋体" w:eastAsia="宋体" w:cs="宋体"/>
                <w:b w:val="0"/>
                <w:bCs/>
                <w:color w:val="auto"/>
                <w:szCs w:val="21"/>
                <w:highlight w:val="none"/>
              </w:rPr>
              <w:t>得25分</w:t>
            </w:r>
            <w:r>
              <w:rPr>
                <w:rFonts w:hint="eastAsia" w:ascii="宋体" w:hAnsi="宋体" w:eastAsia="宋体" w:cs="宋体"/>
                <w:b w:val="0"/>
                <w:bCs/>
                <w:color w:val="auto"/>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2、未能按公司提出的节点要求提供相应货物的，每次扣5分</w:t>
            </w:r>
            <w:r>
              <w:rPr>
                <w:rFonts w:hint="eastAsia" w:ascii="宋体" w:hAnsi="宋体" w:eastAsia="宋体" w:cs="宋体"/>
                <w:b w:val="0"/>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服务</w:t>
            </w:r>
            <w:r>
              <w:rPr>
                <w:rFonts w:hint="eastAsia" w:ascii="宋体" w:hAnsi="宋体" w:eastAsia="宋体" w:cs="宋体"/>
                <w:b w:val="0"/>
                <w:bCs/>
                <w:color w:val="auto"/>
                <w:szCs w:val="21"/>
                <w:highlight w:val="none"/>
                <w:lang w:val="en-US" w:eastAsia="zh-CN"/>
              </w:rPr>
              <w:t>态度</w:t>
            </w:r>
          </w:p>
        </w:tc>
        <w:tc>
          <w:tcPr>
            <w:tcW w:w="7259"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服务态度良好，针对</w:t>
            </w:r>
            <w:r>
              <w:rPr>
                <w:rFonts w:hint="eastAsia" w:ascii="宋体" w:hAnsi="宋体" w:eastAsia="宋体" w:cs="宋体"/>
                <w:b w:val="0"/>
                <w:bCs/>
                <w:color w:val="auto"/>
                <w:szCs w:val="21"/>
                <w:highlight w:val="none"/>
              </w:rPr>
              <w:t>合同约定</w:t>
            </w:r>
            <w:r>
              <w:rPr>
                <w:rFonts w:hint="eastAsia" w:ascii="宋体" w:hAnsi="宋体" w:eastAsia="宋体" w:cs="宋体"/>
                <w:b w:val="0"/>
                <w:bCs/>
                <w:color w:val="auto"/>
                <w:szCs w:val="21"/>
                <w:highlight w:val="none"/>
                <w:lang w:val="en-US" w:eastAsia="zh-CN"/>
              </w:rPr>
              <w:t>的条款</w:t>
            </w:r>
            <w:r>
              <w:rPr>
                <w:rFonts w:hint="eastAsia" w:ascii="宋体" w:hAnsi="宋体" w:eastAsia="宋体" w:cs="宋体"/>
                <w:b w:val="0"/>
                <w:bCs/>
                <w:color w:val="auto"/>
                <w:szCs w:val="21"/>
                <w:highlight w:val="none"/>
              </w:rPr>
              <w:t>内容，均能保质保量提供，得</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分</w:t>
            </w:r>
            <w:r>
              <w:rPr>
                <w:rFonts w:hint="eastAsia" w:ascii="宋体" w:hAnsi="宋体" w:eastAsia="宋体" w:cs="宋体"/>
                <w:b w:val="0"/>
                <w:bCs/>
                <w:color w:val="auto"/>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2、未能配合公司的要求、资料造假、无理抬价、售后服务不及时等问题的，每次扣5分</w:t>
            </w:r>
            <w:r>
              <w:rPr>
                <w:rFonts w:hint="eastAsia" w:ascii="宋体" w:hAnsi="宋体" w:eastAsia="宋体" w:cs="宋体"/>
                <w:b w:val="0"/>
                <w:bCs/>
                <w:color w:val="auto"/>
                <w:szCs w:val="21"/>
                <w:highlight w:val="none"/>
                <w:lang w:eastAsia="zh-CN"/>
              </w:rPr>
              <w:t>。</w:t>
            </w:r>
          </w:p>
        </w:tc>
      </w:tr>
    </w:tbl>
    <w:p>
      <w:pPr>
        <w:ind w:firstLine="420" w:firstLineChars="200"/>
        <w:rPr>
          <w:rFonts w:hint="eastAsia" w:ascii="宋体" w:hAnsi="宋体" w:eastAsia="宋体" w:cs="宋体"/>
          <w:color w:val="auto"/>
          <w:szCs w:val="21"/>
          <w:highlight w:val="none"/>
        </w:rPr>
      </w:pPr>
    </w:p>
    <w:bookmarkEnd w:id="10"/>
    <w:bookmarkEnd w:id="11"/>
    <w:bookmarkEnd w:id="12"/>
    <w:bookmarkEnd w:id="13"/>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
        <w:spacing w:before="0" w:after="0" w:line="240" w:lineRule="auto"/>
        <w:rPr>
          <w:rFonts w:hint="eastAsia" w:ascii="宋体" w:hAnsi="宋体" w:eastAsia="宋体" w:cs="宋体"/>
          <w:color w:val="auto"/>
          <w:sz w:val="24"/>
          <w:szCs w:val="24"/>
          <w:highlight w:val="none"/>
        </w:rPr>
      </w:pPr>
      <w:bookmarkStart w:id="16" w:name="_Toc4311"/>
      <w:r>
        <w:rPr>
          <w:rFonts w:hint="eastAsia" w:ascii="宋体" w:hAnsi="宋体" w:eastAsia="宋体" w:cs="宋体"/>
          <w:color w:val="auto"/>
          <w:sz w:val="28"/>
          <w:szCs w:val="28"/>
          <w:highlight w:val="none"/>
        </w:rPr>
        <w:t>第四部分投标人须知</w:t>
      </w:r>
      <w:bookmarkEnd w:id="16"/>
    </w:p>
    <w:p>
      <w:pPr>
        <w:pStyle w:val="5"/>
        <w:numPr>
          <w:ilvl w:val="0"/>
          <w:numId w:val="1"/>
        </w:numPr>
        <w:spacing w:before="0" w:after="0" w:line="480" w:lineRule="auto"/>
        <w:jc w:val="center"/>
        <w:rPr>
          <w:rFonts w:hint="eastAsia" w:ascii="宋体" w:hAnsi="宋体" w:eastAsia="宋体" w:cs="宋体"/>
          <w:color w:val="auto"/>
          <w:highlight w:val="none"/>
        </w:rPr>
      </w:pPr>
      <w:bookmarkStart w:id="17" w:name="_Toc4670"/>
      <w:r>
        <w:rPr>
          <w:rFonts w:hint="eastAsia" w:ascii="宋体" w:hAnsi="宋体" w:eastAsia="宋体" w:cs="宋体"/>
          <w:color w:val="auto"/>
          <w:highlight w:val="none"/>
        </w:rPr>
        <w:t>说明</w:t>
      </w:r>
      <w:bookmarkEnd w:id="17"/>
    </w:p>
    <w:p>
      <w:pPr>
        <w:pStyle w:val="2"/>
        <w:widowControl w:val="0"/>
        <w:numPr>
          <w:ilvl w:val="0"/>
          <w:numId w:val="2"/>
        </w:numPr>
        <w:overflowPunct w:val="0"/>
        <w:rPr>
          <w:rFonts w:hint="eastAsia" w:ascii="宋体" w:hAnsi="宋体" w:eastAsia="宋体" w:cs="宋体"/>
          <w:color w:val="auto"/>
          <w:sz w:val="21"/>
          <w:szCs w:val="21"/>
          <w:highlight w:val="none"/>
        </w:rPr>
      </w:pPr>
      <w:bookmarkStart w:id="18" w:name="_Toc24689"/>
      <w:bookmarkStart w:id="19" w:name="_Toc3534"/>
      <w:r>
        <w:rPr>
          <w:rFonts w:hint="eastAsia" w:ascii="宋体" w:hAnsi="宋体" w:eastAsia="宋体" w:cs="宋体"/>
          <w:color w:val="auto"/>
          <w:sz w:val="21"/>
          <w:szCs w:val="21"/>
          <w:highlight w:val="none"/>
        </w:rPr>
        <w:t>适用范围</w:t>
      </w:r>
      <w:bookmarkEnd w:id="18"/>
      <w:bookmarkEnd w:id="19"/>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采购范围：见本文件《用户需求书》</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20" w:name="_Toc3852"/>
      <w:bookmarkStart w:id="21" w:name="_Toc382049092"/>
      <w:bookmarkStart w:id="22" w:name="_Toc20286"/>
      <w:bookmarkStart w:id="23" w:name="_Toc298847174"/>
      <w:bookmarkStart w:id="24" w:name="_Toc1530"/>
      <w:bookmarkStart w:id="25" w:name="_Toc303084246"/>
      <w:r>
        <w:rPr>
          <w:rFonts w:hint="eastAsia" w:ascii="宋体" w:hAnsi="宋体" w:eastAsia="宋体" w:cs="宋体"/>
          <w:color w:val="auto"/>
          <w:sz w:val="21"/>
          <w:szCs w:val="21"/>
          <w:highlight w:val="none"/>
        </w:rPr>
        <w:t>定义</w:t>
      </w:r>
      <w:bookmarkEnd w:id="20"/>
      <w:bookmarkEnd w:id="21"/>
      <w:bookmarkEnd w:id="22"/>
      <w:bookmarkEnd w:id="23"/>
      <w:bookmarkEnd w:id="24"/>
      <w:bookmarkEnd w:id="25"/>
    </w:p>
    <w:p>
      <w:pPr>
        <w:pStyle w:val="42"/>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采购人：见投标邀请书。</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投标人：响应采购并且符合采购文件规定资格条件和参加投标竞争的法人、其他组织或者自然人。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中标人：指经评标委员会评审推荐、采购人确认的获得本项目中标资格的投标人。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采购代理机构：见投标邀请书。</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评标委员会：评标委员会是依据相关规定组建的专门负责本次采购其评标工作的临时性机构。</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合同：指由本次采购所产生的合同或合约文件。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时间：本文件规定按日计算期间的，开始当天不计入，从次日开始计算。期限的最后一日是国家法定节假日的，顺延到节假日后的次日为期限的最后一日。</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26" w:name="_Toc11624"/>
      <w:bookmarkStart w:id="27" w:name="_Toc18000"/>
      <w:r>
        <w:rPr>
          <w:rFonts w:hint="eastAsia" w:ascii="宋体" w:hAnsi="宋体" w:eastAsia="宋体" w:cs="宋体"/>
          <w:color w:val="auto"/>
          <w:sz w:val="21"/>
          <w:szCs w:val="21"/>
          <w:highlight w:val="none"/>
        </w:rPr>
        <w:t>货物和服务</w:t>
      </w:r>
      <w:bookmarkEnd w:id="26"/>
      <w:bookmarkEnd w:id="27"/>
    </w:p>
    <w:p>
      <w:pPr>
        <w:pStyle w:val="42"/>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货物是指各种形态和种类的物品，包括原材料、燃料、设备、产品等。</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服务是指除货物和工程以外的其他采购对象。</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28" w:name="_Toc27448"/>
      <w:bookmarkStart w:id="29" w:name="_Toc15719"/>
      <w:r>
        <w:rPr>
          <w:rFonts w:hint="eastAsia" w:ascii="宋体" w:hAnsi="宋体" w:eastAsia="宋体" w:cs="宋体"/>
          <w:color w:val="auto"/>
          <w:sz w:val="21"/>
          <w:szCs w:val="21"/>
          <w:highlight w:val="none"/>
        </w:rPr>
        <w:t>投标费用</w:t>
      </w:r>
      <w:bookmarkEnd w:id="28"/>
      <w:bookmarkEnd w:id="29"/>
    </w:p>
    <w:p>
      <w:pPr>
        <w:pStyle w:val="42"/>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jc w:val="both"/>
        <w:rPr>
          <w:rFonts w:hint="eastAsia" w:ascii="宋体" w:hAnsi="宋体" w:eastAsia="宋体" w:cs="宋体"/>
          <w:color w:val="auto"/>
          <w:szCs w:val="21"/>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30" w:name="_Toc8341"/>
      <w:bookmarkStart w:id="31" w:name="_Toc6180"/>
      <w:r>
        <w:rPr>
          <w:rFonts w:hint="eastAsia" w:ascii="宋体" w:hAnsi="宋体" w:eastAsia="宋体" w:cs="宋体"/>
          <w:color w:val="auto"/>
          <w:sz w:val="21"/>
          <w:szCs w:val="21"/>
          <w:highlight w:val="none"/>
        </w:rPr>
        <w:t>知识产权</w:t>
      </w:r>
      <w:bookmarkEnd w:id="30"/>
      <w:bookmarkEnd w:id="31"/>
    </w:p>
    <w:p>
      <w:pPr>
        <w:pStyle w:val="42"/>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采购人享有本项目实施过程中产生的知识成果及知识产权。</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采购货物为计算机办公设备时，投标人提供的产品必须是预装正版操作系统软件的计算机产品。</w:t>
      </w:r>
    </w:p>
    <w:p>
      <w:pPr>
        <w:widowControl w:val="0"/>
        <w:adjustRightInd/>
        <w:snapToGrid/>
        <w:ind w:left="567"/>
        <w:jc w:val="both"/>
        <w:rPr>
          <w:rFonts w:hint="eastAsia" w:ascii="宋体" w:hAnsi="宋体" w:eastAsia="宋体" w:cs="宋体"/>
          <w:color w:val="auto"/>
          <w:szCs w:val="21"/>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32" w:name="_Toc2352"/>
      <w:bookmarkStart w:id="33" w:name="_Toc18349"/>
      <w:r>
        <w:rPr>
          <w:rFonts w:hint="eastAsia" w:ascii="宋体" w:hAnsi="宋体" w:eastAsia="宋体" w:cs="宋体"/>
          <w:color w:val="auto"/>
          <w:sz w:val="21"/>
          <w:szCs w:val="21"/>
          <w:highlight w:val="none"/>
        </w:rPr>
        <w:t>关于联合体投标</w:t>
      </w:r>
      <w:bookmarkEnd w:id="32"/>
      <w:bookmarkEnd w:id="33"/>
    </w:p>
    <w:p>
      <w:pPr>
        <w:pStyle w:val="42"/>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对接受联合体投标的项目：两个以上的自然人、法人或者其他组织可以组成一个联合体，以一个投标人的身份共同参加采购活动。</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以联合体形式参与项目的供应商在领购采购文件时，应提供所有联合体组成成员的营业执照复印件，并加盖各联合体组成成员的公章。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联合体各方均应具有独立承担民事责任能力的法人或其他组织。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供应商为联合体的，可以由联合体中的任意一方交纳保证金，其交纳的保证金对联合体各方均具有约束力。</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ind w:left="567"/>
        <w:jc w:val="both"/>
        <w:rPr>
          <w:rFonts w:hint="eastAsia" w:ascii="宋体" w:hAnsi="宋体" w:eastAsia="宋体" w:cs="宋体"/>
          <w:color w:val="auto"/>
          <w:szCs w:val="21"/>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34" w:name="_Toc8845"/>
      <w:bookmarkStart w:id="35" w:name="_Toc3572"/>
      <w:r>
        <w:rPr>
          <w:rFonts w:hint="eastAsia" w:ascii="宋体" w:hAnsi="宋体" w:eastAsia="宋体" w:cs="宋体"/>
          <w:color w:val="auto"/>
          <w:sz w:val="21"/>
          <w:szCs w:val="21"/>
          <w:highlight w:val="none"/>
        </w:rPr>
        <w:t>关于分支机构投标</w:t>
      </w:r>
      <w:bookmarkEnd w:id="34"/>
      <w:bookmarkEnd w:id="35"/>
    </w:p>
    <w:p>
      <w:pPr>
        <w:pStyle w:val="42"/>
        <w:widowControl w:val="0"/>
        <w:adjustRightInd/>
        <w:snapToGrid/>
        <w:ind w:left="425" w:hanging="425" w:firstLineChars="0"/>
        <w:jc w:val="both"/>
        <w:rPr>
          <w:rFonts w:hint="eastAsia" w:ascii="宋体" w:hAnsi="宋体" w:eastAsia="宋体" w:cs="宋体"/>
          <w:vanish/>
          <w:color w:val="auto"/>
          <w:szCs w:val="21"/>
          <w:highlight w:val="none"/>
        </w:rPr>
      </w:pPr>
      <w:bookmarkStart w:id="36" w:name="EB389f116341dd4693875bc7987e7327f3"/>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6"/>
    </w:p>
    <w:p>
      <w:pPr>
        <w:widowControl w:val="0"/>
        <w:adjustRightInd/>
        <w:snapToGrid/>
        <w:ind w:left="567"/>
        <w:jc w:val="both"/>
        <w:rPr>
          <w:rFonts w:hint="eastAsia" w:ascii="宋体" w:hAnsi="宋体" w:eastAsia="宋体" w:cs="宋体"/>
          <w:color w:val="auto"/>
          <w:szCs w:val="21"/>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37" w:name="_Toc28775"/>
      <w:r>
        <w:rPr>
          <w:rFonts w:hint="eastAsia" w:ascii="宋体" w:hAnsi="宋体" w:eastAsia="宋体" w:cs="宋体"/>
          <w:color w:val="auto"/>
          <w:sz w:val="21"/>
          <w:szCs w:val="21"/>
          <w:highlight w:val="none"/>
        </w:rPr>
        <w:t>踏勘现场</w:t>
      </w:r>
      <w:bookmarkEnd w:id="37"/>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《投标资料表》规定组织踏勘现场的，采购人按《投标资料表》规定的时间、地点组织响应人踏勘项目现场；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响应人踏勘现场发生的费用自理；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除采购人的原因外，响应人自行负责在踏勘现场中所发生的人员伤亡和财产损失；</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采购人在踏勘现场中介绍的实施地点和相关的周边环境情况，供响应人在编制响应文件时参考，采购人不对响应人据此作出的判断和决策负责；</w:t>
      </w:r>
    </w:p>
    <w:p>
      <w:pPr>
        <w:rPr>
          <w:rFonts w:hint="eastAsia" w:ascii="宋体" w:hAnsi="宋体" w:eastAsia="宋体" w:cs="宋体"/>
          <w:color w:val="auto"/>
          <w:highlight w:val="none"/>
        </w:rPr>
      </w:pPr>
    </w:p>
    <w:p>
      <w:pPr>
        <w:pStyle w:val="5"/>
        <w:numPr>
          <w:ilvl w:val="0"/>
          <w:numId w:val="1"/>
        </w:numPr>
        <w:spacing w:before="0" w:after="0" w:line="360" w:lineRule="auto"/>
        <w:jc w:val="center"/>
        <w:rPr>
          <w:rFonts w:hint="eastAsia" w:ascii="宋体" w:hAnsi="宋体" w:eastAsia="宋体" w:cs="宋体"/>
          <w:color w:val="auto"/>
          <w:highlight w:val="none"/>
        </w:rPr>
      </w:pPr>
      <w:bookmarkStart w:id="38" w:name="_Toc9444"/>
      <w:bookmarkStart w:id="39" w:name="_Toc16024"/>
      <w:r>
        <w:rPr>
          <w:rFonts w:hint="eastAsia" w:ascii="宋体" w:hAnsi="宋体" w:eastAsia="宋体" w:cs="宋体"/>
          <w:color w:val="auto"/>
          <w:highlight w:val="none"/>
        </w:rPr>
        <w:t>采购文件</w:t>
      </w:r>
      <w:bookmarkEnd w:id="38"/>
      <w:bookmarkEnd w:id="39"/>
    </w:p>
    <w:p>
      <w:pPr>
        <w:pStyle w:val="2"/>
        <w:widowControl w:val="0"/>
        <w:numPr>
          <w:ilvl w:val="0"/>
          <w:numId w:val="2"/>
        </w:numPr>
        <w:overflowPunct w:val="0"/>
        <w:rPr>
          <w:rFonts w:hint="eastAsia" w:ascii="宋体" w:hAnsi="宋体" w:eastAsia="宋体" w:cs="宋体"/>
          <w:color w:val="auto"/>
          <w:sz w:val="21"/>
          <w:szCs w:val="21"/>
          <w:highlight w:val="none"/>
        </w:rPr>
      </w:pPr>
      <w:bookmarkStart w:id="40" w:name="_Toc10638"/>
      <w:bookmarkStart w:id="41" w:name="_Toc29495"/>
      <w:r>
        <w:rPr>
          <w:rFonts w:hint="eastAsia" w:ascii="宋体" w:hAnsi="宋体" w:eastAsia="宋体" w:cs="宋体"/>
          <w:color w:val="auto"/>
          <w:sz w:val="21"/>
          <w:szCs w:val="21"/>
          <w:highlight w:val="none"/>
        </w:rPr>
        <w:t>采购文件的组成</w:t>
      </w:r>
      <w:bookmarkEnd w:id="40"/>
      <w:bookmarkEnd w:id="41"/>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采购文件包括：</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（1）投标邀请书；</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（2）投标资料表；</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（3）用户需求书；</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（4）投标人须知；</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（7）在采购过程中由采购代理机构发出的澄清更正文件等。</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42" w:name="_Toc25712"/>
      <w:bookmarkStart w:id="43" w:name="_Toc21392"/>
      <w:r>
        <w:rPr>
          <w:rFonts w:hint="eastAsia" w:ascii="宋体" w:hAnsi="宋体" w:eastAsia="宋体" w:cs="宋体"/>
          <w:color w:val="auto"/>
          <w:sz w:val="21"/>
          <w:szCs w:val="21"/>
          <w:highlight w:val="none"/>
        </w:rPr>
        <w:t>采购文件的澄清或修改</w:t>
      </w:r>
      <w:bookmarkEnd w:id="42"/>
      <w:bookmarkEnd w:id="43"/>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采购期间，投标人有义务上网查看，公告一经上网发布，即视为送达。因投标人未及时上网查看而造成的所有后果，由投标人自行承担。</w:t>
      </w:r>
    </w:p>
    <w:p>
      <w:pPr>
        <w:widowControl w:val="0"/>
        <w:adjustRightInd/>
        <w:snapToGrid/>
        <w:ind w:left="567"/>
        <w:jc w:val="both"/>
        <w:rPr>
          <w:rFonts w:hint="eastAsia" w:ascii="宋体" w:hAnsi="宋体" w:eastAsia="宋体" w:cs="宋体"/>
          <w:color w:val="auto"/>
          <w:szCs w:val="21"/>
          <w:highlight w:val="none"/>
        </w:rPr>
      </w:pPr>
    </w:p>
    <w:p>
      <w:pPr>
        <w:pStyle w:val="5"/>
        <w:numPr>
          <w:ilvl w:val="0"/>
          <w:numId w:val="1"/>
        </w:numPr>
        <w:spacing w:before="0" w:after="0" w:line="360" w:lineRule="auto"/>
        <w:jc w:val="center"/>
        <w:rPr>
          <w:rFonts w:hint="eastAsia" w:ascii="宋体" w:hAnsi="宋体" w:eastAsia="宋体" w:cs="宋体"/>
          <w:color w:val="auto"/>
          <w:highlight w:val="none"/>
        </w:rPr>
      </w:pPr>
      <w:bookmarkStart w:id="44" w:name="_Toc12343"/>
      <w:bookmarkStart w:id="45" w:name="_Toc23924"/>
      <w:r>
        <w:rPr>
          <w:rFonts w:hint="eastAsia" w:ascii="宋体" w:hAnsi="宋体" w:eastAsia="宋体" w:cs="宋体"/>
          <w:color w:val="auto"/>
          <w:highlight w:val="none"/>
        </w:rPr>
        <w:t>投标文件的编制</w:t>
      </w:r>
      <w:bookmarkEnd w:id="44"/>
      <w:bookmarkEnd w:id="45"/>
    </w:p>
    <w:p>
      <w:pPr>
        <w:pStyle w:val="2"/>
        <w:widowControl w:val="0"/>
        <w:numPr>
          <w:ilvl w:val="0"/>
          <w:numId w:val="2"/>
        </w:numPr>
        <w:overflowPunct w:val="0"/>
        <w:rPr>
          <w:rFonts w:hint="eastAsia" w:ascii="宋体" w:hAnsi="宋体" w:eastAsia="宋体" w:cs="宋体"/>
          <w:color w:val="auto"/>
          <w:sz w:val="21"/>
          <w:szCs w:val="21"/>
          <w:highlight w:val="none"/>
        </w:rPr>
      </w:pPr>
      <w:bookmarkStart w:id="46" w:name="_Toc16938"/>
      <w:bookmarkStart w:id="47" w:name="_Toc24204"/>
      <w:r>
        <w:rPr>
          <w:rFonts w:hint="eastAsia" w:ascii="宋体" w:hAnsi="宋体" w:eastAsia="宋体" w:cs="宋体"/>
          <w:color w:val="auto"/>
          <w:sz w:val="21"/>
          <w:szCs w:val="21"/>
          <w:highlight w:val="none"/>
        </w:rPr>
        <w:t>投标文件的语言及度量衡单位</w:t>
      </w:r>
      <w:bookmarkEnd w:id="46"/>
      <w:bookmarkEnd w:id="47"/>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widowControl w:val="0"/>
        <w:adjustRightInd/>
        <w:snapToGrid/>
        <w:ind w:left="567"/>
        <w:jc w:val="both"/>
        <w:rPr>
          <w:rFonts w:hint="eastAsia" w:ascii="宋体" w:hAnsi="宋体" w:eastAsia="宋体" w:cs="宋体"/>
          <w:color w:val="auto"/>
          <w:szCs w:val="21"/>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48" w:name="_Toc24651"/>
      <w:bookmarkStart w:id="49" w:name="_Toc307934854"/>
      <w:bookmarkStart w:id="50" w:name="_Toc11466"/>
      <w:bookmarkStart w:id="51" w:name="_Toc303084256"/>
      <w:bookmarkStart w:id="52" w:name="_Toc382049103"/>
      <w:bookmarkStart w:id="53" w:name="_Toc28866"/>
      <w:r>
        <w:rPr>
          <w:rFonts w:hint="eastAsia" w:ascii="宋体" w:hAnsi="宋体" w:eastAsia="宋体" w:cs="宋体"/>
          <w:color w:val="auto"/>
          <w:sz w:val="21"/>
          <w:szCs w:val="21"/>
          <w:highlight w:val="none"/>
        </w:rPr>
        <w:t>投标文件的组成</w:t>
      </w:r>
      <w:bookmarkEnd w:id="48"/>
      <w:bookmarkEnd w:id="49"/>
      <w:bookmarkEnd w:id="50"/>
      <w:bookmarkEnd w:id="51"/>
      <w:bookmarkEnd w:id="52"/>
      <w:bookmarkEnd w:id="53"/>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包括但不限于采购文件附件格式中要求提供的表格。</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54" w:name="_Toc755"/>
      <w:bookmarkStart w:id="55" w:name="_Toc12205"/>
      <w:r>
        <w:rPr>
          <w:rFonts w:hint="eastAsia" w:ascii="宋体" w:hAnsi="宋体" w:eastAsia="宋体" w:cs="宋体"/>
          <w:color w:val="auto"/>
          <w:sz w:val="21"/>
          <w:szCs w:val="21"/>
          <w:highlight w:val="none"/>
        </w:rPr>
        <w:t>投标文件编制</w:t>
      </w:r>
      <w:bookmarkEnd w:id="54"/>
      <w:bookmarkEnd w:id="55"/>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bookmarkStart w:id="56" w:name="_Toc303084258"/>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因投标文件编制存在歧义对投标人产生负面影响的，投标人自行承担后果。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投标单位名称与投标人公章不一致，若投标单位名称已进行变更，应在投标文件中提供相应的证明材料并加盖公章，否则投标文件无效。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投标文件密封、标记及内容与本项目采购信息不符，导致无法分辨所投项目为本项目的，投标文件无效。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投标人须客观撰写投标人简介（格式自理，并提供相关证明）以及所投的产品或服务说明。</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投标文件若出现以下内容，经评标委员会认定有可能间接影响评审秩序，作废标处理。</w:t>
      </w:r>
    </w:p>
    <w:p>
      <w:pPr>
        <w:pStyle w:val="42"/>
        <w:pageBreakBefore w:val="0"/>
        <w:widowControl w:val="0"/>
        <w:kinsoku/>
        <w:wordWrap/>
        <w:topLinePunct w:val="0"/>
        <w:autoSpaceDE/>
        <w:autoSpaceDN/>
        <w:bidi w:val="0"/>
        <w:adjustRightInd w:val="0"/>
        <w:snapToGrid w:val="0"/>
        <w:spacing w:line="360" w:lineRule="auto"/>
        <w:ind w:left="425"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投标文件内出现无官方证明文件的行业地域排名或使用“国家级”、“最高级”、“最佳”等用语字眼的。</w:t>
      </w:r>
    </w:p>
    <w:p>
      <w:pPr>
        <w:pStyle w:val="42"/>
        <w:pageBreakBefore w:val="0"/>
        <w:widowControl w:val="0"/>
        <w:kinsoku/>
        <w:wordWrap/>
        <w:topLinePunct w:val="0"/>
        <w:autoSpaceDE/>
        <w:autoSpaceDN/>
        <w:bidi w:val="0"/>
        <w:adjustRightInd w:val="0"/>
        <w:snapToGrid w:val="0"/>
        <w:spacing w:line="360" w:lineRule="auto"/>
        <w:ind w:left="425"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投标文件内出现</w:t>
      </w:r>
      <w:r>
        <w:rPr>
          <w:rFonts w:hint="eastAsia" w:ascii="宋体" w:hAnsi="宋体" w:eastAsia="宋体" w:cs="宋体"/>
          <w:color w:val="auto"/>
          <w:highlight w:val="none"/>
        </w:rPr>
        <w:t>恶意</w:t>
      </w:r>
      <w:r>
        <w:rPr>
          <w:rFonts w:hint="eastAsia" w:ascii="宋体" w:hAnsi="宋体" w:eastAsia="宋体" w:cs="宋体"/>
          <w:color w:val="auto"/>
          <w:szCs w:val="21"/>
          <w:highlight w:val="none"/>
        </w:rPr>
        <w:t>诋毁、贬低其他生产经营者的商品或者服务的内容。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有下列情形之一的，视为投标人串通投标，其投标无效：</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bookmarkEnd w:id="56"/>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57" w:name="_Toc6154"/>
      <w:bookmarkStart w:id="58" w:name="_Toc22677"/>
      <w:r>
        <w:rPr>
          <w:rFonts w:hint="eastAsia" w:ascii="宋体" w:hAnsi="宋体" w:eastAsia="宋体" w:cs="宋体"/>
          <w:color w:val="auto"/>
          <w:sz w:val="21"/>
          <w:szCs w:val="21"/>
          <w:highlight w:val="none"/>
        </w:rPr>
        <w:t>投标报价说明</w:t>
      </w:r>
      <w:bookmarkEnd w:id="57"/>
      <w:bookmarkEnd w:id="58"/>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本次采购，投标人应按用户需求中的要求进行投标报价，少报无效。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投标人所提供的货物或服务均以人民币（或相关费率）报价。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投标报价应包含完成本次采购所有服务内容的费用，包含各种税务费及合同实施过程中的全部费用和售后服务费等。</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中标后开出的所有发票必须与中标人的名称一致。</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59" w:name="_Toc6628"/>
      <w:bookmarkStart w:id="60" w:name="_Toc17669"/>
      <w:r>
        <w:rPr>
          <w:rFonts w:hint="eastAsia" w:ascii="宋体" w:hAnsi="宋体" w:eastAsia="宋体" w:cs="宋体"/>
          <w:color w:val="auto"/>
          <w:sz w:val="21"/>
          <w:szCs w:val="21"/>
          <w:highlight w:val="none"/>
        </w:rPr>
        <w:t>投标人所提供的服务或货物的证明文件</w:t>
      </w:r>
      <w:bookmarkEnd w:id="59"/>
      <w:bookmarkEnd w:id="60"/>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bookmarkStart w:id="61" w:name="_Hlt107925668"/>
      <w:bookmarkEnd w:id="61"/>
      <w:bookmarkStart w:id="62" w:name="_Hlt107925638"/>
      <w:bookmarkEnd w:id="62"/>
      <w:r>
        <w:rPr>
          <w:rFonts w:hint="eastAsia" w:ascii="宋体" w:hAnsi="宋体" w:eastAsia="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有下列情形之一的，视为投标人弄虚作假，其投标无效：</w:t>
      </w:r>
    </w:p>
    <w:p>
      <w:pPr>
        <w:pStyle w:val="42"/>
        <w:pageBreakBefore w:val="0"/>
        <w:widowControl w:val="0"/>
        <w:kinsoku/>
        <w:wordWrap/>
        <w:topLinePunct w:val="0"/>
        <w:autoSpaceDE/>
        <w:autoSpaceDN/>
        <w:bidi w:val="0"/>
        <w:adjustRightInd w:val="0"/>
        <w:snapToGrid w:val="0"/>
        <w:spacing w:line="360" w:lineRule="auto"/>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1、使用通过受让或者租借等方式获取的资格、资质证书投标的，属于以他人名义投标。</w:t>
      </w:r>
    </w:p>
    <w:p>
      <w:pPr>
        <w:pStyle w:val="42"/>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2、投标人有下列情形之一的，属于以其他方式弄虚作假的行为：</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（1）使用伪造、变造的许可证件；</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（2）提供虚假的财务状况或者业绩；</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（3）提供虚假的项目负责人或者主要技术人员简历、劳动关系证明；</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（4）提供虚假的信用状况；</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（5）其他弄虚作假的行为。</w:t>
      </w:r>
    </w:p>
    <w:p>
      <w:pPr>
        <w:widowControl w:val="0"/>
        <w:numPr>
          <w:ilvl w:val="0"/>
          <w:numId w:val="0"/>
        </w:numPr>
        <w:overflowPunct w:val="0"/>
        <w:ind w:leftChars="0"/>
        <w:outlineLvl w:val="9"/>
        <w:rPr>
          <w:rFonts w:hint="eastAsia" w:ascii="宋体" w:hAnsi="宋体" w:eastAsia="宋体" w:cs="宋体"/>
          <w:color w:val="auto"/>
          <w:sz w:val="21"/>
          <w:szCs w:val="21"/>
          <w:highlight w:val="none"/>
        </w:rPr>
      </w:pPr>
      <w:bookmarkStart w:id="63" w:name="_Toc8324"/>
    </w:p>
    <w:p>
      <w:pPr>
        <w:pStyle w:val="2"/>
        <w:widowControl w:val="0"/>
        <w:numPr>
          <w:ilvl w:val="0"/>
          <w:numId w:val="2"/>
        </w:numPr>
        <w:overflowPunct w:val="0"/>
        <w:rPr>
          <w:rFonts w:hint="eastAsia" w:ascii="宋体" w:hAnsi="宋体" w:eastAsia="宋体" w:cs="宋体"/>
          <w:color w:val="auto"/>
          <w:sz w:val="21"/>
          <w:szCs w:val="21"/>
          <w:highlight w:val="none"/>
        </w:rPr>
      </w:pPr>
      <w:bookmarkStart w:id="64" w:name="_Toc24153"/>
      <w:r>
        <w:rPr>
          <w:rFonts w:hint="eastAsia" w:ascii="宋体" w:hAnsi="宋体" w:eastAsia="宋体" w:cs="宋体"/>
          <w:color w:val="auto"/>
          <w:sz w:val="21"/>
          <w:szCs w:val="21"/>
          <w:highlight w:val="none"/>
        </w:rPr>
        <w:t>投标有效期</w:t>
      </w:r>
      <w:bookmarkEnd w:id="63"/>
      <w:bookmarkEnd w:id="64"/>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投标文件应根据投标人须知的规定在投标截止日后的90天内保持有效。</w:t>
      </w:r>
    </w:p>
    <w:p>
      <w:pPr>
        <w:widowControl w:val="0"/>
        <w:adjustRightInd/>
        <w:snapToGrid/>
        <w:ind w:left="567"/>
        <w:jc w:val="both"/>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65" w:name="_Toc12582"/>
      <w:bookmarkStart w:id="66" w:name="_Toc639"/>
      <w:r>
        <w:rPr>
          <w:rFonts w:hint="eastAsia" w:ascii="宋体" w:hAnsi="宋体" w:eastAsia="宋体" w:cs="宋体"/>
          <w:color w:val="auto"/>
          <w:sz w:val="21"/>
          <w:szCs w:val="21"/>
          <w:highlight w:val="none"/>
        </w:rPr>
        <w:t>投标保证金</w:t>
      </w:r>
      <w:bookmarkEnd w:id="65"/>
      <w:bookmarkEnd w:id="66"/>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bookmarkStart w:id="67" w:name="_Ref179619405"/>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投标人应在投标文件递交截止前提交相应的投标保证金，并作为其投标的一部分。</w:t>
      </w:r>
      <w:bookmarkEnd w:id="67"/>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凡没有根据本须知（17.1和17.3）的规定随附有效的投标保证金的投标，将被视为非响应性投标予以拒绝。</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投标保证金有效期应当与投标有效期一致。采购人如果按照采购文件另外规定延长了投标文件有效期，则投标担保的有效期也相应延长。</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下列任何情况发生时，投标保证金将不予退还：</w:t>
      </w:r>
    </w:p>
    <w:p>
      <w:pPr>
        <w:pStyle w:val="42"/>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（1）投标人在采购文件中规定的投标有效期内撤回其投标；</w:t>
      </w:r>
    </w:p>
    <w:p>
      <w:pPr>
        <w:pStyle w:val="42"/>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（2）中标人无正当理由不与采购人订立合同，在签订合同时向采购人提出附加条件，或者不按照采购文件要求提交履约保证金的；</w:t>
      </w:r>
    </w:p>
    <w:p>
      <w:pPr>
        <w:pStyle w:val="42"/>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（3）中标人将本项目转让给他人，或者在投标文件中未说明，且未经采购人同意，将中标项目分包给他人的；</w:t>
      </w:r>
    </w:p>
    <w:p>
      <w:pPr>
        <w:pStyle w:val="42"/>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（4）投标人提供虚假投标文件或虚假补充文件的。</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在中标通知书发出后，未中标投标人的投标保证金，由采购人自行返还至投标人的原转出账户。</w:t>
      </w:r>
    </w:p>
    <w:p>
      <w:pPr>
        <w:rPr>
          <w:rFonts w:hint="eastAsia" w:ascii="宋体" w:hAnsi="宋体" w:eastAsia="宋体" w:cs="宋体"/>
          <w:color w:val="auto"/>
          <w:highlight w:val="none"/>
        </w:rPr>
      </w:pPr>
    </w:p>
    <w:p>
      <w:pPr>
        <w:pStyle w:val="5"/>
        <w:numPr>
          <w:ilvl w:val="0"/>
          <w:numId w:val="1"/>
        </w:numPr>
        <w:spacing w:before="0" w:after="0" w:line="360" w:lineRule="auto"/>
        <w:jc w:val="center"/>
        <w:rPr>
          <w:rFonts w:hint="eastAsia" w:ascii="宋体" w:hAnsi="宋体" w:eastAsia="宋体" w:cs="宋体"/>
          <w:color w:val="auto"/>
          <w:highlight w:val="none"/>
        </w:rPr>
      </w:pPr>
      <w:bookmarkStart w:id="68" w:name="_Toc30352"/>
      <w:bookmarkStart w:id="69" w:name="_Toc24937"/>
      <w:r>
        <w:rPr>
          <w:rFonts w:hint="eastAsia" w:ascii="宋体" w:hAnsi="宋体" w:eastAsia="宋体" w:cs="宋体"/>
          <w:color w:val="auto"/>
          <w:highlight w:val="none"/>
        </w:rPr>
        <w:t>投标文件的递交</w:t>
      </w:r>
      <w:bookmarkEnd w:id="68"/>
      <w:bookmarkEnd w:id="69"/>
    </w:p>
    <w:p>
      <w:pPr>
        <w:pStyle w:val="2"/>
        <w:widowControl w:val="0"/>
        <w:numPr>
          <w:ilvl w:val="0"/>
          <w:numId w:val="2"/>
        </w:numPr>
        <w:overflowPunct w:val="0"/>
        <w:rPr>
          <w:rFonts w:hint="eastAsia" w:ascii="宋体" w:hAnsi="宋体" w:eastAsia="宋体" w:cs="宋体"/>
          <w:color w:val="auto"/>
          <w:sz w:val="21"/>
          <w:szCs w:val="21"/>
          <w:highlight w:val="none"/>
        </w:rPr>
      </w:pPr>
      <w:bookmarkStart w:id="70" w:name="_Toc382049111"/>
      <w:bookmarkStart w:id="71" w:name="_Toc24997"/>
      <w:bookmarkStart w:id="72" w:name="_Toc24150"/>
      <w:bookmarkStart w:id="73" w:name="_Toc17101"/>
      <w:bookmarkStart w:id="74" w:name="_Toc303084264"/>
      <w:r>
        <w:rPr>
          <w:rFonts w:hint="eastAsia" w:ascii="宋体" w:hAnsi="宋体" w:eastAsia="宋体" w:cs="宋体"/>
          <w:color w:val="auto"/>
          <w:sz w:val="21"/>
          <w:szCs w:val="21"/>
          <w:highlight w:val="none"/>
        </w:rPr>
        <w:t>投标文件的装订，签署，密封和标记</w:t>
      </w:r>
      <w:bookmarkEnd w:id="70"/>
      <w:bookmarkEnd w:id="71"/>
      <w:bookmarkEnd w:id="72"/>
      <w:bookmarkEnd w:id="73"/>
      <w:bookmarkEnd w:id="74"/>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投标人应按《投标资料表》的份数准备价格文件、商务文件、技术文件、唱标信封和电子文件（</w:t>
      </w:r>
      <w:r>
        <w:rPr>
          <w:rFonts w:hint="eastAsia" w:ascii="宋体" w:hAnsi="宋体" w:eastAsia="宋体" w:cs="宋体"/>
          <w:b/>
          <w:color w:val="auto"/>
          <w:szCs w:val="21"/>
          <w:highlight w:val="none"/>
        </w:rPr>
        <w:t>价格文件、商务文件、技术文件分别单独装订成册</w:t>
      </w:r>
      <w:r>
        <w:rPr>
          <w:rFonts w:hint="eastAsia" w:ascii="宋体" w:hAnsi="宋体" w:eastAsia="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联合体投标文件的【正本】及【副本】的封面及骑缝均须加盖所有联合体组成成员的公章。（文件每页盖章等同于盖骑缝章）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除投标人对错误处修改外，全套投标文件应无涂改或行间插字和增删。如有修改，修改处须由法定代表人或其正式授权代表在旁边签字及盖章。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投标人应将投标文件进行非透明的封装，以防止投标文件内容的泄露。采购代理机构将拒绝接收采用透明包装进行密封的投标文件。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密封破损导致投标文件内容直接或间接泄露的投标文件，采购代理机构将拒绝接收。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未单独提交唱标信封的投标人投标文件不进行唱标，投标文件作无效处理。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所有的信封均应注明： </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收件人： </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项目采购项目编号：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密封信封上的项目编号错误或项目名称出现严重歧义的（包括采购内容不符），采购代理机构将拒绝接收。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采购代理机构对所有投标文件的误投或提前启封概不负责。</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投标人同时参加几个包投标时必须按采购文件要求按包号分别制作投标文件，分别密封递交。</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传真、电传的投标文件将被拒绝。</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递交的投标文件中所提供的通讯方式应保持联络畅通，因联系不上而导致的所有后果由投标人自行承担。</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75" w:name="_Toc17324"/>
      <w:bookmarkStart w:id="76" w:name="_Toc25895"/>
      <w:r>
        <w:rPr>
          <w:rFonts w:hint="eastAsia" w:ascii="宋体" w:hAnsi="宋体" w:eastAsia="宋体" w:cs="宋体"/>
          <w:color w:val="auto"/>
          <w:sz w:val="21"/>
          <w:szCs w:val="21"/>
          <w:highlight w:val="none"/>
        </w:rPr>
        <w:t>迟交的投标文件</w:t>
      </w:r>
      <w:bookmarkEnd w:id="75"/>
      <w:bookmarkEnd w:id="76"/>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投标人在投标截止时间之后提交的投标文件，采购代理机构将拒绝接收。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有违反其他法律规定情形的，采购代理机构将拒绝接收。</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77" w:name="_Toc9143"/>
      <w:bookmarkStart w:id="78" w:name="_Toc13210"/>
      <w:r>
        <w:rPr>
          <w:rFonts w:hint="eastAsia" w:ascii="宋体" w:hAnsi="宋体" w:eastAsia="宋体" w:cs="宋体"/>
          <w:color w:val="auto"/>
          <w:sz w:val="21"/>
          <w:szCs w:val="21"/>
          <w:highlight w:val="none"/>
        </w:rPr>
        <w:t>投标样品（如需提交）</w:t>
      </w:r>
      <w:bookmarkEnd w:id="77"/>
      <w:bookmarkEnd w:id="78"/>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如有必要，采购代理机构可以要求投标人提供本服务项目涉及的部分设备或产品样品，投标人在投标时应提交《样品清单》。</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为方便评标，投标人在提供样品时，应在所提供的样品表面显著位置标注投标人的名称、包号、样品名称、采购文件规定的服务或货物编号。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79" w:name="_Toc1712"/>
      <w:bookmarkStart w:id="80" w:name="_Toc9777"/>
      <w:bookmarkStart w:id="81" w:name="_Toc10019"/>
      <w:bookmarkStart w:id="82" w:name="_Toc303084265"/>
      <w:bookmarkStart w:id="83" w:name="_Toc382049112"/>
      <w:r>
        <w:rPr>
          <w:rFonts w:hint="eastAsia" w:ascii="宋体" w:hAnsi="宋体" w:eastAsia="宋体" w:cs="宋体"/>
          <w:color w:val="auto"/>
          <w:sz w:val="21"/>
          <w:szCs w:val="21"/>
          <w:highlight w:val="none"/>
        </w:rPr>
        <w:t>投标截止期</w:t>
      </w:r>
      <w:bookmarkEnd w:id="79"/>
      <w:bookmarkEnd w:id="80"/>
      <w:bookmarkEnd w:id="81"/>
      <w:bookmarkEnd w:id="82"/>
      <w:bookmarkEnd w:id="83"/>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投标人应在采购文件规定的截止日期和时间内，将投标文件送达到指定地点。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84" w:name="_Toc31417"/>
      <w:bookmarkStart w:id="85" w:name="_Toc29122"/>
      <w:r>
        <w:rPr>
          <w:rFonts w:hint="eastAsia" w:ascii="宋体" w:hAnsi="宋体" w:eastAsia="宋体" w:cs="宋体"/>
          <w:color w:val="auto"/>
          <w:sz w:val="21"/>
          <w:szCs w:val="21"/>
          <w:highlight w:val="none"/>
        </w:rPr>
        <w:t>投标文件的补充、修改与撤回</w:t>
      </w:r>
      <w:bookmarkEnd w:id="84"/>
      <w:bookmarkEnd w:id="85"/>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投标文件一经递交不予退还。</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在提交投标文件截止时间至投标有效期满之前，投标人不得撤回其投标，否则其投标保证金将不予退还。</w:t>
      </w:r>
    </w:p>
    <w:p>
      <w:pPr>
        <w:pStyle w:val="11"/>
        <w:rPr>
          <w:rFonts w:hint="eastAsia" w:ascii="宋体" w:hAnsi="宋体" w:eastAsia="宋体" w:cs="宋体"/>
          <w:color w:val="auto"/>
          <w:highlight w:val="none"/>
        </w:rPr>
      </w:pPr>
    </w:p>
    <w:p>
      <w:pPr>
        <w:pStyle w:val="5"/>
        <w:numPr>
          <w:ilvl w:val="0"/>
          <w:numId w:val="1"/>
        </w:numPr>
        <w:spacing w:before="0" w:after="0" w:line="360" w:lineRule="auto"/>
        <w:jc w:val="center"/>
        <w:rPr>
          <w:rFonts w:hint="eastAsia" w:ascii="宋体" w:hAnsi="宋体" w:eastAsia="宋体" w:cs="宋体"/>
          <w:color w:val="auto"/>
          <w:highlight w:val="none"/>
        </w:rPr>
      </w:pPr>
      <w:bookmarkStart w:id="86" w:name="_Toc7410"/>
      <w:bookmarkStart w:id="87" w:name="_Toc5287"/>
      <w:r>
        <w:rPr>
          <w:rFonts w:hint="eastAsia" w:ascii="宋体" w:hAnsi="宋体" w:eastAsia="宋体" w:cs="宋体"/>
          <w:color w:val="auto"/>
          <w:highlight w:val="none"/>
        </w:rPr>
        <w:t>开标与评标</w:t>
      </w:r>
      <w:bookmarkEnd w:id="86"/>
      <w:bookmarkEnd w:id="87"/>
    </w:p>
    <w:p>
      <w:pPr>
        <w:pStyle w:val="2"/>
        <w:widowControl w:val="0"/>
        <w:numPr>
          <w:ilvl w:val="0"/>
          <w:numId w:val="2"/>
        </w:numPr>
        <w:overflowPunct w:val="0"/>
        <w:rPr>
          <w:rFonts w:hint="eastAsia" w:ascii="宋体" w:hAnsi="宋体" w:eastAsia="宋体" w:cs="宋体"/>
          <w:color w:val="auto"/>
          <w:sz w:val="21"/>
          <w:szCs w:val="21"/>
          <w:highlight w:val="none"/>
        </w:rPr>
      </w:pPr>
      <w:bookmarkStart w:id="88" w:name="_Toc3168"/>
      <w:bookmarkStart w:id="89" w:name="_Toc31671"/>
      <w:r>
        <w:rPr>
          <w:rFonts w:hint="eastAsia" w:ascii="宋体" w:hAnsi="宋体" w:eastAsia="宋体" w:cs="宋体"/>
          <w:color w:val="auto"/>
          <w:sz w:val="21"/>
          <w:szCs w:val="21"/>
          <w:highlight w:val="none"/>
        </w:rPr>
        <w:t>开标</w:t>
      </w:r>
      <w:bookmarkEnd w:id="88"/>
      <w:bookmarkEnd w:id="89"/>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采购代理机构按本采购文件所规定的时间和地点公开开标，并邀请所有投标人代表参加。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开标会由采购代理机构主持，投标人的法定代表人或其授权代表携带有效身份证明准时参加开标会并签名报到。</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合格投标人不足3家的，不得开标；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开标过程应当由采购人或者采购代理机构负责记录，由参加开标的各投标人代表和相关工作人员签字确认。</w:t>
      </w:r>
    </w:p>
    <w:p>
      <w:pPr>
        <w:widowControl w:val="0"/>
        <w:adjustRightInd/>
        <w:snapToGrid/>
        <w:ind w:left="567"/>
        <w:jc w:val="both"/>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90" w:name="_Toc2538"/>
      <w:bookmarkStart w:id="91" w:name="_Toc3528"/>
      <w:r>
        <w:rPr>
          <w:rFonts w:hint="eastAsia" w:ascii="宋体" w:hAnsi="宋体" w:eastAsia="宋体" w:cs="宋体"/>
          <w:color w:val="auto"/>
          <w:sz w:val="21"/>
          <w:szCs w:val="21"/>
          <w:highlight w:val="none"/>
        </w:rPr>
        <w:t>评标委员会及评标方法</w:t>
      </w:r>
      <w:bookmarkEnd w:id="90"/>
      <w:bookmarkEnd w:id="91"/>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评审方法：本次采购的评审方法采用综合评分法。</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评标委员会和采购人在评审过程中有权核对投标文件中相关材料的原件，投标人在接到通知后应在评标委员会规定的时间内提交原件核查。</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92" w:name="_Toc4198"/>
      <w:bookmarkStart w:id="93" w:name="_Toc4442"/>
      <w:r>
        <w:rPr>
          <w:rFonts w:hint="eastAsia" w:ascii="宋体" w:hAnsi="宋体" w:eastAsia="宋体" w:cs="宋体"/>
          <w:color w:val="auto"/>
          <w:sz w:val="21"/>
          <w:szCs w:val="21"/>
          <w:highlight w:val="none"/>
        </w:rPr>
        <w:t>评审原则及评标过程的保密</w:t>
      </w:r>
      <w:bookmarkEnd w:id="92"/>
      <w:bookmarkEnd w:id="93"/>
    </w:p>
    <w:p>
      <w:pPr>
        <w:pStyle w:val="42"/>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评审的基本原则：评标委员会将依据采购文件的规定，遵循“公开、公平、公正、择优、信用”的原则进行评审工作。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从公开开标到签订合同，凡与审查、澄清、评审和投标有关的资料以及定标意见相关的事项，均不得向投标人及与评标无关的其他人透露。</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任何单位和个人不得非法干预、影响评标的过程和结果。</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94" w:name="_Toc12366"/>
      <w:r>
        <w:rPr>
          <w:rFonts w:hint="eastAsia" w:ascii="宋体" w:hAnsi="宋体" w:eastAsia="宋体" w:cs="宋体"/>
          <w:color w:val="auto"/>
          <w:sz w:val="21"/>
          <w:szCs w:val="21"/>
          <w:highlight w:val="none"/>
        </w:rPr>
        <w:t>评标程序</w:t>
      </w:r>
      <w:bookmarkEnd w:id="94"/>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资格性、符合性审查</w:t>
      </w:r>
    </w:p>
    <w:p>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《资格性、符合性审查表》</w:t>
      </w:r>
    </w:p>
    <w:tbl>
      <w:tblPr>
        <w:tblStyle w:val="3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（5）未被列入东实集团及下属企业相关领域黑名单。【以</w:t>
            </w:r>
            <w:r>
              <w:rPr>
                <w:rFonts w:hint="eastAsia" w:ascii="宋体" w:hAnsi="宋体" w:eastAsia="宋体" w:cs="宋体"/>
                <w:color w:val="auto"/>
                <w:kern w:val="2"/>
                <w:szCs w:val="21"/>
                <w:highlight w:val="none"/>
                <w:lang w:val="zh-CN"/>
              </w:rPr>
              <w:t>东莞实业投资控股集团有限公司</w:t>
            </w:r>
            <w:r>
              <w:rPr>
                <w:rFonts w:hint="eastAsia" w:ascii="宋体" w:hAnsi="宋体" w:eastAsia="宋体" w:cs="宋体"/>
                <w:color w:val="auto"/>
                <w:szCs w:val="21"/>
                <w:highlight w:val="none"/>
              </w:rPr>
              <w:t>发文（东实通〔2021〕44号）、（东实通〔2021〕98号）、（东实通〔2022〕75号）、（东实通〔2023〕37号）</w:t>
            </w:r>
            <w:r>
              <w:rPr>
                <w:rFonts w:hint="eastAsia" w:ascii="宋体" w:hAnsi="宋体" w:cs="宋体"/>
                <w:color w:val="auto"/>
                <w:szCs w:val="21"/>
                <w:highlight w:val="none"/>
                <w:lang w:eastAsia="zh-CN"/>
              </w:rPr>
              <w:t>、（东实通〔2024〕163号）、（东实通〔2024〕195号）</w:t>
            </w:r>
            <w:r>
              <w:rPr>
                <w:rFonts w:hint="eastAsia" w:ascii="宋体" w:hAnsi="宋体" w:eastAsia="宋体" w:cs="宋体"/>
                <w:color w:val="auto"/>
                <w:szCs w:val="21"/>
                <w:highlight w:val="none"/>
                <w:lang w:eastAsia="zh-CN"/>
              </w:rPr>
              <w:t>及下属企业发文</w:t>
            </w:r>
            <w:r>
              <w:rPr>
                <w:rFonts w:hint="eastAsia" w:ascii="宋体" w:hAnsi="宋体" w:eastAsia="宋体" w:cs="宋体"/>
                <w:color w:val="auto"/>
                <w:szCs w:val="21"/>
                <w:highlight w:val="none"/>
              </w:rPr>
              <w:t>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（6）符合投标人资格要求中其他要求（如有）。（提供《附件</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未出现</w:t>
            </w:r>
            <w:r>
              <w:rPr>
                <w:rFonts w:hint="eastAsia" w:ascii="宋体" w:hAnsi="宋体" w:eastAsia="宋体" w:cs="宋体"/>
                <w:color w:val="auto"/>
                <w:szCs w:val="21"/>
                <w:highlight w:val="none"/>
                <w:lang w:bidi="ar"/>
              </w:rPr>
              <w:t>法律、法规和招标文件规定的其他无效情形。</w:t>
            </w:r>
          </w:p>
        </w:tc>
      </w:tr>
    </w:tbl>
    <w:p>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投标文件报价出现前后不一致的，评标委员会按照下列规定修正：</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投标文件中开标一览表（报价表）内容与投标文件中相应内容不一致的，以开标一览表（报价表）为准；</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大写金额和小写金额不一致的，以大写金额为准；</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单价金额小数点或者百分比有明显错位的，以开标一览表的总价为准，并修改单价；</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总价金额与按单价汇总金额不一致的，以单价金额计算结果为准。</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同时出现两种以上不一致的，按照前款规定的顺序修正。修正后的报价按照经投标人确认后产生约束力，投标人不确认的，其投标无效。</w:t>
      </w:r>
    </w:p>
    <w:p>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对于投标文件中不构成实质性偏差的不正规、不一致或不规则，评标委员会可以接受，但这种接受不能损害或影响任何投标人的相对排序。</w:t>
      </w:r>
    </w:p>
    <w:p>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11"/>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95" w:name="_Toc21335"/>
      <w:bookmarkStart w:id="96" w:name="_Toc4799"/>
      <w:r>
        <w:rPr>
          <w:rFonts w:hint="eastAsia" w:ascii="宋体" w:hAnsi="宋体" w:eastAsia="宋体" w:cs="宋体"/>
          <w:color w:val="auto"/>
          <w:sz w:val="21"/>
          <w:szCs w:val="21"/>
          <w:highlight w:val="none"/>
        </w:rPr>
        <w:t>商务、技术、价格评审（具体评审项目详见投标资料表）</w:t>
      </w:r>
      <w:bookmarkEnd w:id="95"/>
      <w:bookmarkEnd w:id="96"/>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pPr>
        <w:widowControl w:val="0"/>
        <w:tabs>
          <w:tab w:val="left" w:pos="907"/>
        </w:tabs>
        <w:adjustRightInd/>
        <w:snapToGrid/>
        <w:ind w:left="567"/>
        <w:jc w:val="both"/>
        <w:rPr>
          <w:rFonts w:hint="eastAsia" w:ascii="宋体" w:hAnsi="宋体" w:eastAsia="宋体" w:cs="宋体"/>
          <w:color w:val="auto"/>
          <w:szCs w:val="21"/>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97" w:name="_Toc316375620"/>
      <w:bookmarkStart w:id="98" w:name="_Toc19328"/>
      <w:bookmarkStart w:id="99" w:name="_Toc20328"/>
      <w:bookmarkStart w:id="100" w:name="_Toc21663"/>
      <w:bookmarkStart w:id="101" w:name="_Toc382049120"/>
      <w:r>
        <w:rPr>
          <w:rFonts w:hint="eastAsia" w:ascii="宋体" w:hAnsi="宋体" w:eastAsia="宋体" w:cs="宋体"/>
          <w:color w:val="auto"/>
          <w:sz w:val="21"/>
          <w:szCs w:val="21"/>
          <w:highlight w:val="none"/>
        </w:rPr>
        <w:t>纪律和保密</w:t>
      </w:r>
      <w:bookmarkEnd w:id="97"/>
      <w:r>
        <w:rPr>
          <w:rFonts w:hint="eastAsia" w:ascii="宋体" w:hAnsi="宋体" w:eastAsia="宋体" w:cs="宋体"/>
          <w:color w:val="auto"/>
          <w:sz w:val="21"/>
          <w:szCs w:val="21"/>
          <w:highlight w:val="none"/>
        </w:rPr>
        <w:t>事项</w:t>
      </w:r>
      <w:bookmarkEnd w:id="98"/>
      <w:bookmarkEnd w:id="99"/>
      <w:bookmarkEnd w:id="100"/>
      <w:bookmarkEnd w:id="101"/>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投标人不得串通作弊，以不正当的手段妨碍、排挤其他投标人，扰乱采购市场，破坏公平竞争原则。否则将按相关法律规定严肃处理。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获得本采购文件的投标人，应对文件进行保密，不得用作本次投标以外的任何用途。开标后，投标人应归还采购文件中要求保密的文件和资料。</w:t>
      </w:r>
    </w:p>
    <w:p>
      <w:pPr>
        <w:rPr>
          <w:rFonts w:hint="eastAsia" w:ascii="宋体" w:hAnsi="宋体" w:eastAsia="宋体" w:cs="宋体"/>
          <w:color w:val="auto"/>
          <w:highlight w:val="none"/>
        </w:rPr>
      </w:pPr>
    </w:p>
    <w:p>
      <w:pPr>
        <w:pStyle w:val="5"/>
        <w:numPr>
          <w:ilvl w:val="0"/>
          <w:numId w:val="1"/>
        </w:numPr>
        <w:spacing w:before="0" w:after="0" w:line="360" w:lineRule="auto"/>
        <w:jc w:val="center"/>
        <w:rPr>
          <w:rFonts w:hint="eastAsia" w:ascii="宋体" w:hAnsi="宋体" w:eastAsia="宋体" w:cs="宋体"/>
          <w:color w:val="auto"/>
          <w:highlight w:val="none"/>
        </w:rPr>
      </w:pPr>
      <w:bookmarkStart w:id="102" w:name="_Toc23653"/>
      <w:bookmarkStart w:id="103" w:name="_Toc1109"/>
      <w:r>
        <w:rPr>
          <w:rFonts w:hint="eastAsia" w:ascii="宋体" w:hAnsi="宋体" w:eastAsia="宋体" w:cs="宋体"/>
          <w:color w:val="auto"/>
          <w:highlight w:val="none"/>
        </w:rPr>
        <w:t>授予合同</w:t>
      </w:r>
      <w:bookmarkEnd w:id="102"/>
      <w:bookmarkEnd w:id="103"/>
    </w:p>
    <w:p>
      <w:pPr>
        <w:pStyle w:val="2"/>
        <w:widowControl w:val="0"/>
        <w:numPr>
          <w:ilvl w:val="0"/>
          <w:numId w:val="2"/>
        </w:numPr>
        <w:overflowPunct w:val="0"/>
        <w:rPr>
          <w:rFonts w:hint="eastAsia" w:ascii="宋体" w:hAnsi="宋体" w:eastAsia="宋体" w:cs="宋体"/>
          <w:color w:val="auto"/>
          <w:sz w:val="21"/>
          <w:szCs w:val="21"/>
          <w:highlight w:val="none"/>
        </w:rPr>
      </w:pPr>
      <w:bookmarkStart w:id="104" w:name="_Toc9736"/>
      <w:bookmarkStart w:id="105" w:name="_Toc508284011"/>
      <w:bookmarkStart w:id="106" w:name="_Toc22623"/>
      <w:r>
        <w:rPr>
          <w:rFonts w:hint="eastAsia" w:ascii="宋体" w:hAnsi="宋体" w:eastAsia="宋体" w:cs="宋体"/>
          <w:color w:val="auto"/>
          <w:sz w:val="21"/>
          <w:szCs w:val="21"/>
          <w:highlight w:val="none"/>
        </w:rPr>
        <w:t>合同授予标准</w:t>
      </w:r>
      <w:bookmarkEnd w:id="104"/>
      <w:bookmarkEnd w:id="105"/>
      <w:bookmarkEnd w:id="106"/>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根据评标委员会的评审结果，采购人按照评审报告推荐的中标候选人中按顺序依法确定中标人。</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107" w:name="_Toc10545"/>
      <w:bookmarkStart w:id="108" w:name="_Toc508284013"/>
      <w:bookmarkStart w:id="109" w:name="_Toc23259"/>
      <w:r>
        <w:rPr>
          <w:rFonts w:hint="eastAsia" w:ascii="宋体" w:hAnsi="宋体" w:eastAsia="宋体" w:cs="宋体"/>
          <w:color w:val="auto"/>
          <w:sz w:val="21"/>
          <w:szCs w:val="21"/>
          <w:highlight w:val="none"/>
        </w:rPr>
        <w:t>发布中标结果</w:t>
      </w:r>
      <w:bookmarkEnd w:id="107"/>
      <w:bookmarkEnd w:id="108"/>
      <w:bookmarkEnd w:id="109"/>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评标委员会提出评标书面报告和推荐中标意见报采购人确认后，采购代理机构将在指定的信息发布媒体上发布公告。</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中标公告期限为3个日历日。</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《中标通知书》是合同的一个组成部分，《中标通知书》对采购人和中标人均具有同等法律效力。</w:t>
      </w:r>
    </w:p>
    <w:p>
      <w:pPr>
        <w:widowControl w:val="0"/>
        <w:tabs>
          <w:tab w:val="left" w:pos="907"/>
        </w:tabs>
        <w:adjustRightInd/>
        <w:snapToGrid/>
        <w:jc w:val="both"/>
        <w:rPr>
          <w:rFonts w:hint="eastAsia" w:ascii="宋体" w:hAnsi="宋体" w:eastAsia="宋体" w:cs="宋体"/>
          <w:color w:val="auto"/>
          <w:szCs w:val="21"/>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110" w:name="_Toc11420"/>
      <w:bookmarkStart w:id="111" w:name="_Toc13090"/>
      <w:r>
        <w:rPr>
          <w:rFonts w:hint="eastAsia" w:ascii="宋体" w:hAnsi="宋体" w:eastAsia="宋体" w:cs="宋体"/>
          <w:color w:val="auto"/>
          <w:sz w:val="21"/>
          <w:szCs w:val="21"/>
          <w:highlight w:val="none"/>
        </w:rPr>
        <w:t>资格后审</w:t>
      </w:r>
      <w:bookmarkEnd w:id="110"/>
      <w:bookmarkEnd w:id="111"/>
    </w:p>
    <w:p>
      <w:pPr>
        <w:pStyle w:val="42"/>
        <w:widowControl w:val="0"/>
        <w:numPr>
          <w:ilvl w:val="0"/>
          <w:numId w:val="3"/>
        </w:numPr>
        <w:tabs>
          <w:tab w:val="left" w:pos="567"/>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采购人将有权根据本文件中的要求，对评委会推荐的中标候选人进行资格后审。</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中标候选人须无条件配合资格后审，否则采购人有权取消其中标资格，且投标保证金可不予退还。</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112" w:name="_Toc27302"/>
      <w:bookmarkStart w:id="113" w:name="_Toc568"/>
      <w:r>
        <w:rPr>
          <w:rFonts w:hint="eastAsia" w:ascii="宋体" w:hAnsi="宋体" w:eastAsia="宋体" w:cs="宋体"/>
          <w:color w:val="auto"/>
          <w:sz w:val="21"/>
          <w:szCs w:val="21"/>
          <w:highlight w:val="none"/>
        </w:rPr>
        <w:t>合同的签订与履行</w:t>
      </w:r>
      <w:bookmarkEnd w:id="112"/>
      <w:bookmarkEnd w:id="113"/>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采购人与中标人应当根据合同的约定依法履行合同义务。</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采购合同的履行、违约责任和解决争议的方法等适用《中华人民共和国民法典》。</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tabs>
          <w:tab w:val="left" w:pos="907"/>
        </w:tabs>
        <w:adjustRightInd/>
        <w:snapToGrid/>
        <w:jc w:val="both"/>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114" w:name="_Toc303084277"/>
      <w:bookmarkStart w:id="115" w:name="_Toc29009"/>
      <w:bookmarkStart w:id="116" w:name="_Toc382049124"/>
      <w:bookmarkStart w:id="117" w:name="_Toc6617"/>
      <w:bookmarkStart w:id="118" w:name="_Toc6306"/>
      <w:r>
        <w:rPr>
          <w:rFonts w:hint="eastAsia" w:ascii="宋体" w:hAnsi="宋体" w:eastAsia="宋体" w:cs="宋体"/>
          <w:color w:val="auto"/>
          <w:sz w:val="21"/>
          <w:szCs w:val="21"/>
          <w:highlight w:val="none"/>
        </w:rPr>
        <w:t>履约</w:t>
      </w:r>
      <w:bookmarkEnd w:id="114"/>
      <w:bookmarkEnd w:id="115"/>
      <w:bookmarkEnd w:id="116"/>
      <w:r>
        <w:rPr>
          <w:rFonts w:hint="eastAsia" w:ascii="宋体" w:hAnsi="宋体" w:eastAsia="宋体" w:cs="宋体"/>
          <w:color w:val="auto"/>
          <w:sz w:val="21"/>
          <w:szCs w:val="21"/>
          <w:highlight w:val="none"/>
        </w:rPr>
        <w:t>担保</w:t>
      </w:r>
      <w:bookmarkEnd w:id="117"/>
      <w:bookmarkEnd w:id="118"/>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履约担保期限从合同签订之日起至项目服务期结束验收合格并结算完毕后，经双方签字7天内保持有效。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履约担保可以采用下列任何一种形式：</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widowControl w:val="0"/>
        <w:numPr>
          <w:ilvl w:val="1"/>
          <w:numId w:val="2"/>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widowControl w:val="0"/>
        <w:numPr>
          <w:ilvl w:val="1"/>
          <w:numId w:val="2"/>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为取得履约担保所需的费用，由中标人承担；若工期延误，履约担保时间延长，延长费用由中标人承担。</w:t>
      </w:r>
    </w:p>
    <w:p>
      <w:pPr>
        <w:widowControl w:val="0"/>
        <w:numPr>
          <w:ilvl w:val="1"/>
          <w:numId w:val="2"/>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下列任何情况发生时，采购人有权行使享有的担保权利：</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（1）中标人将本项目转让给他人，或者在投标文件中未说明，且未经采购人同意，将中标项目分包给他人的；</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（2）中标人在履行采购合同期间，违反有关法律法规的规定及合同约定的条款，损害了采购人的利益。</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在整个项目验收合格后，中标人向采购人提交退回履约担保的申请，采购人办理履约担保退还手续。</w:t>
      </w:r>
    </w:p>
    <w:p>
      <w:pPr>
        <w:widowControl w:val="0"/>
        <w:tabs>
          <w:tab w:val="left" w:pos="907"/>
        </w:tabs>
        <w:adjustRightInd/>
        <w:snapToGrid/>
        <w:jc w:val="both"/>
        <w:rPr>
          <w:rFonts w:hint="eastAsia" w:ascii="宋体" w:hAnsi="宋体" w:eastAsia="宋体" w:cs="宋体"/>
          <w:color w:val="auto"/>
          <w:highlight w:val="none"/>
        </w:rPr>
      </w:pPr>
    </w:p>
    <w:p>
      <w:pPr>
        <w:pStyle w:val="2"/>
        <w:widowControl w:val="0"/>
        <w:numPr>
          <w:ilvl w:val="0"/>
          <w:numId w:val="2"/>
        </w:numPr>
        <w:overflowPunct w:val="0"/>
        <w:rPr>
          <w:rFonts w:hint="eastAsia" w:ascii="宋体" w:hAnsi="宋体" w:eastAsia="宋体" w:cs="宋体"/>
          <w:color w:val="auto"/>
          <w:sz w:val="21"/>
          <w:szCs w:val="21"/>
          <w:highlight w:val="none"/>
        </w:rPr>
      </w:pPr>
      <w:bookmarkStart w:id="119" w:name="_Toc26640"/>
      <w:bookmarkStart w:id="120" w:name="_Toc18880"/>
      <w:r>
        <w:rPr>
          <w:rFonts w:hint="eastAsia" w:ascii="宋体" w:hAnsi="宋体" w:eastAsia="宋体" w:cs="宋体"/>
          <w:color w:val="auto"/>
          <w:sz w:val="21"/>
          <w:szCs w:val="21"/>
          <w:highlight w:val="none"/>
        </w:rPr>
        <w:t>预付款保函（适用于预付款支付）</w:t>
      </w:r>
      <w:bookmarkEnd w:id="119"/>
      <w:bookmarkEnd w:id="120"/>
    </w:p>
    <w:p>
      <w:pPr>
        <w:pStyle w:val="42"/>
        <w:widowControl w:val="0"/>
        <w:numPr>
          <w:ilvl w:val="0"/>
          <w:numId w:val="3"/>
        </w:numPr>
        <w:tabs>
          <w:tab w:val="left" w:pos="567"/>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预付款保函应：</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（1）由东莞市行政区域内的银行支行及以上银行机构开具。非东莞市行政区内的银行开具的保函要由银行所在地公证部门出具的公证书。</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（2）必须打印，手写、涂改无效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若中标人不能按本须知（34.1至34.2）的规定执行，采购人将不予支付预付款。</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rPr>
          <w:rFonts w:hint="eastAsia" w:ascii="宋体" w:hAnsi="宋体" w:eastAsia="宋体" w:cs="宋体"/>
          <w:color w:val="auto"/>
          <w:highlight w:val="none"/>
        </w:rPr>
      </w:pPr>
    </w:p>
    <w:p>
      <w:pPr>
        <w:pStyle w:val="5"/>
        <w:numPr>
          <w:ilvl w:val="0"/>
          <w:numId w:val="1"/>
        </w:numPr>
        <w:spacing w:before="0" w:after="0" w:line="360" w:lineRule="auto"/>
        <w:jc w:val="center"/>
        <w:rPr>
          <w:rFonts w:hint="eastAsia" w:ascii="宋体" w:hAnsi="宋体" w:eastAsia="宋体" w:cs="宋体"/>
          <w:color w:val="auto"/>
          <w:highlight w:val="none"/>
        </w:rPr>
      </w:pPr>
      <w:bookmarkStart w:id="121" w:name="_Toc10416"/>
      <w:bookmarkStart w:id="122" w:name="_Toc21814"/>
      <w:r>
        <w:rPr>
          <w:rFonts w:hint="eastAsia" w:ascii="宋体" w:hAnsi="宋体" w:eastAsia="宋体" w:cs="宋体"/>
          <w:color w:val="auto"/>
          <w:highlight w:val="none"/>
        </w:rPr>
        <w:t>异议</w:t>
      </w:r>
      <w:bookmarkEnd w:id="121"/>
      <w:bookmarkEnd w:id="122"/>
    </w:p>
    <w:p>
      <w:pPr>
        <w:pStyle w:val="2"/>
        <w:widowControl w:val="0"/>
        <w:numPr>
          <w:ilvl w:val="0"/>
          <w:numId w:val="2"/>
        </w:numPr>
        <w:overflowPunct w:val="0"/>
        <w:rPr>
          <w:rFonts w:hint="eastAsia" w:ascii="宋体" w:hAnsi="宋体" w:eastAsia="宋体" w:cs="宋体"/>
          <w:color w:val="auto"/>
          <w:sz w:val="21"/>
          <w:szCs w:val="21"/>
          <w:highlight w:val="none"/>
        </w:rPr>
      </w:pPr>
      <w:bookmarkStart w:id="123" w:name="_Toc9791"/>
      <w:bookmarkStart w:id="124" w:name="_Toc25925"/>
      <w:r>
        <w:rPr>
          <w:rFonts w:hint="eastAsia" w:ascii="宋体" w:hAnsi="宋体" w:eastAsia="宋体" w:cs="宋体"/>
          <w:color w:val="auto"/>
          <w:sz w:val="21"/>
          <w:szCs w:val="21"/>
          <w:highlight w:val="none"/>
        </w:rPr>
        <w:t>异议</w:t>
      </w:r>
      <w:bookmarkEnd w:id="123"/>
      <w:bookmarkEnd w:id="124"/>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采购文件的异议</w:t>
      </w:r>
      <w:r>
        <w:rPr>
          <w:rFonts w:hint="eastAsia" w:ascii="宋体" w:hAnsi="宋体" w:eastAsia="宋体" w:cs="宋体"/>
          <w:color w:val="auto"/>
          <w:szCs w:val="21"/>
          <w:highlight w:val="none"/>
        </w:rPr>
        <w:t xml:space="preserve">  </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bCs/>
          <w:color w:val="auto"/>
          <w:kern w:val="2"/>
          <w:szCs w:val="21"/>
          <w:highlight w:val="none"/>
          <w:lang w:val="zh-CN"/>
        </w:rPr>
        <w:t>投标人或者其他利害关系人对采购文件有异议的，应当在投标截止时间10日前</w:t>
      </w:r>
      <w:r>
        <w:rPr>
          <w:rFonts w:hint="eastAsia" w:ascii="宋体" w:hAnsi="宋体" w:eastAsia="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eastAsia="宋体" w:cs="宋体"/>
          <w:bCs/>
          <w:color w:val="auto"/>
          <w:kern w:val="2"/>
          <w:szCs w:val="21"/>
          <w:highlight w:val="none"/>
          <w:lang w:val="zh-CN"/>
        </w:rPr>
        <w:t>异议</w:t>
      </w:r>
      <w:r>
        <w:rPr>
          <w:rFonts w:hint="eastAsia" w:ascii="宋体" w:hAnsi="宋体" w:eastAsia="宋体" w:cs="宋体"/>
          <w:color w:val="auto"/>
          <w:kern w:val="2"/>
          <w:szCs w:val="21"/>
          <w:highlight w:val="none"/>
          <w:lang w:val="zh-CN"/>
        </w:rPr>
        <w:t>书面材料必须加盖投标人法人公章，并注明联系人、联系电话、联系地址。</w:t>
      </w:r>
      <w:r>
        <w:rPr>
          <w:rFonts w:hint="eastAsia" w:ascii="宋体" w:hAnsi="宋体" w:eastAsia="宋体" w:cs="宋体"/>
          <w:bCs/>
          <w:color w:val="auto"/>
          <w:kern w:val="2"/>
          <w:szCs w:val="21"/>
          <w:highlight w:val="none"/>
          <w:lang w:val="zh-CN"/>
        </w:rPr>
        <w:t>超出</w:t>
      </w:r>
      <w:r>
        <w:rPr>
          <w:rFonts w:hint="eastAsia" w:ascii="宋体" w:hAnsi="宋体" w:eastAsia="宋体" w:cs="宋体"/>
          <w:color w:val="auto"/>
          <w:kern w:val="2"/>
          <w:szCs w:val="21"/>
          <w:highlight w:val="none"/>
          <w:lang w:val="zh-CN"/>
        </w:rPr>
        <w:t>提交接收异议截止时间而</w:t>
      </w:r>
      <w:r>
        <w:rPr>
          <w:rFonts w:hint="eastAsia" w:ascii="宋体" w:hAnsi="宋体" w:eastAsia="宋体" w:cs="宋体"/>
          <w:bCs/>
          <w:color w:val="auto"/>
          <w:kern w:val="2"/>
          <w:szCs w:val="21"/>
          <w:highlight w:val="none"/>
          <w:lang w:val="zh-CN"/>
        </w:rPr>
        <w:t>提出的任何疑问，</w:t>
      </w:r>
      <w:r>
        <w:rPr>
          <w:rFonts w:hint="eastAsia" w:ascii="宋体" w:hAnsi="宋体" w:eastAsia="宋体" w:cs="宋体"/>
          <w:bCs/>
          <w:color w:val="auto"/>
          <w:kern w:val="2"/>
          <w:szCs w:val="21"/>
          <w:highlight w:val="none"/>
        </w:rPr>
        <w:t>采购人或</w:t>
      </w:r>
      <w:r>
        <w:rPr>
          <w:rFonts w:hint="eastAsia" w:ascii="宋体" w:hAnsi="宋体" w:eastAsia="宋体" w:cs="宋体"/>
          <w:bCs/>
          <w:color w:val="auto"/>
          <w:kern w:val="2"/>
          <w:szCs w:val="21"/>
          <w:highlight w:val="none"/>
          <w:lang w:val="zh-CN"/>
        </w:rPr>
        <w:t>采购代理机构可不予答复。</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评标结果异议</w:t>
      </w:r>
      <w:r>
        <w:rPr>
          <w:rFonts w:hint="eastAsia" w:ascii="宋体" w:hAnsi="宋体" w:eastAsia="宋体" w:cs="宋体"/>
          <w:color w:val="auto"/>
          <w:szCs w:val="21"/>
          <w:highlight w:val="none"/>
        </w:rPr>
        <w:t xml:space="preserve">   </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以联合体形式参加采购活动的，其异议应当由组成联合体的所有投标人共同提出。</w:t>
      </w:r>
    </w:p>
    <w:p>
      <w:pPr>
        <w:rPr>
          <w:rFonts w:hint="eastAsia" w:ascii="宋体" w:hAnsi="宋体" w:eastAsia="宋体" w:cs="宋体"/>
          <w:color w:val="auto"/>
          <w:highlight w:val="none"/>
        </w:rPr>
      </w:pPr>
    </w:p>
    <w:p>
      <w:pPr>
        <w:pStyle w:val="5"/>
        <w:numPr>
          <w:ilvl w:val="0"/>
          <w:numId w:val="1"/>
        </w:numPr>
        <w:spacing w:before="0" w:after="0" w:line="360" w:lineRule="auto"/>
        <w:jc w:val="center"/>
        <w:rPr>
          <w:rFonts w:hint="eastAsia" w:ascii="宋体" w:hAnsi="宋体" w:eastAsia="宋体" w:cs="宋体"/>
          <w:color w:val="auto"/>
          <w:highlight w:val="none"/>
        </w:rPr>
      </w:pPr>
      <w:bookmarkStart w:id="125" w:name="_Toc21144"/>
      <w:bookmarkStart w:id="126" w:name="_Toc18965"/>
      <w:r>
        <w:rPr>
          <w:rFonts w:hint="eastAsia" w:ascii="宋体" w:hAnsi="宋体" w:eastAsia="宋体" w:cs="宋体"/>
          <w:color w:val="auto"/>
          <w:highlight w:val="none"/>
        </w:rPr>
        <w:t>其他</w:t>
      </w:r>
      <w:bookmarkEnd w:id="125"/>
      <w:bookmarkEnd w:id="126"/>
    </w:p>
    <w:p>
      <w:pPr>
        <w:pStyle w:val="2"/>
        <w:widowControl w:val="0"/>
        <w:numPr>
          <w:ilvl w:val="0"/>
          <w:numId w:val="2"/>
        </w:numPr>
        <w:overflowPunct w:val="0"/>
        <w:rPr>
          <w:rFonts w:hint="eastAsia" w:ascii="宋体" w:hAnsi="宋体" w:eastAsia="宋体" w:cs="宋体"/>
          <w:color w:val="auto"/>
          <w:sz w:val="21"/>
          <w:szCs w:val="21"/>
          <w:highlight w:val="none"/>
        </w:rPr>
      </w:pPr>
      <w:bookmarkStart w:id="127" w:name="_Toc1587"/>
      <w:bookmarkStart w:id="128" w:name="_Toc1563"/>
      <w:r>
        <w:rPr>
          <w:rFonts w:hint="eastAsia" w:ascii="宋体" w:hAnsi="宋体" w:eastAsia="宋体" w:cs="宋体"/>
          <w:color w:val="auto"/>
          <w:sz w:val="21"/>
          <w:szCs w:val="21"/>
          <w:highlight w:val="none"/>
        </w:rPr>
        <w:t>采购文件的解释权</w:t>
      </w:r>
      <w:bookmarkEnd w:id="127"/>
      <w:bookmarkEnd w:id="128"/>
    </w:p>
    <w:p>
      <w:pPr>
        <w:pStyle w:val="42"/>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本采购文件是根据国家有关法律、法规以及采购管理有关规定和参照国际惯例编制，解释权属本采购代理机构。</w:t>
      </w:r>
    </w:p>
    <w:p>
      <w:pPr>
        <w:widowControl w:val="0"/>
        <w:numPr>
          <w:ilvl w:val="1"/>
          <w:numId w:val="7"/>
        </w:numPr>
        <w:tabs>
          <w:tab w:val="left" w:pos="907"/>
        </w:tabs>
        <w:adjustRightInd/>
        <w:snapToGrid/>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4"/>
        <w:spacing w:before="0" w:after="0" w:line="240" w:lineRule="auto"/>
        <w:rPr>
          <w:rFonts w:hint="eastAsia" w:ascii="宋体" w:hAnsi="宋体" w:eastAsia="宋体" w:cs="宋体"/>
          <w:color w:val="auto"/>
          <w:sz w:val="28"/>
          <w:szCs w:val="28"/>
          <w:highlight w:val="none"/>
        </w:rPr>
      </w:pPr>
      <w:bookmarkStart w:id="129" w:name="_Toc2830"/>
      <w:r>
        <w:rPr>
          <w:rFonts w:hint="eastAsia" w:ascii="宋体" w:hAnsi="宋体" w:eastAsia="宋体" w:cs="宋体"/>
          <w:color w:val="auto"/>
          <w:sz w:val="28"/>
          <w:szCs w:val="28"/>
          <w:highlight w:val="none"/>
        </w:rPr>
        <w:t>第五部分  合同条款格式</w:t>
      </w:r>
      <w:bookmarkEnd w:id="129"/>
      <w:bookmarkStart w:id="130" w:name="_Toc15636"/>
    </w:p>
    <w:bookmarkEnd w:id="130"/>
    <w:p>
      <w:pPr>
        <w:rPr>
          <w:rFonts w:hint="eastAsia" w:ascii="宋体" w:hAnsi="宋体" w:eastAsia="宋体" w:cs="宋体"/>
          <w:color w:val="auto"/>
          <w:highlight w:val="none"/>
          <w:lang w:bidi="zh-CN"/>
        </w:rPr>
      </w:pPr>
      <w:bookmarkStart w:id="131" w:name="_Hlt109815959"/>
      <w:bookmarkEnd w:id="131"/>
    </w:p>
    <w:p>
      <w:pPr>
        <w:pageBreakBefore w:val="0"/>
        <w:shd w:val="clear"/>
        <w:kinsoku/>
        <w:topLinePunct w:val="0"/>
        <w:autoSpaceDE/>
        <w:autoSpaceDN/>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此仅为合同书样本，中标人需根据实际情况和甲方签订相应的合同！</w:t>
      </w:r>
    </w:p>
    <w:p>
      <w:pPr>
        <w:pStyle w:val="11"/>
        <w:pageBreakBefore w:val="0"/>
        <w:kinsoku/>
        <w:wordWrap/>
        <w:overflowPunct/>
        <w:topLinePunct w:val="0"/>
        <w:autoSpaceDE/>
        <w:autoSpaceDN/>
        <w:bidi w:val="0"/>
        <w:spacing w:before="0"/>
        <w:textAlignment w:val="auto"/>
        <w:rPr>
          <w:rFonts w:hint="eastAsia" w:ascii="宋体" w:hAnsi="宋体" w:eastAsia="宋体" w:cs="宋体"/>
          <w:color w:val="auto"/>
          <w:highlight w:val="none"/>
        </w:rPr>
      </w:pPr>
    </w:p>
    <w:p>
      <w:pPr>
        <w:pStyle w:val="5"/>
        <w:pageBreakBefore w:val="0"/>
        <w:shd w:val="clear"/>
        <w:kinsoku/>
        <w:wordWrap/>
        <w:overflowPunct/>
        <w:topLinePunct w:val="0"/>
        <w:autoSpaceDE/>
        <w:autoSpaceDN/>
        <w:bidi w:val="0"/>
        <w:spacing w:before="0" w:after="0" w:line="360" w:lineRule="auto"/>
        <w:jc w:val="center"/>
        <w:textAlignment w:val="auto"/>
        <w:rPr>
          <w:rFonts w:hint="eastAsia" w:ascii="宋体" w:hAnsi="宋体" w:eastAsia="宋体" w:cs="宋体"/>
          <w:color w:val="auto"/>
          <w:highlight w:val="none"/>
        </w:rPr>
      </w:pPr>
      <w:bookmarkStart w:id="132" w:name="_Toc10223"/>
      <w:bookmarkStart w:id="133" w:name="_Toc16480"/>
      <w:bookmarkStart w:id="134" w:name="_Toc18720"/>
      <w:r>
        <w:rPr>
          <w:rFonts w:hint="eastAsia" w:ascii="宋体" w:hAnsi="宋体" w:eastAsia="宋体" w:cs="宋体"/>
          <w:color w:val="auto"/>
          <w:highlight w:val="none"/>
        </w:rPr>
        <w:t>合同格式</w:t>
      </w:r>
      <w:bookmarkEnd w:id="132"/>
      <w:bookmarkEnd w:id="133"/>
      <w:bookmarkEnd w:id="134"/>
    </w:p>
    <w:p>
      <w:pPr>
        <w:keepNext w:val="0"/>
        <w:keepLines w:val="0"/>
        <w:pageBreakBefore w:val="0"/>
        <w:shd w:val="clear"/>
        <w:kinsoku/>
        <w:wordWrap/>
        <w:overflowPunct/>
        <w:topLinePunct w:val="0"/>
        <w:autoSpaceDE/>
        <w:autoSpaceDN/>
        <w:bidi w:val="0"/>
        <w:spacing w:line="400" w:lineRule="exact"/>
        <w:ind w:right="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p>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”为中标单位</w:t>
      </w:r>
    </w:p>
    <w:p>
      <w:pPr>
        <w:keepNext w:val="0"/>
        <w:keepLines w:val="0"/>
        <w:pageBreakBefore w:val="0"/>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受甲方委托，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招标代理机构</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组织对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招标项目编号</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日通过公开招标，经评标委员会评定乙方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为中标单位。为了保护甲、乙双方合法权益，根据《中华人民共和国</w:t>
      </w:r>
      <w:r>
        <w:rPr>
          <w:rFonts w:hint="eastAsia" w:ascii="宋体" w:hAnsi="宋体" w:eastAsia="宋体" w:cs="宋体"/>
          <w:color w:val="auto"/>
          <w:highlight w:val="none"/>
          <w:lang w:eastAsia="zh-CN"/>
        </w:rPr>
        <w:t>民法典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等相关法律</w:t>
      </w:r>
      <w:r>
        <w:rPr>
          <w:rFonts w:hint="eastAsia" w:ascii="宋体" w:hAnsi="宋体" w:eastAsia="宋体" w:cs="宋体"/>
          <w:color w:val="auto"/>
          <w:sz w:val="21"/>
          <w:szCs w:val="21"/>
          <w:highlight w:val="none"/>
        </w:rPr>
        <w:t>，在平等自愿的基础上，按照下面的条款和条件，签署本合同。</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                        ；</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招标项目编号</w:t>
      </w:r>
      <w:r>
        <w:rPr>
          <w:rFonts w:hint="eastAsia" w:ascii="宋体" w:hAnsi="宋体" w:eastAsia="宋体" w:cs="宋体"/>
          <w:color w:val="auto"/>
          <w:sz w:val="21"/>
          <w:szCs w:val="21"/>
          <w:highlight w:val="none"/>
        </w:rPr>
        <w:t>：                   。</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合同组成</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1、合同文件组成内容包括：本合同书 、招标文件（含招标文件澄清通知）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中标通知书、投标</w:t>
      </w:r>
      <w:r>
        <w:rPr>
          <w:rFonts w:hint="eastAsia" w:ascii="宋体" w:hAnsi="宋体" w:eastAsia="宋体" w:cs="宋体"/>
          <w:color w:val="auto"/>
          <w:sz w:val="21"/>
          <w:szCs w:val="21"/>
          <w:highlight w:val="none"/>
        </w:rPr>
        <w:t>文件</w:t>
      </w:r>
      <w:r>
        <w:rPr>
          <w:rFonts w:hint="eastAsia" w:ascii="宋体" w:hAnsi="宋体" w:eastAsia="宋体" w:cs="宋体"/>
          <w:color w:val="auto"/>
          <w:highlight w:val="none"/>
        </w:rPr>
        <w:t>（含澄清内容）等。</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default" w:ascii="宋体" w:hAnsi="宋体" w:eastAsia="宋体" w:cs="宋体"/>
          <w:color w:val="auto"/>
          <w:highlight w:val="none"/>
          <w:lang w:val="en-US" w:eastAsia="zh-CN"/>
        </w:rPr>
      </w:pPr>
      <w:bookmarkStart w:id="135" w:name="_Toc86481558"/>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当合同文件内容出现含糊不清或不相一致时，应在不影响业务正常进行的情况下，由甲方和</w:t>
      </w:r>
      <w:r>
        <w:rPr>
          <w:rFonts w:hint="eastAsia" w:ascii="宋体" w:hAnsi="宋体" w:eastAsia="宋体" w:cs="宋体"/>
          <w:color w:val="auto"/>
          <w:sz w:val="21"/>
          <w:szCs w:val="21"/>
          <w:highlight w:val="none"/>
        </w:rPr>
        <w:t>乙方</w:t>
      </w:r>
      <w:r>
        <w:rPr>
          <w:rFonts w:hint="eastAsia" w:ascii="宋体" w:hAnsi="宋体" w:eastAsia="宋体" w:cs="宋体"/>
          <w:color w:val="auto"/>
          <w:highlight w:val="none"/>
        </w:rPr>
        <w:t>协商解决。</w:t>
      </w:r>
      <w:r>
        <w:rPr>
          <w:rFonts w:hint="eastAsia" w:ascii="宋体" w:hAnsi="宋体" w:eastAsia="宋体" w:cs="宋体"/>
          <w:color w:val="auto"/>
          <w:sz w:val="21"/>
          <w:szCs w:val="21"/>
          <w:highlight w:val="none"/>
        </w:rPr>
        <w:t>双方</w:t>
      </w:r>
      <w:r>
        <w:rPr>
          <w:rFonts w:hint="eastAsia" w:ascii="宋体" w:hAnsi="宋体" w:eastAsia="宋体" w:cs="宋体"/>
          <w:color w:val="auto"/>
          <w:highlight w:val="none"/>
        </w:rPr>
        <w:t>协商不成时，按本合同第</w:t>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条关于争议的约定处理。</w:t>
      </w:r>
    </w:p>
    <w:p>
      <w:pPr>
        <w:keepNext w:val="0"/>
        <w:keepLines w:val="0"/>
        <w:pageBreakBefore w:val="0"/>
        <w:shd w:val="clear"/>
        <w:kinsoku w:val="0"/>
        <w:wordWrap w:val="0"/>
        <w:overflowPunct/>
        <w:topLinePunct w:val="0"/>
        <w:autoSpaceDE/>
        <w:autoSpaceDN/>
        <w:bidi w:val="0"/>
        <w:adjustRightInd w:val="0"/>
        <w:snapToGrid w:val="0"/>
        <w:spacing w:after="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服务内容、标准及要求</w:t>
      </w:r>
    </w:p>
    <w:p>
      <w:pPr>
        <w:keepNext w:val="0"/>
        <w:keepLines w:val="0"/>
        <w:pageBreakBefore w:val="0"/>
        <w:widowControl/>
        <w:kinsoku w:val="0"/>
        <w:wordWrap w:val="0"/>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一、采购项目概述</w:t>
      </w:r>
    </w:p>
    <w:p>
      <w:pPr>
        <w:keepNext w:val="0"/>
        <w:keepLines w:val="0"/>
        <w:pageBreakBefore w:val="0"/>
        <w:widowControl/>
        <w:kinsoku w:val="0"/>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本项目服务内容为东鸿公司本部食堂食材2025-2026年度配送服务。主要配送食材为蔬菜类、鱼肉类、</w:t>
      </w:r>
      <w:r>
        <w:rPr>
          <w:rFonts w:hint="eastAsia" w:ascii="宋体" w:hAnsi="宋体" w:eastAsia="宋体" w:cs="宋体"/>
          <w:color w:val="auto"/>
          <w:highlight w:val="none"/>
          <w:lang w:val="en-US" w:eastAsia="zh-CN"/>
        </w:rPr>
        <w:t>米麺</w:t>
      </w:r>
      <w:r>
        <w:rPr>
          <w:rFonts w:hint="eastAsia" w:ascii="宋体" w:hAnsi="宋体" w:eastAsia="宋体" w:cs="宋体"/>
          <w:color w:val="auto"/>
          <w:highlight w:val="none"/>
        </w:rPr>
        <w:t>类、副食品、糕点类、调味品、水果等，具体数量和食材以实际</w:t>
      </w:r>
      <w:r>
        <w:rPr>
          <w:rFonts w:hint="eastAsia" w:ascii="宋体" w:hAnsi="宋体" w:eastAsia="宋体" w:cs="宋体"/>
          <w:color w:val="auto"/>
          <w:highlight w:val="none"/>
          <w:lang w:eastAsia="zh-CN"/>
        </w:rPr>
        <w:t>下单配送</w:t>
      </w:r>
      <w:r>
        <w:rPr>
          <w:rFonts w:hint="eastAsia" w:ascii="宋体" w:hAnsi="宋体" w:eastAsia="宋体" w:cs="宋体"/>
          <w:color w:val="auto"/>
          <w:highlight w:val="none"/>
        </w:rPr>
        <w:t>为准。</w:t>
      </w:r>
    </w:p>
    <w:p>
      <w:pPr>
        <w:keepNext w:val="0"/>
        <w:keepLines w:val="0"/>
        <w:pageBreakBefore w:val="0"/>
        <w:widowControl/>
        <w:kinsoku w:val="0"/>
        <w:wordWrap w:val="0"/>
        <w:overflowPunct/>
        <w:topLinePunct w:val="0"/>
        <w:autoSpaceDE/>
        <w:autoSpaceDN/>
        <w:bidi w:val="0"/>
        <w:adjustRightInd w:val="0"/>
        <w:snapToGrid w:val="0"/>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、双方进行基准价确定，</w:t>
      </w:r>
      <w:r>
        <w:rPr>
          <w:rFonts w:hint="eastAsia" w:ascii="宋体" w:hAnsi="宋体" w:cs="宋体"/>
          <w:color w:val="auto"/>
          <w:highlight w:val="none"/>
          <w:lang w:eastAsia="zh-CN"/>
        </w:rPr>
        <w:t>甲方</w:t>
      </w:r>
      <w:r>
        <w:rPr>
          <w:rFonts w:hint="eastAsia" w:ascii="宋体" w:hAnsi="宋体" w:eastAsia="宋体" w:cs="宋体"/>
          <w:color w:val="auto"/>
          <w:highlight w:val="none"/>
        </w:rPr>
        <w:t>参考当前时段东莞市发展和改革局公布同期“广东省菜篮子价格监测表”中最新一期的“东莞市菜篮子价格监测表”的价格，若“广东省菜篮子价格监测表”无</w:t>
      </w:r>
      <w:r>
        <w:rPr>
          <w:rFonts w:hint="eastAsia" w:ascii="宋体" w:hAnsi="宋体" w:cs="宋体"/>
          <w:color w:val="auto"/>
          <w:highlight w:val="none"/>
          <w:lang w:eastAsia="zh-CN"/>
        </w:rPr>
        <w:t>甲方</w:t>
      </w:r>
      <w:r>
        <w:rPr>
          <w:rFonts w:hint="eastAsia" w:ascii="宋体" w:hAnsi="宋体" w:eastAsia="宋体" w:cs="宋体"/>
          <w:color w:val="auto"/>
          <w:highlight w:val="none"/>
        </w:rPr>
        <w:t>所需的货品，则</w:t>
      </w:r>
      <w:r>
        <w:rPr>
          <w:rFonts w:hint="eastAsia" w:ascii="宋体" w:hAnsi="宋体" w:cs="宋体"/>
          <w:color w:val="auto"/>
          <w:highlight w:val="none"/>
          <w:lang w:eastAsia="zh-CN"/>
        </w:rPr>
        <w:t>甲方</w:t>
      </w:r>
      <w:r>
        <w:rPr>
          <w:rFonts w:hint="eastAsia" w:ascii="宋体" w:hAnsi="宋体" w:eastAsia="宋体" w:cs="宋体"/>
          <w:color w:val="auto"/>
          <w:highlight w:val="none"/>
        </w:rPr>
        <w:t>通过线上（美团、京东超市等）或线下（</w:t>
      </w:r>
      <w:r>
        <w:rPr>
          <w:rFonts w:hint="eastAsia" w:ascii="宋体" w:hAnsi="宋体" w:cs="宋体"/>
          <w:color w:val="auto"/>
          <w:highlight w:val="none"/>
          <w:lang w:eastAsia="zh-CN"/>
        </w:rPr>
        <w:t>甲方</w:t>
      </w:r>
      <w:r>
        <w:rPr>
          <w:rFonts w:hint="eastAsia" w:ascii="宋体" w:hAnsi="宋体" w:eastAsia="宋体" w:cs="宋体"/>
          <w:color w:val="auto"/>
          <w:highlight w:val="none"/>
        </w:rPr>
        <w:t>附近5公里范围内的商超或农贸市场）参考同类产品价格的平均价作为基准价，确定供货价格。原则上每隔二个星期调整一次价格，</w:t>
      </w:r>
      <w:r>
        <w:rPr>
          <w:rFonts w:hint="eastAsia" w:ascii="宋体" w:hAnsi="宋体" w:cs="宋体"/>
          <w:color w:val="auto"/>
          <w:highlight w:val="none"/>
          <w:lang w:eastAsia="zh-CN"/>
        </w:rPr>
        <w:t>乙方</w:t>
      </w:r>
      <w:r>
        <w:rPr>
          <w:rFonts w:hint="eastAsia" w:ascii="宋体" w:hAnsi="宋体" w:eastAsia="宋体" w:cs="宋体"/>
          <w:color w:val="auto"/>
          <w:highlight w:val="none"/>
        </w:rPr>
        <w:t>须于东莞市发展和改革局网站最新价格挂出后第二天提供最新一期的价格表，供</w:t>
      </w:r>
      <w:r>
        <w:rPr>
          <w:rFonts w:hint="eastAsia" w:ascii="宋体" w:hAnsi="宋体" w:cs="宋体"/>
          <w:color w:val="auto"/>
          <w:highlight w:val="none"/>
          <w:lang w:eastAsia="zh-CN"/>
        </w:rPr>
        <w:t>甲方</w:t>
      </w:r>
      <w:r>
        <w:rPr>
          <w:rFonts w:hint="eastAsia" w:ascii="宋体" w:hAnsi="宋体" w:eastAsia="宋体" w:cs="宋体"/>
          <w:color w:val="auto"/>
          <w:highlight w:val="none"/>
        </w:rPr>
        <w:t>确认后方可开始执行。</w:t>
      </w:r>
    </w:p>
    <w:p>
      <w:pPr>
        <w:keepNext w:val="0"/>
        <w:keepLines w:val="0"/>
        <w:pageBreakBefore w:val="0"/>
        <w:widowControl/>
        <w:kinsoku w:val="0"/>
        <w:wordWrap w:val="0"/>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二、采购项目</w:t>
      </w:r>
      <w:r>
        <w:rPr>
          <w:rFonts w:hint="eastAsia" w:ascii="宋体" w:hAnsi="宋体" w:eastAsia="宋体" w:cs="宋体"/>
          <w:b/>
          <w:bCs/>
          <w:color w:val="auto"/>
          <w:highlight w:val="none"/>
          <w:lang w:val="en-US" w:eastAsia="zh-CN"/>
        </w:rPr>
        <w:t>服务</w:t>
      </w:r>
      <w:r>
        <w:rPr>
          <w:rFonts w:hint="eastAsia" w:ascii="宋体" w:hAnsi="宋体" w:eastAsia="宋体" w:cs="宋体"/>
          <w:b/>
          <w:bCs/>
          <w:color w:val="auto"/>
          <w:highlight w:val="none"/>
        </w:rPr>
        <w:t>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项目总体要求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不得将成交项目转让或分包给他人，否则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有权单方终止合同,由此产生的一切经济损失由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自行承担。</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在合同履行期间保证对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的服务供应，成交后不得拒绝</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分配的任务。</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在服务期内没能达到响应文件承诺的服务要求或</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未按要求履行合同义务或</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的资质在服务期内发生变化不再符合要求，</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均有权单方终止协议，由此产生的一切经济损失由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自行承担。</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1.5在合同履行期间，</w:t>
      </w:r>
      <w:r>
        <w:rPr>
          <w:rFonts w:hint="eastAsia" w:ascii="宋体" w:hAnsi="宋体" w:eastAsia="宋体" w:cs="宋体"/>
          <w:color w:val="auto"/>
          <w:highlight w:val="none"/>
          <w:lang w:eastAsia="zh-CN"/>
        </w:rPr>
        <w:t>甲方有权</w:t>
      </w:r>
      <w:r>
        <w:rPr>
          <w:rFonts w:hint="eastAsia" w:ascii="宋体" w:hAnsi="宋体" w:eastAsia="宋体" w:cs="宋体"/>
          <w:color w:val="auto"/>
          <w:highlight w:val="none"/>
        </w:rPr>
        <w:t>结合自身的特点和需要制定具体配送管理方式。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在拟实施新增设备设施和人力资源等投入前，须充分考虑评估潜在的投资经营风险并制定应对措施。</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根据业务需要而需增补同类供应商时，可直接</w:t>
      </w:r>
      <w:r>
        <w:rPr>
          <w:rFonts w:hint="eastAsia" w:ascii="宋体" w:hAnsi="宋体" w:eastAsia="宋体" w:cs="宋体"/>
          <w:color w:val="auto"/>
          <w:highlight w:val="none"/>
          <w:lang w:eastAsia="zh-CN"/>
        </w:rPr>
        <w:t>根据甲方内部的管理办法自行决定</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无需征得原</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同意，且将不作任何补偿。</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需服从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和食品监</w:t>
      </w:r>
      <w:r>
        <w:rPr>
          <w:rFonts w:hint="eastAsia" w:ascii="宋体" w:hAnsi="宋体" w:eastAsia="宋体" w:cs="宋体"/>
          <w:color w:val="auto"/>
          <w:sz w:val="21"/>
          <w:szCs w:val="21"/>
          <w:highlight w:val="none"/>
        </w:rPr>
        <w:t>督部门的监督管理，配合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及时更新所提供的符合卫监部门的有效证明材料。如有效的营业执照、产品合格证或食品生产经营许可证等。</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2、5乙方</w:t>
      </w:r>
      <w:r>
        <w:rPr>
          <w:rFonts w:hint="eastAsia" w:ascii="宋体" w:hAnsi="宋体" w:eastAsia="宋体" w:cs="宋体"/>
          <w:color w:val="auto"/>
          <w:sz w:val="21"/>
          <w:szCs w:val="21"/>
          <w:highlight w:val="none"/>
        </w:rPr>
        <w:t>须承诺食材采购符合以下标准：</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（1）大米、食用油须在具有资质的供应商采购，须提供产地及合格检验报告。</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（2）佐料、食盐须从具有资质可靠供应商采购品牌企业产品。</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（3）蔬菜须从无公害基地采购，须提供合格农药残留检验报告。</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（4）肉类产品须有合格检验、检疫报告。</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（5）食品加工必须做到荤素用具分开、加工区域分开、生熟用具分开。</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（6）每</w:t>
      </w:r>
      <w:r>
        <w:rPr>
          <w:rFonts w:hint="eastAsia" w:ascii="宋体" w:hAnsi="宋体" w:eastAsia="宋体" w:cs="宋体"/>
          <w:color w:val="auto"/>
          <w:sz w:val="21"/>
          <w:szCs w:val="21"/>
          <w:highlight w:val="none"/>
          <w:lang w:eastAsia="zh-CN"/>
        </w:rPr>
        <w:t>天</w:t>
      </w:r>
      <w:r>
        <w:rPr>
          <w:rFonts w:hint="eastAsia" w:ascii="宋体" w:hAnsi="宋体" w:eastAsia="宋体" w:cs="宋体"/>
          <w:color w:val="auto"/>
          <w:sz w:val="21"/>
          <w:szCs w:val="21"/>
          <w:highlight w:val="none"/>
        </w:rPr>
        <w:t>菜式均有留样管理，留样时间48小时。</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鲜肉蔬菜冻肉类要求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.1鲜肉蔬菜供应货品质量要求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提供的鲜肉蔬菜需要保证每日新鲜，品种、质量应符合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要求，产品符合食品卫生安全法要求并出具有效的《农产品检验报告》。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使用“农药测试卡”检验蔬菜农药含量，如含量超标要求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无条件退货或换货，同时做好相关记录。</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（2）应保持较好的色泽和新鲜度，不得有黄叶，不得腐烂或有异常味道，不存在泥沙和异物，利用率不得低于95%。</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（3）不得供应转基因产品。</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（4）鲜肉类全部来源于正规肉联厂（或正规肉类屠宰场所）并提供政府检疫部门出示的检疫合格证明。（鲜肉类利用率不低于98%）</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.2冻肉供应货品质量要求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提供的冷冻产品须源于合格的生产厂家，生产厂家拥有标准化作业流程、可溯源，产品</w:t>
      </w:r>
      <w:r>
        <w:rPr>
          <w:rFonts w:hint="eastAsia" w:ascii="宋体" w:hAnsi="宋体" w:eastAsia="宋体" w:cs="宋体"/>
          <w:color w:val="auto"/>
          <w:highlight w:val="none"/>
        </w:rPr>
        <w:t>包装</w:t>
      </w:r>
      <w:r>
        <w:rPr>
          <w:rFonts w:hint="eastAsia" w:ascii="宋体" w:hAnsi="宋体" w:eastAsia="宋体" w:cs="宋体"/>
          <w:color w:val="auto"/>
          <w:sz w:val="21"/>
          <w:szCs w:val="21"/>
          <w:highlight w:val="none"/>
        </w:rPr>
        <w:t>上须清晰标注生产日期和保质期，严禁将三无作坊、变质、过期等不合格的产品配送给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。（从收货之日起计算剩余保质期不得低于标注保质期的50%）。</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（2）冷冻肉要求肉体冻实而坚硬，无化冻现象，肉质紧密而有弹性，色泽均匀，不粘手，交货时干净、新鲜、无异味。</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（3）冷冻鱼类要求鱼眼睛清亮，角膜透明，鳞片上覆有冻结的透明黏液层，皮肤天然色泽明显。</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配送要求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（1）容器要求清洁、干燥、牢固、透气，无污染、无异味、无霉变现象。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要采用符合卫生要求的运载工具，要保持清洁和定期消毒。运载车厢的内仓应为抗腐蚀、防潮、防虫、防鼠的设计，车厢内无异味。送货车辆应保持清洁，堆放科学合理，避免造成食材的交叉污染；如对温度有要求的应确定食材的温度，记录送货车辆温度，并记录存档。</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要免费提供运送及卸货服务。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（4）蔬菜应小心轻卸，严防机械损伤。</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（5）需要按照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要求的货品规格、数量、质量配送，如数量不足的，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应立即补足；如有10%以下（含10%）货品规格、质量不符合要求的，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应对不符合要求的货品进行更换；如有10%以上的货品规格、质量不符合要求的，由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选择整批退货或要求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按时整批更换。</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需设立自有检测室或有固定的送检机构，每种蔬菜每天都</w:t>
      </w:r>
      <w:r>
        <w:rPr>
          <w:rFonts w:hint="eastAsia" w:ascii="宋体" w:hAnsi="宋体" w:eastAsia="宋体" w:cs="宋体"/>
          <w:color w:val="auto"/>
          <w:sz w:val="21"/>
          <w:szCs w:val="21"/>
          <w:highlight w:val="none"/>
          <w:lang w:eastAsia="zh-CN"/>
        </w:rPr>
        <w:t>需有</w:t>
      </w:r>
      <w:r>
        <w:rPr>
          <w:rFonts w:hint="eastAsia" w:ascii="宋体" w:hAnsi="宋体" w:eastAsia="宋体" w:cs="宋体"/>
          <w:color w:val="auto"/>
          <w:sz w:val="21"/>
          <w:szCs w:val="21"/>
          <w:highlight w:val="none"/>
        </w:rPr>
        <w:t>农药残留的检测报告，食品检测人员或检测机构资料存档备查。</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对食品安全质量问题的处理：</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（1）对危及人体健康的食品质量问题（如农药残留超标、腐烂变质等）采取零容忍措施，一经发现，当日所送同批次货品全部退货，并追究相关责任。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（2）若验收时未发现问题，而在加工食用前发现部分货品质量有问题，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立即通知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，将问题货品作退换货处理，并追究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相关责任。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所供应货品出现质量问题造成食品安全事故，经查实后属</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责任的，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应承担全部责任和经济损失。</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水产海鲜类要求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供应货品质量要求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（1）非冰鲜类必须鲜活，利用率不低于95%；冰鲜类水产品解冻后利用率不低于80%；</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（2）鲜鱼鳞片完整，有光泽无脱落，眼球光亮透明，鳃口紧闭，鱼鳃鲜红，鳍尾完整，确保新鲜；</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（3）身体饱满结实，无腐烂，无异味（如泥腥味、电油味等），肉质紧密有弹性，无离骨脱刺现象；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（4）来源可靠放心，无毒、无害、无污染。</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配送要求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要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（2）冰鲜类水产品需要用专用冷藏、冷冻载具运输，保证运输过程冷链不中断，到达目的地时外包装箱干爽，无软化现象。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要免费提供运送及卸货服务。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（4）需要按照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要求的货品规格、数量、质量配送，如数量不足的，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应立即补足；如有10%以下（含10%）货品规格、质量不符合要求的，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应对不符合要求的货品进行更换；如有10%以上的货品规格、质量不符合要求的，由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选择整批退货或要求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按时整批更换。</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对食品安全质量问题的处理：</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（1）对危及人体健康的食品质量问题采取零容忍措施，一经发现，当日所送同批次货品全部退货，并追究相关责任。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（2）若验收时未发现问题，而在加工食用前发现部分货品质量有问题，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立即通知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，将问题货品作退换货处理，并追究相关责任。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所供应货品出现质量问题造成食品安全事故，经查实后属</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责任的，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应承担全部责任和经济损失。</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粮油副食品类要求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1供应货品质量要求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（1）需要由正规厂家生产，有相应的食品生产许可证号，内外包装完整无变形。</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（2）所供应货品需要符合相关质量安全要求，需要通过QS认证的货品必须有QS认证标志。</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（3）颜色品质纯正，不得有掺假、变质、变味等现象出现。</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（4）剩余保质期不得少于75%。</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.2配送要求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（1）包装需要符合国家规范，包装、容器清洁、干燥、牢固、透气，无污染、无异味、无霉变现象。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要采用符合卫生要求的运载工具，要保持清洁和定期消毒。运载车厢的内仓应为抗腐蚀、防潮、防虫、防鼠的设计，车厢内无异味。送货车辆应保持清洁，堆放科学合理，避免造成食材的交叉污染；如对温度有要求的应确定食材的温度，记录送货车辆温度，并记录存档。</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要免费提供运送及卸货服务。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（4）需要按照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要求的货品规格、数量、质量配送，如数量不足的，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应立即补足；如有10%以下（含10%）货品规格、质量不符合要求的，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应对不符合要求的货品进行更换；如有10%以上的货品规格、质量不符合要求的，由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选择整批退货或要求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按时整批更换。</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.3对食品安全质量问题的处理：</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（1）对危及人体健康的食品质量问题采取零容忍措施，一经发现，当日所送同批次货品全部退货，并追究相关责任。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（2）若验收时未发现问题，而在加工食用前发现部分货品质量有问题，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立即通知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，将问题货品作退换货处理，并追究相关责任。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所供应货品出现质量问题造成食品安全事故，经查实后属</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责任的，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应承担全部责任和经济损失。</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质量及包装要求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应充分理解并认真遵循本</w:t>
      </w:r>
      <w:r>
        <w:rPr>
          <w:rFonts w:hint="eastAsia" w:ascii="宋体" w:hAnsi="宋体" w:eastAsia="宋体" w:cs="宋体"/>
          <w:color w:val="auto"/>
          <w:sz w:val="21"/>
          <w:szCs w:val="21"/>
          <w:highlight w:val="none"/>
          <w:lang w:eastAsia="zh-CN"/>
        </w:rPr>
        <w:t>次</w:t>
      </w:r>
      <w:r>
        <w:rPr>
          <w:rFonts w:hint="eastAsia" w:ascii="宋体" w:hAnsi="宋体" w:eastAsia="宋体" w:cs="宋体"/>
          <w:color w:val="auto"/>
          <w:sz w:val="21"/>
          <w:szCs w:val="21"/>
          <w:highlight w:val="none"/>
        </w:rPr>
        <w:t>采购文件的要求，所提供的货物需要是满足采购文件要求。保证供应的货品均为正规生产的新鲜（冰鲜除外）、检验合格、无毒、无辐射、无侵权货品，符合国家有关卫生、质量、包装和保质标准，有使用有效期的货品，其剩余有效期不得少于标注有效期的75%。</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保证所提供的水产品和蔬菜种类的多样性和季节性，以保证新鲜感。</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.3货物有包装的，货物的包装必须完整清洁（无损、无污、无皱），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有权拒收包装不整齐、已拆封的货品。</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.4货品质量或包装不符合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需要无条件退货或更换。</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提供假冒伪劣、过期、变质货品的，一经发现，除按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要求无条件退货或换货外，还将受到如下处罚：</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提供过期、变质货品3次以上或提供假冒伪劣货品的，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有权单方终止合同；</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提供配送食品必须符合《中华人民共和国食品安全法》的要求，严格执行各项食品安全检验，如发生食物中毒或其他因配送物品造成人员中毒、伤残、伤亡等事故，经有关部门鉴定后，由责任方全部承担相关民事和法律责任。(乙方须提供承诺书，格式自拟)</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配送服务要求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应当根据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实际情况，按照与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的约定，在规定的时间内将预定的货物如数送到指定地点。除发生客观不可抗力的情况外，</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不得推迟送货。如确需延迟送货的，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应在得知情况的同时告知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并征得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延迟造成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利益受损的，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赔偿。</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.2一般每天食堂</w:t>
      </w:r>
      <w:r>
        <w:rPr>
          <w:rFonts w:hint="eastAsia" w:ascii="宋体" w:hAnsi="宋体" w:eastAsia="宋体" w:cs="宋体"/>
          <w:color w:val="auto"/>
          <w:sz w:val="21"/>
          <w:szCs w:val="21"/>
          <w:highlight w:val="none"/>
          <w:lang w:val="en-US" w:eastAsia="zh-CN"/>
        </w:rPr>
        <w:t>食材</w:t>
      </w:r>
      <w:r>
        <w:rPr>
          <w:rFonts w:hint="eastAsia" w:ascii="宋体" w:hAnsi="宋体" w:eastAsia="宋体" w:cs="宋体"/>
          <w:color w:val="auto"/>
          <w:sz w:val="21"/>
          <w:szCs w:val="21"/>
          <w:highlight w:val="none"/>
        </w:rPr>
        <w:t>送货1次，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在前一天确认采购订单。每次订单不论数量多少，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都需要按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要求配送。对于临时性采购订单，</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需要积极配合，按照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要求按时、按质、按量将货品配送到指定地点。</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负责货品配送前的仓储，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不提供仓库。</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签收之前，货物的所有权和风险属于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，货物发生遗失、损坏由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需要严格按照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的订单配送货品，不得随意增减数量或改变品种。如因市场流通问题确实需要变更供货内容的，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应在得知情况的同时书面告知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并征得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同意后方可变更，否则，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有权拒收，由此产生的一切损失和费用由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不能按核定的供货价交付本项目中的某些货品、不能提供与其承诺相符的服务或</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存在违反采购文件和合同的行为，并且不予纠正的，将取消其成交资格。此项下违约行为包括但不限于下列各项：</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订货要求后，在承诺的供货时间内不能供货的。</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未能提供承诺的服务的。</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不能在约定时间内提供合法票据进行结算的。</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送货专员在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单位活动但不遵守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单位各项规章制度或做出有损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形象和利益的事情的。</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泄露</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秘密的。如泄密行为造成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将承担由此产生的一切损失和法律责任。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 如甲方因特殊需求，需临时增加配送材料，乙方必须在规定时间内送达，对小量常用品的临时需求能做到60分钟内送到。对不合格产品需及时更换且60分钟内送到。</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考核标准</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对食材配送供应商实行考核制度，考核指标包括食品安全、供货质量、供货数量准确性、供货价格、服务质量等，每月进行一次月考核。</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在服务期限内须接受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的考核。考核具体内容详见附件1。</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考核结果分为合格和不合格2个等次：</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（1）考核得分为80分或以上的，考核结果为合格</w:t>
      </w:r>
      <w:r>
        <w:rPr>
          <w:rFonts w:hint="eastAsia" w:ascii="宋体" w:hAnsi="宋体" w:cs="宋体"/>
          <w:color w:val="auto"/>
          <w:sz w:val="21"/>
          <w:szCs w:val="21"/>
          <w:highlight w:val="none"/>
          <w:lang w:eastAsia="zh-CN"/>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（2）考核得分低于80分的，考核结果为不合格。</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如月度考核80分≤</w:t>
      </w:r>
      <w:r>
        <w:rPr>
          <w:rFonts w:hint="eastAsia" w:ascii="宋体" w:hAnsi="宋体" w:eastAsia="宋体" w:cs="宋体"/>
          <w:color w:val="auto"/>
          <w:sz w:val="21"/>
          <w:szCs w:val="21"/>
          <w:highlight w:val="none"/>
        </w:rPr>
        <w:t>考核结果</w:t>
      </w:r>
      <w:r>
        <w:rPr>
          <w:rFonts w:hint="eastAsia" w:ascii="宋体" w:hAnsi="宋体" w:eastAsia="宋体" w:cs="宋体"/>
          <w:color w:val="auto"/>
          <w:sz w:val="21"/>
          <w:szCs w:val="21"/>
          <w:highlight w:val="none"/>
          <w:lang w:val="en-US" w:eastAsia="zh-CN"/>
        </w:rPr>
        <w:t>≤90分，</w:t>
      </w:r>
      <w:r>
        <w:rPr>
          <w:rFonts w:hint="eastAsia" w:ascii="宋体" w:hAnsi="宋体" w:eastAsia="宋体" w:cs="宋体"/>
          <w:color w:val="auto"/>
          <w:sz w:val="21"/>
          <w:szCs w:val="21"/>
          <w:highlight w:val="none"/>
        </w:rPr>
        <w:t>须对存在问题限时整改。</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考核结果</w:t>
      </w:r>
      <w:r>
        <w:rPr>
          <w:rFonts w:hint="eastAsia" w:ascii="宋体" w:hAnsi="宋体" w:eastAsia="宋体" w:cs="宋体"/>
          <w:color w:val="auto"/>
          <w:sz w:val="21"/>
          <w:szCs w:val="21"/>
          <w:highlight w:val="none"/>
          <w:lang w:val="en-US" w:eastAsia="zh-CN"/>
        </w:rPr>
        <w:t>＜80分</w:t>
      </w:r>
      <w:r>
        <w:rPr>
          <w:rFonts w:hint="eastAsia" w:ascii="宋体" w:hAnsi="宋体" w:eastAsia="宋体" w:cs="宋体"/>
          <w:color w:val="auto"/>
          <w:sz w:val="21"/>
          <w:szCs w:val="21"/>
          <w:highlight w:val="none"/>
        </w:rPr>
        <w:t>，采购人有权暂停中标人的服务资格，直至中标人整改完毕。</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考核结果</w:t>
      </w:r>
      <w:r>
        <w:rPr>
          <w:rFonts w:hint="eastAsia" w:ascii="宋体" w:hAnsi="宋体" w:eastAsia="宋体" w:cs="宋体"/>
          <w:color w:val="auto"/>
          <w:sz w:val="21"/>
          <w:szCs w:val="21"/>
          <w:highlight w:val="none"/>
          <w:lang w:val="en-US" w:eastAsia="zh-CN"/>
        </w:rPr>
        <w:t>支付比例</w:t>
      </w:r>
      <w:r>
        <w:rPr>
          <w:rFonts w:hint="eastAsia" w:ascii="宋体" w:hAnsi="宋体" w:eastAsia="宋体" w:cs="宋体"/>
          <w:color w:val="auto"/>
          <w:sz w:val="21"/>
          <w:szCs w:val="21"/>
          <w:highlight w:val="none"/>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（1）考核得分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，支付本月配送费的100%</w:t>
      </w:r>
      <w:r>
        <w:rPr>
          <w:rFonts w:hint="eastAsia" w:ascii="宋体" w:hAnsi="宋体" w:cs="宋体"/>
          <w:color w:val="auto"/>
          <w:sz w:val="21"/>
          <w:szCs w:val="21"/>
          <w:highlight w:val="none"/>
          <w:lang w:eastAsia="zh-CN"/>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80分≤</w:t>
      </w:r>
      <w:r>
        <w:rPr>
          <w:rFonts w:hint="eastAsia" w:ascii="宋体" w:hAnsi="宋体" w:eastAsia="宋体" w:cs="宋体"/>
          <w:color w:val="auto"/>
          <w:sz w:val="21"/>
          <w:szCs w:val="21"/>
          <w:highlight w:val="none"/>
        </w:rPr>
        <w:t>考核得分</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，支付本月配送费的9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（3）考核得分</w:t>
      </w:r>
      <w:r>
        <w:rPr>
          <w:rFonts w:hint="eastAsia" w:ascii="宋体" w:hAnsi="宋体" w:eastAsia="宋体" w:cs="宋体"/>
          <w:color w:val="auto"/>
          <w:sz w:val="21"/>
          <w:szCs w:val="21"/>
          <w:highlight w:val="none"/>
          <w:lang w:val="en-US" w:eastAsia="zh-CN"/>
        </w:rPr>
        <w:t>80分≤</w:t>
      </w:r>
      <w:r>
        <w:rPr>
          <w:rFonts w:hint="eastAsia" w:ascii="宋体" w:hAnsi="宋体" w:eastAsia="宋体" w:cs="宋体"/>
          <w:color w:val="auto"/>
          <w:sz w:val="21"/>
          <w:szCs w:val="21"/>
          <w:highlight w:val="none"/>
        </w:rPr>
        <w:t>考核得分，支付本月配送费的</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考核得分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分的，</w:t>
      </w:r>
      <w:r>
        <w:rPr>
          <w:rFonts w:hint="eastAsia" w:ascii="宋体" w:hAnsi="宋体" w:eastAsia="宋体" w:cs="宋体"/>
          <w:color w:val="auto"/>
          <w:sz w:val="21"/>
          <w:szCs w:val="21"/>
          <w:highlight w:val="none"/>
        </w:rPr>
        <w:t>支付本月配送费的</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如出现考核得分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rPr>
        <w:t>两次的，采购人</w:t>
      </w:r>
      <w:r>
        <w:rPr>
          <w:rFonts w:hint="eastAsia" w:ascii="宋体" w:hAnsi="宋体" w:eastAsia="宋体" w:cs="宋体"/>
          <w:color w:val="auto"/>
          <w:sz w:val="21"/>
          <w:szCs w:val="21"/>
          <w:highlight w:val="none"/>
          <w:lang w:val="en-US" w:eastAsia="zh-CN"/>
        </w:rPr>
        <w:t>有权</w:t>
      </w:r>
      <w:r>
        <w:rPr>
          <w:rFonts w:hint="eastAsia" w:ascii="宋体" w:hAnsi="宋体" w:eastAsia="宋体" w:cs="宋体"/>
          <w:color w:val="auto"/>
          <w:sz w:val="21"/>
          <w:szCs w:val="21"/>
          <w:highlight w:val="none"/>
        </w:rPr>
        <w:t>单方面结束合同并要求赔偿相应损失</w:t>
      </w:r>
      <w:r>
        <w:rPr>
          <w:rFonts w:hint="eastAsia" w:ascii="宋体" w:hAnsi="宋体" w:eastAsia="宋体" w:cs="宋体"/>
          <w:color w:val="auto"/>
          <w:sz w:val="21"/>
          <w:szCs w:val="21"/>
          <w:highlight w:val="none"/>
          <w:lang w:eastAsia="zh-CN"/>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其他类要求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highlight w:val="none"/>
        </w:rPr>
        <w:t>对于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需求供货物资或品种不在上述类别内的，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须按</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要求供货。同时须遵守国家规定的《食品安全法》、《农产品质量安全法》、《食品卫生法》等法律和行政法规的规定，提供的货品须符合国家有关卫生标准，保质、保量、保鲜，严禁配送假冒、变质、过期的货品。不合格的货品，</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须无条件包退包换。</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价格</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1、合同</w:t>
      </w:r>
      <w:r>
        <w:rPr>
          <w:rFonts w:hint="eastAsia" w:ascii="宋体" w:hAnsi="宋体" w:eastAsia="宋体" w:cs="宋体"/>
          <w:color w:val="auto"/>
          <w:highlight w:val="none"/>
        </w:rPr>
        <w:t>总价</w:t>
      </w:r>
      <w:r>
        <w:rPr>
          <w:rFonts w:hint="eastAsia" w:ascii="宋体" w:hAnsi="宋体" w:eastAsia="宋体" w:cs="宋体"/>
          <w:color w:val="auto"/>
          <w:sz w:val="21"/>
          <w:szCs w:val="21"/>
          <w:highlight w:val="none"/>
          <w:shd w:val="clear" w:color="auto" w:fill="FFFFFF"/>
        </w:rPr>
        <w:t>包含：人工费、材料费、设备使用费、保险费及合同实施过程中的不可预见费用等全部费用，食堂食材配送的每天供货种类和供货量由采购人指定，按实际送货种类和数量据实结算</w:t>
      </w:r>
      <w:r>
        <w:rPr>
          <w:rFonts w:hint="eastAsia" w:ascii="宋体" w:hAnsi="宋体" w:eastAsia="宋体" w:cs="宋体"/>
          <w:color w:val="auto"/>
          <w:sz w:val="21"/>
          <w:szCs w:val="21"/>
          <w:highlight w:val="none"/>
          <w:shd w:val="clear" w:color="auto" w:fill="FFFFFF"/>
          <w:lang w:eastAsia="zh-CN"/>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rPr>
        <w:t>2、合同总价：</w:t>
      </w:r>
      <w:r>
        <w:rPr>
          <w:rFonts w:hint="eastAsia" w:ascii="宋体" w:hAnsi="宋体" w:eastAsia="宋体" w:cs="宋体"/>
          <w:color w:val="auto"/>
          <w:sz w:val="21"/>
          <w:szCs w:val="21"/>
          <w:highlight w:val="none"/>
          <w:u w:val="single"/>
        </w:rPr>
        <w:t>每月据实结算，</w:t>
      </w:r>
      <w:r>
        <w:rPr>
          <w:rFonts w:hint="eastAsia" w:ascii="宋体" w:hAnsi="宋体" w:eastAsia="宋体" w:cs="宋体"/>
          <w:color w:val="auto"/>
          <w:sz w:val="21"/>
          <w:szCs w:val="21"/>
          <w:highlight w:val="none"/>
          <w:u w:val="single"/>
          <w:shd w:val="clear" w:color="auto" w:fill="FFFFFF"/>
        </w:rPr>
        <w:t>12个月的合同期</w:t>
      </w:r>
      <w:r>
        <w:rPr>
          <w:rFonts w:hint="eastAsia" w:ascii="宋体" w:hAnsi="宋体" w:eastAsia="宋体" w:cs="宋体"/>
          <w:color w:val="auto"/>
          <w:sz w:val="21"/>
          <w:szCs w:val="21"/>
          <w:highlight w:val="none"/>
          <w:u w:val="single"/>
          <w:shd w:val="clear" w:color="auto" w:fill="FFFFFF"/>
          <w:lang w:eastAsia="zh-CN"/>
        </w:rPr>
        <w:t>总价款</w:t>
      </w:r>
      <w:r>
        <w:rPr>
          <w:rFonts w:hint="eastAsia" w:ascii="宋体" w:hAnsi="宋体" w:eastAsia="宋体" w:cs="宋体"/>
          <w:color w:val="auto"/>
          <w:sz w:val="21"/>
          <w:szCs w:val="21"/>
          <w:highlight w:val="none"/>
          <w:u w:val="single"/>
          <w:shd w:val="clear" w:color="auto" w:fill="FFFFFF"/>
        </w:rPr>
        <w:t xml:space="preserve">不超过（人民币）大写 </w:t>
      </w:r>
      <w:r>
        <w:rPr>
          <w:rFonts w:hint="eastAsia" w:ascii="宋体" w:hAnsi="宋体" w:eastAsia="宋体" w:cs="宋体"/>
          <w:color w:val="auto"/>
          <w:sz w:val="21"/>
          <w:szCs w:val="21"/>
          <w:highlight w:val="none"/>
          <w:u w:val="single"/>
          <w:shd w:val="clear" w:color="auto" w:fill="FFFFFF"/>
          <w:lang w:eastAsia="zh-CN"/>
        </w:rPr>
        <w:t>肆拾捌万元整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u w:val="single"/>
          <w:shd w:val="clear" w:color="auto" w:fill="FFFFFF"/>
          <w:lang w:val="en-US" w:eastAsia="zh-CN"/>
        </w:rPr>
        <w:t>480000.00元</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lang w:eastAsia="zh-CN"/>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服务期限及地点</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w:t>
      </w:r>
      <w:r>
        <w:rPr>
          <w:rFonts w:hint="eastAsia" w:ascii="宋体" w:hAnsi="宋体" w:eastAsia="宋体" w:cs="宋体"/>
          <w:color w:val="auto"/>
          <w:sz w:val="21"/>
          <w:szCs w:val="21"/>
          <w:highlight w:val="none"/>
          <w:lang w:val="en-US" w:eastAsia="zh-CN"/>
        </w:rPr>
        <w:t>12个月，</w:t>
      </w:r>
      <w:r>
        <w:rPr>
          <w:rFonts w:hint="eastAsia" w:ascii="宋体" w:hAnsi="宋体" w:eastAsia="宋体" w:cs="宋体"/>
          <w:color w:val="auto"/>
          <w:sz w:val="21"/>
          <w:szCs w:val="21"/>
          <w:highlight w:val="none"/>
        </w:rPr>
        <w:t>合同生效之日自       年  月  日至     年  月  日止。</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2、服</w:t>
      </w:r>
      <w:r>
        <w:rPr>
          <w:rFonts w:hint="eastAsia" w:ascii="宋体" w:hAnsi="宋体" w:eastAsia="宋体" w:cs="宋体"/>
          <w:color w:val="auto"/>
          <w:highlight w:val="none"/>
        </w:rPr>
        <w:t>务地点：甲方指定地点。</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3、年度履约评价为优的前提下，</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lang w:val="en-US" w:eastAsia="zh-CN"/>
        </w:rPr>
        <w:t>有权决定本合同是否续约，续约合同期为12个月，以甲乙双方续签的协议为准。</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付款方式</w:t>
      </w:r>
    </w:p>
    <w:p>
      <w:pPr>
        <w:pStyle w:val="30"/>
        <w:keepNext w:val="0"/>
        <w:keepLines w:val="0"/>
        <w:pageBreakBefore w:val="0"/>
        <w:shd w:val="clear"/>
        <w:kinsoku w:val="0"/>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1、本合同的付款方式为：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采取“先送货后结款”的方式，货款按月进行考核结算，结算价为甲方核定的供货价格。结算价=【（1-中标下浮率）*基准价】*实际配送数量-当月扣减金额 </w:t>
      </w:r>
    </w:p>
    <w:p>
      <w:pPr>
        <w:pStyle w:val="30"/>
        <w:keepNext w:val="0"/>
        <w:keepLines w:val="0"/>
        <w:pageBreakBefore w:val="0"/>
        <w:shd w:val="clear"/>
        <w:kinsoku w:val="0"/>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2、乙方在次月10号前根据上月的收货凭证与甲方对上月货款进行确认结算。甲方收到乙方的全部结算资料后，20个工作日内以转账付款方式进行支付货款</w:t>
      </w:r>
      <w:r>
        <w:rPr>
          <w:rFonts w:hint="eastAsia" w:ascii="宋体" w:hAnsi="宋体" w:eastAsia="宋体" w:cs="宋体"/>
          <w:color w:val="auto"/>
          <w:sz w:val="21"/>
          <w:szCs w:val="21"/>
          <w:highlight w:val="none"/>
          <w:u w:val="none"/>
        </w:rPr>
        <w:t>。</w:t>
      </w:r>
    </w:p>
    <w:p>
      <w:pPr>
        <w:pStyle w:val="30"/>
        <w:keepNext w:val="0"/>
        <w:keepLines w:val="0"/>
        <w:pageBreakBefore w:val="0"/>
        <w:shd w:val="clear"/>
        <w:kinsoku w:val="0"/>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3、收款方、发票的销售方、合同乙方均必须与乙方名称一致。</w:t>
      </w:r>
    </w:p>
    <w:p>
      <w:pPr>
        <w:pStyle w:val="30"/>
        <w:keepNext w:val="0"/>
        <w:keepLines w:val="0"/>
        <w:pageBreakBefore w:val="0"/>
        <w:shd w:val="clear"/>
        <w:kinsoku w:val="0"/>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、按照现行税收政策规定，每次付款前，乙方必须提供合法有效、与本合同总价款条款中增值税税率一致的增值税发票给甲方，否则甲方有权拒绝付款且不构成违约</w:t>
      </w:r>
      <w:r>
        <w:rPr>
          <w:rFonts w:hint="eastAsia" w:ascii="宋体" w:hAnsi="宋体" w:eastAsia="宋体" w:cs="宋体"/>
          <w:color w:val="auto"/>
          <w:sz w:val="21"/>
          <w:szCs w:val="21"/>
          <w:highlight w:val="none"/>
          <w:lang w:eastAsia="zh-CN"/>
        </w:rPr>
        <w:t>。</w:t>
      </w:r>
    </w:p>
    <w:p>
      <w:pPr>
        <w:pStyle w:val="30"/>
        <w:keepNext w:val="0"/>
        <w:keepLines w:val="0"/>
        <w:pageBreakBefore w:val="0"/>
        <w:shd w:val="clear"/>
        <w:kinsoku w:val="0"/>
        <w:wordWrap w:val="0"/>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其它约定</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1、严禁转包，未经甲方书面同意不得分包。</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2、乙方全部工作人员，须符合东莞市政府用工标准要求。</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3、乙方服务人员进行服务期间的过失或故意行为，造成甲方经济损失的，由乙方负责赔偿。</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4、服务人员的劳动关系隶属乙方，乙方负责服务人员的工资、节假日和超时加班补助费、社会保险、住宿、伙食等。</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5、乙方负责本项目服务人员购买因意外身故或伤残和因意外事故住院治疗保险，并负责办理一切保险赔偿手续。</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八</w:t>
      </w:r>
      <w:r>
        <w:rPr>
          <w:rFonts w:hint="eastAsia" w:ascii="宋体" w:hAnsi="宋体" w:eastAsia="宋体" w:cs="宋体"/>
          <w:b/>
          <w:color w:val="auto"/>
          <w:sz w:val="21"/>
          <w:szCs w:val="21"/>
          <w:highlight w:val="none"/>
        </w:rPr>
        <w:t>条 违约责任</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1、合同双方任何一方不履行合同条款或不按合同约定履行条款的其它情况，均属违约，由违约方承担违约责任，赔偿因其违约造成的损失。</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2、由于乙方的原因，导致双方签订的合同终止，乙方因此而遭受的损失，将由乙方独立承担，甲方对此不负任何责任，也不作任何赔偿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1"/>
          <w:highlight w:val="none"/>
        </w:rPr>
        <w:t>且乙方应赔偿甲方由此造成的所有</w:t>
      </w:r>
      <w:r>
        <w:rPr>
          <w:rFonts w:hint="eastAsia" w:ascii="宋体" w:hAnsi="宋体" w:eastAsia="宋体" w:cs="宋体"/>
          <w:color w:val="auto"/>
          <w:spacing w:val="68"/>
          <w:highlight w:val="none"/>
          <w:lang w:val="en-US" w:eastAsia="zh-CN"/>
        </w:rPr>
        <w:t>损失</w:t>
      </w:r>
      <w:r>
        <w:rPr>
          <w:rFonts w:hint="eastAsia" w:ascii="宋体" w:hAnsi="宋体" w:eastAsia="宋体" w:cs="宋体"/>
          <w:color w:val="auto"/>
          <w:sz w:val="21"/>
          <w:szCs w:val="21"/>
          <w:highlight w:val="none"/>
        </w:rPr>
        <w:t>。</w:t>
      </w:r>
    </w:p>
    <w:p>
      <w:pPr>
        <w:keepNext w:val="0"/>
        <w:keepLines w:val="0"/>
        <w:pageBreakBefore w:val="0"/>
        <w:kinsoku w:val="0"/>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pacing w:val="0"/>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Cs w:val="21"/>
          <w:highlight w:val="none"/>
        </w:rPr>
        <w:t>如未经甲方书面许可，乙方将本合同项下工作整体或主要部分转包及/或分包给第三方的，甲方有权单方解除本合同，且乙方还应按本合同总额的20%支付违约金，给甲方造成损失的，甲方有权向乙方</w:t>
      </w:r>
      <w:r>
        <w:rPr>
          <w:rFonts w:hint="eastAsia" w:ascii="宋体" w:hAnsi="宋体" w:eastAsia="宋体" w:cs="宋体"/>
          <w:color w:val="auto"/>
          <w:spacing w:val="0"/>
          <w:szCs w:val="21"/>
          <w:highlight w:val="none"/>
        </w:rPr>
        <w:t>主张赔偿全部损失</w:t>
      </w:r>
      <w:r>
        <w:rPr>
          <w:rFonts w:hint="eastAsia" w:ascii="宋体" w:hAnsi="宋体" w:eastAsia="宋体" w:cs="宋体"/>
          <w:color w:val="auto"/>
          <w:spacing w:val="0"/>
          <w:szCs w:val="21"/>
          <w:highlight w:val="none"/>
          <w:lang w:eastAsia="zh-CN"/>
        </w:rPr>
        <w:t>。</w:t>
      </w:r>
    </w:p>
    <w:p>
      <w:pPr>
        <w:keepNext w:val="0"/>
        <w:keepLines w:val="0"/>
        <w:pageBreakBefore w:val="0"/>
        <w:kinsoku w:val="0"/>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4、</w:t>
      </w:r>
      <w:r>
        <w:rPr>
          <w:rFonts w:hint="eastAsia" w:ascii="宋体" w:hAnsi="宋体" w:eastAsia="宋体" w:cs="宋体"/>
          <w:color w:val="auto"/>
          <w:szCs w:val="21"/>
          <w:highlight w:val="none"/>
        </w:rPr>
        <w:t>乙方应保证提供的食材均符合国家及地方食品安全标准，无</w:t>
      </w:r>
      <w:r>
        <w:rPr>
          <w:rFonts w:hint="eastAsia" w:ascii="宋体" w:hAnsi="宋体" w:eastAsia="宋体" w:cs="宋体"/>
          <w:color w:val="auto"/>
          <w:spacing w:val="0"/>
          <w:szCs w:val="21"/>
          <w:highlight w:val="none"/>
        </w:rPr>
        <w:t>任何质量问题(包括但不限于食材的新鲜度、卫生状况、有效期、无有害</w:t>
      </w:r>
      <w:r>
        <w:rPr>
          <w:rFonts w:hint="eastAsia" w:ascii="宋体" w:hAnsi="宋体" w:eastAsia="宋体" w:cs="宋体"/>
          <w:color w:val="auto"/>
          <w:szCs w:val="21"/>
          <w:highlight w:val="none"/>
        </w:rPr>
        <w:t>物质残留等),若乙方提供的食材存在质量问题，乙方应承担相应的赔偿</w:t>
      </w:r>
      <w:r>
        <w:rPr>
          <w:rFonts w:hint="eastAsia" w:ascii="宋体" w:hAnsi="宋体" w:eastAsia="宋体" w:cs="宋体"/>
          <w:color w:val="auto"/>
          <w:spacing w:val="0"/>
          <w:szCs w:val="21"/>
          <w:highlight w:val="none"/>
        </w:rPr>
        <w:t>责任，包括但不限于退货、换货、赔偿直接经济</w:t>
      </w:r>
      <w:r>
        <w:rPr>
          <w:rFonts w:hint="eastAsia" w:ascii="宋体" w:hAnsi="宋体" w:eastAsia="宋体" w:cs="宋体"/>
          <w:color w:val="auto"/>
          <w:szCs w:val="21"/>
          <w:highlight w:val="none"/>
        </w:rPr>
        <w:t xml:space="preserve">损失及因质量问题引发的 </w:t>
      </w:r>
      <w:r>
        <w:rPr>
          <w:rFonts w:hint="eastAsia" w:ascii="宋体" w:hAnsi="宋体" w:eastAsia="宋体" w:cs="宋体"/>
          <w:color w:val="auto"/>
          <w:spacing w:val="0"/>
          <w:szCs w:val="21"/>
          <w:highlight w:val="none"/>
        </w:rPr>
        <w:t>其他合理费用。</w:t>
      </w:r>
    </w:p>
    <w:p>
      <w:pPr>
        <w:keepNext w:val="0"/>
        <w:keepLines w:val="0"/>
        <w:pageBreakBefore w:val="0"/>
        <w:kinsoku w:val="0"/>
        <w:wordWrap w:val="0"/>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lang w:val="en-US" w:eastAsia="zh-CN"/>
        </w:rPr>
        <w:t>5、</w:t>
      </w:r>
      <w:r>
        <w:rPr>
          <w:rFonts w:hint="eastAsia" w:ascii="宋体" w:hAnsi="宋体" w:eastAsia="宋体" w:cs="宋体"/>
          <w:color w:val="auto"/>
          <w:spacing w:val="0"/>
          <w:szCs w:val="21"/>
          <w:highlight w:val="none"/>
        </w:rPr>
        <w:t>甲方有权自应付而未付款项中直接抵扣乙方应付之违约金、赔偿款等</w:t>
      </w:r>
      <w:r>
        <w:rPr>
          <w:rFonts w:hint="eastAsia" w:ascii="宋体" w:hAnsi="宋体" w:eastAsia="宋体" w:cs="宋体"/>
          <w:color w:val="auto"/>
          <w:spacing w:val="0"/>
          <w:szCs w:val="21"/>
          <w:highlight w:val="none"/>
          <w:lang w:eastAsia="zh-CN"/>
        </w:rPr>
        <w:t>。</w:t>
      </w:r>
    </w:p>
    <w:bookmarkEnd w:id="135"/>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bookmarkStart w:id="136" w:name="_Toc86481570"/>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针对中标人在服务过程中出现的违反采购文件或合同约定的行为，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有权对中标人收取违约金，违约金从未结配送费中扣除。情节严重的,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有权单方终止合同,并依法追究中标人法律责任。 </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中标人没有使用专用冷藏、冷冻载具运输配送的，每次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有权拒收该批次所有货品。</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中标人提供过期、变质货品的，每次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有权拒收该批次所有货品。</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中标人随意报价，导致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某货品定价明显低于市场价，但中标人却不能按要求供货的，每次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中标人超过规定时限未提交报价且无书面说明合理理由的，每次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00元，且视为放弃下一期的食材配送服务，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可另行组织采购。 </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中标人供货数量与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订单偏差超过±10%但没有事先说明的，每次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中标人接受了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的采购订单，但不能按要求提供配送服务，导致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供餐受影响的，每次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已经定价的货品，中标人称没货，但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能通过常规途径在市场、超市等场所购买到所需数量的，每次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中标人货品溯源制度不落实、进货查验记录不全的，每次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00元。 </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中标人上述违约行为单独累计发生已达3次的，再发生时每次</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有权单方终止合同。</w:t>
      </w:r>
    </w:p>
    <w:p>
      <w:pPr>
        <w:keepNext w:val="0"/>
        <w:keepLines w:val="0"/>
        <w:pageBreakBefore w:val="0"/>
        <w:kinsoku w:val="0"/>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中标人无故中途退出，</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违约金人民币10000元。</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九</w:t>
      </w:r>
      <w:r>
        <w:rPr>
          <w:rFonts w:hint="eastAsia" w:ascii="宋体" w:hAnsi="宋体" w:eastAsia="宋体" w:cs="宋体"/>
          <w:b/>
          <w:color w:val="auto"/>
          <w:sz w:val="21"/>
          <w:szCs w:val="21"/>
          <w:highlight w:val="none"/>
        </w:rPr>
        <w:t>条 争议的解决</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w:t>
      </w:r>
      <w:r>
        <w:rPr>
          <w:rFonts w:hint="eastAsia" w:ascii="宋体" w:hAnsi="宋体" w:eastAsia="宋体" w:cs="宋体"/>
          <w:color w:val="auto"/>
          <w:spacing w:val="10"/>
          <w:highlight w:val="none"/>
        </w:rPr>
        <w:t>甲方所在地人民</w:t>
      </w:r>
      <w:r>
        <w:rPr>
          <w:rFonts w:hint="eastAsia" w:ascii="宋体" w:hAnsi="宋体" w:eastAsia="宋体" w:cs="宋体"/>
          <w:color w:val="auto"/>
          <w:sz w:val="21"/>
          <w:szCs w:val="21"/>
          <w:highlight w:val="none"/>
        </w:rPr>
        <w:t>法院提出诉讼。守约方为解决争议所支出的诉讼费、保全费、保险费、律师费等费用由违约方承担。</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、在进行法院审理期间，除提交法院审理的事项外，合同其他部分仍继续履行。</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、本合同按照中华人民共和国的法律进行解释</w:t>
      </w:r>
      <w:r>
        <w:rPr>
          <w:rFonts w:hint="eastAsia" w:ascii="宋体" w:hAnsi="宋体" w:eastAsia="宋体" w:cs="宋体"/>
          <w:color w:val="auto"/>
          <w:sz w:val="21"/>
          <w:szCs w:val="21"/>
          <w:highlight w:val="none"/>
          <w:shd w:val="clear" w:color="auto" w:fill="FFFFFF"/>
        </w:rPr>
        <w:t>。</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bookmarkStart w:id="137" w:name="_Toc86481569"/>
      <w:r>
        <w:rPr>
          <w:rFonts w:hint="eastAsia" w:ascii="宋体" w:hAnsi="宋体" w:eastAsia="宋体" w:cs="宋体"/>
          <w:b/>
          <w:color w:val="auto"/>
          <w:sz w:val="21"/>
          <w:szCs w:val="21"/>
          <w:highlight w:val="none"/>
        </w:rPr>
        <w:t>第十条 合同生效</w:t>
      </w:r>
      <w:bookmarkEnd w:id="137"/>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1、本合同由双方法定代表人或委托代理人签字盖章后立即生效，具有同等法律效力，合同有效期随服务期结束而自然终止。</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    份，其中甲方    份、乙方    份，</w:t>
      </w:r>
      <w:r>
        <w:rPr>
          <w:rFonts w:hint="eastAsia" w:ascii="宋体" w:hAnsi="宋体" w:eastAsia="宋体" w:cs="宋体"/>
          <w:color w:val="auto"/>
          <w:sz w:val="21"/>
          <w:szCs w:val="21"/>
          <w:highlight w:val="none"/>
          <w:lang w:eastAsia="zh-CN"/>
        </w:rPr>
        <w:t>招标代理机构</w:t>
      </w:r>
      <w:r>
        <w:rPr>
          <w:rFonts w:hint="eastAsia" w:ascii="宋体" w:hAnsi="宋体" w:eastAsia="宋体" w:cs="宋体"/>
          <w:color w:val="auto"/>
          <w:sz w:val="21"/>
          <w:szCs w:val="21"/>
          <w:highlight w:val="none"/>
        </w:rPr>
        <w:t xml:space="preserve"> 壹 份（须在合同签订之日起7个工作日内递交）。</w:t>
      </w:r>
    </w:p>
    <w:p>
      <w:pPr>
        <w:keepNext w:val="0"/>
        <w:keepLines w:val="0"/>
        <w:pageBreakBefore w:val="0"/>
        <w:shd w:val="clear"/>
        <w:kinsoku w:val="0"/>
        <w:wordWrap w:val="0"/>
        <w:overflowPunct/>
        <w:topLinePunct w:val="0"/>
        <w:autoSpaceDE/>
        <w:autoSpaceDN/>
        <w:bidi w:val="0"/>
        <w:adjustRightInd w:val="0"/>
        <w:snapToGrid w:val="0"/>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条 其它</w:t>
      </w:r>
      <w:bookmarkEnd w:id="136"/>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1、本合同未尽事宜，双方可签订补充合同，补充合同与所有附件均为合同的有效组成部分，与本合同具有同等法律效力。</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pPr>
        <w:keepNext w:val="0"/>
        <w:keepLines w:val="0"/>
        <w:pageBreakBefore w:val="0"/>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本合同合计   页A4纸张，缺页之合同为无效合同。</w:t>
      </w:r>
    </w:p>
    <w:p>
      <w:pPr>
        <w:keepNext w:val="0"/>
        <w:keepLines w:val="0"/>
        <w:pageBreakBefore w:val="0"/>
        <w:widowControl/>
        <w:shd w:val="clear"/>
        <w:kinsoku w:val="0"/>
        <w:wordWrap w:val="0"/>
        <w:overflowPunct/>
        <w:topLinePunct w:val="0"/>
        <w:autoSpaceDE/>
        <w:autoSpaceDN/>
        <w:bidi w:val="0"/>
        <w:adjustRightInd w:val="0"/>
        <w:snapToGrid w:val="0"/>
        <w:spacing w:after="0" w:line="240" w:lineRule="auto"/>
        <w:ind w:firstLine="400" w:firstLineChars="200"/>
        <w:textAlignment w:val="auto"/>
        <w:rPr>
          <w:rFonts w:hint="eastAsia" w:ascii="宋体" w:hAnsi="宋体" w:eastAsia="宋体" w:cs="宋体"/>
          <w:color w:val="auto"/>
          <w:sz w:val="20"/>
          <w:szCs w:val="20"/>
          <w:highlight w:val="none"/>
        </w:rPr>
      </w:pP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法定代表(签字)：                   法定代表(签字)：</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开户银行：</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                             账号：</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w:t>
      </w:r>
    </w:p>
    <w:p>
      <w:pPr>
        <w:keepNext w:val="0"/>
        <w:keepLines w:val="0"/>
        <w:pageBreakBefore w:val="0"/>
        <w:widowControl/>
        <w:shd w:val="clear"/>
        <w:kinsoku w:val="0"/>
        <w:wordWrap w:val="0"/>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tabs>
          <w:tab w:val="left" w:pos="720"/>
        </w:tabs>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附件1：供应商月评价表</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4921"/>
        <w:gridCol w:w="1395"/>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49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种类</w:t>
            </w:r>
          </w:p>
        </w:tc>
        <w:tc>
          <w:tcPr>
            <w:tcW w:w="58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评价指标</w:t>
            </w:r>
          </w:p>
        </w:tc>
        <w:tc>
          <w:tcPr>
            <w:tcW w:w="49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指标说明</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c>
          <w:tcPr>
            <w:tcW w:w="58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食品安全</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（满分30分）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1.应附未附货品检验检疫证明的，每次扣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2.应用未用冷链配送货品，或运</w:t>
            </w:r>
            <w:r>
              <w:rPr>
                <w:rFonts w:hint="eastAsia" w:ascii="宋体" w:hAnsi="宋体" w:eastAsia="宋体" w:cs="宋体"/>
                <w:color w:val="auto"/>
                <w:szCs w:val="21"/>
                <w:highlight w:val="none"/>
                <w:lang w:val="en-US"/>
              </w:rPr>
              <w:t>输</w:t>
            </w:r>
            <w:r>
              <w:rPr>
                <w:rFonts w:hint="eastAsia" w:ascii="宋体" w:hAnsi="宋体" w:eastAsia="宋体" w:cs="宋体"/>
                <w:color w:val="auto"/>
                <w:szCs w:val="21"/>
                <w:highlight w:val="none"/>
              </w:rPr>
              <w:t>工具不符合卫生要求的，每次扣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3.所供货品包装破损或掺有异物，且有可能对货品造成污染的，每次扣5分。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货品质量</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（满分30分）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1.所供货品</w:t>
            </w:r>
            <w:r>
              <w:rPr>
                <w:rFonts w:hint="eastAsia" w:ascii="宋体" w:hAnsi="宋体" w:eastAsia="宋体" w:cs="宋体"/>
                <w:color w:val="auto"/>
                <w:szCs w:val="21"/>
                <w:highlight w:val="none"/>
                <w:lang w:val="en-US"/>
              </w:rPr>
              <w:t>为</w:t>
            </w:r>
            <w:r>
              <w:rPr>
                <w:rFonts w:hint="eastAsia" w:ascii="宋体" w:hAnsi="宋体" w:eastAsia="宋体" w:cs="宋体"/>
                <w:color w:val="auto"/>
                <w:szCs w:val="21"/>
                <w:highlight w:val="none"/>
              </w:rPr>
              <w:t>不合格食品（食品不新鲜、</w:t>
            </w:r>
            <w:r>
              <w:rPr>
                <w:rFonts w:hint="eastAsia" w:ascii="宋体" w:hAnsi="宋体" w:eastAsia="宋体" w:cs="宋体"/>
                <w:color w:val="auto"/>
                <w:szCs w:val="21"/>
                <w:highlight w:val="none"/>
                <w:lang w:val="en-US"/>
              </w:rPr>
              <w:t>过期或变质</w:t>
            </w:r>
            <w:r>
              <w:rPr>
                <w:rFonts w:hint="eastAsia" w:ascii="宋体" w:hAnsi="宋体" w:eastAsia="宋体" w:cs="宋体"/>
                <w:color w:val="auto"/>
                <w:szCs w:val="21"/>
                <w:highlight w:val="none"/>
              </w:rPr>
              <w:t>并经确认），</w:t>
            </w:r>
            <w:r>
              <w:rPr>
                <w:rFonts w:hint="eastAsia" w:ascii="宋体" w:hAnsi="宋体" w:eastAsia="宋体" w:cs="宋体"/>
                <w:color w:val="auto"/>
                <w:szCs w:val="21"/>
                <w:highlight w:val="none"/>
                <w:lang w:val="en-US"/>
              </w:rPr>
              <w:t>每次扣10分</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.供货品种、规格与订单或送货单不符的，每次扣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货品数量</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（满分20分）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1.供货数量与订单数量相差超过±5%的，每次扣</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2.供货数量与订单数量相差超过±10%的，每次扣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3.供货数量与订单数量相差超过±20%的，每次扣</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4.供货数量与送货单数量不符的，每次扣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货品价格</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（满分10分）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1.不按要求报价，或报价后无货可供的，每次扣5分。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2.送货单价格与当期定价不符的，每次扣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服务质量</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（满分10分）</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1.服务态度差，每次扣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2.未按时送货，</w:t>
            </w:r>
            <w:r>
              <w:rPr>
                <w:rFonts w:hint="eastAsia" w:ascii="宋体" w:hAnsi="宋体" w:eastAsia="宋体" w:cs="宋体"/>
                <w:color w:val="auto"/>
                <w:szCs w:val="21"/>
                <w:highlight w:val="none"/>
                <w:lang w:val="en-US"/>
              </w:rPr>
              <w:t>误差在30分钟内</w:t>
            </w:r>
            <w:r>
              <w:rPr>
                <w:rFonts w:hint="eastAsia" w:ascii="宋体" w:hAnsi="宋体" w:eastAsia="宋体" w:cs="宋体"/>
                <w:color w:val="auto"/>
                <w:szCs w:val="21"/>
                <w:highlight w:val="none"/>
              </w:rPr>
              <w:t>的，每迟送一次扣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3.未按时送货，</w:t>
            </w:r>
            <w:r>
              <w:rPr>
                <w:rFonts w:hint="eastAsia" w:ascii="宋体" w:hAnsi="宋体" w:eastAsia="宋体" w:cs="宋体"/>
                <w:color w:val="auto"/>
                <w:szCs w:val="21"/>
                <w:highlight w:val="none"/>
                <w:lang w:val="en-US"/>
              </w:rPr>
              <w:t>误差在60分钟</w:t>
            </w:r>
            <w:r>
              <w:rPr>
                <w:rFonts w:hint="eastAsia" w:ascii="宋体" w:hAnsi="宋体" w:eastAsia="宋体" w:cs="宋体"/>
                <w:color w:val="auto"/>
                <w:szCs w:val="21"/>
                <w:highlight w:val="none"/>
              </w:rPr>
              <w:t>的，每迟送一次扣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23"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是否存在以下行为</w:t>
            </w:r>
          </w:p>
        </w:tc>
        <w:tc>
          <w:tcPr>
            <w:tcW w:w="492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1.供应假冒伪劣产品。</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2.逾期未整改到位。</w:t>
            </w: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1.口是 口否</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2.口是 口否</w:t>
            </w: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62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综合评价</w:t>
            </w:r>
          </w:p>
        </w:tc>
        <w:tc>
          <w:tcPr>
            <w:tcW w:w="492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1395"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综合得分</w:t>
            </w:r>
          </w:p>
        </w:tc>
        <w:tc>
          <w:tcPr>
            <w:tcW w:w="583"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162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Cs w:val="21"/>
                <w:highlight w:val="none"/>
              </w:rPr>
            </w:pPr>
          </w:p>
        </w:tc>
        <w:tc>
          <w:tcPr>
            <w:tcW w:w="6899" w:type="dxa"/>
            <w:gridSpan w:val="3"/>
            <w:noWrap w:val="0"/>
            <w:vAlign w:val="top"/>
          </w:tcPr>
          <w:p>
            <w:pPr>
              <w:pStyle w:val="11"/>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采购管理人：</w:t>
            </w:r>
          </w:p>
          <w:p>
            <w:pPr>
              <w:pStyle w:val="11"/>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bl>
    <w:p>
      <w:pPr>
        <w:pageBreakBefore w:val="0"/>
        <w:shd w:val="clear"/>
        <w:kinsoku/>
        <w:topLinePunct w:val="0"/>
        <w:autoSpaceDE/>
        <w:autoSpaceDN/>
        <w:bidi w:val="0"/>
        <w:spacing w:line="360" w:lineRule="auto"/>
        <w:rPr>
          <w:rFonts w:hint="eastAsia" w:ascii="宋体" w:hAnsi="宋体" w:eastAsia="宋体" w:cs="宋体"/>
          <w:b/>
          <w:color w:val="auto"/>
          <w:sz w:val="21"/>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lang w:bidi="zh-CN"/>
        </w:rPr>
        <w:br w:type="page"/>
      </w:r>
    </w:p>
    <w:p>
      <w:pPr>
        <w:pStyle w:val="11"/>
        <w:spacing w:line="24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附件2：供应商年度履约评价</w:t>
      </w:r>
    </w:p>
    <w:p>
      <w:pPr>
        <w:spacing w:line="0" w:lineRule="atLeast"/>
        <w:ind w:left="-540" w:leftChars="-257" w:right="-439" w:rightChars="-209"/>
        <w:jc w:val="center"/>
        <w:rPr>
          <w:rFonts w:hint="eastAsia" w:ascii="黑体" w:eastAsia="黑体"/>
          <w:b w:val="0"/>
          <w:bCs/>
          <w:color w:val="auto"/>
          <w:sz w:val="32"/>
          <w:szCs w:val="32"/>
          <w:lang w:val="en-US" w:eastAsia="zh-CN"/>
        </w:rPr>
      </w:pPr>
    </w:p>
    <w:p>
      <w:pPr>
        <w:spacing w:line="0" w:lineRule="atLeast"/>
        <w:ind w:left="-540" w:leftChars="-257" w:right="-439" w:rightChars="-209"/>
        <w:jc w:val="center"/>
        <w:rPr>
          <w:rFonts w:hint="eastAsia" w:ascii="黑体" w:eastAsia="黑体"/>
          <w:b w:val="0"/>
          <w:bCs/>
          <w:color w:val="auto"/>
          <w:sz w:val="32"/>
          <w:szCs w:val="32"/>
        </w:rPr>
      </w:pPr>
      <w:r>
        <w:rPr>
          <w:rFonts w:hint="eastAsia" w:ascii="黑体" w:eastAsia="黑体"/>
          <w:b w:val="0"/>
          <w:bCs/>
          <w:color w:val="auto"/>
          <w:sz w:val="32"/>
          <w:szCs w:val="32"/>
          <w:lang w:val="en-US" w:eastAsia="zh-CN"/>
        </w:rPr>
        <w:t>合作</w:t>
      </w:r>
      <w:r>
        <w:rPr>
          <w:rFonts w:hint="eastAsia" w:ascii="黑体" w:eastAsia="黑体"/>
          <w:b w:val="0"/>
          <w:bCs/>
          <w:color w:val="auto"/>
          <w:sz w:val="32"/>
          <w:szCs w:val="32"/>
        </w:rPr>
        <w:t>供应商履约</w:t>
      </w:r>
      <w:r>
        <w:rPr>
          <w:rFonts w:hint="eastAsia" w:ascii="黑体" w:eastAsia="黑体"/>
          <w:b w:val="0"/>
          <w:bCs/>
          <w:color w:val="auto"/>
          <w:sz w:val="32"/>
          <w:szCs w:val="32"/>
          <w:lang w:val="en-US" w:eastAsia="zh-CN"/>
        </w:rPr>
        <w:t>评分细则</w:t>
      </w:r>
    </w:p>
    <w:p>
      <w:pPr>
        <w:spacing w:before="120" w:beforeLines="50" w:after="120" w:afterLines="50" w:line="0" w:lineRule="atLeast"/>
        <w:ind w:right="-178" w:rightChars="-85" w:firstLine="102" w:firstLineChars="49"/>
        <w:rPr>
          <w:rFonts w:hint="eastAsia"/>
          <w:b w:val="0"/>
          <w:bCs/>
          <w:color w:val="auto"/>
          <w:szCs w:val="21"/>
        </w:rPr>
      </w:pPr>
      <w:r>
        <w:rPr>
          <w:rFonts w:hint="eastAsia"/>
          <w:b w:val="0"/>
          <w:bCs/>
          <w:color w:val="auto"/>
          <w:szCs w:val="21"/>
        </w:rPr>
        <w:t xml:space="preserve">供应商名称：                        </w:t>
      </w:r>
      <w:r>
        <w:rPr>
          <w:b w:val="0"/>
          <w:bCs/>
          <w:color w:val="auto"/>
          <w:szCs w:val="21"/>
        </w:rPr>
        <w:t xml:space="preserve">                        </w:t>
      </w:r>
      <w:r>
        <w:rPr>
          <w:rFonts w:hint="eastAsia"/>
          <w:b w:val="0"/>
          <w:bCs/>
          <w:color w:val="auto"/>
          <w:szCs w:val="21"/>
        </w:rPr>
        <w:t xml:space="preserve">   </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75"/>
        <w:gridCol w:w="2148"/>
        <w:gridCol w:w="942"/>
        <w:gridCol w:w="328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序号</w:t>
            </w:r>
          </w:p>
        </w:tc>
        <w:tc>
          <w:tcPr>
            <w:tcW w:w="2823" w:type="dxa"/>
            <w:gridSpan w:val="2"/>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考评项目</w:t>
            </w:r>
          </w:p>
        </w:tc>
        <w:tc>
          <w:tcPr>
            <w:tcW w:w="942"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标准分</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实际情况</w:t>
            </w: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1</w:t>
            </w:r>
          </w:p>
        </w:tc>
        <w:tc>
          <w:tcPr>
            <w:tcW w:w="2823" w:type="dxa"/>
            <w:gridSpan w:val="2"/>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货物质量</w:t>
            </w:r>
          </w:p>
        </w:tc>
        <w:tc>
          <w:tcPr>
            <w:tcW w:w="942" w:type="dxa"/>
            <w:noWrap w:val="0"/>
            <w:vAlign w:val="center"/>
          </w:tcPr>
          <w:p>
            <w:pPr>
              <w:widowControl/>
              <w:spacing w:line="24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40</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2</w:t>
            </w:r>
          </w:p>
        </w:tc>
        <w:tc>
          <w:tcPr>
            <w:tcW w:w="2823" w:type="dxa"/>
            <w:gridSpan w:val="2"/>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供货能力</w:t>
            </w:r>
          </w:p>
        </w:tc>
        <w:tc>
          <w:tcPr>
            <w:tcW w:w="942" w:type="dxa"/>
            <w:noWrap w:val="0"/>
            <w:vAlign w:val="center"/>
          </w:tcPr>
          <w:p>
            <w:pPr>
              <w:widowControl/>
              <w:spacing w:line="24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rPr>
              <w:t>2</w:t>
            </w:r>
            <w:r>
              <w:rPr>
                <w:rFonts w:hint="eastAsia" w:ascii="宋体" w:hAnsi="宋体" w:eastAsia="宋体" w:cs="宋体"/>
                <w:b w:val="0"/>
                <w:bCs/>
                <w:color w:val="auto"/>
                <w:szCs w:val="21"/>
                <w:lang w:val="en-US" w:eastAsia="zh-CN"/>
              </w:rPr>
              <w:t>5</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3</w:t>
            </w:r>
          </w:p>
        </w:tc>
        <w:tc>
          <w:tcPr>
            <w:tcW w:w="2823" w:type="dxa"/>
            <w:gridSpan w:val="2"/>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送货及时性</w:t>
            </w:r>
          </w:p>
        </w:tc>
        <w:tc>
          <w:tcPr>
            <w:tcW w:w="942" w:type="dxa"/>
            <w:noWrap w:val="0"/>
            <w:vAlign w:val="center"/>
          </w:tcPr>
          <w:p>
            <w:pPr>
              <w:spacing w:line="240" w:lineRule="auto"/>
              <w:jc w:val="center"/>
              <w:rPr>
                <w:rFonts w:hint="eastAsia" w:ascii="宋体" w:hAnsi="宋体" w:eastAsia="宋体" w:cs="宋体"/>
                <w:b w:val="0"/>
                <w:bCs/>
                <w:color w:val="auto"/>
                <w:szCs w:val="21"/>
                <w:lang w:val="en-US"/>
              </w:rPr>
            </w:pPr>
            <w:r>
              <w:rPr>
                <w:rFonts w:hint="eastAsia" w:ascii="宋体" w:hAnsi="宋体" w:eastAsia="宋体" w:cs="宋体"/>
                <w:b w:val="0"/>
                <w:bCs/>
                <w:color w:val="auto"/>
                <w:szCs w:val="21"/>
                <w:lang w:val="en-US" w:eastAsia="zh-CN"/>
              </w:rPr>
              <w:t>25</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8" w:type="dxa"/>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4</w:t>
            </w:r>
          </w:p>
        </w:tc>
        <w:tc>
          <w:tcPr>
            <w:tcW w:w="2823" w:type="dxa"/>
            <w:gridSpan w:val="2"/>
            <w:noWrap w:val="0"/>
            <w:vAlign w:val="center"/>
          </w:tcPr>
          <w:p>
            <w:pPr>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服务态度</w:t>
            </w:r>
          </w:p>
        </w:tc>
        <w:tc>
          <w:tcPr>
            <w:tcW w:w="942" w:type="dxa"/>
            <w:noWrap w:val="0"/>
            <w:vAlign w:val="center"/>
          </w:tcPr>
          <w:p>
            <w:pPr>
              <w:widowControl/>
              <w:spacing w:line="240" w:lineRule="auto"/>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10</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411" w:type="dxa"/>
            <w:gridSpan w:val="3"/>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合计</w:t>
            </w:r>
          </w:p>
        </w:tc>
        <w:tc>
          <w:tcPr>
            <w:tcW w:w="942" w:type="dxa"/>
            <w:noWrap w:val="0"/>
            <w:vAlign w:val="center"/>
          </w:tcPr>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100</w:t>
            </w:r>
          </w:p>
        </w:tc>
        <w:tc>
          <w:tcPr>
            <w:tcW w:w="3284" w:type="dxa"/>
            <w:noWrap w:val="0"/>
            <w:vAlign w:val="center"/>
          </w:tcPr>
          <w:p>
            <w:pPr>
              <w:widowControl/>
              <w:spacing w:line="240" w:lineRule="auto"/>
              <w:jc w:val="center"/>
              <w:rPr>
                <w:rFonts w:hint="eastAsia" w:ascii="宋体" w:hAnsi="宋体" w:eastAsia="宋体" w:cs="宋体"/>
                <w:b w:val="0"/>
                <w:bCs/>
                <w:color w:val="auto"/>
                <w:szCs w:val="21"/>
              </w:rPr>
            </w:pPr>
          </w:p>
        </w:tc>
        <w:tc>
          <w:tcPr>
            <w:tcW w:w="885" w:type="dxa"/>
            <w:noWrap w:val="0"/>
            <w:vAlign w:val="center"/>
          </w:tcPr>
          <w:p>
            <w:pPr>
              <w:widowControl/>
              <w:spacing w:line="240" w:lineRule="auto"/>
              <w:jc w:val="center"/>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noWrap w:val="0"/>
            <w:vAlign w:val="center"/>
          </w:tcPr>
          <w:p>
            <w:pPr>
              <w:spacing w:line="240" w:lineRule="auto"/>
              <w:jc w:val="left"/>
              <w:rPr>
                <w:rFonts w:hint="eastAsia" w:ascii="宋体" w:hAnsi="宋体" w:eastAsia="宋体" w:cs="宋体"/>
                <w:b w:val="0"/>
                <w:bCs/>
                <w:color w:val="auto"/>
                <w:szCs w:val="21"/>
              </w:rPr>
            </w:pPr>
            <w:r>
              <w:rPr>
                <w:rFonts w:hint="eastAsia" w:ascii="宋体" w:hAnsi="宋体" w:eastAsia="宋体" w:cs="宋体"/>
                <w:b w:val="0"/>
                <w:bCs/>
                <w:color w:val="auto"/>
                <w:szCs w:val="21"/>
              </w:rPr>
              <w:t>说明：90-100分为优，80-</w:t>
            </w:r>
            <w:r>
              <w:rPr>
                <w:rFonts w:hint="eastAsia" w:ascii="宋体" w:hAnsi="宋体" w:eastAsia="宋体" w:cs="宋体"/>
                <w:b w:val="0"/>
                <w:bCs/>
                <w:color w:val="auto"/>
                <w:szCs w:val="21"/>
                <w:lang w:val="en-US" w:eastAsia="zh-CN"/>
              </w:rPr>
              <w:t>89</w:t>
            </w:r>
            <w:r>
              <w:rPr>
                <w:rFonts w:hint="eastAsia" w:ascii="宋体" w:hAnsi="宋体" w:eastAsia="宋体" w:cs="宋体"/>
                <w:b w:val="0"/>
                <w:bCs/>
                <w:color w:val="auto"/>
                <w:szCs w:val="21"/>
              </w:rPr>
              <w:t>分为合格，80分以下为不合格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88" w:type="dxa"/>
            <w:noWrap w:val="0"/>
            <w:vAlign w:val="top"/>
          </w:tcPr>
          <w:p>
            <w:pPr>
              <w:widowControl/>
              <w:spacing w:line="240" w:lineRule="auto"/>
              <w:rPr>
                <w:rFonts w:hint="eastAsia" w:ascii="宋体" w:hAnsi="宋体" w:eastAsia="宋体" w:cs="宋体"/>
                <w:b w:val="0"/>
                <w:bCs/>
                <w:color w:val="auto"/>
                <w:szCs w:val="21"/>
              </w:rPr>
            </w:pPr>
          </w:p>
          <w:p>
            <w:pPr>
              <w:widowControl/>
              <w:spacing w:line="240" w:lineRule="auto"/>
              <w:jc w:val="center"/>
              <w:rPr>
                <w:rFonts w:hint="eastAsia" w:ascii="宋体" w:hAnsi="宋体" w:eastAsia="宋体" w:cs="宋体"/>
                <w:b w:val="0"/>
                <w:bCs/>
                <w:color w:val="auto"/>
                <w:szCs w:val="21"/>
              </w:rPr>
            </w:pPr>
          </w:p>
          <w:p>
            <w:pPr>
              <w:widowControl/>
              <w:spacing w:line="24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综合评价结论</w:t>
            </w:r>
          </w:p>
        </w:tc>
        <w:tc>
          <w:tcPr>
            <w:tcW w:w="7934" w:type="dxa"/>
            <w:gridSpan w:val="5"/>
            <w:noWrap w:val="0"/>
            <w:vAlign w:val="top"/>
          </w:tcPr>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r>
              <w:rPr>
                <w:rFonts w:hint="eastAsia" w:ascii="宋体" w:hAnsi="宋体" w:eastAsia="宋体" w:cs="宋体"/>
                <w:b w:val="0"/>
                <w:bCs/>
                <w:color w:val="auto"/>
                <w:szCs w:val="21"/>
              </w:rPr>
              <w:t>评价人：</w:t>
            </w:r>
          </w:p>
          <w:p>
            <w:pPr>
              <w:widowControl/>
              <w:spacing w:line="240" w:lineRule="auto"/>
              <w:ind w:firstLine="1680" w:firstLineChars="800"/>
              <w:rPr>
                <w:rFonts w:hint="eastAsia" w:ascii="宋体" w:hAnsi="宋体" w:eastAsia="宋体" w:cs="宋体"/>
                <w:b w:val="0"/>
                <w:bCs/>
                <w:color w:val="auto"/>
                <w:szCs w:val="21"/>
              </w:rPr>
            </w:pPr>
          </w:p>
          <w:p>
            <w:pPr>
              <w:widowControl/>
              <w:spacing w:line="240" w:lineRule="auto"/>
              <w:rPr>
                <w:rFonts w:hint="eastAsia" w:ascii="宋体" w:hAnsi="宋体" w:eastAsia="宋体" w:cs="宋体"/>
                <w:b w:val="0"/>
                <w:bCs/>
                <w:color w:val="auto"/>
                <w:szCs w:val="21"/>
              </w:rPr>
            </w:pPr>
            <w:r>
              <w:rPr>
                <w:rFonts w:hint="eastAsia" w:ascii="宋体" w:hAnsi="宋体" w:eastAsia="宋体" w:cs="宋体"/>
                <w:b w:val="0"/>
                <w:bCs/>
                <w:color w:val="auto"/>
                <w:szCs w:val="21"/>
              </w:rPr>
              <w:t xml:space="preserve">需求部门：         </w:t>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 xml:space="preserve">需求部门负责人：     </w:t>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522" w:type="dxa"/>
            <w:gridSpan w:val="6"/>
            <w:noWrap w:val="0"/>
            <w:vAlign w:val="center"/>
          </w:tcPr>
          <w:p>
            <w:pPr>
              <w:spacing w:before="120" w:beforeLines="50" w:line="240" w:lineRule="auto"/>
              <w:ind w:right="-359" w:rightChars="-171"/>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取分标准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货物质量</w:t>
            </w:r>
          </w:p>
        </w:tc>
        <w:tc>
          <w:tcPr>
            <w:tcW w:w="7259" w:type="dxa"/>
            <w:gridSpan w:val="4"/>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1、提供公司货物质量品质达到公司要求，未出现退货情况，得40分。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2、出现退货情况，每退换一次扣5分。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供货能力</w:t>
            </w:r>
          </w:p>
        </w:tc>
        <w:tc>
          <w:tcPr>
            <w:tcW w:w="7259"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每次均能按公司提出的要求，提供</w:t>
            </w:r>
            <w:r>
              <w:rPr>
                <w:rFonts w:hint="eastAsia" w:ascii="宋体" w:hAnsi="宋体" w:eastAsia="宋体" w:cs="宋体"/>
                <w:b w:val="0"/>
                <w:bCs/>
                <w:color w:val="auto"/>
                <w:szCs w:val="21"/>
                <w:highlight w:val="none"/>
                <w:lang w:val="en-US" w:eastAsia="zh-CN"/>
              </w:rPr>
              <w:t>合格的货物。得25分。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未能按公司的要求提供</w:t>
            </w:r>
            <w:r>
              <w:rPr>
                <w:rFonts w:hint="eastAsia" w:ascii="宋体" w:hAnsi="宋体" w:eastAsia="宋体" w:cs="宋体"/>
                <w:b w:val="0"/>
                <w:bCs/>
                <w:color w:val="auto"/>
                <w:szCs w:val="21"/>
                <w:highlight w:val="none"/>
                <w:lang w:val="en-US" w:eastAsia="zh-CN"/>
              </w:rPr>
              <w:t>合格的</w:t>
            </w:r>
            <w:r>
              <w:rPr>
                <w:rFonts w:hint="eastAsia" w:ascii="宋体" w:hAnsi="宋体" w:eastAsia="宋体" w:cs="宋体"/>
                <w:b w:val="0"/>
                <w:bCs/>
                <w:color w:val="auto"/>
                <w:szCs w:val="21"/>
                <w:highlight w:val="none"/>
              </w:rPr>
              <w:t>货物，每次扣5分</w:t>
            </w:r>
            <w:r>
              <w:rPr>
                <w:rFonts w:hint="eastAsia" w:ascii="宋体" w:hAnsi="宋体" w:eastAsia="宋体" w:cs="宋体"/>
                <w:b w:val="0"/>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送货</w:t>
            </w:r>
            <w:r>
              <w:rPr>
                <w:rFonts w:hint="eastAsia" w:ascii="宋体" w:hAnsi="宋体" w:eastAsia="宋体" w:cs="宋体"/>
                <w:b w:val="0"/>
                <w:bCs/>
                <w:color w:val="auto"/>
                <w:szCs w:val="21"/>
                <w:highlight w:val="none"/>
              </w:rPr>
              <w:t>及时</w:t>
            </w:r>
            <w:r>
              <w:rPr>
                <w:rFonts w:hint="eastAsia" w:ascii="宋体" w:hAnsi="宋体" w:eastAsia="宋体" w:cs="宋体"/>
                <w:b w:val="0"/>
                <w:bCs/>
                <w:color w:val="auto"/>
                <w:szCs w:val="21"/>
                <w:highlight w:val="none"/>
                <w:lang w:val="en-US" w:eastAsia="zh-CN"/>
              </w:rPr>
              <w:t>性</w:t>
            </w:r>
          </w:p>
        </w:tc>
        <w:tc>
          <w:tcPr>
            <w:tcW w:w="7259"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1、每次均能按公司提出的节点要求，提供相应的货物，</w:t>
            </w:r>
            <w:r>
              <w:rPr>
                <w:rFonts w:hint="eastAsia" w:ascii="宋体" w:hAnsi="宋体" w:eastAsia="宋体" w:cs="宋体"/>
                <w:b w:val="0"/>
                <w:bCs/>
                <w:color w:val="auto"/>
                <w:szCs w:val="21"/>
                <w:highlight w:val="none"/>
                <w:lang w:val="en-US" w:eastAsia="zh-CN"/>
              </w:rPr>
              <w:t>送货及时，</w:t>
            </w:r>
            <w:r>
              <w:rPr>
                <w:rFonts w:hint="eastAsia" w:ascii="宋体" w:hAnsi="宋体" w:eastAsia="宋体" w:cs="宋体"/>
                <w:b w:val="0"/>
                <w:bCs/>
                <w:color w:val="auto"/>
                <w:szCs w:val="21"/>
                <w:highlight w:val="none"/>
              </w:rPr>
              <w:t>得25分</w:t>
            </w:r>
            <w:r>
              <w:rPr>
                <w:rFonts w:hint="eastAsia" w:ascii="宋体" w:hAnsi="宋体" w:eastAsia="宋体" w:cs="宋体"/>
                <w:b w:val="0"/>
                <w:bCs/>
                <w:color w:val="auto"/>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2、未能按公司提出的节点要求提供相应货物的，每次扣5分</w:t>
            </w:r>
            <w:r>
              <w:rPr>
                <w:rFonts w:hint="eastAsia" w:ascii="宋体" w:hAnsi="宋体" w:eastAsia="宋体" w:cs="宋体"/>
                <w:b w:val="0"/>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6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服务</w:t>
            </w:r>
            <w:r>
              <w:rPr>
                <w:rFonts w:hint="eastAsia" w:ascii="宋体" w:hAnsi="宋体" w:eastAsia="宋体" w:cs="宋体"/>
                <w:b w:val="0"/>
                <w:bCs/>
                <w:color w:val="auto"/>
                <w:szCs w:val="21"/>
                <w:highlight w:val="none"/>
                <w:lang w:val="en-US" w:eastAsia="zh-CN"/>
              </w:rPr>
              <w:t>态度</w:t>
            </w:r>
          </w:p>
        </w:tc>
        <w:tc>
          <w:tcPr>
            <w:tcW w:w="7259"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服务态度良好，针对</w:t>
            </w:r>
            <w:r>
              <w:rPr>
                <w:rFonts w:hint="eastAsia" w:ascii="宋体" w:hAnsi="宋体" w:eastAsia="宋体" w:cs="宋体"/>
                <w:b w:val="0"/>
                <w:bCs/>
                <w:color w:val="auto"/>
                <w:szCs w:val="21"/>
                <w:highlight w:val="none"/>
              </w:rPr>
              <w:t>合同约定</w:t>
            </w:r>
            <w:r>
              <w:rPr>
                <w:rFonts w:hint="eastAsia" w:ascii="宋体" w:hAnsi="宋体" w:eastAsia="宋体" w:cs="宋体"/>
                <w:b w:val="0"/>
                <w:bCs/>
                <w:color w:val="auto"/>
                <w:szCs w:val="21"/>
                <w:highlight w:val="none"/>
                <w:lang w:val="en-US" w:eastAsia="zh-CN"/>
              </w:rPr>
              <w:t>的条款</w:t>
            </w:r>
            <w:r>
              <w:rPr>
                <w:rFonts w:hint="eastAsia" w:ascii="宋体" w:hAnsi="宋体" w:eastAsia="宋体" w:cs="宋体"/>
                <w:b w:val="0"/>
                <w:bCs/>
                <w:color w:val="auto"/>
                <w:szCs w:val="21"/>
                <w:highlight w:val="none"/>
              </w:rPr>
              <w:t>内容，均能保质保量提供，得</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分</w:t>
            </w:r>
            <w:r>
              <w:rPr>
                <w:rFonts w:hint="eastAsia" w:ascii="宋体" w:hAnsi="宋体" w:eastAsia="宋体" w:cs="宋体"/>
                <w:b w:val="0"/>
                <w:bCs/>
                <w:color w:val="auto"/>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2、未能配合公司的要求、资料造假、无理抬价、售后服务不及时等问题的，每次扣5分</w:t>
            </w:r>
            <w:r>
              <w:rPr>
                <w:rFonts w:hint="eastAsia" w:ascii="宋体" w:hAnsi="宋体" w:eastAsia="宋体" w:cs="宋体"/>
                <w:b w:val="0"/>
                <w:bCs/>
                <w:color w:val="auto"/>
                <w:szCs w:val="21"/>
                <w:highlight w:val="none"/>
                <w:lang w:eastAsia="zh-CN"/>
              </w:rPr>
              <w:t>。</w:t>
            </w:r>
          </w:p>
        </w:tc>
      </w:tr>
    </w:tbl>
    <w:p>
      <w:pPr>
        <w:pStyle w:val="11"/>
        <w:ind w:left="0"/>
        <w:rPr>
          <w:rFonts w:hint="default" w:cs="宋体"/>
          <w:color w:val="auto"/>
          <w:highlight w:val="none"/>
          <w:lang w:val="en-US" w:eastAsia="zh-CN"/>
        </w:rPr>
      </w:pPr>
    </w:p>
    <w:p>
      <w:pP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br w:type="page"/>
      </w:r>
    </w:p>
    <w:p>
      <w:pPr>
        <w:pStyle w:val="11"/>
        <w:keepNext w:val="0"/>
        <w:keepLines w:val="0"/>
        <w:pageBreakBefore w:val="0"/>
        <w:kinsoku/>
        <w:wordWrap/>
        <w:overflowPunct/>
        <w:topLinePunct w:val="0"/>
        <w:autoSpaceDE/>
        <w:autoSpaceDN/>
        <w:bidi w:val="0"/>
        <w:spacing w:before="0" w:line="320" w:lineRule="exac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附件</w:t>
      </w: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rPr>
        <w:t>：阳光合作协议</w:t>
      </w:r>
    </w:p>
    <w:p>
      <w:pPr>
        <w:ind w:firstLine="562" w:firstLine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阳光合作协议</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甲方（采购</w:t>
      </w:r>
      <w:r>
        <w:rPr>
          <w:rFonts w:hint="eastAsia" w:ascii="宋体" w:hAnsi="宋体" w:eastAsia="宋体" w:cs="宋体"/>
          <w:color w:val="auto"/>
          <w:sz w:val="20"/>
          <w:szCs w:val="20"/>
          <w:highlight w:val="none"/>
          <w:lang w:val="en-US" w:eastAsia="zh-CN"/>
        </w:rPr>
        <w:t>人</w:t>
      </w:r>
      <w:r>
        <w:rPr>
          <w:rFonts w:hint="eastAsia" w:ascii="宋体" w:hAnsi="宋体" w:eastAsia="宋体" w:cs="宋体"/>
          <w:color w:val="auto"/>
          <w:sz w:val="20"/>
          <w:szCs w:val="20"/>
          <w:highlight w:val="none"/>
        </w:rPr>
        <w:t>全称）：</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乙方（</w:t>
      </w:r>
      <w:r>
        <w:rPr>
          <w:rFonts w:hint="eastAsia" w:ascii="宋体" w:hAnsi="宋体" w:eastAsia="宋体" w:cs="宋体"/>
          <w:color w:val="auto"/>
          <w:sz w:val="20"/>
          <w:szCs w:val="20"/>
          <w:highlight w:val="none"/>
          <w:lang w:val="en-US" w:eastAsia="zh-CN"/>
        </w:rPr>
        <w:t>服务商</w:t>
      </w:r>
      <w:r>
        <w:rPr>
          <w:rFonts w:hint="eastAsia" w:ascii="宋体" w:hAnsi="宋体" w:eastAsia="宋体" w:cs="宋体"/>
          <w:color w:val="auto"/>
          <w:sz w:val="20"/>
          <w:szCs w:val="20"/>
          <w:highlight w:val="none"/>
        </w:rPr>
        <w:t>全称）：</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甲乙双方于202</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日签署了</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项目合同（以下简称原合同），为加强双方阳光合作，保证职员职业安全，甲乙双方经协商签订本协议并作为双方共同遵守的阳光合作行为准则。</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一、甲方责任</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1.甲方有责任向乙方介绍本单位有关采购管理通用原则和本协议的规定。</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2.甲方有责任对本单位相关人员进行阳光合作教育。</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4.甲方人员如违反阳光合作管理制度及本协议规定，甲方视情节轻重、影响大小给予行政及经济处罚。</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5．对于乙方举报甲方人员违反阳光合作规定的情况，甲方应及时进行调查，根据调查情况进行处理，并将调查结果向乙方反馈。</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二、乙方责任</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1.乙方应保证乙方人员了解甲方有关采购管理通用原则和及本协议的规定，并遵照执行。</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3.乙方有责任接受甲方对乙方在合作期间阳光合作管理执行情况的监督，并对甲方相关调查工作主动配合。</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5．甲方接受乙方实名或匿名举报，保证为举报者的信息保密，常设举报部门及电话： </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举报受理部门：东莞实业投资控股集团有限公司法律合规部</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东实集团举报邮箱：dgsyxf@163.com</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东实集团举报电话：0769-28820703（周一至周五9:00-12:00和14:00-18:00）</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邮寄地址：东莞市东城区八一路1号机关二号大院9号楼，东莞实业投资控股集团有限公司法律合规部收，邮编523000。</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三、其他</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1.本协议是原合同的补充协议，与原合同有同等法律效力。</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2.本协议一式  份，甲方执  份，乙方执  份,具有同等法律效力。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3.本协议经双方签署后生效。</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甲方（盖章）：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乙方（盖章）： </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法定代表人（授权代表）：</w:t>
      </w:r>
      <w:r>
        <w:rPr>
          <w:rFonts w:hint="eastAsia" w:ascii="宋体" w:hAnsi="宋体" w:eastAsia="宋体" w:cs="宋体"/>
          <w:color w:val="auto"/>
          <w:sz w:val="20"/>
          <w:szCs w:val="20"/>
          <w:highlight w:val="none"/>
        </w:rPr>
        <w:tab/>
      </w:r>
      <w:r>
        <w:rPr>
          <w:rFonts w:hint="eastAsia" w:ascii="宋体" w:hAnsi="宋体" w:eastAsia="宋体" w:cs="宋体"/>
          <w:color w:val="auto"/>
          <w:sz w:val="20"/>
          <w:szCs w:val="20"/>
          <w:highlight w:val="none"/>
        </w:rPr>
        <w:tab/>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法定代表人（授权代表）：</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p>
    <w:p>
      <w:pPr>
        <w:pStyle w:val="21"/>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aps/>
          <w:color w:val="auto"/>
          <w:spacing w:val="80"/>
          <w:sz w:val="20"/>
          <w:szCs w:val="20"/>
          <w:highlight w:val="none"/>
        </w:rPr>
      </w:pPr>
      <w:r>
        <w:rPr>
          <w:rFonts w:hint="eastAsia" w:ascii="宋体" w:hAnsi="宋体" w:eastAsia="宋体" w:cs="宋体"/>
          <w:b w:val="0"/>
          <w:bCs w:val="0"/>
          <w:color w:val="auto"/>
          <w:sz w:val="20"/>
          <w:szCs w:val="20"/>
          <w:highlight w:val="none"/>
        </w:rPr>
        <w:t>签约日期：202</w:t>
      </w: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 xml:space="preserve">年  月  日   </w:t>
      </w:r>
      <w:r>
        <w:rPr>
          <w:rFonts w:hint="eastAsia" w:ascii="宋体" w:hAnsi="宋体" w:eastAsia="宋体" w:cs="宋体"/>
          <w:b w:val="0"/>
          <w:bCs w:val="0"/>
          <w:color w:val="auto"/>
          <w:sz w:val="20"/>
          <w:szCs w:val="20"/>
          <w:highlight w:val="none"/>
        </w:rPr>
        <w:tab/>
      </w:r>
      <w:r>
        <w:rPr>
          <w:rFonts w:hint="eastAsia" w:ascii="宋体" w:hAnsi="宋体" w:eastAsia="宋体" w:cs="宋体"/>
          <w:b w:val="0"/>
          <w:bCs w:val="0"/>
          <w:color w:val="auto"/>
          <w:sz w:val="20"/>
          <w:szCs w:val="20"/>
          <w:highlight w:val="none"/>
        </w:rPr>
        <w:t xml:space="preserve">         签约日期：202</w:t>
      </w: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年  月  日</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
        <w:spacing w:before="0" w:after="0" w:line="240" w:lineRule="auto"/>
        <w:rPr>
          <w:rFonts w:hint="eastAsia" w:ascii="宋体" w:hAnsi="宋体" w:eastAsia="宋体" w:cs="宋体"/>
          <w:color w:val="auto"/>
          <w:sz w:val="28"/>
          <w:szCs w:val="28"/>
          <w:highlight w:val="none"/>
        </w:rPr>
      </w:pPr>
      <w:bookmarkStart w:id="138" w:name="_Toc28560"/>
      <w:r>
        <w:rPr>
          <w:rFonts w:hint="eastAsia" w:ascii="宋体" w:hAnsi="宋体" w:eastAsia="宋体" w:cs="宋体"/>
          <w:color w:val="auto"/>
          <w:sz w:val="28"/>
          <w:szCs w:val="28"/>
          <w:highlight w:val="none"/>
        </w:rPr>
        <w:t>第六部分附件－投标文件格式</w:t>
      </w:r>
      <w:bookmarkEnd w:id="138"/>
    </w:p>
    <w:p>
      <w:pPr>
        <w:rPr>
          <w:rFonts w:hint="eastAsia" w:ascii="宋体" w:hAnsi="宋体" w:eastAsia="宋体" w:cs="宋体"/>
          <w:color w:val="auto"/>
          <w:highlight w:val="none"/>
        </w:rPr>
      </w:pPr>
    </w:p>
    <w:p>
      <w:pPr>
        <w:pStyle w:val="2"/>
        <w:widowControl w:val="0"/>
        <w:overflowPunct w:val="0"/>
        <w:spacing w:line="240" w:lineRule="auto"/>
        <w:rPr>
          <w:rFonts w:hint="eastAsia" w:ascii="宋体" w:hAnsi="宋体" w:eastAsia="宋体" w:cs="宋体"/>
          <w:color w:val="auto"/>
          <w:sz w:val="21"/>
          <w:szCs w:val="21"/>
          <w:highlight w:val="none"/>
        </w:rPr>
      </w:pPr>
      <w:bookmarkStart w:id="139" w:name="_Toc6546"/>
      <w:r>
        <w:rPr>
          <w:rFonts w:hint="eastAsia" w:ascii="宋体" w:hAnsi="宋体" w:eastAsia="宋体" w:cs="宋体"/>
          <w:color w:val="auto"/>
          <w:sz w:val="21"/>
          <w:szCs w:val="21"/>
          <w:highlight w:val="none"/>
        </w:rPr>
        <w:t>投标文件目录</w:t>
      </w:r>
      <w:bookmarkEnd w:id="139"/>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格式自理。</w:t>
      </w:r>
    </w:p>
    <w:p>
      <w:pPr>
        <w:adjustRightInd/>
        <w:snapToGrid/>
        <w:spacing w:line="276" w:lineRule="auto"/>
        <w:rPr>
          <w:rFonts w:hint="eastAsia" w:ascii="宋体" w:hAnsi="宋体" w:eastAsia="宋体" w:cs="宋体"/>
          <w:color w:val="auto"/>
          <w:szCs w:val="21"/>
          <w:highlight w:val="none"/>
        </w:rPr>
      </w:pPr>
    </w:p>
    <w:p>
      <w:pPr>
        <w:adjustRightInd/>
        <w:snapToGrid/>
        <w:spacing w:line="276" w:lineRule="auto"/>
        <w:rPr>
          <w:rFonts w:hint="eastAsia" w:ascii="宋体" w:hAnsi="宋体" w:eastAsia="宋体" w:cs="宋体"/>
          <w:color w:val="auto"/>
          <w:szCs w:val="21"/>
          <w:highlight w:val="none"/>
        </w:rPr>
      </w:pPr>
    </w:p>
    <w:p>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1、投标人制作的投标文件应当具备目录。</w:t>
      </w:r>
      <w:r>
        <w:rPr>
          <w:rFonts w:hint="eastAsia" w:ascii="宋体" w:hAnsi="宋体" w:eastAsia="宋体" w:cs="宋体"/>
          <w:color w:val="auto"/>
          <w:szCs w:val="21"/>
          <w:highlight w:val="none"/>
        </w:rPr>
        <w:br w:type="page"/>
      </w:r>
    </w:p>
    <w:p>
      <w:pPr>
        <w:adjustRightInd/>
        <w:snapToGrid/>
        <w:spacing w:line="276" w:lineRule="auto"/>
        <w:rPr>
          <w:rFonts w:hint="eastAsia" w:ascii="宋体" w:hAnsi="宋体" w:eastAsia="宋体" w:cs="宋体"/>
          <w:color w:val="auto"/>
          <w:szCs w:val="21"/>
          <w:highlight w:val="none"/>
        </w:rPr>
      </w:pPr>
    </w:p>
    <w:p>
      <w:pPr>
        <w:jc w:val="center"/>
        <w:rPr>
          <w:rFonts w:hint="eastAsia" w:ascii="宋体" w:hAnsi="宋体" w:eastAsia="宋体" w:cs="宋体"/>
          <w:color w:val="auto"/>
          <w:sz w:val="52"/>
          <w:szCs w:val="52"/>
          <w:highlight w:val="none"/>
        </w:rPr>
      </w:pPr>
      <w:bookmarkStart w:id="140" w:name="_Toc30918"/>
      <w:bookmarkStart w:id="141" w:name="_Toc18450"/>
      <w:bookmarkStart w:id="142" w:name="_Toc20335"/>
      <w:bookmarkStart w:id="143" w:name="_Toc28154"/>
      <w:bookmarkStart w:id="144" w:name="_Toc21746"/>
    </w:p>
    <w:p>
      <w:pPr>
        <w:pStyle w:val="4"/>
        <w:spacing w:before="0" w:after="0" w:line="360" w:lineRule="auto"/>
        <w:jc w:val="center"/>
        <w:rPr>
          <w:rFonts w:hint="eastAsia" w:ascii="宋体" w:hAnsi="宋体" w:eastAsia="宋体" w:cs="宋体"/>
          <w:color w:val="auto"/>
          <w:sz w:val="72"/>
          <w:szCs w:val="72"/>
          <w:highlight w:val="none"/>
        </w:rPr>
      </w:pPr>
      <w:bookmarkStart w:id="145" w:name="_Toc17866"/>
      <w:r>
        <w:rPr>
          <w:rFonts w:hint="eastAsia" w:ascii="宋体" w:hAnsi="宋体" w:eastAsia="宋体" w:cs="宋体"/>
          <w:color w:val="auto"/>
          <w:sz w:val="72"/>
          <w:szCs w:val="72"/>
          <w:highlight w:val="none"/>
        </w:rPr>
        <w:t>价格文件</w:t>
      </w:r>
      <w:bookmarkEnd w:id="140"/>
      <w:bookmarkEnd w:id="141"/>
      <w:bookmarkEnd w:id="145"/>
      <w:bookmarkStart w:id="146" w:name="_Hlt10456397"/>
      <w:bookmarkEnd w:id="146"/>
      <w:bookmarkStart w:id="147" w:name="_Hlt10519799"/>
      <w:bookmarkEnd w:id="147"/>
    </w:p>
    <w:p>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bookmarkEnd w:id="142"/>
      <w:bookmarkEnd w:id="143"/>
      <w:bookmarkEnd w:id="144"/>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0"/>
        </w:rPr>
        <w:t>项目名</w:t>
      </w:r>
      <w:r>
        <w:rPr>
          <w:rFonts w:hint="eastAsia" w:ascii="宋体" w:hAnsi="宋体" w:eastAsia="宋体" w:cs="宋体"/>
          <w:b/>
          <w:bCs/>
          <w:color w:val="auto"/>
          <w:spacing w:val="1"/>
          <w:kern w:val="0"/>
          <w:sz w:val="32"/>
          <w:szCs w:val="32"/>
          <w:highlight w:val="none"/>
          <w:fitText w:val="1600" w:id="0"/>
        </w:rPr>
        <w:t>称</w:t>
      </w:r>
      <w:r>
        <w:rPr>
          <w:rFonts w:hint="eastAsia" w:ascii="宋体" w:hAnsi="宋体" w:eastAsia="宋体" w:cs="宋体"/>
          <w:b/>
          <w:bCs/>
          <w:color w:val="auto"/>
          <w:spacing w:val="-6"/>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1"/>
        </w:rPr>
        <w:t>项目编</w:t>
      </w:r>
      <w:r>
        <w:rPr>
          <w:rFonts w:hint="eastAsia" w:ascii="宋体" w:hAnsi="宋体" w:eastAsia="宋体" w:cs="宋体"/>
          <w:b/>
          <w:bCs/>
          <w:color w:val="auto"/>
          <w:spacing w:val="1"/>
          <w:kern w:val="0"/>
          <w:sz w:val="32"/>
          <w:szCs w:val="32"/>
          <w:highlight w:val="none"/>
          <w:fitText w:val="1600" w:id="1"/>
        </w:rPr>
        <w:t>号</w:t>
      </w:r>
      <w:r>
        <w:rPr>
          <w:rFonts w:hint="eastAsia" w:ascii="宋体" w:hAnsi="宋体" w:eastAsia="宋体" w:cs="宋体"/>
          <w:b/>
          <w:bCs/>
          <w:color w:val="auto"/>
          <w:sz w:val="32"/>
          <w:szCs w:val="32"/>
          <w:highlight w:val="none"/>
        </w:rPr>
        <w:t>：</w:t>
      </w:r>
    </w:p>
    <w:p>
      <w:pPr>
        <w:pStyle w:val="30"/>
        <w:keepNext w:val="0"/>
        <w:keepLines w:val="0"/>
        <w:pageBreakBefore w:val="0"/>
        <w:widowControl/>
        <w:kinsoku/>
        <w:wordWrap/>
        <w:overflowPunct/>
        <w:topLinePunct w:val="0"/>
        <w:autoSpaceDE/>
        <w:autoSpaceDN/>
        <w:bidi w:val="0"/>
        <w:adjustRightInd w:val="0"/>
        <w:snapToGrid w:val="0"/>
        <w:spacing w:afterAutospacing="0" w:line="360" w:lineRule="auto"/>
        <w:ind w:left="0"/>
        <w:jc w:val="left"/>
        <w:textAlignment w:val="auto"/>
        <w:rPr>
          <w:rFonts w:hint="eastAsia" w:ascii="宋体" w:hAnsi="宋体" w:eastAsia="宋体" w:cs="宋体"/>
          <w:b/>
          <w:color w:val="auto"/>
          <w:spacing w:val="1280"/>
          <w:kern w:val="0"/>
          <w:sz w:val="32"/>
          <w:szCs w:val="32"/>
          <w:highlight w:val="none"/>
        </w:rPr>
      </w:pPr>
      <w:r>
        <w:rPr>
          <w:rFonts w:hint="eastAsia" w:ascii="宋体" w:hAnsi="宋体" w:eastAsia="宋体" w:cs="宋体"/>
          <w:b/>
          <w:color w:val="auto"/>
          <w:spacing w:val="106"/>
          <w:kern w:val="0"/>
          <w:sz w:val="32"/>
          <w:szCs w:val="32"/>
          <w:highlight w:val="none"/>
          <w:lang w:bidi="ar"/>
        </w:rPr>
        <w:t>包组号（如有）：</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2"/>
        </w:rPr>
        <w:t>投标人名称</w:t>
      </w:r>
      <w:r>
        <w:rPr>
          <w:rFonts w:hint="eastAsia" w:ascii="宋体" w:hAnsi="宋体" w:eastAsia="宋体" w:cs="宋体"/>
          <w:b/>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3"/>
        </w:rPr>
        <w:t xml:space="preserve">日    </w:t>
      </w:r>
      <w:r>
        <w:rPr>
          <w:rFonts w:hint="eastAsia" w:ascii="宋体" w:hAnsi="宋体" w:eastAsia="宋体" w:cs="宋体"/>
          <w:b/>
          <w:color w:val="auto"/>
          <w:spacing w:val="0"/>
          <w:kern w:val="0"/>
          <w:sz w:val="32"/>
          <w:szCs w:val="32"/>
          <w:highlight w:val="none"/>
          <w:fitText w:val="1600" w:id="3"/>
        </w:rPr>
        <w:t>期</w:t>
      </w:r>
      <w:r>
        <w:rPr>
          <w:rFonts w:hint="eastAsia" w:ascii="宋体" w:hAnsi="宋体" w:eastAsia="宋体" w:cs="宋体"/>
          <w:b/>
          <w:color w:val="auto"/>
          <w:sz w:val="32"/>
          <w:szCs w:val="32"/>
          <w:highlight w:val="none"/>
        </w:rPr>
        <w:t>：</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ind w:left="0"/>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48" w:name="_Toc31644"/>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.开标一览表格式</w:t>
      </w:r>
      <w:bookmarkEnd w:id="148"/>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开标一览表</w:t>
      </w: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pPr>
        <w:rPr>
          <w:rFonts w:hint="eastAsia" w:ascii="宋体" w:hAnsi="宋体" w:eastAsia="宋体" w:cs="宋体"/>
          <w:color w:val="auto"/>
          <w:highlight w:val="none"/>
        </w:rPr>
      </w:pPr>
      <w:r>
        <w:rPr>
          <w:rFonts w:hint="eastAsia" w:ascii="宋体" w:hAnsi="宋体" w:eastAsia="宋体" w:cs="宋体"/>
          <w:color w:val="auto"/>
          <w:szCs w:val="21"/>
          <w:highlight w:val="none"/>
        </w:rPr>
        <w:t>采购项目编号：</w:t>
      </w:r>
    </w:p>
    <w:tbl>
      <w:tblPr>
        <w:tblStyle w:val="37"/>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129"/>
        <w:gridCol w:w="1216"/>
        <w:gridCol w:w="1403"/>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683"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szCs w:val="21"/>
                <w:highlight w:val="none"/>
              </w:rPr>
              <w:t>项目名称</w:t>
            </w:r>
          </w:p>
        </w:tc>
        <w:tc>
          <w:tcPr>
            <w:tcW w:w="2129"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lang w:val="en-US" w:eastAsia="zh-CN"/>
              </w:rPr>
              <w:t>不含税</w:t>
            </w:r>
            <w:r>
              <w:rPr>
                <w:rFonts w:hint="eastAsia" w:ascii="宋体" w:hAnsi="宋体" w:eastAsia="宋体" w:cs="宋体"/>
                <w:color w:val="auto"/>
                <w:kern w:val="28"/>
                <w:szCs w:val="21"/>
                <w:highlight w:val="none"/>
              </w:rPr>
              <w:t>下浮率（%）</w:t>
            </w:r>
          </w:p>
        </w:tc>
        <w:tc>
          <w:tcPr>
            <w:tcW w:w="1216" w:type="dxa"/>
            <w:vAlign w:val="center"/>
          </w:tcPr>
          <w:p>
            <w:pPr>
              <w:spacing w:line="240" w:lineRule="auto"/>
              <w:jc w:val="center"/>
              <w:rPr>
                <w:rFonts w:hint="eastAsia"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lang w:val="en-US" w:eastAsia="zh-CN"/>
              </w:rPr>
              <w:t>税率</w:t>
            </w:r>
          </w:p>
        </w:tc>
        <w:tc>
          <w:tcPr>
            <w:tcW w:w="1403"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服务期</w:t>
            </w:r>
          </w:p>
        </w:tc>
        <w:tc>
          <w:tcPr>
            <w:tcW w:w="2088"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683" w:type="dxa"/>
            <w:vAlign w:val="center"/>
          </w:tcPr>
          <w:p>
            <w:pPr>
              <w:spacing w:line="240" w:lineRule="auto"/>
              <w:jc w:val="center"/>
              <w:rPr>
                <w:rFonts w:hint="eastAsia" w:ascii="宋体" w:hAnsi="宋体" w:eastAsia="宋体" w:cs="宋体"/>
                <w:color w:val="auto"/>
                <w:szCs w:val="21"/>
                <w:highlight w:val="none"/>
              </w:rPr>
            </w:pPr>
          </w:p>
        </w:tc>
        <w:tc>
          <w:tcPr>
            <w:tcW w:w="2129" w:type="dxa"/>
            <w:vAlign w:val="center"/>
          </w:tcPr>
          <w:p>
            <w:pPr>
              <w:spacing w:line="240" w:lineRule="auto"/>
              <w:jc w:val="center"/>
              <w:rPr>
                <w:rFonts w:hint="eastAsia" w:ascii="宋体" w:hAnsi="宋体" w:eastAsia="宋体" w:cs="宋体"/>
                <w:color w:val="auto"/>
                <w:szCs w:val="21"/>
                <w:highlight w:val="none"/>
              </w:rPr>
            </w:pPr>
          </w:p>
        </w:tc>
        <w:tc>
          <w:tcPr>
            <w:tcW w:w="1216" w:type="dxa"/>
            <w:vAlign w:val="center"/>
          </w:tcPr>
          <w:p>
            <w:pPr>
              <w:pStyle w:val="66"/>
              <w:jc w:val="center"/>
              <w:rPr>
                <w:rFonts w:hint="eastAsia" w:ascii="宋体" w:hAnsi="宋体" w:eastAsia="宋体" w:cs="宋体"/>
                <w:color w:val="auto"/>
                <w:sz w:val="21"/>
                <w:szCs w:val="21"/>
                <w:highlight w:val="none"/>
              </w:rPr>
            </w:pPr>
          </w:p>
        </w:tc>
        <w:tc>
          <w:tcPr>
            <w:tcW w:w="1403" w:type="dxa"/>
            <w:vAlign w:val="center"/>
          </w:tcPr>
          <w:p>
            <w:pPr>
              <w:pStyle w:val="6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2088" w:type="dxa"/>
            <w:vAlign w:val="center"/>
          </w:tcPr>
          <w:p>
            <w:pPr>
              <w:pStyle w:val="66"/>
              <w:jc w:val="center"/>
              <w:rPr>
                <w:rFonts w:hint="eastAsia" w:ascii="宋体" w:hAnsi="宋体" w:eastAsia="宋体" w:cs="宋体"/>
                <w:color w:val="auto"/>
                <w:sz w:val="21"/>
                <w:szCs w:val="21"/>
                <w:highlight w:val="none"/>
              </w:rPr>
            </w:pPr>
          </w:p>
        </w:tc>
      </w:tr>
    </w:tbl>
    <w:p>
      <w:pPr>
        <w:rPr>
          <w:rFonts w:hint="eastAsia" w:ascii="宋体" w:hAnsi="宋体" w:eastAsia="宋体" w:cs="宋体"/>
          <w:color w:val="auto"/>
          <w:szCs w:val="21"/>
          <w:highlight w:val="none"/>
        </w:rPr>
      </w:pPr>
    </w:p>
    <w:p>
      <w:pPr>
        <w:ind w:firstLine="359" w:firstLineChars="171"/>
        <w:rPr>
          <w:rFonts w:hint="eastAsia" w:ascii="宋体" w:hAnsi="宋体" w:eastAsia="宋体" w:cs="宋体"/>
          <w:color w:val="auto"/>
          <w:szCs w:val="21"/>
          <w:highlight w:val="none"/>
        </w:rPr>
      </w:pPr>
    </w:p>
    <w:p>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ind w:firstLine="359" w:firstLineChars="171"/>
        <w:rPr>
          <w:rFonts w:hint="eastAsia" w:ascii="宋体" w:hAnsi="宋体" w:eastAsia="宋体" w:cs="宋体"/>
          <w:color w:val="auto"/>
          <w:szCs w:val="21"/>
          <w:highlight w:val="none"/>
        </w:rPr>
      </w:pPr>
    </w:p>
    <w:p>
      <w:pPr>
        <w:ind w:left="391" w:hanging="390" w:hangingChars="18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1、投标总价栏须用大写金额和小写金额两种方式表示的投标总价，报价保留小数点后两位。投标总价大小写不一致，以大写为准。投标总价必须准确唯一且应包含采购文件要求的所有费用。</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、下浮率有效报价范围：0%-100%之间，下浮率报价不得大于100%，也不得为负数，且是固定唯一值。例：若投标人打八折，即</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下浮率为：20%。</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、温馨提示：未按采购文件要求报价、填写开标一览表是导致投标人废标的常见问题，请投标人仔细填写，认真核对。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rPr>
          <w:rFonts w:hint="eastAsia" w:ascii="宋体" w:hAnsi="宋体" w:eastAsia="宋体" w:cs="宋体"/>
          <w:color w:val="auto"/>
          <w:szCs w:val="21"/>
          <w:highlight w:val="none"/>
        </w:rPr>
      </w:pPr>
      <w:bookmarkStart w:id="149" w:name="_Toc12412"/>
    </w:p>
    <w:bookmarkEnd w:id="149"/>
    <w:p>
      <w:pPr>
        <w:rPr>
          <w:rFonts w:hint="eastAsia" w:ascii="宋体" w:hAnsi="宋体" w:eastAsia="宋体" w:cs="宋体"/>
          <w:color w:val="auto"/>
          <w:sz w:val="52"/>
          <w:szCs w:val="52"/>
          <w:highlight w:val="none"/>
        </w:rPr>
      </w:pPr>
    </w:p>
    <w:p>
      <w:pPr>
        <w:pStyle w:val="4"/>
        <w:spacing w:before="0" w:after="0" w:line="360" w:lineRule="auto"/>
        <w:jc w:val="center"/>
        <w:rPr>
          <w:rFonts w:hint="eastAsia" w:ascii="宋体" w:hAnsi="宋体" w:eastAsia="宋体" w:cs="宋体"/>
          <w:color w:val="auto"/>
          <w:sz w:val="72"/>
          <w:szCs w:val="72"/>
          <w:highlight w:val="none"/>
        </w:rPr>
      </w:pPr>
      <w:bookmarkStart w:id="150" w:name="_Toc16168"/>
      <w:r>
        <w:rPr>
          <w:rFonts w:hint="eastAsia" w:ascii="宋体" w:hAnsi="宋体" w:eastAsia="宋体" w:cs="宋体"/>
          <w:color w:val="auto"/>
          <w:sz w:val="72"/>
          <w:szCs w:val="72"/>
          <w:highlight w:val="none"/>
        </w:rPr>
        <w:t>商务文件</w:t>
      </w:r>
      <w:bookmarkEnd w:id="150"/>
    </w:p>
    <w:p>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4"/>
        </w:rPr>
        <w:t>项目名</w:t>
      </w:r>
      <w:r>
        <w:rPr>
          <w:rFonts w:hint="eastAsia" w:ascii="宋体" w:hAnsi="宋体" w:eastAsia="宋体" w:cs="宋体"/>
          <w:b/>
          <w:bCs/>
          <w:color w:val="auto"/>
          <w:spacing w:val="1"/>
          <w:kern w:val="0"/>
          <w:sz w:val="32"/>
          <w:szCs w:val="32"/>
          <w:highlight w:val="none"/>
          <w:fitText w:val="1600" w:id="4"/>
        </w:rPr>
        <w:t>称</w:t>
      </w:r>
      <w:r>
        <w:rPr>
          <w:rFonts w:hint="eastAsia" w:ascii="宋体" w:hAnsi="宋体" w:eastAsia="宋体" w:cs="宋体"/>
          <w:b/>
          <w:bCs/>
          <w:color w:val="auto"/>
          <w:spacing w:val="-6"/>
          <w:sz w:val="32"/>
          <w:szCs w:val="32"/>
          <w:highlight w:val="none"/>
        </w:rPr>
        <w:t>：</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5"/>
        </w:rPr>
        <w:t>项目编</w:t>
      </w:r>
      <w:r>
        <w:rPr>
          <w:rFonts w:hint="eastAsia" w:ascii="宋体" w:hAnsi="宋体" w:eastAsia="宋体" w:cs="宋体"/>
          <w:b/>
          <w:bCs/>
          <w:color w:val="auto"/>
          <w:spacing w:val="1"/>
          <w:kern w:val="0"/>
          <w:sz w:val="32"/>
          <w:szCs w:val="32"/>
          <w:highlight w:val="none"/>
          <w:fitText w:val="1600" w:id="5"/>
        </w:rPr>
        <w:t>号</w:t>
      </w:r>
      <w:r>
        <w:rPr>
          <w:rFonts w:hint="eastAsia" w:ascii="宋体" w:hAnsi="宋体" w:eastAsia="宋体" w:cs="宋体"/>
          <w:b/>
          <w:bCs/>
          <w:color w:val="auto"/>
          <w:sz w:val="32"/>
          <w:szCs w:val="32"/>
          <w:highlight w:val="none"/>
        </w:rPr>
        <w:t>：</w:t>
      </w:r>
    </w:p>
    <w:p>
      <w:pPr>
        <w:pStyle w:val="11"/>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6"/>
        </w:rPr>
        <w:t>投标人名称</w:t>
      </w:r>
      <w:r>
        <w:rPr>
          <w:rFonts w:hint="eastAsia" w:ascii="宋体" w:hAnsi="宋体" w:eastAsia="宋体" w:cs="宋体"/>
          <w:b/>
          <w:color w:val="auto"/>
          <w:sz w:val="32"/>
          <w:szCs w:val="32"/>
          <w:highlight w:val="none"/>
        </w:rPr>
        <w:t>：</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7"/>
        </w:rPr>
        <w:t xml:space="preserve">日    </w:t>
      </w:r>
      <w:r>
        <w:rPr>
          <w:rFonts w:hint="eastAsia" w:ascii="宋体" w:hAnsi="宋体" w:eastAsia="宋体" w:cs="宋体"/>
          <w:b/>
          <w:color w:val="auto"/>
          <w:spacing w:val="0"/>
          <w:kern w:val="0"/>
          <w:sz w:val="32"/>
          <w:szCs w:val="32"/>
          <w:highlight w:val="none"/>
          <w:fitText w:val="1600" w:id="7"/>
        </w:rPr>
        <w:t>期</w:t>
      </w:r>
      <w:r>
        <w:rPr>
          <w:rFonts w:hint="eastAsia" w:ascii="宋体" w:hAnsi="宋体" w:eastAsia="宋体" w:cs="宋体"/>
          <w:b/>
          <w:color w:val="auto"/>
          <w:sz w:val="32"/>
          <w:szCs w:val="32"/>
          <w:highlight w:val="none"/>
        </w:rPr>
        <w:t>：</w:t>
      </w:r>
    </w:p>
    <w:p>
      <w:pPr>
        <w:pStyle w:val="11"/>
        <w:rPr>
          <w:rFonts w:hint="eastAsia" w:ascii="宋体" w:hAnsi="宋体" w:eastAsia="宋体" w:cs="宋体"/>
          <w:b/>
          <w:color w:val="auto"/>
          <w:sz w:val="32"/>
          <w:szCs w:val="32"/>
          <w:highlight w:val="none"/>
        </w:rPr>
      </w:pPr>
    </w:p>
    <w:p>
      <w:pPr>
        <w:pStyle w:val="10"/>
        <w:ind w:firstLine="321"/>
        <w:rPr>
          <w:rFonts w:hint="eastAsia" w:ascii="宋体" w:hAnsi="宋体" w:eastAsia="宋体" w:cs="宋体"/>
          <w:b/>
          <w:color w:val="auto"/>
          <w:sz w:val="32"/>
          <w:szCs w:val="32"/>
          <w:highlight w:val="none"/>
        </w:rPr>
      </w:pPr>
    </w:p>
    <w:p>
      <w:pPr>
        <w:pStyle w:val="26"/>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11"/>
        <w:rPr>
          <w:rFonts w:hint="eastAsia" w:ascii="宋体" w:hAnsi="宋体" w:eastAsia="宋体" w:cs="宋体"/>
          <w:b/>
          <w:color w:val="auto"/>
          <w:sz w:val="32"/>
          <w:szCs w:val="32"/>
          <w:highlight w:val="none"/>
        </w:rPr>
      </w:pP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51" w:name="_Toc1848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.投标文件商务部分索引表</w:t>
      </w:r>
      <w:bookmarkEnd w:id="151"/>
    </w:p>
    <w:p>
      <w:pPr>
        <w:adjustRightInd/>
        <w:snapToGrid/>
        <w:spacing w:line="276" w:lineRule="auto"/>
        <w:rPr>
          <w:rFonts w:hint="eastAsia" w:ascii="宋体" w:hAnsi="宋体" w:eastAsia="宋体" w:cs="宋体"/>
          <w:color w:val="auto"/>
          <w:szCs w:val="21"/>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投标文件商务部分索引表</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19"/>
        <w:gridCol w:w="1420"/>
        <w:gridCol w:w="142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42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20" w:type="dxa"/>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评审</w:t>
            </w:r>
            <w:r>
              <w:rPr>
                <w:rFonts w:hint="eastAsia" w:ascii="宋体" w:hAnsi="宋体" w:eastAsia="宋体" w:cs="宋体"/>
                <w:color w:val="auto"/>
                <w:highlight w:val="none"/>
                <w:lang w:val="en-US" w:eastAsia="zh-CN"/>
              </w:rPr>
              <w:t>因素</w:t>
            </w:r>
          </w:p>
        </w:tc>
        <w:tc>
          <w:tcPr>
            <w:tcW w:w="1419"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满分</w:t>
            </w:r>
          </w:p>
        </w:tc>
        <w:tc>
          <w:tcPr>
            <w:tcW w:w="1420"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评分标准</w:t>
            </w:r>
          </w:p>
        </w:tc>
        <w:tc>
          <w:tcPr>
            <w:tcW w:w="1420"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自评分</w:t>
            </w:r>
          </w:p>
        </w:tc>
        <w:tc>
          <w:tcPr>
            <w:tcW w:w="1423" w:type="dxa"/>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页码</w:t>
            </w:r>
            <w:r>
              <w:rPr>
                <w:rFonts w:hint="eastAsia" w:ascii="宋体" w:hAnsi="宋体" w:eastAsia="宋体" w:cs="宋体"/>
                <w:color w:val="auto"/>
                <w:highlight w:val="none"/>
                <w:lang w:val="en-US" w:eastAsia="zh-CN"/>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bl>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numPr>
          <w:ilvl w:val="0"/>
          <w:numId w:val="8"/>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该表格为参考格式，投标人可按实际情况自行制订评分标准索引表。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
        <w:widowControl w:val="0"/>
        <w:overflowPunct w:val="0"/>
        <w:spacing w:line="240" w:lineRule="auto"/>
        <w:rPr>
          <w:rFonts w:hint="eastAsia" w:ascii="宋体" w:hAnsi="宋体" w:eastAsia="宋体" w:cs="宋体"/>
          <w:color w:val="auto"/>
          <w:highlight w:val="none"/>
        </w:rPr>
      </w:pPr>
      <w:bookmarkStart w:id="152" w:name="_Toc2713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.投标书格式</w:t>
      </w:r>
      <w:bookmarkEnd w:id="152"/>
    </w:p>
    <w:p>
      <w:pPr>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投标书</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致：xxx公司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（项目名称）（采购项目编号）</w:t>
      </w:r>
      <w:r>
        <w:rPr>
          <w:rFonts w:hint="eastAsia" w:ascii="宋体" w:hAnsi="宋体" w:eastAsia="宋体" w:cs="宋体"/>
          <w:color w:val="auto"/>
          <w:szCs w:val="21"/>
          <w:highlight w:val="none"/>
        </w:rPr>
        <w:t>项目采购公告/采购邀请，签字代表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（投标人名称、地址）</w:t>
      </w:r>
      <w:r>
        <w:rPr>
          <w:rFonts w:hint="eastAsia" w:ascii="宋体" w:hAnsi="宋体" w:eastAsia="宋体" w:cs="宋体"/>
          <w:color w:val="auto"/>
          <w:szCs w:val="21"/>
          <w:highlight w:val="none"/>
        </w:rPr>
        <w:t>提交投标文件及“唱标信封”：</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在此，签字代表宣布同意如下：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我方将按采购文件的规定履行合同责任和义务。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本投标有效期为自开标日起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 xml:space="preserve">个日历日。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我方保证遵守投标人须知中关于没收投标保证金的规定。</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我方同意提供按照贵方可能要求的与其投标有关的一切数据或资料。</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与本投标有关的一切正式信函请寄：</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电子邮箱：</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电话/移动电话：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投标人法定代表人（或其授权代表）签字：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投标人名称（全称）：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投标人盖章： </w:t>
      </w:r>
    </w:p>
    <w:p>
      <w:pPr>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53" w:name="_Toc26123"/>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.法定代表人证明书格式</w:t>
      </w:r>
      <w:bookmarkEnd w:id="153"/>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w:t>
      </w:r>
    </w:p>
    <w:p>
      <w:pPr>
        <w:pStyle w:val="45"/>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致：xxx公司（采购人）</w:t>
      </w:r>
      <w:r>
        <w:rPr>
          <w:rFonts w:hint="eastAsia" w:ascii="宋体" w:hAnsi="宋体" w:eastAsia="宋体" w:cs="宋体"/>
          <w:color w:val="auto"/>
          <w:sz w:val="21"/>
          <w:szCs w:val="21"/>
          <w:highlight w:val="none"/>
          <w:lang w:eastAsia="zh-CN"/>
        </w:rPr>
        <w:t>：</w:t>
      </w:r>
    </w:p>
    <w:p>
      <w:pPr>
        <w:pStyle w:val="45"/>
        <w:spacing w:line="420" w:lineRule="atLeast"/>
        <w:ind w:firstLine="433"/>
        <w:rPr>
          <w:rFonts w:hint="eastAsia" w:ascii="宋体" w:hAnsi="宋体" w:eastAsia="宋体" w:cs="宋体"/>
          <w:color w:val="auto"/>
          <w:sz w:val="21"/>
          <w:szCs w:val="21"/>
          <w:highlight w:val="none"/>
        </w:rPr>
      </w:pPr>
    </w:p>
    <w:p>
      <w:pPr>
        <w:pStyle w:val="45"/>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pPr>
        <w:pStyle w:val="45"/>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 位 性质：</w:t>
      </w:r>
    </w:p>
    <w:p>
      <w:pPr>
        <w:pStyle w:val="45"/>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p>
    <w:p>
      <w:pPr>
        <w:pStyle w:val="45"/>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时间：年月日</w:t>
      </w:r>
    </w:p>
    <w:p>
      <w:pPr>
        <w:pStyle w:val="45"/>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pPr>
        <w:pStyle w:val="45"/>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姓名：性别：年龄：职务：</w:t>
      </w:r>
    </w:p>
    <w:p>
      <w:pPr>
        <w:pStyle w:val="45"/>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系（投标人名称）的法定代表人。</w:t>
      </w:r>
    </w:p>
    <w:p>
      <w:pPr>
        <w:spacing w:line="4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pStyle w:val="45"/>
        <w:spacing w:line="500" w:lineRule="atLeast"/>
        <w:ind w:firstLine="3517" w:firstLineChars="1675"/>
        <w:rPr>
          <w:rFonts w:hint="eastAsia" w:ascii="宋体" w:hAnsi="宋体" w:eastAsia="宋体" w:cs="宋体"/>
          <w:color w:val="auto"/>
          <w:sz w:val="21"/>
          <w:szCs w:val="21"/>
          <w:highlight w:val="none"/>
        </w:rPr>
      </w:pP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法定代表人联系方式：</w:t>
      </w:r>
    </w:p>
    <w:p>
      <w:pPr>
        <w:pStyle w:val="45"/>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pPr>
        <w:pStyle w:val="45"/>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注：法定代表人身份证明书需附法人代表身份证复印件。</w:t>
      </w:r>
    </w:p>
    <w:tbl>
      <w:tblPr>
        <w:tblStyle w:val="37"/>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vAlign w:val="center"/>
          </w:tcPr>
          <w:p>
            <w:pPr>
              <w:pStyle w:val="45"/>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182" w:type="dxa"/>
            <w:vAlign w:val="center"/>
          </w:tcPr>
          <w:p>
            <w:pPr>
              <w:pStyle w:val="45"/>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pPr>
        <w:rPr>
          <w:rFonts w:hint="eastAsia" w:ascii="宋体" w:hAnsi="宋体" w:eastAsia="宋体" w:cs="宋体"/>
          <w:color w:val="auto"/>
          <w:highlight w:val="none"/>
        </w:rPr>
      </w:pPr>
    </w:p>
    <w:p>
      <w:pPr>
        <w:adjustRightInd/>
        <w:snapToGrid/>
        <w:spacing w:line="276" w:lineRule="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br w:type="page"/>
      </w:r>
    </w:p>
    <w:p>
      <w:pPr>
        <w:pStyle w:val="2"/>
        <w:widowControl w:val="0"/>
        <w:overflowPunct w:val="0"/>
        <w:spacing w:line="240" w:lineRule="auto"/>
        <w:rPr>
          <w:rFonts w:hint="eastAsia" w:ascii="宋体" w:hAnsi="宋体" w:eastAsia="宋体" w:cs="宋体"/>
          <w:color w:val="auto"/>
          <w:highlight w:val="none"/>
        </w:rPr>
      </w:pPr>
      <w:bookmarkStart w:id="154" w:name="_Toc17649"/>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.法定代表人授权书格式</w:t>
      </w:r>
      <w:bookmarkEnd w:id="154"/>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pPr>
        <w:pStyle w:val="45"/>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致：xxx公司（采购人）</w:t>
      </w:r>
      <w:r>
        <w:rPr>
          <w:rFonts w:hint="eastAsia" w:ascii="宋体" w:hAnsi="宋体" w:eastAsia="宋体" w:cs="宋体"/>
          <w:color w:val="auto"/>
          <w:sz w:val="21"/>
          <w:szCs w:val="21"/>
          <w:highlight w:val="none"/>
          <w:lang w:eastAsia="zh-CN"/>
        </w:rPr>
        <w:t>：</w:t>
      </w:r>
    </w:p>
    <w:p>
      <w:pPr>
        <w:pStyle w:val="45"/>
        <w:spacing w:line="420" w:lineRule="atLeast"/>
        <w:ind w:firstLine="433"/>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（国家或地区的名称）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为本单位的合法代理人，就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投标及参加项目谈判，以本单位名义处理一切与之有关的事务。</w:t>
      </w:r>
    </w:p>
    <w:p>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日签字生效，特此声明。</w:t>
      </w:r>
    </w:p>
    <w:p>
      <w:pPr>
        <w:pStyle w:val="45"/>
        <w:spacing w:line="500" w:lineRule="atLeast"/>
        <w:ind w:firstLine="3517" w:firstLineChars="1675"/>
        <w:rPr>
          <w:rFonts w:hint="eastAsia" w:ascii="宋体" w:hAnsi="宋体" w:eastAsia="宋体" w:cs="宋体"/>
          <w:color w:val="auto"/>
          <w:sz w:val="21"/>
          <w:szCs w:val="21"/>
          <w:highlight w:val="none"/>
        </w:rPr>
      </w:pP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45"/>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法定代表人签字（签名或盖私章）：</w:t>
      </w: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pPr>
        <w:pStyle w:val="45"/>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职务：</w:t>
      </w: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移动电话： </w:t>
      </w: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pPr>
        <w:pStyle w:val="45"/>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邮箱：                          </w:t>
      </w:r>
    </w:p>
    <w:p>
      <w:pPr>
        <w:pStyle w:val="45"/>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Style w:val="45"/>
        <w:spacing w:line="460" w:lineRule="exact"/>
        <w:ind w:firstLine="433"/>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须附：被授权人身份证复印件。</w:t>
      </w:r>
    </w:p>
    <w:tbl>
      <w:tblPr>
        <w:tblStyle w:val="37"/>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vAlign w:val="center"/>
          </w:tcPr>
          <w:p>
            <w:pPr>
              <w:pStyle w:val="45"/>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232" w:type="dxa"/>
            <w:vAlign w:val="center"/>
          </w:tcPr>
          <w:p>
            <w:pPr>
              <w:pStyle w:val="45"/>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pPr>
        <w:adjustRightInd/>
        <w:snapToGrid/>
        <w:spacing w:line="276" w:lineRule="auto"/>
        <w:rPr>
          <w:rFonts w:hint="eastAsia" w:ascii="宋体" w:hAnsi="宋体" w:eastAsia="宋体" w:cs="宋体"/>
          <w:color w:val="auto"/>
          <w:highlight w:val="none"/>
        </w:rPr>
      </w:pPr>
      <w:bookmarkStart w:id="155" w:name="_Toc22486"/>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56" w:name="_Toc2254"/>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.资格申明</w:t>
      </w:r>
      <w:bookmarkEnd w:id="156"/>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资格申明</w:t>
      </w:r>
    </w:p>
    <w:p>
      <w:pPr>
        <w:pStyle w:val="45"/>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xxx   </w:t>
      </w:r>
      <w:r>
        <w:rPr>
          <w:rFonts w:hint="eastAsia" w:ascii="宋体" w:hAnsi="宋体" w:eastAsia="宋体" w:cs="宋体"/>
          <w:color w:val="auto"/>
          <w:sz w:val="21"/>
          <w:szCs w:val="21"/>
          <w:highlight w:val="none"/>
        </w:rPr>
        <w:t>公司（采购人）：</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我方愿响应贵方关于（项目名称：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）的投标邀请，参与投标，提供用户需求书中规定的货物及相关服务，并按采购文件要求提交所附资格文件且声明和保证如下：</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二、我方依法注册，在法律上、财务上和运作上完全独立于</w:t>
      </w:r>
      <w:r>
        <w:rPr>
          <w:rFonts w:hint="eastAsia" w:ascii="宋体" w:hAnsi="宋体" w:eastAsia="宋体" w:cs="宋体"/>
          <w:color w:val="auto"/>
          <w:szCs w:val="21"/>
          <w:highlight w:val="none"/>
          <w:u w:val="single"/>
        </w:rPr>
        <w:t xml:space="preserve">  xxxx   </w:t>
      </w:r>
      <w:r>
        <w:rPr>
          <w:rFonts w:hint="eastAsia" w:ascii="宋体" w:hAnsi="宋体" w:eastAsia="宋体" w:cs="宋体"/>
          <w:color w:val="auto"/>
          <w:szCs w:val="21"/>
          <w:highlight w:val="none"/>
        </w:rPr>
        <w:t>公司（采购人）及</w:t>
      </w:r>
      <w:r>
        <w:rPr>
          <w:rFonts w:hint="eastAsia" w:ascii="宋体" w:hAnsi="宋体" w:eastAsia="宋体" w:cs="宋体"/>
          <w:color w:val="auto"/>
          <w:szCs w:val="21"/>
          <w:highlight w:val="none"/>
          <w:u w:val="single"/>
        </w:rPr>
        <w:t xml:space="preserve">    xxx   </w:t>
      </w:r>
      <w:r>
        <w:rPr>
          <w:rFonts w:hint="eastAsia" w:ascii="宋体" w:hAnsi="宋体" w:eastAsia="宋体" w:cs="宋体"/>
          <w:color w:val="auto"/>
          <w:szCs w:val="21"/>
          <w:highlight w:val="none"/>
        </w:rPr>
        <w:t>公司（采购代理机构）。</w:t>
      </w:r>
    </w:p>
    <w:p>
      <w:pPr>
        <w:pStyle w:val="45"/>
        <w:spacing w:line="500" w:lineRule="atLeast"/>
        <w:ind w:firstLine="3517" w:firstLineChars="1675"/>
        <w:rPr>
          <w:rFonts w:hint="eastAsia" w:ascii="宋体" w:hAnsi="宋体" w:eastAsia="宋体" w:cs="宋体"/>
          <w:color w:val="auto"/>
          <w:sz w:val="21"/>
          <w:szCs w:val="21"/>
          <w:highlight w:val="none"/>
        </w:rPr>
      </w:pPr>
    </w:p>
    <w:p>
      <w:pPr>
        <w:pStyle w:val="45"/>
        <w:spacing w:line="500" w:lineRule="atLeast"/>
        <w:ind w:firstLine="3517" w:firstLineChars="1675"/>
        <w:rPr>
          <w:rFonts w:hint="eastAsia" w:ascii="宋体" w:hAnsi="宋体" w:eastAsia="宋体" w:cs="宋体"/>
          <w:color w:val="auto"/>
          <w:sz w:val="21"/>
          <w:szCs w:val="21"/>
          <w:highlight w:val="none"/>
        </w:rPr>
      </w:pPr>
    </w:p>
    <w:p>
      <w:pPr>
        <w:pStyle w:val="45"/>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45"/>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法定代表人签字（签名或盖私章）：</w:t>
      </w:r>
    </w:p>
    <w:p>
      <w:pPr>
        <w:pStyle w:val="45"/>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pPr>
        <w:pStyle w:val="45"/>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57" w:name="_Toc20089"/>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.营业执照</w:t>
      </w:r>
      <w:bookmarkEnd w:id="157"/>
    </w:p>
    <w:p>
      <w:pPr>
        <w:jc w:val="center"/>
        <w:rPr>
          <w:rFonts w:hint="eastAsia" w:ascii="宋体" w:hAnsi="宋体" w:eastAsia="宋体" w:cs="宋体"/>
          <w:color w:val="auto"/>
          <w:sz w:val="28"/>
          <w:szCs w:val="28"/>
          <w:highlight w:val="none"/>
        </w:rPr>
      </w:pPr>
      <w:bookmarkStart w:id="158" w:name="_Toc4926"/>
      <w:bookmarkStart w:id="159" w:name="_Toc5919"/>
      <w:bookmarkStart w:id="160" w:name="_Toc24210"/>
      <w:bookmarkStart w:id="161" w:name="_Toc1511"/>
      <w:bookmarkStart w:id="162" w:name="_Toc17470"/>
      <w:r>
        <w:rPr>
          <w:rFonts w:hint="eastAsia" w:ascii="宋体" w:hAnsi="宋体" w:eastAsia="宋体" w:cs="宋体"/>
          <w:color w:val="auto"/>
          <w:sz w:val="28"/>
          <w:szCs w:val="28"/>
          <w:highlight w:val="none"/>
        </w:rPr>
        <w:t>营业执照</w:t>
      </w:r>
      <w:bookmarkEnd w:id="158"/>
      <w:bookmarkEnd w:id="159"/>
      <w:bookmarkEnd w:id="160"/>
      <w:bookmarkEnd w:id="161"/>
      <w:bookmarkEnd w:id="162"/>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63" w:name="_Toc28904"/>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.相关资质证明文件</w:t>
      </w:r>
      <w:bookmarkEnd w:id="163"/>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bookmarkStart w:id="164" w:name="_Toc16698"/>
      <w:bookmarkStart w:id="165" w:name="_Toc16233"/>
      <w:bookmarkStart w:id="166" w:name="_Toc13458"/>
      <w:bookmarkStart w:id="167" w:name="_Toc9592"/>
      <w:bookmarkStart w:id="168" w:name="_Toc30307"/>
      <w:r>
        <w:rPr>
          <w:rFonts w:hint="eastAsia" w:ascii="宋体" w:hAnsi="宋体" w:eastAsia="宋体" w:cs="宋体"/>
          <w:color w:val="auto"/>
          <w:sz w:val="28"/>
          <w:szCs w:val="28"/>
          <w:highlight w:val="none"/>
        </w:rPr>
        <w:t>相关资质证明文件</w:t>
      </w:r>
      <w:bookmarkEnd w:id="155"/>
      <w:bookmarkEnd w:id="164"/>
      <w:bookmarkEnd w:id="165"/>
      <w:bookmarkEnd w:id="166"/>
      <w:bookmarkEnd w:id="167"/>
      <w:bookmarkEnd w:id="168"/>
    </w:p>
    <w:p>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符合投标邀请书“投标人资格要求”其他要求对应的证明文件；</w:t>
      </w:r>
    </w:p>
    <w:p>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投标人认为必要的文件。</w:t>
      </w:r>
      <w:r>
        <w:rPr>
          <w:rFonts w:hint="eastAsia" w:ascii="宋体" w:hAnsi="宋体" w:eastAsia="宋体" w:cs="宋体"/>
          <w:b/>
          <w:bCs/>
          <w:color w:val="auto"/>
          <w:szCs w:val="21"/>
          <w:highlight w:val="none"/>
        </w:rPr>
        <w:br w:type="page"/>
      </w:r>
    </w:p>
    <w:p>
      <w:pPr>
        <w:pStyle w:val="2"/>
        <w:widowControl w:val="0"/>
        <w:overflowPunct w:val="0"/>
        <w:spacing w:line="240" w:lineRule="auto"/>
        <w:rPr>
          <w:rFonts w:hint="eastAsia" w:ascii="宋体" w:hAnsi="宋体" w:eastAsia="宋体" w:cs="宋体"/>
          <w:color w:val="auto"/>
          <w:highlight w:val="none"/>
        </w:rPr>
      </w:pPr>
      <w:bookmarkStart w:id="169" w:name="_Toc31163"/>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.在经营活动中没有重大违法记录的书面声明格式</w:t>
      </w:r>
      <w:bookmarkEnd w:id="169"/>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投标人在经营活动中前三年内未有重大违法记录、没有不良信用记录的声明函</w:t>
      </w:r>
    </w:p>
    <w:p>
      <w:pPr>
        <w:ind w:firstLine="420" w:firstLineChars="200"/>
        <w:rPr>
          <w:rFonts w:hint="eastAsia" w:ascii="宋体" w:hAnsi="宋体" w:eastAsia="宋体" w:cs="宋体"/>
          <w:color w:val="auto"/>
          <w:szCs w:val="21"/>
          <w:highlight w:val="none"/>
        </w:rPr>
      </w:pP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xxxxxx公司</w:t>
      </w:r>
      <w:r>
        <w:rPr>
          <w:rFonts w:hint="eastAsia" w:ascii="宋体" w:hAnsi="宋体" w:eastAsia="宋体" w:cs="宋体"/>
          <w:color w:val="auto"/>
          <w:sz w:val="21"/>
          <w:szCs w:val="21"/>
          <w:highlight w:val="none"/>
        </w:rPr>
        <w:t>（采购人）</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 （项目编号:</w:t>
      </w:r>
      <w:r>
        <w:rPr>
          <w:rFonts w:hint="eastAsia" w:ascii="宋体" w:hAnsi="宋体" w:eastAsia="宋体" w:cs="宋体"/>
          <w:color w:val="auto"/>
          <w:szCs w:val="21"/>
          <w:highlight w:val="none"/>
          <w:lang w:val="en-US" w:eastAsia="zh-CN"/>
        </w:rPr>
        <w:t>XX</w:t>
      </w:r>
      <w:r>
        <w:rPr>
          <w:rFonts w:hint="eastAsia" w:ascii="宋体" w:hAnsi="宋体" w:eastAsia="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我公司以上承诺均为真实有效，绝无任何虚假、伪造的成份，否则，愿承担相应的后果和法律责任。</w:t>
      </w:r>
    </w:p>
    <w:p>
      <w:pPr>
        <w:ind w:firstLine="420" w:firstLineChars="20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highlight w:val="none"/>
        </w:rPr>
      </w:pPr>
    </w:p>
    <w:p>
      <w:pPr>
        <w:pStyle w:val="2"/>
        <w:widowControl w:val="0"/>
        <w:overflowPunct w:val="0"/>
        <w:spacing w:line="240" w:lineRule="auto"/>
        <w:rPr>
          <w:rFonts w:hint="eastAsia" w:ascii="宋体" w:hAnsi="宋体" w:eastAsia="宋体" w:cs="宋体"/>
          <w:color w:val="auto"/>
          <w:highlight w:val="none"/>
        </w:rPr>
      </w:pPr>
      <w:bookmarkStart w:id="170" w:name="_Toc28558"/>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.承诺书格式</w:t>
      </w:r>
      <w:bookmarkEnd w:id="170"/>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承诺书</w:t>
      </w:r>
    </w:p>
    <w:p>
      <w:pPr>
        <w:pStyle w:val="45"/>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致xxx公司（采购人）：</w:t>
      </w:r>
    </w:p>
    <w:p>
      <w:pPr>
        <w:jc w:val="center"/>
        <w:rPr>
          <w:rFonts w:hint="eastAsia" w:ascii="宋体" w:hAnsi="宋体" w:eastAsia="宋体" w:cs="宋体"/>
          <w:color w:val="auto"/>
          <w:szCs w:val="21"/>
          <w:highlight w:val="none"/>
        </w:rPr>
      </w:pPr>
    </w:p>
    <w:p>
      <w:pPr>
        <w:pStyle w:val="45"/>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auto"/>
          <w:sz w:val="21"/>
          <w:szCs w:val="21"/>
          <w:highlight w:val="none"/>
        </w:rPr>
        <w:cr/>
      </w:r>
    </w:p>
    <w:p>
      <w:pPr>
        <w:pStyle w:val="45"/>
        <w:spacing w:line="420" w:lineRule="exact"/>
        <w:ind w:firstLine="433"/>
        <w:rPr>
          <w:rFonts w:hint="eastAsia" w:ascii="宋体" w:hAnsi="宋体" w:eastAsia="宋体" w:cs="宋体"/>
          <w:color w:val="auto"/>
          <w:sz w:val="21"/>
          <w:szCs w:val="21"/>
          <w:highlight w:val="none"/>
        </w:rPr>
      </w:pP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法定代表人或被授权人（签名或盖私章）：</w:t>
      </w: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ascii="宋体" w:hAnsi="宋体" w:eastAsia="宋体" w:cs="宋体"/>
          <w:color w:val="auto"/>
          <w:sz w:val="21"/>
          <w:szCs w:val="21"/>
          <w:highlight w:val="none"/>
        </w:rPr>
      </w:pPr>
    </w:p>
    <w:p>
      <w:pPr>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“★”号条款承诺承诺函（一）</w:t>
      </w:r>
    </w:p>
    <w:p>
      <w:pPr>
        <w:pStyle w:val="45"/>
        <w:spacing w:line="420" w:lineRule="atLeast"/>
        <w:ind w:firstLine="0" w:firstLineChars="0"/>
        <w:rPr>
          <w:rFonts w:hint="eastAsia" w:ascii="宋体" w:hAnsi="宋体" w:eastAsia="宋体" w:cs="宋体"/>
          <w:color w:val="auto"/>
          <w:sz w:val="21"/>
          <w:szCs w:val="21"/>
          <w:highlight w:val="none"/>
        </w:rPr>
      </w:pPr>
    </w:p>
    <w:p>
      <w:pPr>
        <w:pStyle w:val="45"/>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致xxx公司（采购人）：</w:t>
      </w:r>
    </w:p>
    <w:p>
      <w:pPr>
        <w:jc w:val="center"/>
        <w:rPr>
          <w:rFonts w:hint="eastAsia" w:ascii="宋体" w:hAnsi="宋体" w:eastAsia="宋体" w:cs="宋体"/>
          <w:color w:val="auto"/>
          <w:szCs w:val="21"/>
          <w:highlight w:val="none"/>
        </w:rPr>
      </w:pPr>
    </w:p>
    <w:p>
      <w:pPr>
        <w:pStyle w:val="45"/>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w:t>
      </w:r>
      <w:r>
        <w:rPr>
          <w:rFonts w:hint="eastAsia" w:ascii="宋体" w:hAnsi="宋体" w:eastAsia="宋体" w:cs="宋体"/>
          <w:color w:val="auto"/>
          <w:sz w:val="21"/>
          <w:szCs w:val="21"/>
          <w:highlight w:val="none"/>
          <w:lang w:val="en-US" w:eastAsia="zh-CN"/>
        </w:rPr>
        <w:t>并承诺</w:t>
      </w:r>
      <w:r>
        <w:rPr>
          <w:rFonts w:hint="eastAsia" w:ascii="宋体" w:hAnsi="宋体" w:eastAsia="宋体" w:cs="宋体"/>
          <w:color w:val="auto"/>
          <w:sz w:val="21"/>
          <w:szCs w:val="21"/>
          <w:highlight w:val="none"/>
        </w:rPr>
        <w:t>。</w:t>
      </w:r>
    </w:p>
    <w:p>
      <w:pPr>
        <w:pStyle w:val="45"/>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我司</w:t>
      </w:r>
      <w:r>
        <w:rPr>
          <w:rFonts w:hint="eastAsia" w:ascii="宋体" w:hAnsi="宋体" w:eastAsia="宋体" w:cs="宋体"/>
          <w:color w:val="auto"/>
          <w:sz w:val="21"/>
          <w:szCs w:val="21"/>
          <w:highlight w:val="none"/>
        </w:rPr>
        <w:t>提供配送食品必须符合《中华人民共和国食品安全法》的要求，严格执行各项食品安全检验，如发生食物中毒或其他因配送物品造成人员中毒、伤残、伤亡等事故，经有关部门鉴定后，</w:t>
      </w:r>
      <w:r>
        <w:rPr>
          <w:rFonts w:hint="eastAsia" w:ascii="宋体" w:hAnsi="宋体" w:eastAsia="宋体" w:cs="宋体"/>
          <w:color w:val="auto"/>
          <w:sz w:val="21"/>
          <w:szCs w:val="21"/>
          <w:highlight w:val="none"/>
          <w:lang w:val="en-US" w:eastAsia="zh-CN"/>
        </w:rPr>
        <w:t>如是我司责任，</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我司</w:t>
      </w:r>
      <w:r>
        <w:rPr>
          <w:rFonts w:hint="eastAsia" w:ascii="宋体" w:hAnsi="宋体" w:eastAsia="宋体" w:cs="宋体"/>
          <w:color w:val="auto"/>
          <w:sz w:val="21"/>
          <w:szCs w:val="21"/>
          <w:highlight w:val="none"/>
        </w:rPr>
        <w:t>全部承担相关民事和法律责任。</w:t>
      </w:r>
    </w:p>
    <w:p>
      <w:pPr>
        <w:pStyle w:val="45"/>
        <w:spacing w:line="420" w:lineRule="exact"/>
        <w:ind w:firstLine="433"/>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特此承诺。</w:t>
      </w:r>
    </w:p>
    <w:p>
      <w:pPr>
        <w:pStyle w:val="45"/>
        <w:spacing w:line="420" w:lineRule="exact"/>
        <w:ind w:firstLine="433"/>
        <w:rPr>
          <w:rFonts w:hint="eastAsia" w:ascii="宋体" w:hAnsi="宋体" w:eastAsia="宋体" w:cs="宋体"/>
          <w:color w:val="auto"/>
          <w:sz w:val="21"/>
          <w:szCs w:val="21"/>
          <w:highlight w:val="none"/>
        </w:rPr>
      </w:pPr>
    </w:p>
    <w:p>
      <w:pPr>
        <w:ind w:right="561" w:firstLine="420" w:firstLineChars="200"/>
        <w:rPr>
          <w:rFonts w:hint="eastAsia" w:ascii="宋体" w:hAnsi="宋体" w:eastAsia="宋体" w:cs="宋体"/>
          <w:color w:val="auto"/>
          <w:szCs w:val="21"/>
          <w:highlight w:val="none"/>
        </w:rPr>
      </w:pP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outlineLvl w:val="9"/>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“★”号条款承诺承诺函（二）</w:t>
      </w:r>
    </w:p>
    <w:p>
      <w:pPr>
        <w:pStyle w:val="45"/>
        <w:spacing w:line="420" w:lineRule="atLeast"/>
        <w:ind w:firstLine="0" w:firstLineChars="0"/>
        <w:rPr>
          <w:rFonts w:hint="eastAsia" w:ascii="宋体" w:hAnsi="宋体" w:eastAsia="宋体" w:cs="宋体"/>
          <w:color w:val="auto"/>
          <w:sz w:val="21"/>
          <w:szCs w:val="21"/>
          <w:highlight w:val="none"/>
        </w:rPr>
      </w:pPr>
    </w:p>
    <w:p>
      <w:pPr>
        <w:pStyle w:val="45"/>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致xxx公司（采购人）：</w:t>
      </w:r>
    </w:p>
    <w:p>
      <w:pPr>
        <w:jc w:val="center"/>
        <w:rPr>
          <w:rFonts w:hint="eastAsia" w:ascii="宋体" w:hAnsi="宋体" w:eastAsia="宋体" w:cs="宋体"/>
          <w:color w:val="auto"/>
          <w:szCs w:val="21"/>
          <w:highlight w:val="none"/>
        </w:rPr>
      </w:pPr>
    </w:p>
    <w:p>
      <w:pPr>
        <w:pStyle w:val="45"/>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w:t>
      </w:r>
      <w:r>
        <w:rPr>
          <w:rFonts w:hint="eastAsia" w:ascii="宋体" w:hAnsi="宋体" w:eastAsia="宋体" w:cs="宋体"/>
          <w:color w:val="auto"/>
          <w:sz w:val="21"/>
          <w:szCs w:val="21"/>
          <w:highlight w:val="none"/>
          <w:lang w:val="en-US" w:eastAsia="zh-CN"/>
        </w:rPr>
        <w:t>并承诺</w:t>
      </w:r>
      <w:r>
        <w:rPr>
          <w:rFonts w:hint="eastAsia" w:ascii="宋体" w:hAnsi="宋体" w:eastAsia="宋体" w:cs="宋体"/>
          <w:color w:val="auto"/>
          <w:sz w:val="21"/>
          <w:szCs w:val="21"/>
          <w:highlight w:val="none"/>
        </w:rPr>
        <w:t>。</w:t>
      </w:r>
    </w:p>
    <w:p>
      <w:pPr>
        <w:pStyle w:val="45"/>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如采购人因特殊需求，需临时增加配送材料，</w:t>
      </w:r>
      <w:r>
        <w:rPr>
          <w:rFonts w:hint="eastAsia" w:ascii="宋体" w:hAnsi="宋体" w:eastAsia="宋体" w:cs="宋体"/>
          <w:color w:val="auto"/>
          <w:sz w:val="21"/>
          <w:szCs w:val="21"/>
          <w:highlight w:val="none"/>
          <w:lang w:val="en-US" w:eastAsia="zh-CN"/>
        </w:rPr>
        <w:t>我司</w:t>
      </w:r>
      <w:r>
        <w:rPr>
          <w:rFonts w:hint="eastAsia" w:ascii="宋体" w:hAnsi="宋体" w:eastAsia="宋体" w:cs="宋体"/>
          <w:color w:val="auto"/>
          <w:sz w:val="21"/>
          <w:szCs w:val="21"/>
          <w:highlight w:val="none"/>
        </w:rPr>
        <w:t>必须在规定时间内送达，对小量常用品的临时需求能做到60分钟内送到。对不合格产品需及时更换且60分钟内送到。</w:t>
      </w:r>
    </w:p>
    <w:p>
      <w:pPr>
        <w:pStyle w:val="45"/>
        <w:spacing w:line="420" w:lineRule="exact"/>
        <w:ind w:firstLine="433"/>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特此承诺。</w:t>
      </w:r>
    </w:p>
    <w:p>
      <w:pPr>
        <w:pStyle w:val="45"/>
        <w:spacing w:line="420" w:lineRule="exact"/>
        <w:ind w:firstLine="433"/>
        <w:rPr>
          <w:rFonts w:hint="eastAsia" w:ascii="宋体" w:hAnsi="宋体" w:eastAsia="宋体" w:cs="宋体"/>
          <w:color w:val="auto"/>
          <w:sz w:val="21"/>
          <w:szCs w:val="21"/>
          <w:highlight w:val="none"/>
        </w:rPr>
      </w:pPr>
    </w:p>
    <w:p>
      <w:pPr>
        <w:ind w:right="561" w:firstLine="420" w:firstLineChars="200"/>
        <w:rPr>
          <w:rFonts w:hint="eastAsia" w:ascii="宋体" w:hAnsi="宋体" w:eastAsia="宋体" w:cs="宋体"/>
          <w:color w:val="auto"/>
          <w:szCs w:val="21"/>
          <w:highlight w:val="none"/>
        </w:rPr>
      </w:pP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71" w:name="_Toc31513"/>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.商务需求条款偏离表格式</w:t>
      </w:r>
      <w:bookmarkEnd w:id="171"/>
    </w:p>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商务需求条款偏离表</w:t>
      </w:r>
    </w:p>
    <w:tbl>
      <w:tblPr>
        <w:tblStyle w:val="3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6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58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13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73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rPr>
          <w:rFonts w:hint="eastAsia" w:ascii="宋体" w:hAnsi="宋体" w:eastAsia="宋体" w:cs="宋体"/>
          <w:color w:val="auto"/>
          <w:szCs w:val="21"/>
          <w:highlight w:val="none"/>
        </w:rPr>
      </w:pPr>
    </w:p>
    <w:p>
      <w:pPr>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1、投标人应对照采购文件商务需求书中商务要求，说明已对采购文件的商务内容做出了实质性的响应。</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sz w:val="30"/>
          <w:szCs w:val="30"/>
          <w:highlight w:val="none"/>
        </w:rPr>
      </w:pPr>
      <w:bookmarkStart w:id="172" w:name="_Toc30621"/>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.业绩表</w:t>
      </w:r>
      <w:bookmarkEnd w:id="172"/>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业绩表</w:t>
      </w:r>
    </w:p>
    <w:tbl>
      <w:tblPr>
        <w:tblStyle w:val="3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7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5"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706"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975"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项目合同签订时间</w:t>
            </w:r>
          </w:p>
        </w:tc>
        <w:tc>
          <w:tcPr>
            <w:tcW w:w="1427"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hint="eastAsia" w:ascii="宋体" w:hAnsi="宋体" w:eastAsia="宋体" w:cs="宋体"/>
                <w:color w:val="auto"/>
                <w:szCs w:val="21"/>
                <w:highlight w:val="none"/>
              </w:rPr>
            </w:pPr>
          </w:p>
        </w:tc>
        <w:tc>
          <w:tcPr>
            <w:tcW w:w="1705" w:type="dxa"/>
            <w:vAlign w:val="center"/>
          </w:tcPr>
          <w:p>
            <w:pPr>
              <w:adjustRightInd/>
              <w:snapToGrid/>
              <w:jc w:val="center"/>
              <w:rPr>
                <w:rFonts w:hint="eastAsia" w:ascii="宋体" w:hAnsi="宋体" w:eastAsia="宋体" w:cs="宋体"/>
                <w:color w:val="auto"/>
                <w:szCs w:val="21"/>
                <w:highlight w:val="none"/>
              </w:rPr>
            </w:pPr>
          </w:p>
        </w:tc>
        <w:tc>
          <w:tcPr>
            <w:tcW w:w="1706" w:type="dxa"/>
            <w:vAlign w:val="center"/>
          </w:tcPr>
          <w:p>
            <w:pPr>
              <w:adjustRightInd/>
              <w:snapToGrid/>
              <w:jc w:val="center"/>
              <w:rPr>
                <w:rFonts w:hint="eastAsia" w:ascii="宋体" w:hAnsi="宋体" w:eastAsia="宋体" w:cs="宋体"/>
                <w:color w:val="auto"/>
                <w:szCs w:val="21"/>
                <w:highlight w:val="none"/>
              </w:rPr>
            </w:pPr>
          </w:p>
        </w:tc>
        <w:tc>
          <w:tcPr>
            <w:tcW w:w="1975" w:type="dxa"/>
            <w:vAlign w:val="center"/>
          </w:tcPr>
          <w:p>
            <w:pPr>
              <w:adjustRightInd/>
              <w:snapToGrid/>
              <w:jc w:val="center"/>
              <w:rPr>
                <w:rFonts w:hint="eastAsia" w:ascii="宋体" w:hAnsi="宋体" w:eastAsia="宋体" w:cs="宋体"/>
                <w:color w:val="auto"/>
                <w:szCs w:val="21"/>
                <w:highlight w:val="none"/>
              </w:rPr>
            </w:pPr>
          </w:p>
        </w:tc>
        <w:tc>
          <w:tcPr>
            <w:tcW w:w="1427" w:type="dxa"/>
            <w:vAlign w:val="center"/>
          </w:tcPr>
          <w:p>
            <w:pPr>
              <w:adjustRightInd/>
              <w:snapToGrid/>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bl>
    <w:p>
      <w:pPr>
        <w:pStyle w:val="42"/>
        <w:rPr>
          <w:rFonts w:hint="eastAsia" w:ascii="宋体" w:hAnsi="宋体" w:eastAsia="宋体" w:cs="宋体"/>
          <w:color w:val="auto"/>
          <w:szCs w:val="21"/>
          <w:highlight w:val="none"/>
        </w:rPr>
      </w:pPr>
    </w:p>
    <w:p>
      <w:pPr>
        <w:pStyle w:val="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pStyle w:val="42"/>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pPr>
        <w:pStyle w:val="42"/>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业绩表所列出的材料应为真实准确的，并应提供相关证明材料复印件加盖公章。请勿提供虚假、过期材料，否则将依据相关规定严肃处理。</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highlight w:val="none"/>
        </w:rPr>
      </w:pPr>
      <w:bookmarkStart w:id="173" w:name="_Toc12820"/>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.联合体协议书</w:t>
      </w:r>
      <w:r>
        <w:rPr>
          <w:rFonts w:hint="eastAsia" w:ascii="宋体" w:hAnsi="宋体" w:eastAsia="宋体" w:cs="宋体"/>
          <w:color w:val="auto"/>
          <w:highlight w:val="none"/>
        </w:rPr>
        <w:t>（如有）</w:t>
      </w:r>
      <w:bookmarkEnd w:id="173"/>
    </w:p>
    <w:p>
      <w:pPr>
        <w:rPr>
          <w:rFonts w:hint="eastAsia" w:ascii="宋体" w:hAnsi="宋体" w:eastAsia="宋体" w:cs="宋体"/>
          <w:color w:val="auto"/>
          <w:highlight w:val="none"/>
        </w:rPr>
      </w:pPr>
    </w:p>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pPr>
        <w:jc w:val="center"/>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的招标活动。经各方充分协商一致，就项目的投标和合同实施阶段的有关事务协商一致订立协议如下：</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rPr>
          <w:rFonts w:hint="eastAsia" w:ascii="宋体" w:hAnsi="宋体" w:eastAsia="宋体" w:cs="宋体"/>
          <w:color w:val="auto"/>
          <w:sz w:val="21"/>
          <w:szCs w:val="21"/>
          <w:highlight w:val="none"/>
        </w:rPr>
      </w:pP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rPr>
          <w:rFonts w:hint="eastAsia" w:ascii="宋体" w:hAnsi="宋体" w:eastAsia="宋体" w:cs="宋体"/>
          <w:color w:val="auto"/>
          <w:sz w:val="21"/>
          <w:szCs w:val="21"/>
          <w:highlight w:val="none"/>
        </w:rPr>
      </w:pP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1"/>
        <w:rPr>
          <w:rFonts w:hint="eastAsia" w:ascii="宋体" w:hAnsi="宋体" w:eastAsia="宋体" w:cs="宋体"/>
          <w:color w:val="auto"/>
          <w:highlight w:val="none"/>
          <w:lang w:val="en-US"/>
        </w:rPr>
        <w:sectPr>
          <w:headerReference r:id="rId8" w:type="first"/>
          <w:footerReference r:id="rId10" w:type="first"/>
          <w:headerReference r:id="rId7" w:type="default"/>
          <w:footerReference r:id="rId9" w:type="default"/>
          <w:pgSz w:w="11906" w:h="16838"/>
          <w:pgMar w:top="1440" w:right="1800" w:bottom="1440" w:left="1800" w:header="708" w:footer="708" w:gutter="0"/>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pPr>
        <w:pStyle w:val="11"/>
        <w:rPr>
          <w:rFonts w:hint="eastAsia" w:ascii="宋体" w:hAnsi="宋体" w:eastAsia="宋体" w:cs="宋体"/>
          <w:color w:val="auto"/>
          <w:highlight w:val="none"/>
        </w:rPr>
      </w:pPr>
    </w:p>
    <w:p>
      <w:pPr>
        <w:pStyle w:val="4"/>
        <w:spacing w:before="0" w:after="0" w:line="360" w:lineRule="auto"/>
        <w:jc w:val="center"/>
        <w:rPr>
          <w:rFonts w:hint="eastAsia" w:ascii="宋体" w:hAnsi="宋体" w:eastAsia="宋体" w:cs="宋体"/>
          <w:color w:val="auto"/>
          <w:sz w:val="72"/>
          <w:szCs w:val="72"/>
          <w:highlight w:val="none"/>
        </w:rPr>
      </w:pPr>
      <w:bookmarkStart w:id="174" w:name="_Toc2650"/>
      <w:r>
        <w:rPr>
          <w:rFonts w:hint="eastAsia" w:ascii="宋体" w:hAnsi="宋体" w:eastAsia="宋体" w:cs="宋体"/>
          <w:color w:val="auto"/>
          <w:sz w:val="72"/>
          <w:szCs w:val="72"/>
          <w:highlight w:val="none"/>
        </w:rPr>
        <w:t>技术文件</w:t>
      </w:r>
      <w:bookmarkEnd w:id="174"/>
    </w:p>
    <w:p>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8"/>
        </w:rPr>
        <w:t>项目名</w:t>
      </w:r>
      <w:r>
        <w:rPr>
          <w:rFonts w:hint="eastAsia" w:ascii="宋体" w:hAnsi="宋体" w:eastAsia="宋体" w:cs="宋体"/>
          <w:b/>
          <w:bCs/>
          <w:color w:val="auto"/>
          <w:spacing w:val="1"/>
          <w:kern w:val="0"/>
          <w:sz w:val="32"/>
          <w:szCs w:val="32"/>
          <w:highlight w:val="none"/>
          <w:fitText w:val="1600" w:id="8"/>
        </w:rPr>
        <w:t>称</w:t>
      </w:r>
      <w:r>
        <w:rPr>
          <w:rFonts w:hint="eastAsia" w:ascii="宋体" w:hAnsi="宋体" w:eastAsia="宋体" w:cs="宋体"/>
          <w:b/>
          <w:bCs/>
          <w:color w:val="auto"/>
          <w:spacing w:val="-6"/>
          <w:sz w:val="32"/>
          <w:szCs w:val="32"/>
          <w:highlight w:val="none"/>
        </w:rPr>
        <w:t>：</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9"/>
        </w:rPr>
        <w:t>项目编</w:t>
      </w:r>
      <w:r>
        <w:rPr>
          <w:rFonts w:hint="eastAsia" w:ascii="宋体" w:hAnsi="宋体" w:eastAsia="宋体" w:cs="宋体"/>
          <w:b/>
          <w:bCs/>
          <w:color w:val="auto"/>
          <w:spacing w:val="1"/>
          <w:kern w:val="0"/>
          <w:sz w:val="32"/>
          <w:szCs w:val="32"/>
          <w:highlight w:val="none"/>
          <w:fitText w:val="1600" w:id="9"/>
        </w:rPr>
        <w:t>号</w:t>
      </w:r>
      <w:r>
        <w:rPr>
          <w:rFonts w:hint="eastAsia" w:ascii="宋体" w:hAnsi="宋体" w:eastAsia="宋体" w:cs="宋体"/>
          <w:b/>
          <w:bCs/>
          <w:color w:val="auto"/>
          <w:sz w:val="32"/>
          <w:szCs w:val="32"/>
          <w:highlight w:val="none"/>
        </w:rPr>
        <w:t>：</w:t>
      </w:r>
    </w:p>
    <w:p>
      <w:pPr>
        <w:pStyle w:val="11"/>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0"/>
        </w:rPr>
        <w:t>投标人名称</w:t>
      </w:r>
      <w:r>
        <w:rPr>
          <w:rFonts w:hint="eastAsia" w:ascii="宋体" w:hAnsi="宋体" w:eastAsia="宋体" w:cs="宋体"/>
          <w:b/>
          <w:color w:val="auto"/>
          <w:sz w:val="32"/>
          <w:szCs w:val="32"/>
          <w:highlight w:val="none"/>
        </w:rPr>
        <w:t>：</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11"/>
        </w:rPr>
        <w:t xml:space="preserve">日    </w:t>
      </w:r>
      <w:r>
        <w:rPr>
          <w:rFonts w:hint="eastAsia" w:ascii="宋体" w:hAnsi="宋体" w:eastAsia="宋体" w:cs="宋体"/>
          <w:b/>
          <w:color w:val="auto"/>
          <w:spacing w:val="0"/>
          <w:kern w:val="0"/>
          <w:sz w:val="32"/>
          <w:szCs w:val="32"/>
          <w:highlight w:val="none"/>
          <w:fitText w:val="1600" w:id="11"/>
        </w:rPr>
        <w:t>期</w:t>
      </w:r>
      <w:r>
        <w:rPr>
          <w:rFonts w:hint="eastAsia" w:ascii="宋体" w:hAnsi="宋体" w:eastAsia="宋体" w:cs="宋体"/>
          <w:b/>
          <w:color w:val="auto"/>
          <w:sz w:val="32"/>
          <w:szCs w:val="32"/>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75" w:name="_Toc25467"/>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.技术规格偏离表格式</w:t>
      </w:r>
      <w:bookmarkEnd w:id="175"/>
    </w:p>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7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62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23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54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ind w:firstLine="178" w:firstLineChars="85"/>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pPr>
        <w:adjustRightInd/>
        <w:snapToGrid/>
        <w:spacing w:line="276" w:lineRule="auto"/>
        <w:rPr>
          <w:rFonts w:hint="eastAsia" w:ascii="宋体" w:hAnsi="宋体" w:eastAsia="宋体" w:cs="宋体"/>
          <w:color w:val="auto"/>
          <w:highlight w:val="none"/>
        </w:rPr>
      </w:pPr>
    </w:p>
    <w:p>
      <w:pPr>
        <w:adjustRightInd/>
        <w:snapToGrid/>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76" w:name="_Toc1900"/>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.项目实施方案格式</w:t>
      </w:r>
      <w:bookmarkEnd w:id="176"/>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项目实施方案</w:t>
      </w:r>
    </w:p>
    <w:p>
      <w:pPr>
        <w:jc w:val="center"/>
        <w:rPr>
          <w:rFonts w:hint="eastAsia" w:ascii="宋体" w:hAnsi="宋体" w:eastAsia="宋体" w:cs="宋体"/>
          <w:color w:val="auto"/>
          <w:sz w:val="32"/>
          <w:szCs w:val="32"/>
          <w:highlight w:val="none"/>
        </w:rPr>
      </w:pP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1、为完成本项目投标人临时投入的设备</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2、为完成本项目投标人投入的人员以及具体工作安排</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3、投标人为本项目制定的具体项目实施方案与项目实施流程</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4、服务方案</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自行编写。</w:t>
      </w:r>
    </w:p>
    <w:p>
      <w:pPr>
        <w:ind w:left="718" w:leftChars="200" w:hanging="298" w:hangingChars="142"/>
        <w:rPr>
          <w:rFonts w:hint="eastAsia" w:ascii="宋体" w:hAnsi="宋体" w:eastAsia="宋体" w:cs="宋体"/>
          <w:color w:val="auto"/>
          <w:szCs w:val="21"/>
          <w:highlight w:val="none"/>
        </w:rPr>
      </w:pPr>
    </w:p>
    <w:p>
      <w:pPr>
        <w:ind w:left="718" w:leftChars="200" w:hanging="298" w:hangingChars="142"/>
        <w:rPr>
          <w:rFonts w:hint="eastAsia" w:ascii="宋体" w:hAnsi="宋体" w:eastAsia="宋体" w:cs="宋体"/>
          <w:color w:val="auto"/>
          <w:szCs w:val="21"/>
          <w:highlight w:val="none"/>
        </w:rPr>
      </w:pP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sz w:val="21"/>
          <w:szCs w:val="21"/>
          <w:highlight w:val="none"/>
        </w:rPr>
      </w:pPr>
      <w:bookmarkStart w:id="177" w:name="_Toc19979"/>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.实施本项目的有关人员资料表格式</w:t>
      </w:r>
      <w:bookmarkEnd w:id="177"/>
    </w:p>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实施本项目的有关人员资料表</w:t>
      </w:r>
    </w:p>
    <w:tbl>
      <w:tblPr>
        <w:tblStyle w:val="37"/>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本项目拟任岗位</w:t>
            </w:r>
          </w:p>
        </w:tc>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6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81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p>
        </w:tc>
        <w:tc>
          <w:tcPr>
            <w:tcW w:w="116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703" w:type="dxa"/>
            <w:tcBorders>
              <w:right w:val="single" w:color="auto" w:sz="6"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bl>
    <w:p>
      <w:pPr>
        <w:ind w:firstLine="178" w:firstLineChars="85"/>
        <w:rPr>
          <w:rFonts w:hint="eastAsia" w:ascii="宋体" w:hAnsi="宋体" w:eastAsia="宋体" w:cs="宋体"/>
          <w:color w:val="auto"/>
          <w:szCs w:val="21"/>
          <w:highlight w:val="none"/>
        </w:rPr>
      </w:pPr>
    </w:p>
    <w:p>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附有关证明文件（复印件加盖公章）</w:t>
      </w:r>
    </w:p>
    <w:p>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pStyle w:val="42"/>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投标人可按项目的实际需要提供本表格。</w:t>
      </w:r>
    </w:p>
    <w:p>
      <w:pPr>
        <w:pStyle w:val="42"/>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3、投标人若未提供或未填写完整则视为完全响应采购文件的人员要求，因此对投标人投标产生负面影响的，投标人自行承担后果。</w:t>
      </w:r>
    </w:p>
    <w:p>
      <w:pPr>
        <w:pStyle w:val="42"/>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widowControl w:val="0"/>
        <w:overflowPunct w:val="0"/>
        <w:spacing w:line="240" w:lineRule="auto"/>
        <w:rPr>
          <w:rFonts w:hint="eastAsia" w:ascii="宋体" w:hAnsi="宋体" w:eastAsia="宋体" w:cs="宋体"/>
          <w:color w:val="auto"/>
          <w:highlight w:val="none"/>
        </w:rPr>
      </w:pPr>
      <w:bookmarkStart w:id="178" w:name="_Toc24973"/>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.投标保证金汇入情况说明格式</w:t>
      </w:r>
      <w:bookmarkEnd w:id="178"/>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投标保证金汇入情况说明</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致：xxxxxx公司：</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项目（采购项目编号：）的采购文件要求，于年月日前以</w:t>
      </w:r>
      <w:r>
        <w:rPr>
          <w:rFonts w:hint="eastAsia" w:ascii="宋体" w:hAnsi="宋体" w:eastAsia="宋体" w:cs="宋体"/>
          <w:color w:val="auto"/>
          <w:szCs w:val="21"/>
          <w:highlight w:val="none"/>
          <w:u w:val="single"/>
        </w:rPr>
        <w:t xml:space="preserve">           （付款形式）</w:t>
      </w:r>
      <w:r>
        <w:rPr>
          <w:rFonts w:hint="eastAsia" w:ascii="宋体" w:hAnsi="宋体" w:eastAsia="宋体" w:cs="宋体"/>
          <w:color w:val="auto"/>
          <w:szCs w:val="21"/>
          <w:highlight w:val="none"/>
        </w:rPr>
        <w:t>方式汇入指定</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户名称：</w:t>
      </w:r>
      <w:r>
        <w:rPr>
          <w:rFonts w:hint="eastAsia" w:ascii="宋体" w:hAnsi="宋体" w:eastAsia="宋体" w:cs="宋体"/>
          <w:color w:val="auto"/>
          <w:szCs w:val="21"/>
          <w:highlight w:val="none"/>
          <w:u w:val="single"/>
        </w:rPr>
        <w:t xml:space="preserve">  （必须是投标时使用的</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u w:val="single"/>
        </w:rPr>
        <w:t xml:space="preserve">户名）   </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u w:val="single"/>
        </w:rPr>
        <w:t xml:space="preserve">  （必须是投标时使用的</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u w:val="single"/>
        </w:rPr>
        <w:t xml:space="preserve">号）        </w:t>
      </w:r>
    </w:p>
    <w:p>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 户  银 行：</w:t>
      </w:r>
      <w:r>
        <w:rPr>
          <w:rFonts w:hint="eastAsia" w:ascii="宋体" w:hAnsi="宋体" w:eastAsia="宋体" w:cs="宋体"/>
          <w:color w:val="auto"/>
          <w:szCs w:val="21"/>
          <w:highlight w:val="none"/>
          <w:u w:val="single"/>
        </w:rPr>
        <w:t xml:space="preserve">  （  XX 银行 XX 分行 XX 支行   ）</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pPr>
        <w:spacing w:line="480" w:lineRule="auto"/>
        <w:ind w:right="844" w:rightChars="40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pPr>
        <w:spacing w:line="480" w:lineRule="auto"/>
        <w:ind w:right="628" w:rightChars="2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 联系人手机：</w:t>
      </w:r>
    </w:p>
    <w:p>
      <w:pPr>
        <w:rPr>
          <w:rFonts w:hint="eastAsia" w:ascii="宋体" w:hAnsi="宋体" w:eastAsia="宋体" w:cs="宋体"/>
          <w:color w:val="auto"/>
          <w:szCs w:val="21"/>
          <w:highlight w:val="none"/>
        </w:rPr>
      </w:pP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附：我方投标保证金汇款凭证</w:t>
      </w:r>
    </w:p>
    <w:tbl>
      <w:tblPr>
        <w:tblStyle w:val="3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953" w:type="dxa"/>
            <w:vAlign w:val="center"/>
          </w:tcPr>
          <w:p>
            <w:pPr>
              <w:tabs>
                <w:tab w:val="left" w:pos="388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（粘贴汇款单或转账凭证复印件，并在骑缝上加盖投标人公章，或是直接把转账凭证复印到此张纸上）</w:t>
            </w:r>
          </w:p>
        </w:tc>
      </w:tr>
    </w:tbl>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79" w:name="_Toc1562"/>
      <w:bookmarkStart w:id="180" w:name="_Toc4866"/>
      <w:bookmarkStart w:id="181" w:name="_Toc2144"/>
      <w:bookmarkStart w:id="182" w:name="_Toc18296"/>
      <w:bookmarkStart w:id="183" w:name="_Toc29855"/>
      <w:bookmarkStart w:id="184" w:name="_Toc17028"/>
      <w:bookmarkStart w:id="185" w:name="_Toc13527"/>
      <w:bookmarkStart w:id="186" w:name="_Toc28623"/>
      <w:bookmarkStart w:id="187" w:name="_Toc14605"/>
      <w:bookmarkStart w:id="188" w:name="_Toc25861"/>
      <w:bookmarkStart w:id="189" w:name="_Toc19947"/>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.不可撤销履约保函</w:t>
      </w:r>
      <w:bookmarkEnd w:id="179"/>
      <w:bookmarkEnd w:id="180"/>
      <w:bookmarkEnd w:id="181"/>
      <w:bookmarkEnd w:id="182"/>
      <w:bookmarkEnd w:id="183"/>
      <w:bookmarkEnd w:id="184"/>
      <w:bookmarkEnd w:id="185"/>
      <w:bookmarkEnd w:id="186"/>
      <w:bookmarkEnd w:id="187"/>
      <w:bookmarkEnd w:id="188"/>
      <w:bookmarkEnd w:id="189"/>
    </w:p>
    <w:p>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本保函从上述合同签订之日起至项目服务期结束验收合格并完成结算后，双方签字之日起7天内保持有效。</w:t>
      </w:r>
    </w:p>
    <w:p>
      <w:pPr>
        <w:ind w:firstLine="2824" w:firstLineChars="1345"/>
        <w:rPr>
          <w:rFonts w:hint="eastAsia" w:ascii="宋体" w:hAnsi="宋体" w:eastAsia="宋体" w:cs="宋体"/>
          <w:color w:val="auto"/>
          <w:highlight w:val="none"/>
        </w:rPr>
      </w:pP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pPr>
        <w:pStyle w:val="13"/>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pPr>
        <w:pStyle w:val="2"/>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90" w:name="_Toc146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.预付款保函（适用于预付款支付）</w:t>
      </w:r>
      <w:bookmarkEnd w:id="190"/>
    </w:p>
    <w:p>
      <w:pPr>
        <w:pStyle w:val="13"/>
        <w:rPr>
          <w:rFonts w:hint="eastAsia" w:ascii="宋体" w:hAnsi="宋体" w:eastAsia="宋体" w:cs="宋体"/>
          <w:color w:val="auto"/>
          <w:szCs w:val="24"/>
          <w:highlight w:val="none"/>
        </w:rPr>
      </w:pPr>
    </w:p>
    <w:p>
      <w:pPr>
        <w:jc w:val="center"/>
        <w:rPr>
          <w:rFonts w:hint="eastAsia" w:ascii="宋体" w:hAnsi="宋体" w:eastAsia="宋体" w:cs="宋体"/>
          <w:color w:val="auto"/>
          <w:sz w:val="28"/>
          <w:szCs w:val="28"/>
          <w:highlight w:val="none"/>
        </w:rPr>
      </w:pPr>
      <w:bookmarkStart w:id="191" w:name="_Toc3295"/>
      <w:bookmarkStart w:id="192" w:name="_Toc29728"/>
      <w:bookmarkStart w:id="193" w:name="_Toc10315"/>
      <w:bookmarkStart w:id="194" w:name="_Toc5034"/>
      <w:bookmarkStart w:id="195" w:name="_Toc7374"/>
      <w:bookmarkStart w:id="196" w:name="_Toc29054"/>
      <w:bookmarkStart w:id="197" w:name="_Toc31418"/>
      <w:bookmarkStart w:id="198" w:name="_Toc6877"/>
      <w:bookmarkStart w:id="199" w:name="_Toc27545"/>
      <w:bookmarkStart w:id="200" w:name="_Toc1039"/>
      <w:bookmarkStart w:id="201" w:name="_Toc25494"/>
      <w:bookmarkStart w:id="202" w:name="_Toc20669"/>
      <w:r>
        <w:rPr>
          <w:rFonts w:hint="eastAsia" w:ascii="宋体" w:hAnsi="宋体" w:eastAsia="宋体" w:cs="宋体"/>
          <w:color w:val="auto"/>
          <w:sz w:val="28"/>
          <w:szCs w:val="28"/>
          <w:highlight w:val="none"/>
        </w:rPr>
        <w:t>不可撤销预付款保函</w:t>
      </w:r>
      <w:bookmarkEnd w:id="191"/>
      <w:bookmarkEnd w:id="192"/>
      <w:bookmarkEnd w:id="193"/>
      <w:bookmarkEnd w:id="194"/>
      <w:bookmarkEnd w:id="195"/>
      <w:bookmarkEnd w:id="196"/>
      <w:bookmarkEnd w:id="197"/>
      <w:bookmarkEnd w:id="198"/>
      <w:bookmarkEnd w:id="199"/>
      <w:bookmarkEnd w:id="200"/>
      <w:bookmarkEnd w:id="201"/>
      <w:bookmarkEnd w:id="202"/>
    </w:p>
    <w:p>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pPr>
        <w:ind w:firstLine="630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根据上述合同（招标文件）规定，中标人应向采购人提供一份金额为合同总价的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pPr>
        <w:rPr>
          <w:rFonts w:hint="eastAsia" w:ascii="宋体" w:hAnsi="宋体" w:eastAsia="宋体" w:cs="宋体"/>
          <w:color w:val="auto"/>
          <w:szCs w:val="21"/>
          <w:highlight w:val="none"/>
        </w:rPr>
      </w:pPr>
    </w:p>
    <w:p>
      <w:pPr>
        <w:ind w:firstLine="437"/>
        <w:rPr>
          <w:rFonts w:hint="eastAsia" w:ascii="宋体" w:hAnsi="宋体" w:eastAsia="宋体" w:cs="宋体"/>
          <w:color w:val="auto"/>
          <w:szCs w:val="21"/>
          <w:highlight w:val="none"/>
        </w:rPr>
      </w:pPr>
    </w:p>
    <w:p>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pStyle w:val="13"/>
        <w:rPr>
          <w:rFonts w:hint="eastAsia" w:ascii="宋体" w:hAnsi="宋体" w:eastAsia="宋体" w:cs="宋体"/>
          <w:color w:val="auto"/>
          <w:szCs w:val="21"/>
          <w:highlight w:val="none"/>
        </w:rPr>
      </w:pPr>
    </w:p>
    <w:p>
      <w:pPr>
        <w:pStyle w:val="13"/>
        <w:rPr>
          <w:rFonts w:hint="eastAsia" w:ascii="宋体" w:hAnsi="宋体" w:eastAsia="宋体" w:cs="宋体"/>
          <w:color w:val="auto"/>
          <w:szCs w:val="21"/>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pPr>
        <w:pStyle w:val="11"/>
        <w:rPr>
          <w:rFonts w:hint="eastAsia" w:ascii="宋体" w:hAnsi="宋体" w:eastAsia="宋体" w:cs="宋体"/>
          <w:color w:val="auto"/>
          <w:highlight w:val="none"/>
        </w:rPr>
      </w:pPr>
      <w:bookmarkStart w:id="203" w:name="_Toc1968"/>
    </w:p>
    <w:p>
      <w:pPr>
        <w:jc w:val="center"/>
        <w:outlineLvl w:val="1"/>
        <w:rPr>
          <w:rFonts w:hint="eastAsia" w:ascii="宋体" w:hAnsi="宋体" w:eastAsia="宋体" w:cs="宋体"/>
          <w:color w:val="auto"/>
          <w:sz w:val="72"/>
          <w:szCs w:val="72"/>
          <w:highlight w:val="none"/>
        </w:rPr>
      </w:pPr>
      <w:bookmarkStart w:id="204" w:name="_Toc5690"/>
      <w:r>
        <w:rPr>
          <w:rFonts w:hint="eastAsia" w:ascii="宋体" w:hAnsi="宋体" w:eastAsia="宋体" w:cs="宋体"/>
          <w:color w:val="auto"/>
          <w:sz w:val="72"/>
          <w:szCs w:val="72"/>
          <w:highlight w:val="none"/>
        </w:rPr>
        <w:t>唱标信封</w:t>
      </w:r>
      <w:bookmarkEnd w:id="204"/>
    </w:p>
    <w:p>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（单独装订成册，单独封装）</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106"/>
          <w:sz w:val="32"/>
          <w:szCs w:val="32"/>
          <w:highlight w:val="none"/>
        </w:rPr>
        <w:t>项目名</w:t>
      </w:r>
      <w:r>
        <w:rPr>
          <w:rFonts w:hint="eastAsia" w:ascii="宋体" w:hAnsi="宋体" w:eastAsia="宋体" w:cs="宋体"/>
          <w:b/>
          <w:color w:val="auto"/>
          <w:spacing w:val="2"/>
          <w:sz w:val="32"/>
          <w:szCs w:val="32"/>
          <w:highlight w:val="none"/>
        </w:rPr>
        <w:t>称</w:t>
      </w:r>
      <w:r>
        <w:rPr>
          <w:rFonts w:hint="eastAsia" w:ascii="宋体" w:hAnsi="宋体" w:eastAsia="宋体" w:cs="宋体"/>
          <w:b/>
          <w:color w:val="auto"/>
          <w:spacing w:val="-6"/>
          <w:sz w:val="32"/>
          <w:szCs w:val="32"/>
          <w:highlight w:val="none"/>
        </w:rPr>
        <w:t>：</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106"/>
          <w:sz w:val="32"/>
          <w:szCs w:val="32"/>
          <w:highlight w:val="none"/>
        </w:rPr>
        <w:t>项目编</w:t>
      </w:r>
      <w:r>
        <w:rPr>
          <w:rFonts w:hint="eastAsia" w:ascii="宋体" w:hAnsi="宋体" w:eastAsia="宋体" w:cs="宋体"/>
          <w:b/>
          <w:color w:val="auto"/>
          <w:spacing w:val="2"/>
          <w:sz w:val="32"/>
          <w:szCs w:val="32"/>
          <w:highlight w:val="none"/>
        </w:rPr>
        <w:t>号</w:t>
      </w:r>
      <w:r>
        <w:rPr>
          <w:rFonts w:hint="eastAsia" w:ascii="宋体" w:hAnsi="宋体" w:eastAsia="宋体" w:cs="宋体"/>
          <w:b/>
          <w:color w:val="auto"/>
          <w:sz w:val="32"/>
          <w:szCs w:val="32"/>
          <w:highlight w:val="none"/>
        </w:rPr>
        <w:t>：</w:t>
      </w:r>
    </w:p>
    <w:p>
      <w:pPr>
        <w:pStyle w:val="11"/>
        <w:ind w:left="0"/>
        <w:rPr>
          <w:rFonts w:hint="eastAsia" w:ascii="宋体" w:hAnsi="宋体" w:eastAsia="宋体" w:cs="宋体"/>
          <w:b/>
          <w:color w:val="auto"/>
          <w:spacing w:val="106"/>
          <w:sz w:val="32"/>
          <w:szCs w:val="32"/>
          <w:highlight w:val="none"/>
          <w:lang w:val="en-US" w:bidi="ar-SA"/>
        </w:rPr>
      </w:pPr>
      <w:r>
        <w:rPr>
          <w:rFonts w:hint="eastAsia" w:ascii="宋体" w:hAnsi="宋体" w:eastAsia="宋体" w:cs="宋体"/>
          <w:b/>
          <w:color w:val="auto"/>
          <w:spacing w:val="106"/>
          <w:sz w:val="32"/>
          <w:szCs w:val="32"/>
          <w:highlight w:val="none"/>
          <w:lang w:val="en-US" w:bidi="ar-SA"/>
        </w:rPr>
        <w:t>包组号（如有）：</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64"/>
          <w:sz w:val="32"/>
          <w:szCs w:val="32"/>
          <w:highlight w:val="none"/>
        </w:rPr>
        <w:t xml:space="preserve">日    </w:t>
      </w:r>
      <w:r>
        <w:rPr>
          <w:rFonts w:hint="eastAsia" w:ascii="宋体" w:hAnsi="宋体" w:eastAsia="宋体" w:cs="宋体"/>
          <w:b/>
          <w:color w:val="auto"/>
          <w:sz w:val="32"/>
          <w:szCs w:val="32"/>
          <w:highlight w:val="none"/>
        </w:rPr>
        <w:t>期：</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203"/>
    <w:p>
      <w:pPr>
        <w:pStyle w:val="2"/>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205" w:name="_Toc28911"/>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.唱标信封内装（内容务必与投标文件正本一致）</w:t>
      </w:r>
      <w:bookmarkEnd w:id="205"/>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开标一览表加盖公章；</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法定代表人证明书加盖公章；</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法定代表人授权委托书加盖公章（法定代表人投标的除外）；</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投标保证金汇入情况说明（含银行汇款凭证）或投标保函加盖公章；</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投标文件电子文件（U盘，须含盖章版PDF投标文件和WORD版投标文件各一版，文字采用WORD文档，计算表格采用 EXCEL文档。）</w:t>
      </w:r>
    </w:p>
    <w:p>
      <w:pPr>
        <w:rPr>
          <w:rFonts w:hint="eastAsia" w:ascii="宋体" w:hAnsi="宋体" w:eastAsia="宋体" w:cs="宋体"/>
          <w:color w:val="auto"/>
          <w:szCs w:val="21"/>
          <w:highlight w:val="none"/>
        </w:rPr>
      </w:pPr>
    </w:p>
    <w:p>
      <w:pPr>
        <w:pStyle w:val="11"/>
        <w:rPr>
          <w:rFonts w:hint="eastAsia" w:ascii="宋体" w:hAnsi="宋体" w:eastAsia="宋体" w:cs="宋体"/>
          <w:color w:val="auto"/>
          <w:highlight w:val="none"/>
        </w:rPr>
      </w:pPr>
    </w:p>
    <w:sectPr>
      <w:pgSz w:w="11906" w:h="16838"/>
      <w:pgMar w:top="1440" w:right="1800" w:bottom="1440" w:left="1800" w:header="708" w:footer="708" w:gutter="0"/>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2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185</w:t>
                          </w:r>
                          <w:r>
                            <w:rPr>
                              <w:rFonts w:hint="eastAsia" w:ascii="宋体" w:hAnsi="宋体" w:eastAsia="宋体" w:cs="宋体"/>
                            </w:rPr>
                            <w:fldChar w:fldCharType="end"/>
                          </w:r>
                          <w:r>
                            <w:rPr>
                              <w:rFonts w:hint="eastAsia" w:ascii="宋体" w:hAnsi="宋体" w:eastAsia="宋体" w:cs="宋体"/>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xsfqk0wAAAAUB&#10;AAAPAAAAAAAAAAEAIAAAACIAAABkcnMvZG93bnJldi54bWxQSwECFAAUAAAACACHTuJAwUn3La4B&#10;AABCAwAADgAAAAAAAAABACAAAAAiAQAAZHJzL2Uyb0RvYy54bWxQSwUGAAAAAAYABgBZAQAAQgUA&#10;AAAA&#10;">
              <v:fill on="f" focussize="0,0"/>
              <v:stroke on="f"/>
              <v:imagedata o:title=""/>
              <o:lock v:ext="edit" aspectratio="f"/>
              <v:textbox inset="0mm,0mm,0mm,0mm" style="mso-fit-shape-to-text:t;">
                <w:txbxContent>
                  <w:p>
                    <w:pPr>
                      <w:pStyle w:val="2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185</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2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185</w:t>
                          </w:r>
                          <w:r>
                            <w:rPr>
                              <w:rFonts w:hint="eastAsia" w:ascii="宋体" w:hAnsi="宋体" w:eastAsia="宋体" w:cs="宋体"/>
                            </w:rPr>
                            <w:fldChar w:fldCharType="end"/>
                          </w:r>
                          <w:r>
                            <w:rPr>
                              <w:rFonts w:hint="eastAsia" w:ascii="宋体" w:hAnsi="宋体" w:eastAsia="宋体" w:cs="宋体"/>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ggSLNIAAAAFAQAA&#10;DwAAAAAAAAABACAAAAAiAAAAZHJzL2Rvd25yZXYueG1sUEsBAhQAFAAAAAgAh07iQPzF/Y2tAQAA&#10;QgMAAA4AAAAAAAAAAQAgAAAAIQEAAGRycy9lMm9Eb2MueG1sUEsFBgAAAAAGAAYAWQEAAEAFAAAA&#10;AA==&#10;">
              <v:fill on="f" focussize="0,0"/>
              <v:stroke on="f"/>
              <v:imagedata o:title=""/>
              <o:lock v:ext="edit" aspectratio="f"/>
              <v:textbox inset="0mm,0mm,0mm,0mm" style="mso-fit-shape-to-text:t;">
                <w:txbxContent>
                  <w:p>
                    <w:pPr>
                      <w:pStyle w:val="2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185</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2">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8"/>
  </w:num>
  <w:num w:numId="3">
    <w:abstractNumId w:val="1"/>
  </w:num>
  <w:num w:numId="4">
    <w:abstractNumId w:val="9"/>
  </w:num>
  <w:num w:numId="5">
    <w:abstractNumId w:val="5"/>
  </w:num>
  <w:num w:numId="6">
    <w:abstractNumId w:val="0"/>
  </w:num>
  <w:num w:numId="7">
    <w:abstractNumId w:val="6"/>
  </w:num>
  <w:num w:numId="8">
    <w:abstractNumId w:val="2"/>
  </w:num>
  <w:num w:numId="9">
    <w:abstractNumId w:val="4"/>
  </w:num>
  <w:num w:numId="10">
    <w:abstractNumId w:val="7"/>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zMmExMGY4ODk5ZDE4YjE0YzEwZTkxNzU1MDJkNzQifQ=="/>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0F04"/>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1000FB"/>
    <w:rsid w:val="02287D63"/>
    <w:rsid w:val="024179E7"/>
    <w:rsid w:val="0246437B"/>
    <w:rsid w:val="02985CD5"/>
    <w:rsid w:val="02A741FD"/>
    <w:rsid w:val="02C16E5D"/>
    <w:rsid w:val="02D964CF"/>
    <w:rsid w:val="02DE5ECF"/>
    <w:rsid w:val="03082F4B"/>
    <w:rsid w:val="032E6AB8"/>
    <w:rsid w:val="03457CFC"/>
    <w:rsid w:val="03707410"/>
    <w:rsid w:val="039170C0"/>
    <w:rsid w:val="039240A3"/>
    <w:rsid w:val="03A0770F"/>
    <w:rsid w:val="03A27726"/>
    <w:rsid w:val="03A448B8"/>
    <w:rsid w:val="03B34A78"/>
    <w:rsid w:val="03C01631"/>
    <w:rsid w:val="03C656A9"/>
    <w:rsid w:val="03F33148"/>
    <w:rsid w:val="042F3419"/>
    <w:rsid w:val="04491596"/>
    <w:rsid w:val="047B4012"/>
    <w:rsid w:val="04822497"/>
    <w:rsid w:val="04974587"/>
    <w:rsid w:val="049A0C65"/>
    <w:rsid w:val="04A07C4B"/>
    <w:rsid w:val="04DF1036"/>
    <w:rsid w:val="04E24985"/>
    <w:rsid w:val="050C01DF"/>
    <w:rsid w:val="05316537"/>
    <w:rsid w:val="053A5A77"/>
    <w:rsid w:val="0599183C"/>
    <w:rsid w:val="05A97DEC"/>
    <w:rsid w:val="05B23978"/>
    <w:rsid w:val="05C81981"/>
    <w:rsid w:val="05DB7F00"/>
    <w:rsid w:val="05FC20B9"/>
    <w:rsid w:val="060043AE"/>
    <w:rsid w:val="060C3203"/>
    <w:rsid w:val="06281344"/>
    <w:rsid w:val="062C3F70"/>
    <w:rsid w:val="062D4EC8"/>
    <w:rsid w:val="069B4E4A"/>
    <w:rsid w:val="06A26008"/>
    <w:rsid w:val="06BC41F2"/>
    <w:rsid w:val="06F415CC"/>
    <w:rsid w:val="070E26CD"/>
    <w:rsid w:val="07197D08"/>
    <w:rsid w:val="071E5C55"/>
    <w:rsid w:val="075C1FE5"/>
    <w:rsid w:val="077005AB"/>
    <w:rsid w:val="078F4581"/>
    <w:rsid w:val="07A715F3"/>
    <w:rsid w:val="07BF027F"/>
    <w:rsid w:val="07F06C60"/>
    <w:rsid w:val="08031A31"/>
    <w:rsid w:val="080E2872"/>
    <w:rsid w:val="08420CAE"/>
    <w:rsid w:val="089A5AE8"/>
    <w:rsid w:val="08BA4530"/>
    <w:rsid w:val="09061A75"/>
    <w:rsid w:val="090E6DE2"/>
    <w:rsid w:val="09182241"/>
    <w:rsid w:val="09325D4D"/>
    <w:rsid w:val="095F1030"/>
    <w:rsid w:val="09855177"/>
    <w:rsid w:val="09A17D47"/>
    <w:rsid w:val="09C175FE"/>
    <w:rsid w:val="09EE5125"/>
    <w:rsid w:val="09FB6BE7"/>
    <w:rsid w:val="0A3D7585"/>
    <w:rsid w:val="0A462748"/>
    <w:rsid w:val="0A4D0C81"/>
    <w:rsid w:val="0A723E95"/>
    <w:rsid w:val="0A733243"/>
    <w:rsid w:val="0AA534D5"/>
    <w:rsid w:val="0AA650EB"/>
    <w:rsid w:val="0AA7129C"/>
    <w:rsid w:val="0AF47339"/>
    <w:rsid w:val="0B121934"/>
    <w:rsid w:val="0B1F4D52"/>
    <w:rsid w:val="0B22594B"/>
    <w:rsid w:val="0B27506F"/>
    <w:rsid w:val="0B3061AD"/>
    <w:rsid w:val="0B9610F4"/>
    <w:rsid w:val="0BBF77A4"/>
    <w:rsid w:val="0BD16C8D"/>
    <w:rsid w:val="0BDF26F7"/>
    <w:rsid w:val="0C027DB2"/>
    <w:rsid w:val="0C297E67"/>
    <w:rsid w:val="0C2B4952"/>
    <w:rsid w:val="0C46133C"/>
    <w:rsid w:val="0C516C55"/>
    <w:rsid w:val="0C5D161C"/>
    <w:rsid w:val="0C7B2220"/>
    <w:rsid w:val="0CB67D83"/>
    <w:rsid w:val="0CCF79BE"/>
    <w:rsid w:val="0CD20599"/>
    <w:rsid w:val="0CE53018"/>
    <w:rsid w:val="0D0B5B12"/>
    <w:rsid w:val="0D133046"/>
    <w:rsid w:val="0D153F28"/>
    <w:rsid w:val="0D1F14CA"/>
    <w:rsid w:val="0D305390"/>
    <w:rsid w:val="0D3A0F98"/>
    <w:rsid w:val="0D5D37FD"/>
    <w:rsid w:val="0D6A4502"/>
    <w:rsid w:val="0D701E19"/>
    <w:rsid w:val="0D7415CA"/>
    <w:rsid w:val="0D8458C4"/>
    <w:rsid w:val="0D890E47"/>
    <w:rsid w:val="0DC64A00"/>
    <w:rsid w:val="0DCF786E"/>
    <w:rsid w:val="0DEB5FFA"/>
    <w:rsid w:val="0DF75C46"/>
    <w:rsid w:val="0DFC60BA"/>
    <w:rsid w:val="0E045D30"/>
    <w:rsid w:val="0E1C06B2"/>
    <w:rsid w:val="0E35000C"/>
    <w:rsid w:val="0E69691B"/>
    <w:rsid w:val="0E7900C2"/>
    <w:rsid w:val="0EBB5484"/>
    <w:rsid w:val="0EBD5AA3"/>
    <w:rsid w:val="0F085784"/>
    <w:rsid w:val="0F5723EF"/>
    <w:rsid w:val="0F7C5FF6"/>
    <w:rsid w:val="0F9079E9"/>
    <w:rsid w:val="0FC53244"/>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B93BB1"/>
    <w:rsid w:val="10CB4D26"/>
    <w:rsid w:val="11144AFE"/>
    <w:rsid w:val="11200D07"/>
    <w:rsid w:val="116A3F32"/>
    <w:rsid w:val="11786AB5"/>
    <w:rsid w:val="118049D4"/>
    <w:rsid w:val="1182036D"/>
    <w:rsid w:val="118561F8"/>
    <w:rsid w:val="11914FAF"/>
    <w:rsid w:val="11A8021A"/>
    <w:rsid w:val="11B21219"/>
    <w:rsid w:val="11B4024C"/>
    <w:rsid w:val="11DA73AF"/>
    <w:rsid w:val="11FC1ECD"/>
    <w:rsid w:val="12457C5E"/>
    <w:rsid w:val="124D097B"/>
    <w:rsid w:val="12511265"/>
    <w:rsid w:val="126561B4"/>
    <w:rsid w:val="127A3FFC"/>
    <w:rsid w:val="127D0E25"/>
    <w:rsid w:val="127E0B34"/>
    <w:rsid w:val="1283614B"/>
    <w:rsid w:val="12856FF3"/>
    <w:rsid w:val="129671FB"/>
    <w:rsid w:val="12A576FF"/>
    <w:rsid w:val="12C60D80"/>
    <w:rsid w:val="130523B3"/>
    <w:rsid w:val="13065C60"/>
    <w:rsid w:val="13097496"/>
    <w:rsid w:val="13154AD2"/>
    <w:rsid w:val="131F7A3A"/>
    <w:rsid w:val="132645D0"/>
    <w:rsid w:val="134312FF"/>
    <w:rsid w:val="13455ABC"/>
    <w:rsid w:val="134F26C3"/>
    <w:rsid w:val="1370322B"/>
    <w:rsid w:val="13BA0460"/>
    <w:rsid w:val="13BB41AE"/>
    <w:rsid w:val="13C24F9B"/>
    <w:rsid w:val="13C45A18"/>
    <w:rsid w:val="13C9247B"/>
    <w:rsid w:val="13C92A4D"/>
    <w:rsid w:val="13DE55D1"/>
    <w:rsid w:val="13E0285C"/>
    <w:rsid w:val="13FC4407"/>
    <w:rsid w:val="141554C8"/>
    <w:rsid w:val="143B2E0B"/>
    <w:rsid w:val="147C1943"/>
    <w:rsid w:val="148054E9"/>
    <w:rsid w:val="14892735"/>
    <w:rsid w:val="14906D6C"/>
    <w:rsid w:val="14CC769D"/>
    <w:rsid w:val="14D764D5"/>
    <w:rsid w:val="14F43330"/>
    <w:rsid w:val="152138DB"/>
    <w:rsid w:val="152509D7"/>
    <w:rsid w:val="15436F05"/>
    <w:rsid w:val="155541C5"/>
    <w:rsid w:val="15691FE3"/>
    <w:rsid w:val="15763699"/>
    <w:rsid w:val="15802E15"/>
    <w:rsid w:val="158B5DDD"/>
    <w:rsid w:val="15A41986"/>
    <w:rsid w:val="15B11221"/>
    <w:rsid w:val="15C16EB3"/>
    <w:rsid w:val="15CB76C9"/>
    <w:rsid w:val="15D359D7"/>
    <w:rsid w:val="160E7A2C"/>
    <w:rsid w:val="16111028"/>
    <w:rsid w:val="161F7731"/>
    <w:rsid w:val="163C77BE"/>
    <w:rsid w:val="16573587"/>
    <w:rsid w:val="1679588C"/>
    <w:rsid w:val="168C2855"/>
    <w:rsid w:val="16903443"/>
    <w:rsid w:val="16994962"/>
    <w:rsid w:val="16A233CF"/>
    <w:rsid w:val="16A71041"/>
    <w:rsid w:val="16A844A2"/>
    <w:rsid w:val="16AA24BF"/>
    <w:rsid w:val="171D3FE1"/>
    <w:rsid w:val="1742794A"/>
    <w:rsid w:val="17680CAB"/>
    <w:rsid w:val="176E4128"/>
    <w:rsid w:val="1783371F"/>
    <w:rsid w:val="178D7563"/>
    <w:rsid w:val="17B61794"/>
    <w:rsid w:val="17C52CBF"/>
    <w:rsid w:val="17C93012"/>
    <w:rsid w:val="17E62B67"/>
    <w:rsid w:val="180F4499"/>
    <w:rsid w:val="181D4023"/>
    <w:rsid w:val="182201B4"/>
    <w:rsid w:val="18221ECE"/>
    <w:rsid w:val="18303840"/>
    <w:rsid w:val="183C3D90"/>
    <w:rsid w:val="18504A07"/>
    <w:rsid w:val="1859036F"/>
    <w:rsid w:val="18681814"/>
    <w:rsid w:val="18B0649B"/>
    <w:rsid w:val="18C8297B"/>
    <w:rsid w:val="18D418FC"/>
    <w:rsid w:val="18FC7745"/>
    <w:rsid w:val="19027053"/>
    <w:rsid w:val="191677A6"/>
    <w:rsid w:val="19353F17"/>
    <w:rsid w:val="19DD405E"/>
    <w:rsid w:val="1A460CF5"/>
    <w:rsid w:val="1A7A6BB4"/>
    <w:rsid w:val="1A7F297D"/>
    <w:rsid w:val="1A9B268C"/>
    <w:rsid w:val="1A9D6244"/>
    <w:rsid w:val="1AAF6004"/>
    <w:rsid w:val="1AB16AC1"/>
    <w:rsid w:val="1ABF1CEA"/>
    <w:rsid w:val="1B014DDE"/>
    <w:rsid w:val="1B0320FB"/>
    <w:rsid w:val="1B034A52"/>
    <w:rsid w:val="1B45344E"/>
    <w:rsid w:val="1B591D2B"/>
    <w:rsid w:val="1B5D76FB"/>
    <w:rsid w:val="1B683578"/>
    <w:rsid w:val="1B8C0040"/>
    <w:rsid w:val="1BBA4E52"/>
    <w:rsid w:val="1BD9519A"/>
    <w:rsid w:val="1BDE2F66"/>
    <w:rsid w:val="1C2A22B3"/>
    <w:rsid w:val="1C750ECE"/>
    <w:rsid w:val="1CA56AF4"/>
    <w:rsid w:val="1CE1575A"/>
    <w:rsid w:val="1D066E8E"/>
    <w:rsid w:val="1D196139"/>
    <w:rsid w:val="1D2E2708"/>
    <w:rsid w:val="1D5E02D1"/>
    <w:rsid w:val="1D7B74A7"/>
    <w:rsid w:val="1D7F0ED0"/>
    <w:rsid w:val="1DA31EB7"/>
    <w:rsid w:val="1DA55D97"/>
    <w:rsid w:val="1DBB6100"/>
    <w:rsid w:val="1DBE6816"/>
    <w:rsid w:val="1DC67725"/>
    <w:rsid w:val="1DCB4FF1"/>
    <w:rsid w:val="1DDC11E4"/>
    <w:rsid w:val="1DF5452A"/>
    <w:rsid w:val="1E010AF7"/>
    <w:rsid w:val="1E1C405A"/>
    <w:rsid w:val="1E2E29E0"/>
    <w:rsid w:val="1E301173"/>
    <w:rsid w:val="1E884D18"/>
    <w:rsid w:val="1ED8781E"/>
    <w:rsid w:val="1EDD3235"/>
    <w:rsid w:val="1EE7283A"/>
    <w:rsid w:val="1F0B3813"/>
    <w:rsid w:val="1F1102B0"/>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7B4905"/>
    <w:rsid w:val="20851B47"/>
    <w:rsid w:val="209A2C3D"/>
    <w:rsid w:val="20D364EF"/>
    <w:rsid w:val="20E5011E"/>
    <w:rsid w:val="20FC799E"/>
    <w:rsid w:val="21286DA7"/>
    <w:rsid w:val="2134683B"/>
    <w:rsid w:val="21C82E72"/>
    <w:rsid w:val="21DE0801"/>
    <w:rsid w:val="21DE339D"/>
    <w:rsid w:val="22154DDD"/>
    <w:rsid w:val="221D4DB5"/>
    <w:rsid w:val="22336873"/>
    <w:rsid w:val="22396826"/>
    <w:rsid w:val="225471A3"/>
    <w:rsid w:val="225E34DC"/>
    <w:rsid w:val="227D1295"/>
    <w:rsid w:val="229B678A"/>
    <w:rsid w:val="22AB3B7D"/>
    <w:rsid w:val="22AF3A08"/>
    <w:rsid w:val="22F92F75"/>
    <w:rsid w:val="239634D6"/>
    <w:rsid w:val="23BB4E7D"/>
    <w:rsid w:val="23C172D6"/>
    <w:rsid w:val="23CB1286"/>
    <w:rsid w:val="23D77537"/>
    <w:rsid w:val="23E6195D"/>
    <w:rsid w:val="23F04F64"/>
    <w:rsid w:val="242654AA"/>
    <w:rsid w:val="24814CBE"/>
    <w:rsid w:val="24AC168B"/>
    <w:rsid w:val="24BB6664"/>
    <w:rsid w:val="24EC64CB"/>
    <w:rsid w:val="250E1318"/>
    <w:rsid w:val="25103738"/>
    <w:rsid w:val="253F46D8"/>
    <w:rsid w:val="254D0389"/>
    <w:rsid w:val="25724B1D"/>
    <w:rsid w:val="25884C5D"/>
    <w:rsid w:val="258C3BEC"/>
    <w:rsid w:val="25A03144"/>
    <w:rsid w:val="25B2479F"/>
    <w:rsid w:val="25C15C5D"/>
    <w:rsid w:val="25CC175F"/>
    <w:rsid w:val="25D329B9"/>
    <w:rsid w:val="25E5427A"/>
    <w:rsid w:val="26276A31"/>
    <w:rsid w:val="26366F9D"/>
    <w:rsid w:val="263B1230"/>
    <w:rsid w:val="2642752B"/>
    <w:rsid w:val="26485508"/>
    <w:rsid w:val="26554808"/>
    <w:rsid w:val="265C6F87"/>
    <w:rsid w:val="265E685B"/>
    <w:rsid w:val="26607D95"/>
    <w:rsid w:val="26700955"/>
    <w:rsid w:val="26A16AE9"/>
    <w:rsid w:val="26A605D9"/>
    <w:rsid w:val="26AD0500"/>
    <w:rsid w:val="26B121A3"/>
    <w:rsid w:val="26E464C3"/>
    <w:rsid w:val="27076787"/>
    <w:rsid w:val="272E3097"/>
    <w:rsid w:val="272E6F74"/>
    <w:rsid w:val="273B7A3B"/>
    <w:rsid w:val="27541040"/>
    <w:rsid w:val="277E6655"/>
    <w:rsid w:val="2780046C"/>
    <w:rsid w:val="27933DEA"/>
    <w:rsid w:val="27B36A67"/>
    <w:rsid w:val="27BE5E11"/>
    <w:rsid w:val="27D9633F"/>
    <w:rsid w:val="27F531EF"/>
    <w:rsid w:val="280B2E27"/>
    <w:rsid w:val="281E404F"/>
    <w:rsid w:val="28302479"/>
    <w:rsid w:val="2846581F"/>
    <w:rsid w:val="284A5CA4"/>
    <w:rsid w:val="286550ED"/>
    <w:rsid w:val="286602C8"/>
    <w:rsid w:val="28665C95"/>
    <w:rsid w:val="28736F5F"/>
    <w:rsid w:val="28B01D1E"/>
    <w:rsid w:val="28C2628C"/>
    <w:rsid w:val="28CC3373"/>
    <w:rsid w:val="28F47F99"/>
    <w:rsid w:val="28F579BA"/>
    <w:rsid w:val="290B3EB9"/>
    <w:rsid w:val="292728C1"/>
    <w:rsid w:val="294E392A"/>
    <w:rsid w:val="2950768C"/>
    <w:rsid w:val="297A5FC4"/>
    <w:rsid w:val="29916F47"/>
    <w:rsid w:val="29B51252"/>
    <w:rsid w:val="29E14657"/>
    <w:rsid w:val="29E474B8"/>
    <w:rsid w:val="29ED574B"/>
    <w:rsid w:val="29FA2D3E"/>
    <w:rsid w:val="29FE5CE6"/>
    <w:rsid w:val="2A1C2D11"/>
    <w:rsid w:val="2A743AE8"/>
    <w:rsid w:val="2A8D4F8F"/>
    <w:rsid w:val="2A917B34"/>
    <w:rsid w:val="2A9308A8"/>
    <w:rsid w:val="2A9F5AB8"/>
    <w:rsid w:val="2AA50EF4"/>
    <w:rsid w:val="2AB04FE8"/>
    <w:rsid w:val="2AB10C99"/>
    <w:rsid w:val="2AC13AEE"/>
    <w:rsid w:val="2AD74E8C"/>
    <w:rsid w:val="2AE3766F"/>
    <w:rsid w:val="2AEC612E"/>
    <w:rsid w:val="2B0268A7"/>
    <w:rsid w:val="2B060F9E"/>
    <w:rsid w:val="2B0E56AB"/>
    <w:rsid w:val="2B51141C"/>
    <w:rsid w:val="2B590601"/>
    <w:rsid w:val="2B710DB7"/>
    <w:rsid w:val="2B7408CF"/>
    <w:rsid w:val="2B7E4054"/>
    <w:rsid w:val="2BBA6A76"/>
    <w:rsid w:val="2BCC03D1"/>
    <w:rsid w:val="2BDF1FBA"/>
    <w:rsid w:val="2C092ACA"/>
    <w:rsid w:val="2C0C6D59"/>
    <w:rsid w:val="2C5B0D4B"/>
    <w:rsid w:val="2C8903AA"/>
    <w:rsid w:val="2C987C56"/>
    <w:rsid w:val="2CA156F3"/>
    <w:rsid w:val="2CC11460"/>
    <w:rsid w:val="2CC15BAA"/>
    <w:rsid w:val="2CC72A61"/>
    <w:rsid w:val="2CDC3153"/>
    <w:rsid w:val="2CDF621C"/>
    <w:rsid w:val="2CE136D7"/>
    <w:rsid w:val="2CFE7A11"/>
    <w:rsid w:val="2CFF149A"/>
    <w:rsid w:val="2D201865"/>
    <w:rsid w:val="2D2B1461"/>
    <w:rsid w:val="2D2B6EDE"/>
    <w:rsid w:val="2D437777"/>
    <w:rsid w:val="2D4B5CEA"/>
    <w:rsid w:val="2D4C5B4C"/>
    <w:rsid w:val="2D542188"/>
    <w:rsid w:val="2D652658"/>
    <w:rsid w:val="2D964A56"/>
    <w:rsid w:val="2DC16E0A"/>
    <w:rsid w:val="2DC80C49"/>
    <w:rsid w:val="2DCA6355"/>
    <w:rsid w:val="2DE9306E"/>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F37AB3"/>
    <w:rsid w:val="30210B8A"/>
    <w:rsid w:val="30224DC7"/>
    <w:rsid w:val="303B4C3F"/>
    <w:rsid w:val="3073310C"/>
    <w:rsid w:val="309D6BE6"/>
    <w:rsid w:val="30AA1790"/>
    <w:rsid w:val="30EE385E"/>
    <w:rsid w:val="30F85AFE"/>
    <w:rsid w:val="31031402"/>
    <w:rsid w:val="31170995"/>
    <w:rsid w:val="31264A30"/>
    <w:rsid w:val="312651F8"/>
    <w:rsid w:val="31862EE3"/>
    <w:rsid w:val="31884E67"/>
    <w:rsid w:val="31A0275E"/>
    <w:rsid w:val="31A67308"/>
    <w:rsid w:val="31B91526"/>
    <w:rsid w:val="31BA7402"/>
    <w:rsid w:val="31EF0041"/>
    <w:rsid w:val="320107F5"/>
    <w:rsid w:val="324175CB"/>
    <w:rsid w:val="326A0524"/>
    <w:rsid w:val="327B7EDF"/>
    <w:rsid w:val="32AB70C5"/>
    <w:rsid w:val="32EF2122"/>
    <w:rsid w:val="32F17F41"/>
    <w:rsid w:val="332038B4"/>
    <w:rsid w:val="33247607"/>
    <w:rsid w:val="333014B0"/>
    <w:rsid w:val="335D0AF5"/>
    <w:rsid w:val="336917EF"/>
    <w:rsid w:val="336B2EA4"/>
    <w:rsid w:val="336B3E67"/>
    <w:rsid w:val="3370088C"/>
    <w:rsid w:val="33872039"/>
    <w:rsid w:val="339A687B"/>
    <w:rsid w:val="33D25689"/>
    <w:rsid w:val="33DC2F78"/>
    <w:rsid w:val="3428227C"/>
    <w:rsid w:val="343230D5"/>
    <w:rsid w:val="3439428E"/>
    <w:rsid w:val="34571EF7"/>
    <w:rsid w:val="347918A5"/>
    <w:rsid w:val="34802E4C"/>
    <w:rsid w:val="349D37D5"/>
    <w:rsid w:val="34A61BDE"/>
    <w:rsid w:val="34B561E0"/>
    <w:rsid w:val="34BB7B5F"/>
    <w:rsid w:val="3522586C"/>
    <w:rsid w:val="35572473"/>
    <w:rsid w:val="35602226"/>
    <w:rsid w:val="356B72E7"/>
    <w:rsid w:val="356D2AC8"/>
    <w:rsid w:val="3572424F"/>
    <w:rsid w:val="35734CF3"/>
    <w:rsid w:val="35866014"/>
    <w:rsid w:val="359E5CE0"/>
    <w:rsid w:val="35AB75E3"/>
    <w:rsid w:val="35D275C3"/>
    <w:rsid w:val="35E50FBB"/>
    <w:rsid w:val="362B215D"/>
    <w:rsid w:val="366666CA"/>
    <w:rsid w:val="367070F4"/>
    <w:rsid w:val="367801A9"/>
    <w:rsid w:val="36807FCC"/>
    <w:rsid w:val="36AD519D"/>
    <w:rsid w:val="36B57705"/>
    <w:rsid w:val="36B93E53"/>
    <w:rsid w:val="36DC1DD3"/>
    <w:rsid w:val="36F3711D"/>
    <w:rsid w:val="36FC25DD"/>
    <w:rsid w:val="37090CD6"/>
    <w:rsid w:val="37122320"/>
    <w:rsid w:val="3754697A"/>
    <w:rsid w:val="37636A21"/>
    <w:rsid w:val="377C03A4"/>
    <w:rsid w:val="37A103ED"/>
    <w:rsid w:val="37A367C3"/>
    <w:rsid w:val="37BD33EE"/>
    <w:rsid w:val="37E02B23"/>
    <w:rsid w:val="37E345A6"/>
    <w:rsid w:val="37EA5E6E"/>
    <w:rsid w:val="37EC6A58"/>
    <w:rsid w:val="37FB2268"/>
    <w:rsid w:val="37FF016F"/>
    <w:rsid w:val="382A6E2D"/>
    <w:rsid w:val="386E4145"/>
    <w:rsid w:val="387C5ABE"/>
    <w:rsid w:val="38883C0B"/>
    <w:rsid w:val="38B66D0C"/>
    <w:rsid w:val="38D41643"/>
    <w:rsid w:val="38EB6119"/>
    <w:rsid w:val="39044996"/>
    <w:rsid w:val="39243934"/>
    <w:rsid w:val="392C6D9B"/>
    <w:rsid w:val="393B020C"/>
    <w:rsid w:val="39506E15"/>
    <w:rsid w:val="396678D9"/>
    <w:rsid w:val="39790BE6"/>
    <w:rsid w:val="397A0ADB"/>
    <w:rsid w:val="39844799"/>
    <w:rsid w:val="39954B2B"/>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E5B8A"/>
    <w:rsid w:val="3B664D91"/>
    <w:rsid w:val="3B793A48"/>
    <w:rsid w:val="3B7E3699"/>
    <w:rsid w:val="3B85393E"/>
    <w:rsid w:val="3BB371F1"/>
    <w:rsid w:val="3BCA4B8A"/>
    <w:rsid w:val="3BCD72F7"/>
    <w:rsid w:val="3BFC2F5F"/>
    <w:rsid w:val="3C37146A"/>
    <w:rsid w:val="3C3D3625"/>
    <w:rsid w:val="3C414142"/>
    <w:rsid w:val="3C5B725E"/>
    <w:rsid w:val="3C84047F"/>
    <w:rsid w:val="3C88055A"/>
    <w:rsid w:val="3C9E57AB"/>
    <w:rsid w:val="3CAF79B9"/>
    <w:rsid w:val="3CB35097"/>
    <w:rsid w:val="3CF5701D"/>
    <w:rsid w:val="3CF737A2"/>
    <w:rsid w:val="3D10295A"/>
    <w:rsid w:val="3D184041"/>
    <w:rsid w:val="3D370C2A"/>
    <w:rsid w:val="3D414FC0"/>
    <w:rsid w:val="3D4F12A7"/>
    <w:rsid w:val="3D5D5FB0"/>
    <w:rsid w:val="3D7B5F78"/>
    <w:rsid w:val="3D7D049C"/>
    <w:rsid w:val="3DE063BD"/>
    <w:rsid w:val="3DE20EAE"/>
    <w:rsid w:val="3DEF3701"/>
    <w:rsid w:val="3E0572FD"/>
    <w:rsid w:val="3E0720FE"/>
    <w:rsid w:val="3E2819F6"/>
    <w:rsid w:val="3E287A22"/>
    <w:rsid w:val="3E5A7FE7"/>
    <w:rsid w:val="3E7D40EF"/>
    <w:rsid w:val="3E955A6A"/>
    <w:rsid w:val="3E964D81"/>
    <w:rsid w:val="3EA03A5D"/>
    <w:rsid w:val="3ED907E0"/>
    <w:rsid w:val="3EF66B2E"/>
    <w:rsid w:val="3F217914"/>
    <w:rsid w:val="3F3643C1"/>
    <w:rsid w:val="3FD10810"/>
    <w:rsid w:val="3FD70BB0"/>
    <w:rsid w:val="3FF77E17"/>
    <w:rsid w:val="3FFB2F15"/>
    <w:rsid w:val="3FFB55AC"/>
    <w:rsid w:val="40017152"/>
    <w:rsid w:val="401C5F9D"/>
    <w:rsid w:val="401C690C"/>
    <w:rsid w:val="401D7195"/>
    <w:rsid w:val="405C1C05"/>
    <w:rsid w:val="407A652F"/>
    <w:rsid w:val="40825D97"/>
    <w:rsid w:val="40836C36"/>
    <w:rsid w:val="40870EA3"/>
    <w:rsid w:val="409928E7"/>
    <w:rsid w:val="40997CFE"/>
    <w:rsid w:val="40C34607"/>
    <w:rsid w:val="40CE3DC0"/>
    <w:rsid w:val="40D7455A"/>
    <w:rsid w:val="40E743E5"/>
    <w:rsid w:val="40EB4012"/>
    <w:rsid w:val="41075C9E"/>
    <w:rsid w:val="410A1661"/>
    <w:rsid w:val="410F2828"/>
    <w:rsid w:val="412D5EA0"/>
    <w:rsid w:val="415A62F5"/>
    <w:rsid w:val="416D78C7"/>
    <w:rsid w:val="41734CBA"/>
    <w:rsid w:val="417F4E1A"/>
    <w:rsid w:val="418B0C8A"/>
    <w:rsid w:val="41A82190"/>
    <w:rsid w:val="41DE5999"/>
    <w:rsid w:val="41E1181A"/>
    <w:rsid w:val="41E32A20"/>
    <w:rsid w:val="41FA3241"/>
    <w:rsid w:val="420F7A65"/>
    <w:rsid w:val="4216611A"/>
    <w:rsid w:val="422E62A5"/>
    <w:rsid w:val="42321B6A"/>
    <w:rsid w:val="423E300F"/>
    <w:rsid w:val="425656C8"/>
    <w:rsid w:val="4257273C"/>
    <w:rsid w:val="42687ACE"/>
    <w:rsid w:val="4270145E"/>
    <w:rsid w:val="428D7381"/>
    <w:rsid w:val="429E6041"/>
    <w:rsid w:val="42BF4B02"/>
    <w:rsid w:val="42FD694D"/>
    <w:rsid w:val="43034DFA"/>
    <w:rsid w:val="437D6687"/>
    <w:rsid w:val="438351F5"/>
    <w:rsid w:val="438D35EA"/>
    <w:rsid w:val="43BC1E57"/>
    <w:rsid w:val="43D23F8D"/>
    <w:rsid w:val="43D43F1D"/>
    <w:rsid w:val="43FA5777"/>
    <w:rsid w:val="44023422"/>
    <w:rsid w:val="44184A2D"/>
    <w:rsid w:val="441C1611"/>
    <w:rsid w:val="44290050"/>
    <w:rsid w:val="443C440B"/>
    <w:rsid w:val="44514F52"/>
    <w:rsid w:val="446F16D3"/>
    <w:rsid w:val="44761C8F"/>
    <w:rsid w:val="449722E3"/>
    <w:rsid w:val="449D7B09"/>
    <w:rsid w:val="44AE3FD4"/>
    <w:rsid w:val="44CD30D2"/>
    <w:rsid w:val="44D0586F"/>
    <w:rsid w:val="44FA2D53"/>
    <w:rsid w:val="45390767"/>
    <w:rsid w:val="453C4912"/>
    <w:rsid w:val="45687813"/>
    <w:rsid w:val="4571374F"/>
    <w:rsid w:val="458B1BB0"/>
    <w:rsid w:val="45A41560"/>
    <w:rsid w:val="45AD31D6"/>
    <w:rsid w:val="45B93426"/>
    <w:rsid w:val="45CF1361"/>
    <w:rsid w:val="464C6420"/>
    <w:rsid w:val="46552F9B"/>
    <w:rsid w:val="466F7C95"/>
    <w:rsid w:val="467A0297"/>
    <w:rsid w:val="468679DC"/>
    <w:rsid w:val="468B7125"/>
    <w:rsid w:val="46B506EF"/>
    <w:rsid w:val="46C4691F"/>
    <w:rsid w:val="46C525FE"/>
    <w:rsid w:val="46CB53EF"/>
    <w:rsid w:val="46EE513F"/>
    <w:rsid w:val="470F5A71"/>
    <w:rsid w:val="473154FF"/>
    <w:rsid w:val="47685427"/>
    <w:rsid w:val="476C4065"/>
    <w:rsid w:val="4779499C"/>
    <w:rsid w:val="477B6530"/>
    <w:rsid w:val="47801172"/>
    <w:rsid w:val="479D1D34"/>
    <w:rsid w:val="47B609C0"/>
    <w:rsid w:val="47EC3B04"/>
    <w:rsid w:val="47EC6277"/>
    <w:rsid w:val="48021483"/>
    <w:rsid w:val="481A219B"/>
    <w:rsid w:val="482D31EA"/>
    <w:rsid w:val="483F7A5A"/>
    <w:rsid w:val="48447D02"/>
    <w:rsid w:val="485853A8"/>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1D4B49"/>
    <w:rsid w:val="4A484D41"/>
    <w:rsid w:val="4A6D15F8"/>
    <w:rsid w:val="4A7617B6"/>
    <w:rsid w:val="4A8C4FB8"/>
    <w:rsid w:val="4A9A25BD"/>
    <w:rsid w:val="4A9E0551"/>
    <w:rsid w:val="4AB542AE"/>
    <w:rsid w:val="4AF72FEA"/>
    <w:rsid w:val="4B1477B3"/>
    <w:rsid w:val="4B1F062C"/>
    <w:rsid w:val="4B243D9D"/>
    <w:rsid w:val="4B281425"/>
    <w:rsid w:val="4B6F66A1"/>
    <w:rsid w:val="4B85213F"/>
    <w:rsid w:val="4B8C2DEB"/>
    <w:rsid w:val="4B966D92"/>
    <w:rsid w:val="4BFA3C9F"/>
    <w:rsid w:val="4BFA7F6C"/>
    <w:rsid w:val="4C107F48"/>
    <w:rsid w:val="4C3117D0"/>
    <w:rsid w:val="4C3277BC"/>
    <w:rsid w:val="4C5C442D"/>
    <w:rsid w:val="4C6D42A9"/>
    <w:rsid w:val="4C716A38"/>
    <w:rsid w:val="4CC0351C"/>
    <w:rsid w:val="4CC353EB"/>
    <w:rsid w:val="4CE64E14"/>
    <w:rsid w:val="4CE95EE5"/>
    <w:rsid w:val="4CF36F3C"/>
    <w:rsid w:val="4D007BC8"/>
    <w:rsid w:val="4D0602E5"/>
    <w:rsid w:val="4D1470BD"/>
    <w:rsid w:val="4D154882"/>
    <w:rsid w:val="4D1C3C50"/>
    <w:rsid w:val="4D603399"/>
    <w:rsid w:val="4D6A7284"/>
    <w:rsid w:val="4D6E30E1"/>
    <w:rsid w:val="4D867EE1"/>
    <w:rsid w:val="4DBC1F35"/>
    <w:rsid w:val="4DBC4C65"/>
    <w:rsid w:val="4DC6360B"/>
    <w:rsid w:val="4DC9105D"/>
    <w:rsid w:val="4DDC3853"/>
    <w:rsid w:val="4DE2009B"/>
    <w:rsid w:val="4DF86974"/>
    <w:rsid w:val="4E0F235E"/>
    <w:rsid w:val="4E157689"/>
    <w:rsid w:val="4E265601"/>
    <w:rsid w:val="4E471216"/>
    <w:rsid w:val="4E533FA5"/>
    <w:rsid w:val="4E550010"/>
    <w:rsid w:val="4E5F14CB"/>
    <w:rsid w:val="4E6808B0"/>
    <w:rsid w:val="4E780BC4"/>
    <w:rsid w:val="4EBA42F2"/>
    <w:rsid w:val="4EC00DDD"/>
    <w:rsid w:val="4ED908C5"/>
    <w:rsid w:val="4EF265BE"/>
    <w:rsid w:val="4EFB1C45"/>
    <w:rsid w:val="4F0C2A48"/>
    <w:rsid w:val="4F212511"/>
    <w:rsid w:val="4F26273B"/>
    <w:rsid w:val="4F2D3A8A"/>
    <w:rsid w:val="4F32478A"/>
    <w:rsid w:val="4F3705F8"/>
    <w:rsid w:val="4F442421"/>
    <w:rsid w:val="4F5D292B"/>
    <w:rsid w:val="4F913A9A"/>
    <w:rsid w:val="4F9714A0"/>
    <w:rsid w:val="4FAA3F91"/>
    <w:rsid w:val="4FAC3540"/>
    <w:rsid w:val="4FCF1583"/>
    <w:rsid w:val="4FD23E66"/>
    <w:rsid w:val="4FD44D1B"/>
    <w:rsid w:val="4FDC066D"/>
    <w:rsid w:val="4FFA7625"/>
    <w:rsid w:val="50453E7E"/>
    <w:rsid w:val="50594CF7"/>
    <w:rsid w:val="507D2599"/>
    <w:rsid w:val="508D31AF"/>
    <w:rsid w:val="508D37BE"/>
    <w:rsid w:val="5096229D"/>
    <w:rsid w:val="509E157D"/>
    <w:rsid w:val="50A6165E"/>
    <w:rsid w:val="50BB1603"/>
    <w:rsid w:val="50DC4184"/>
    <w:rsid w:val="50E253E0"/>
    <w:rsid w:val="50FB6146"/>
    <w:rsid w:val="512F4CA0"/>
    <w:rsid w:val="51361FFF"/>
    <w:rsid w:val="513D4C38"/>
    <w:rsid w:val="514C3EA7"/>
    <w:rsid w:val="51AC4D00"/>
    <w:rsid w:val="51FF3C99"/>
    <w:rsid w:val="522A20E4"/>
    <w:rsid w:val="52363D4D"/>
    <w:rsid w:val="524A2AC9"/>
    <w:rsid w:val="52521A20"/>
    <w:rsid w:val="528604EC"/>
    <w:rsid w:val="529E2C3A"/>
    <w:rsid w:val="52AC4ABC"/>
    <w:rsid w:val="52C201B9"/>
    <w:rsid w:val="52E57A12"/>
    <w:rsid w:val="52F20B62"/>
    <w:rsid w:val="531C4FCC"/>
    <w:rsid w:val="53637A88"/>
    <w:rsid w:val="53827E49"/>
    <w:rsid w:val="538A6BB9"/>
    <w:rsid w:val="539964FD"/>
    <w:rsid w:val="539C1B81"/>
    <w:rsid w:val="539D7755"/>
    <w:rsid w:val="53A447B1"/>
    <w:rsid w:val="53AE750F"/>
    <w:rsid w:val="53D224B3"/>
    <w:rsid w:val="53F81D96"/>
    <w:rsid w:val="541D5DE8"/>
    <w:rsid w:val="541F57C4"/>
    <w:rsid w:val="544B5214"/>
    <w:rsid w:val="546F523C"/>
    <w:rsid w:val="54782FBD"/>
    <w:rsid w:val="547C4479"/>
    <w:rsid w:val="5483138F"/>
    <w:rsid w:val="5488523A"/>
    <w:rsid w:val="549A6BFA"/>
    <w:rsid w:val="54C341E7"/>
    <w:rsid w:val="54D933CD"/>
    <w:rsid w:val="55046EB5"/>
    <w:rsid w:val="551751CF"/>
    <w:rsid w:val="5522558F"/>
    <w:rsid w:val="55244D7F"/>
    <w:rsid w:val="55305397"/>
    <w:rsid w:val="55362287"/>
    <w:rsid w:val="55432F3C"/>
    <w:rsid w:val="55A37FFD"/>
    <w:rsid w:val="55A82B13"/>
    <w:rsid w:val="55AE22F1"/>
    <w:rsid w:val="55C3227E"/>
    <w:rsid w:val="55CE1AA9"/>
    <w:rsid w:val="55F6381F"/>
    <w:rsid w:val="55FA2961"/>
    <w:rsid w:val="5602250F"/>
    <w:rsid w:val="56041FEA"/>
    <w:rsid w:val="564220BA"/>
    <w:rsid w:val="565E7F4F"/>
    <w:rsid w:val="565F3DA6"/>
    <w:rsid w:val="56914056"/>
    <w:rsid w:val="56B61E36"/>
    <w:rsid w:val="56C36589"/>
    <w:rsid w:val="570D55B0"/>
    <w:rsid w:val="57250D60"/>
    <w:rsid w:val="57293C95"/>
    <w:rsid w:val="572A6381"/>
    <w:rsid w:val="572B41B4"/>
    <w:rsid w:val="57365868"/>
    <w:rsid w:val="573C1959"/>
    <w:rsid w:val="57554571"/>
    <w:rsid w:val="57F65317"/>
    <w:rsid w:val="57FC2169"/>
    <w:rsid w:val="58024015"/>
    <w:rsid w:val="58096275"/>
    <w:rsid w:val="58185802"/>
    <w:rsid w:val="5819544F"/>
    <w:rsid w:val="582D6D32"/>
    <w:rsid w:val="582E6EF7"/>
    <w:rsid w:val="584E30E6"/>
    <w:rsid w:val="58546EFD"/>
    <w:rsid w:val="5881703E"/>
    <w:rsid w:val="58E26731"/>
    <w:rsid w:val="58EB1371"/>
    <w:rsid w:val="59091D98"/>
    <w:rsid w:val="590E4A97"/>
    <w:rsid w:val="591250FF"/>
    <w:rsid w:val="591E1CF6"/>
    <w:rsid w:val="5920012C"/>
    <w:rsid w:val="593700E7"/>
    <w:rsid w:val="595578DE"/>
    <w:rsid w:val="597B384D"/>
    <w:rsid w:val="59996DA8"/>
    <w:rsid w:val="59C30F1B"/>
    <w:rsid w:val="59CE4759"/>
    <w:rsid w:val="59D90B78"/>
    <w:rsid w:val="5A814766"/>
    <w:rsid w:val="5A8C20D0"/>
    <w:rsid w:val="5ABC29E4"/>
    <w:rsid w:val="5AC7121C"/>
    <w:rsid w:val="5AD90B8D"/>
    <w:rsid w:val="5AE12927"/>
    <w:rsid w:val="5AE35472"/>
    <w:rsid w:val="5AF41CF3"/>
    <w:rsid w:val="5AF87CC9"/>
    <w:rsid w:val="5B07329F"/>
    <w:rsid w:val="5B4E1A44"/>
    <w:rsid w:val="5B873201"/>
    <w:rsid w:val="5B967767"/>
    <w:rsid w:val="5B9D1624"/>
    <w:rsid w:val="5BA2386D"/>
    <w:rsid w:val="5BBF73E2"/>
    <w:rsid w:val="5BEE5378"/>
    <w:rsid w:val="5C0C2FF6"/>
    <w:rsid w:val="5C1241CC"/>
    <w:rsid w:val="5C286807"/>
    <w:rsid w:val="5C34339E"/>
    <w:rsid w:val="5C355656"/>
    <w:rsid w:val="5C370E72"/>
    <w:rsid w:val="5C446BC8"/>
    <w:rsid w:val="5C4B56E1"/>
    <w:rsid w:val="5C6A7000"/>
    <w:rsid w:val="5C7146B1"/>
    <w:rsid w:val="5C72307C"/>
    <w:rsid w:val="5C7C2768"/>
    <w:rsid w:val="5CAD3BC1"/>
    <w:rsid w:val="5CAE62DC"/>
    <w:rsid w:val="5CB23AE6"/>
    <w:rsid w:val="5CED5863"/>
    <w:rsid w:val="5CF41904"/>
    <w:rsid w:val="5D0D6DF5"/>
    <w:rsid w:val="5D4A5E05"/>
    <w:rsid w:val="5D580A8A"/>
    <w:rsid w:val="5D7E6D71"/>
    <w:rsid w:val="5D893B14"/>
    <w:rsid w:val="5DB42C29"/>
    <w:rsid w:val="5E1219F7"/>
    <w:rsid w:val="5E18541D"/>
    <w:rsid w:val="5E291636"/>
    <w:rsid w:val="5E48511F"/>
    <w:rsid w:val="5E655B72"/>
    <w:rsid w:val="5E8B0770"/>
    <w:rsid w:val="5EA06921"/>
    <w:rsid w:val="5EBA259F"/>
    <w:rsid w:val="5EBF3EFF"/>
    <w:rsid w:val="5EE1082B"/>
    <w:rsid w:val="5EE97BB4"/>
    <w:rsid w:val="5EF55BC9"/>
    <w:rsid w:val="5EFD48FF"/>
    <w:rsid w:val="5F085DDA"/>
    <w:rsid w:val="5F0C446A"/>
    <w:rsid w:val="5F2E2D52"/>
    <w:rsid w:val="5F5226F9"/>
    <w:rsid w:val="5F54198B"/>
    <w:rsid w:val="5F6C74C2"/>
    <w:rsid w:val="5F9D1350"/>
    <w:rsid w:val="5FA44AD1"/>
    <w:rsid w:val="5FBE370A"/>
    <w:rsid w:val="5FC61F2E"/>
    <w:rsid w:val="5FC83407"/>
    <w:rsid w:val="5FD56E87"/>
    <w:rsid w:val="5FF0558C"/>
    <w:rsid w:val="60015A45"/>
    <w:rsid w:val="601A27F4"/>
    <w:rsid w:val="60292845"/>
    <w:rsid w:val="606F2632"/>
    <w:rsid w:val="6071543B"/>
    <w:rsid w:val="607921FE"/>
    <w:rsid w:val="607E12CC"/>
    <w:rsid w:val="608F62AE"/>
    <w:rsid w:val="609B5BC6"/>
    <w:rsid w:val="60B9251B"/>
    <w:rsid w:val="60E236C1"/>
    <w:rsid w:val="60E37983"/>
    <w:rsid w:val="61260B6B"/>
    <w:rsid w:val="612B3ABB"/>
    <w:rsid w:val="612E1A5D"/>
    <w:rsid w:val="614E5D7E"/>
    <w:rsid w:val="61596D72"/>
    <w:rsid w:val="61816046"/>
    <w:rsid w:val="61BD04E4"/>
    <w:rsid w:val="61C81AB1"/>
    <w:rsid w:val="620B0059"/>
    <w:rsid w:val="62391564"/>
    <w:rsid w:val="624A22BE"/>
    <w:rsid w:val="6263230B"/>
    <w:rsid w:val="626E235A"/>
    <w:rsid w:val="626F60D5"/>
    <w:rsid w:val="62816669"/>
    <w:rsid w:val="6282086D"/>
    <w:rsid w:val="629007F7"/>
    <w:rsid w:val="629372B1"/>
    <w:rsid w:val="62AB4D99"/>
    <w:rsid w:val="62B36CD7"/>
    <w:rsid w:val="62BA0953"/>
    <w:rsid w:val="62D03A7C"/>
    <w:rsid w:val="62F42FAE"/>
    <w:rsid w:val="62F648FE"/>
    <w:rsid w:val="63167A4F"/>
    <w:rsid w:val="631D2BD6"/>
    <w:rsid w:val="6330458A"/>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5032F85"/>
    <w:rsid w:val="65051FBC"/>
    <w:rsid w:val="651304A7"/>
    <w:rsid w:val="65136B50"/>
    <w:rsid w:val="6531690D"/>
    <w:rsid w:val="65320485"/>
    <w:rsid w:val="655A12F3"/>
    <w:rsid w:val="657E2A35"/>
    <w:rsid w:val="65A94E9D"/>
    <w:rsid w:val="65B96B3F"/>
    <w:rsid w:val="65BE1071"/>
    <w:rsid w:val="65C60A92"/>
    <w:rsid w:val="65DB19DF"/>
    <w:rsid w:val="660451CE"/>
    <w:rsid w:val="664B3BEB"/>
    <w:rsid w:val="665346B7"/>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D5AB2"/>
    <w:rsid w:val="682E4A5B"/>
    <w:rsid w:val="682E7AFD"/>
    <w:rsid w:val="68707071"/>
    <w:rsid w:val="687A4379"/>
    <w:rsid w:val="687B015C"/>
    <w:rsid w:val="687E3889"/>
    <w:rsid w:val="6884222C"/>
    <w:rsid w:val="68A957C8"/>
    <w:rsid w:val="68AD17BB"/>
    <w:rsid w:val="68D6620B"/>
    <w:rsid w:val="68D94D22"/>
    <w:rsid w:val="68F06F2B"/>
    <w:rsid w:val="69011241"/>
    <w:rsid w:val="692B2E4A"/>
    <w:rsid w:val="696A0B34"/>
    <w:rsid w:val="697D65C5"/>
    <w:rsid w:val="69820A4E"/>
    <w:rsid w:val="69821807"/>
    <w:rsid w:val="698D6A17"/>
    <w:rsid w:val="699026E3"/>
    <w:rsid w:val="69987E08"/>
    <w:rsid w:val="699E0BED"/>
    <w:rsid w:val="699F0522"/>
    <w:rsid w:val="69D37590"/>
    <w:rsid w:val="69F954C1"/>
    <w:rsid w:val="6A1260FA"/>
    <w:rsid w:val="6A1E1E73"/>
    <w:rsid w:val="6A2031B6"/>
    <w:rsid w:val="6A2F57D7"/>
    <w:rsid w:val="6A3924BB"/>
    <w:rsid w:val="6A3C1D40"/>
    <w:rsid w:val="6A6432E1"/>
    <w:rsid w:val="6AA23DFF"/>
    <w:rsid w:val="6AAA6F38"/>
    <w:rsid w:val="6AC61F6F"/>
    <w:rsid w:val="6AD34E53"/>
    <w:rsid w:val="6AD83EA1"/>
    <w:rsid w:val="6ADE74F0"/>
    <w:rsid w:val="6B1D62E8"/>
    <w:rsid w:val="6B667183"/>
    <w:rsid w:val="6B723594"/>
    <w:rsid w:val="6B805156"/>
    <w:rsid w:val="6B945E48"/>
    <w:rsid w:val="6B974A7B"/>
    <w:rsid w:val="6BD50977"/>
    <w:rsid w:val="6BE450D3"/>
    <w:rsid w:val="6BE60C84"/>
    <w:rsid w:val="6C4F0900"/>
    <w:rsid w:val="6C6C32E1"/>
    <w:rsid w:val="6C6E3E15"/>
    <w:rsid w:val="6C8B1F5D"/>
    <w:rsid w:val="6CA85D3A"/>
    <w:rsid w:val="6CAA3931"/>
    <w:rsid w:val="6CE2512E"/>
    <w:rsid w:val="6CEA06D7"/>
    <w:rsid w:val="6CF36E25"/>
    <w:rsid w:val="6CF70607"/>
    <w:rsid w:val="6D325918"/>
    <w:rsid w:val="6D3933CA"/>
    <w:rsid w:val="6D401810"/>
    <w:rsid w:val="6D6261FE"/>
    <w:rsid w:val="6D7B222A"/>
    <w:rsid w:val="6D7B61EC"/>
    <w:rsid w:val="6D8E03AA"/>
    <w:rsid w:val="6DBB089F"/>
    <w:rsid w:val="6DC63038"/>
    <w:rsid w:val="6DDC5608"/>
    <w:rsid w:val="6DE30DE0"/>
    <w:rsid w:val="6DE6130A"/>
    <w:rsid w:val="6E09491E"/>
    <w:rsid w:val="6E0D3655"/>
    <w:rsid w:val="6E1119D2"/>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15721"/>
    <w:rsid w:val="6FE82C9C"/>
    <w:rsid w:val="6FFB146E"/>
    <w:rsid w:val="70104BD7"/>
    <w:rsid w:val="70160742"/>
    <w:rsid w:val="7030610F"/>
    <w:rsid w:val="70471F20"/>
    <w:rsid w:val="70612DB4"/>
    <w:rsid w:val="706516C3"/>
    <w:rsid w:val="70660714"/>
    <w:rsid w:val="70896E68"/>
    <w:rsid w:val="708A4844"/>
    <w:rsid w:val="70C94DCA"/>
    <w:rsid w:val="70E05E9D"/>
    <w:rsid w:val="71073061"/>
    <w:rsid w:val="711A201F"/>
    <w:rsid w:val="71215AE9"/>
    <w:rsid w:val="712864E5"/>
    <w:rsid w:val="71396ACC"/>
    <w:rsid w:val="715B60E9"/>
    <w:rsid w:val="716F0EE9"/>
    <w:rsid w:val="719409A7"/>
    <w:rsid w:val="7196674D"/>
    <w:rsid w:val="719E245E"/>
    <w:rsid w:val="71BA3FE5"/>
    <w:rsid w:val="71EA1FED"/>
    <w:rsid w:val="72165C6B"/>
    <w:rsid w:val="722021E3"/>
    <w:rsid w:val="72290340"/>
    <w:rsid w:val="722C6DDA"/>
    <w:rsid w:val="7251594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CC2623"/>
    <w:rsid w:val="73DC335B"/>
    <w:rsid w:val="74031DBD"/>
    <w:rsid w:val="740B60EC"/>
    <w:rsid w:val="745E7D35"/>
    <w:rsid w:val="7465362D"/>
    <w:rsid w:val="7475188D"/>
    <w:rsid w:val="749E16A8"/>
    <w:rsid w:val="74B42AE4"/>
    <w:rsid w:val="74C54993"/>
    <w:rsid w:val="74D43250"/>
    <w:rsid w:val="74EB68F6"/>
    <w:rsid w:val="750802B1"/>
    <w:rsid w:val="750A429D"/>
    <w:rsid w:val="752739E7"/>
    <w:rsid w:val="75474B47"/>
    <w:rsid w:val="75533AB0"/>
    <w:rsid w:val="75614792"/>
    <w:rsid w:val="75717F13"/>
    <w:rsid w:val="75761866"/>
    <w:rsid w:val="75784473"/>
    <w:rsid w:val="75B10995"/>
    <w:rsid w:val="75B161B3"/>
    <w:rsid w:val="75B96BD7"/>
    <w:rsid w:val="75DC6C44"/>
    <w:rsid w:val="75F05CC0"/>
    <w:rsid w:val="762F6A19"/>
    <w:rsid w:val="76341B33"/>
    <w:rsid w:val="76736B32"/>
    <w:rsid w:val="76807C04"/>
    <w:rsid w:val="76AF35EE"/>
    <w:rsid w:val="76C27A74"/>
    <w:rsid w:val="76C726A5"/>
    <w:rsid w:val="76E3765E"/>
    <w:rsid w:val="76FB4FCD"/>
    <w:rsid w:val="76FC2AFA"/>
    <w:rsid w:val="7718743B"/>
    <w:rsid w:val="77527424"/>
    <w:rsid w:val="77653671"/>
    <w:rsid w:val="77707007"/>
    <w:rsid w:val="778546CC"/>
    <w:rsid w:val="778B6B46"/>
    <w:rsid w:val="77A337B9"/>
    <w:rsid w:val="77B551B3"/>
    <w:rsid w:val="77B56730"/>
    <w:rsid w:val="77B92EBE"/>
    <w:rsid w:val="77C04A8B"/>
    <w:rsid w:val="77D85DB3"/>
    <w:rsid w:val="77EB1B74"/>
    <w:rsid w:val="77EC16DB"/>
    <w:rsid w:val="782A3EA3"/>
    <w:rsid w:val="78490703"/>
    <w:rsid w:val="787038CC"/>
    <w:rsid w:val="78A50513"/>
    <w:rsid w:val="78C43087"/>
    <w:rsid w:val="78CA3838"/>
    <w:rsid w:val="78D37FAF"/>
    <w:rsid w:val="78EF7AB5"/>
    <w:rsid w:val="790D6849"/>
    <w:rsid w:val="795767E3"/>
    <w:rsid w:val="79586707"/>
    <w:rsid w:val="796518DD"/>
    <w:rsid w:val="79724BEF"/>
    <w:rsid w:val="797264AC"/>
    <w:rsid w:val="79AA0532"/>
    <w:rsid w:val="79D35D8D"/>
    <w:rsid w:val="79FA22BC"/>
    <w:rsid w:val="79FE1DDD"/>
    <w:rsid w:val="7A075767"/>
    <w:rsid w:val="7A0C15B3"/>
    <w:rsid w:val="7A212062"/>
    <w:rsid w:val="7A2522C9"/>
    <w:rsid w:val="7A282A11"/>
    <w:rsid w:val="7A3A59B8"/>
    <w:rsid w:val="7A5D0F75"/>
    <w:rsid w:val="7A715CD2"/>
    <w:rsid w:val="7A7716CC"/>
    <w:rsid w:val="7A921E9A"/>
    <w:rsid w:val="7A9E53BF"/>
    <w:rsid w:val="7AA914B9"/>
    <w:rsid w:val="7ABF2475"/>
    <w:rsid w:val="7AC21562"/>
    <w:rsid w:val="7AC70407"/>
    <w:rsid w:val="7AD474A4"/>
    <w:rsid w:val="7AD848DD"/>
    <w:rsid w:val="7AFC38DE"/>
    <w:rsid w:val="7B303E8C"/>
    <w:rsid w:val="7B3670E0"/>
    <w:rsid w:val="7B6E1531"/>
    <w:rsid w:val="7B7D6B6D"/>
    <w:rsid w:val="7B865D50"/>
    <w:rsid w:val="7B8D34C3"/>
    <w:rsid w:val="7B971D84"/>
    <w:rsid w:val="7B980684"/>
    <w:rsid w:val="7BAB0CB7"/>
    <w:rsid w:val="7BB4028F"/>
    <w:rsid w:val="7BC1107E"/>
    <w:rsid w:val="7BF32F03"/>
    <w:rsid w:val="7BF50D2C"/>
    <w:rsid w:val="7C066F4E"/>
    <w:rsid w:val="7C1724A5"/>
    <w:rsid w:val="7C8561DF"/>
    <w:rsid w:val="7CA109FD"/>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FB43EA"/>
    <w:rsid w:val="7E007625"/>
    <w:rsid w:val="7E0737C8"/>
    <w:rsid w:val="7E131C51"/>
    <w:rsid w:val="7E176B90"/>
    <w:rsid w:val="7E2142A2"/>
    <w:rsid w:val="7E240411"/>
    <w:rsid w:val="7E48335A"/>
    <w:rsid w:val="7E527BC8"/>
    <w:rsid w:val="7E797DE5"/>
    <w:rsid w:val="7E7B0BF2"/>
    <w:rsid w:val="7E8D75B6"/>
    <w:rsid w:val="7E8E672B"/>
    <w:rsid w:val="7EA27DDF"/>
    <w:rsid w:val="7EC67BB0"/>
    <w:rsid w:val="7ED809AD"/>
    <w:rsid w:val="7EF760EE"/>
    <w:rsid w:val="7F043CC7"/>
    <w:rsid w:val="7F2536B5"/>
    <w:rsid w:val="7F2C3CE7"/>
    <w:rsid w:val="7F5A01CA"/>
    <w:rsid w:val="7F75661B"/>
    <w:rsid w:val="7FB17429"/>
    <w:rsid w:val="7FC237CA"/>
    <w:rsid w:val="7FD954A6"/>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4"/>
    <w:qFormat/>
    <w:uiPriority w:val="9"/>
    <w:pPr>
      <w:keepNext/>
      <w:keepLines/>
      <w:spacing w:before="340" w:after="330" w:line="576" w:lineRule="auto"/>
      <w:outlineLvl w:val="0"/>
    </w:pPr>
    <w:rPr>
      <w:b/>
      <w:kern w:val="44"/>
      <w:sz w:val="44"/>
    </w:rPr>
  </w:style>
  <w:style w:type="paragraph" w:styleId="4">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43"/>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3"/>
    <w:semiHidden/>
    <w:unhideWhenUsed/>
    <w:qFormat/>
    <w:uiPriority w:val="9"/>
    <w:pPr>
      <w:keepNext/>
      <w:keepLines/>
      <w:spacing w:before="280" w:after="290" w:line="372" w:lineRule="auto"/>
      <w:outlineLvl w:val="4"/>
    </w:pPr>
    <w:rPr>
      <w:b/>
      <w:sz w:val="28"/>
    </w:rPr>
  </w:style>
  <w:style w:type="character" w:default="1" w:styleId="31">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63"/>
    <w:semiHidden/>
    <w:unhideWhenUsed/>
    <w:qFormat/>
    <w:uiPriority w:val="99"/>
    <w:rPr>
      <w:b/>
      <w:bCs/>
    </w:rPr>
  </w:style>
  <w:style w:type="paragraph" w:styleId="8">
    <w:name w:val="annotation text"/>
    <w:basedOn w:val="1"/>
    <w:link w:val="62"/>
    <w:unhideWhenUsed/>
    <w:qFormat/>
    <w:uiPriority w:val="99"/>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Body Text First Indent"/>
    <w:basedOn w:val="11"/>
    <w:next w:val="12"/>
    <w:qFormat/>
    <w:uiPriority w:val="0"/>
    <w:pPr>
      <w:spacing w:after="120"/>
      <w:ind w:firstLine="420" w:firstLineChars="100"/>
    </w:pPr>
    <w:rPr>
      <w:bCs/>
      <w:szCs w:val="21"/>
    </w:rPr>
  </w:style>
  <w:style w:type="paragraph" w:styleId="11">
    <w:name w:val="Body Text"/>
    <w:basedOn w:val="1"/>
    <w:link w:val="65"/>
    <w:qFormat/>
    <w:uiPriority w:val="1"/>
    <w:pPr>
      <w:spacing w:before="161"/>
      <w:ind w:left="120"/>
    </w:pPr>
    <w:rPr>
      <w:rFonts w:ascii="宋体" w:hAnsi="宋体" w:cs="宋体"/>
      <w:sz w:val="24"/>
      <w:lang w:val="zh-CN" w:bidi="zh-CN"/>
    </w:rPr>
  </w:style>
  <w:style w:type="paragraph" w:customStyle="1" w:styleId="12">
    <w:name w:val="样式 正文首行缩进 + 首行缩进:  1 字符"/>
    <w:basedOn w:val="1"/>
    <w:next w:val="1"/>
    <w:qFormat/>
    <w:uiPriority w:val="0"/>
    <w:pPr>
      <w:ind w:firstLine="200" w:firstLineChars="200"/>
    </w:pPr>
    <w:rPr>
      <w:rFonts w:cs="宋体"/>
      <w:szCs w:val="20"/>
    </w:rPr>
  </w:style>
  <w:style w:type="paragraph" w:styleId="13">
    <w:name w:val="Body Text Indent"/>
    <w:basedOn w:val="1"/>
    <w:next w:val="14"/>
    <w:qFormat/>
    <w:uiPriority w:val="0"/>
    <w:pPr>
      <w:ind w:left="359" w:leftChars="171" w:firstLine="179" w:firstLineChars="85"/>
    </w:pPr>
    <w:rPr>
      <w:rFonts w:ascii="宋体" w:hAnsi="宋体"/>
      <w:b/>
      <w:bCs/>
      <w:szCs w:val="26"/>
    </w:rPr>
  </w:style>
  <w:style w:type="paragraph" w:styleId="14">
    <w:name w:val="envelope return"/>
    <w:basedOn w:val="1"/>
    <w:qFormat/>
    <w:uiPriority w:val="0"/>
  </w:style>
  <w:style w:type="paragraph" w:styleId="15">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6">
    <w:name w:val="toc 3"/>
    <w:basedOn w:val="1"/>
    <w:next w:val="1"/>
    <w:unhideWhenUsed/>
    <w:qFormat/>
    <w:uiPriority w:val="39"/>
    <w:pPr>
      <w:tabs>
        <w:tab w:val="right" w:leader="dot" w:pos="8296"/>
      </w:tabs>
      <w:ind w:left="838" w:leftChars="381"/>
    </w:pPr>
    <w:rPr>
      <w:szCs w:val="21"/>
    </w:rPr>
  </w:style>
  <w:style w:type="paragraph" w:styleId="17">
    <w:name w:val="Plain Text"/>
    <w:basedOn w:val="1"/>
    <w:link w:val="54"/>
    <w:qFormat/>
    <w:uiPriority w:val="0"/>
    <w:pPr>
      <w:widowControl w:val="0"/>
      <w:adjustRightInd/>
      <w:snapToGrid/>
      <w:jc w:val="both"/>
    </w:pPr>
    <w:rPr>
      <w:rFonts w:ascii="宋体" w:hAnsi="Courier New" w:cs="Times New Roman"/>
      <w:b/>
      <w:kern w:val="2"/>
      <w:szCs w:val="20"/>
    </w:rPr>
  </w:style>
  <w:style w:type="paragraph" w:styleId="18">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9">
    <w:name w:val="Balloon Text"/>
    <w:basedOn w:val="1"/>
    <w:link w:val="57"/>
    <w:semiHidden/>
    <w:unhideWhenUsed/>
    <w:qFormat/>
    <w:uiPriority w:val="99"/>
    <w:rPr>
      <w:sz w:val="18"/>
      <w:szCs w:val="18"/>
    </w:rPr>
  </w:style>
  <w:style w:type="paragraph" w:styleId="20">
    <w:name w:val="footer"/>
    <w:basedOn w:val="1"/>
    <w:link w:val="56"/>
    <w:unhideWhenUsed/>
    <w:qFormat/>
    <w:uiPriority w:val="99"/>
    <w:pPr>
      <w:tabs>
        <w:tab w:val="center" w:pos="4153"/>
        <w:tab w:val="right" w:pos="8306"/>
      </w:tabs>
    </w:pPr>
    <w:rPr>
      <w:sz w:val="18"/>
      <w:szCs w:val="18"/>
    </w:rPr>
  </w:style>
  <w:style w:type="paragraph" w:styleId="21">
    <w:name w:val="Body Text First Indent 2"/>
    <w:basedOn w:val="13"/>
    <w:qFormat/>
    <w:uiPriority w:val="0"/>
    <w:pPr>
      <w:ind w:left="0" w:leftChars="0" w:firstLine="420" w:firstLineChars="200"/>
    </w:pPr>
    <w:rPr>
      <w:rFonts w:ascii="Tahoma" w:hAnsi="Tahoma"/>
      <w:sz w:val="28"/>
    </w:rPr>
  </w:style>
  <w:style w:type="paragraph" w:styleId="22">
    <w:name w:val="header"/>
    <w:basedOn w:val="1"/>
    <w:link w:val="55"/>
    <w:unhideWhenUsed/>
    <w:qFormat/>
    <w:uiPriority w:val="99"/>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tabs>
        <w:tab w:val="right" w:leader="dot" w:pos="8296"/>
      </w:tabs>
      <w:spacing w:after="120"/>
      <w:ind w:left="1320" w:leftChars="600"/>
    </w:pPr>
  </w:style>
  <w:style w:type="paragraph" w:styleId="25">
    <w:name w:val="footnote text"/>
    <w:basedOn w:val="1"/>
    <w:semiHidden/>
    <w:unhideWhenUsed/>
    <w:qFormat/>
    <w:uiPriority w:val="99"/>
    <w:rPr>
      <w:sz w:val="18"/>
    </w:rPr>
  </w:style>
  <w:style w:type="paragraph" w:styleId="26">
    <w:name w:val="toc 6"/>
    <w:basedOn w:val="1"/>
    <w:next w:val="1"/>
    <w:qFormat/>
    <w:uiPriority w:val="39"/>
    <w:pPr>
      <w:ind w:left="1200"/>
    </w:pPr>
    <w:rPr>
      <w:rFonts w:ascii="Calibri" w:cs="Calibri"/>
      <w:sz w:val="18"/>
      <w:szCs w:val="18"/>
    </w:rPr>
  </w:style>
  <w:style w:type="paragraph" w:styleId="27">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8">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9">
    <w:name w:val="Body Text 2"/>
    <w:basedOn w:val="1"/>
    <w:qFormat/>
    <w:uiPriority w:val="0"/>
    <w:pPr>
      <w:spacing w:line="360" w:lineRule="auto"/>
    </w:pPr>
    <w:rPr>
      <w:sz w:val="24"/>
    </w:rPr>
  </w:style>
  <w:style w:type="paragraph" w:styleId="30">
    <w:name w:val="Normal (Web)"/>
    <w:basedOn w:val="1"/>
    <w:link w:val="59"/>
    <w:qFormat/>
    <w:uiPriority w:val="0"/>
    <w:pPr>
      <w:widowControl w:val="0"/>
      <w:adjustRightInd/>
      <w:snapToGrid/>
      <w:jc w:val="both"/>
    </w:pPr>
    <w:rPr>
      <w:rFonts w:asciiTheme="minorHAnsi" w:hAnsiTheme="minorHAnsi"/>
      <w:kern w:val="2"/>
      <w:sz w:val="24"/>
      <w:szCs w:val="24"/>
    </w:rPr>
  </w:style>
  <w:style w:type="character" w:styleId="32">
    <w:name w:val="page number"/>
    <w:basedOn w:val="31"/>
    <w:qFormat/>
    <w:uiPriority w:val="0"/>
  </w:style>
  <w:style w:type="character" w:styleId="33">
    <w:name w:val="Emphasis"/>
    <w:basedOn w:val="31"/>
    <w:qFormat/>
    <w:uiPriority w:val="20"/>
    <w:rPr>
      <w:i/>
      <w:iCs/>
    </w:rPr>
  </w:style>
  <w:style w:type="character" w:styleId="34">
    <w:name w:val="Hyperlink"/>
    <w:qFormat/>
    <w:uiPriority w:val="99"/>
    <w:rPr>
      <w:rFonts w:hint="eastAsia" w:ascii="宋体" w:hAnsi="宋体" w:eastAsia="宋体" w:cs="宋体"/>
      <w:b/>
      <w:color w:val="0031C1"/>
      <w:kern w:val="0"/>
      <w:sz w:val="18"/>
      <w:szCs w:val="18"/>
      <w:u w:val="none"/>
      <w:lang w:eastAsia="en-US"/>
    </w:rPr>
  </w:style>
  <w:style w:type="character" w:styleId="35">
    <w:name w:val="annotation reference"/>
    <w:basedOn w:val="31"/>
    <w:semiHidden/>
    <w:unhideWhenUsed/>
    <w:qFormat/>
    <w:uiPriority w:val="99"/>
    <w:rPr>
      <w:sz w:val="21"/>
      <w:szCs w:val="21"/>
    </w:rPr>
  </w:style>
  <w:style w:type="character" w:styleId="36">
    <w:name w:val="footnote reference"/>
    <w:basedOn w:val="31"/>
    <w:semiHidden/>
    <w:unhideWhenUsed/>
    <w:qFormat/>
    <w:uiPriority w:val="99"/>
    <w:rPr>
      <w:vertAlign w:val="superscript"/>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9">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0">
    <w:name w:val="标题 2 字符"/>
    <w:basedOn w:val="31"/>
    <w:link w:val="4"/>
    <w:qFormat/>
    <w:uiPriority w:val="9"/>
    <w:rPr>
      <w:rFonts w:asciiTheme="majorHAnsi" w:hAnsiTheme="majorHAnsi" w:eastAsiaTheme="majorEastAsia" w:cstheme="majorBidi"/>
      <w:b/>
      <w:bCs/>
      <w:sz w:val="32"/>
      <w:szCs w:val="32"/>
    </w:rPr>
  </w:style>
  <w:style w:type="character" w:customStyle="1" w:styleId="41">
    <w:name w:val="标题 3 字符"/>
    <w:basedOn w:val="31"/>
    <w:link w:val="5"/>
    <w:qFormat/>
    <w:uiPriority w:val="9"/>
    <w:rPr>
      <w:rFonts w:ascii="Tahoma" w:hAnsi="Tahoma"/>
      <w:b/>
      <w:bCs/>
      <w:sz w:val="32"/>
      <w:szCs w:val="32"/>
    </w:rPr>
  </w:style>
  <w:style w:type="paragraph" w:styleId="42">
    <w:name w:val="List Paragraph"/>
    <w:basedOn w:val="1"/>
    <w:link w:val="64"/>
    <w:qFormat/>
    <w:uiPriority w:val="0"/>
    <w:pPr>
      <w:ind w:firstLine="420" w:firstLineChars="200"/>
    </w:pPr>
  </w:style>
  <w:style w:type="character" w:customStyle="1" w:styleId="43">
    <w:name w:val="标题 4 字符"/>
    <w:basedOn w:val="31"/>
    <w:link w:val="2"/>
    <w:qFormat/>
    <w:uiPriority w:val="9"/>
    <w:rPr>
      <w:rFonts w:eastAsia="宋体" w:asciiTheme="majorHAnsi" w:hAnsiTheme="majorHAnsi" w:cstheme="majorBidi"/>
      <w:b/>
      <w:bCs/>
      <w:sz w:val="24"/>
      <w:szCs w:val="28"/>
    </w:rPr>
  </w:style>
  <w:style w:type="character" w:customStyle="1" w:styleId="44">
    <w:name w:val="正文缩进2格 Char"/>
    <w:link w:val="45"/>
    <w:qFormat/>
    <w:uiPriority w:val="0"/>
    <w:rPr>
      <w:rFonts w:ascii="仿宋_GB2312" w:hAnsi="宋体" w:eastAsia="仿宋_GB2312"/>
      <w:kern w:val="2"/>
      <w:sz w:val="31"/>
    </w:rPr>
  </w:style>
  <w:style w:type="paragraph" w:customStyle="1" w:styleId="45">
    <w:name w:val="正文缩进2格"/>
    <w:basedOn w:val="1"/>
    <w:link w:val="44"/>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6">
    <w:name w:val="正文缩进4格"/>
    <w:basedOn w:val="45"/>
    <w:qFormat/>
    <w:uiPriority w:val="0"/>
    <w:pPr>
      <w:ind w:left="2" w:firstLine="538" w:firstLineChars="192"/>
    </w:pPr>
    <w:rPr>
      <w:color w:val="0000FF"/>
      <w:sz w:val="28"/>
    </w:rPr>
  </w:style>
  <w:style w:type="character" w:customStyle="1" w:styleId="4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8">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9">
    <w:name w:val="标题1"/>
    <w:qFormat/>
    <w:uiPriority w:val="0"/>
    <w:rPr>
      <w:rFonts w:ascii="Times New Roman" w:hAnsi="Times New Roman" w:eastAsia="宋体" w:cs="Times New Roman"/>
      <w:b/>
      <w:kern w:val="0"/>
      <w:sz w:val="24"/>
      <w:szCs w:val="20"/>
      <w:lang w:eastAsia="en-US"/>
    </w:rPr>
  </w:style>
  <w:style w:type="character" w:customStyle="1" w:styleId="50">
    <w:name w:val="标题 3.1 Char"/>
    <w:link w:val="51"/>
    <w:qFormat/>
    <w:uiPriority w:val="0"/>
    <w:rPr>
      <w:rFonts w:ascii="宋体" w:hAnsi="宋体" w:eastAsia="宋体"/>
      <w:b/>
      <w:color w:val="FF0000"/>
      <w:kern w:val="2"/>
      <w:sz w:val="32"/>
    </w:rPr>
  </w:style>
  <w:style w:type="paragraph" w:customStyle="1" w:styleId="51">
    <w:name w:val="标题 3.1"/>
    <w:basedOn w:val="5"/>
    <w:link w:val="50"/>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2">
    <w:name w:val="样式 楷体_GB2312 小四"/>
    <w:qFormat/>
    <w:uiPriority w:val="0"/>
    <w:rPr>
      <w:rFonts w:ascii="楷体_GB2312" w:hAnsi="楷体_GB2312" w:eastAsia="仿宋_GB2312"/>
      <w:sz w:val="24"/>
    </w:rPr>
  </w:style>
  <w:style w:type="character" w:customStyle="1" w:styleId="53">
    <w:name w:val="纯文本 Char"/>
    <w:qFormat/>
    <w:uiPriority w:val="0"/>
    <w:rPr>
      <w:rFonts w:ascii="宋体" w:hAnsi="Courier New" w:eastAsia="宋体" w:cs="Times New Roman"/>
      <w:b/>
      <w:kern w:val="2"/>
      <w:sz w:val="21"/>
      <w:szCs w:val="20"/>
    </w:rPr>
  </w:style>
  <w:style w:type="character" w:customStyle="1" w:styleId="54">
    <w:name w:val="纯文本 字符"/>
    <w:basedOn w:val="31"/>
    <w:link w:val="17"/>
    <w:semiHidden/>
    <w:qFormat/>
    <w:uiPriority w:val="99"/>
    <w:rPr>
      <w:rFonts w:ascii="宋体" w:hAnsi="Courier New" w:eastAsia="宋体" w:cs="Courier New"/>
      <w:sz w:val="21"/>
      <w:szCs w:val="21"/>
    </w:rPr>
  </w:style>
  <w:style w:type="character" w:customStyle="1" w:styleId="55">
    <w:name w:val="页眉 字符"/>
    <w:basedOn w:val="31"/>
    <w:link w:val="22"/>
    <w:qFormat/>
    <w:uiPriority w:val="99"/>
    <w:rPr>
      <w:rFonts w:ascii="Tahoma" w:hAnsi="Tahoma"/>
      <w:sz w:val="18"/>
      <w:szCs w:val="18"/>
    </w:rPr>
  </w:style>
  <w:style w:type="character" w:customStyle="1" w:styleId="56">
    <w:name w:val="页脚 字符"/>
    <w:basedOn w:val="31"/>
    <w:link w:val="20"/>
    <w:qFormat/>
    <w:uiPriority w:val="99"/>
    <w:rPr>
      <w:rFonts w:ascii="Tahoma" w:hAnsi="Tahoma"/>
      <w:sz w:val="18"/>
      <w:szCs w:val="18"/>
    </w:rPr>
  </w:style>
  <w:style w:type="character" w:customStyle="1" w:styleId="57">
    <w:name w:val="批注框文本 字符"/>
    <w:basedOn w:val="31"/>
    <w:link w:val="19"/>
    <w:semiHidden/>
    <w:qFormat/>
    <w:uiPriority w:val="99"/>
    <w:rPr>
      <w:rFonts w:ascii="Tahoma" w:hAnsi="Tahoma"/>
      <w:sz w:val="18"/>
      <w:szCs w:val="18"/>
    </w:rPr>
  </w:style>
  <w:style w:type="paragraph" w:customStyle="1" w:styleId="58">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9">
    <w:name w:val="普通(网站) 字符"/>
    <w:link w:val="30"/>
    <w:qFormat/>
    <w:uiPriority w:val="0"/>
    <w:rPr>
      <w:rFonts w:eastAsia="宋体"/>
      <w:kern w:val="2"/>
      <w:sz w:val="24"/>
      <w:szCs w:val="24"/>
    </w:rPr>
  </w:style>
  <w:style w:type="paragraph" w:customStyle="1" w:styleId="60">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1">
    <w:name w:val="p141"/>
    <w:qFormat/>
    <w:uiPriority w:val="0"/>
    <w:rPr>
      <w:sz w:val="21"/>
      <w:szCs w:val="21"/>
    </w:rPr>
  </w:style>
  <w:style w:type="character" w:customStyle="1" w:styleId="62">
    <w:name w:val="批注文字 字符"/>
    <w:basedOn w:val="31"/>
    <w:link w:val="8"/>
    <w:qFormat/>
    <w:uiPriority w:val="99"/>
    <w:rPr>
      <w:rFonts w:ascii="Tahoma" w:hAnsi="Tahoma" w:eastAsia="微软雅黑" w:cstheme="minorBidi"/>
      <w:sz w:val="22"/>
      <w:szCs w:val="22"/>
    </w:rPr>
  </w:style>
  <w:style w:type="character" w:customStyle="1" w:styleId="63">
    <w:name w:val="批注主题 字符"/>
    <w:basedOn w:val="62"/>
    <w:link w:val="7"/>
    <w:semiHidden/>
    <w:qFormat/>
    <w:uiPriority w:val="99"/>
    <w:rPr>
      <w:rFonts w:ascii="Tahoma" w:hAnsi="Tahoma" w:eastAsia="微软雅黑" w:cstheme="minorBidi"/>
      <w:b/>
      <w:bCs/>
      <w:sz w:val="22"/>
      <w:szCs w:val="22"/>
    </w:rPr>
  </w:style>
  <w:style w:type="character" w:customStyle="1" w:styleId="64">
    <w:name w:val="列表段落 字符"/>
    <w:link w:val="42"/>
    <w:qFormat/>
    <w:uiPriority w:val="0"/>
    <w:rPr>
      <w:rFonts w:ascii="Tahoma" w:hAnsi="Tahoma" w:eastAsia="微软雅黑" w:cstheme="minorBidi"/>
      <w:sz w:val="22"/>
      <w:szCs w:val="22"/>
    </w:rPr>
  </w:style>
  <w:style w:type="character" w:customStyle="1" w:styleId="65">
    <w:name w:val="正文文本 字符"/>
    <w:basedOn w:val="31"/>
    <w:link w:val="11"/>
    <w:qFormat/>
    <w:uiPriority w:val="1"/>
    <w:rPr>
      <w:rFonts w:ascii="宋体" w:hAnsi="宋体" w:cs="宋体"/>
      <w:sz w:val="24"/>
      <w:szCs w:val="22"/>
      <w:lang w:val="zh-CN" w:bidi="zh-CN"/>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_Style 1"/>
    <w:basedOn w:val="1"/>
    <w:qFormat/>
    <w:uiPriority w:val="0"/>
    <w:pPr>
      <w:ind w:firstLine="420" w:firstLineChars="200"/>
    </w:pPr>
  </w:style>
  <w:style w:type="paragraph" w:customStyle="1" w:styleId="68">
    <w:name w:val="列出段落2"/>
    <w:basedOn w:val="1"/>
    <w:qFormat/>
    <w:uiPriority w:val="0"/>
    <w:pPr>
      <w:ind w:firstLine="420" w:firstLineChars="200"/>
    </w:pPr>
  </w:style>
  <w:style w:type="paragraph" w:customStyle="1" w:styleId="69">
    <w:name w:val="p0"/>
    <w:basedOn w:val="1"/>
    <w:qFormat/>
    <w:uiPriority w:val="0"/>
    <w:rPr>
      <w:szCs w:val="21"/>
    </w:rPr>
  </w:style>
  <w:style w:type="paragraph" w:customStyle="1" w:styleId="70">
    <w:name w:val="正文文本缩进 21"/>
    <w:basedOn w:val="1"/>
    <w:qFormat/>
    <w:uiPriority w:val="0"/>
    <w:pPr>
      <w:spacing w:line="480" w:lineRule="auto"/>
      <w:ind w:firstLine="540"/>
    </w:pPr>
    <w:rPr>
      <w:rFonts w:ascii="Calibri" w:hAnsi="Calibri"/>
      <w:sz w:val="20"/>
      <w:szCs w:val="20"/>
    </w:rPr>
  </w:style>
  <w:style w:type="paragraph" w:customStyle="1" w:styleId="71">
    <w:name w:val="_Style 2"/>
    <w:basedOn w:val="1"/>
    <w:qFormat/>
    <w:uiPriority w:val="0"/>
    <w:pPr>
      <w:ind w:firstLine="420" w:firstLineChars="200"/>
    </w:pPr>
  </w:style>
  <w:style w:type="paragraph" w:customStyle="1" w:styleId="72">
    <w:name w:val="msolistparagraph"/>
    <w:basedOn w:val="1"/>
    <w:qFormat/>
    <w:uiPriority w:val="0"/>
    <w:pPr>
      <w:ind w:firstLine="420" w:firstLineChars="200"/>
    </w:pPr>
    <w:rPr>
      <w:rFonts w:hint="eastAsia" w:hAnsi="宋体"/>
    </w:rPr>
  </w:style>
  <w:style w:type="character" w:customStyle="1" w:styleId="73">
    <w:name w:val="标题 5 字符"/>
    <w:link w:val="6"/>
    <w:qFormat/>
    <w:uiPriority w:val="0"/>
    <w:rPr>
      <w:b/>
      <w:sz w:val="28"/>
    </w:rPr>
  </w:style>
  <w:style w:type="character" w:customStyle="1" w:styleId="74">
    <w:name w:val="标题 1 字符"/>
    <w:link w:val="3"/>
    <w:qFormat/>
    <w:uiPriority w:val="9"/>
    <w:rPr>
      <w:b/>
      <w:kern w:val="44"/>
      <w:sz w:val="44"/>
    </w:rPr>
  </w:style>
  <w:style w:type="paragraph" w:customStyle="1" w:styleId="75">
    <w:name w:val="修订1"/>
    <w:hidden/>
    <w:semiHidden/>
    <w:qFormat/>
    <w:uiPriority w:val="99"/>
    <w:rPr>
      <w:rFonts w:ascii="Tahoma" w:hAnsi="Tahoma" w:eastAsia="宋体" w:cstheme="minorBidi"/>
      <w:sz w:val="21"/>
      <w:szCs w:val="22"/>
      <w:lang w:val="en-US" w:eastAsia="zh-CN" w:bidi="ar-SA"/>
    </w:rPr>
  </w:style>
  <w:style w:type="paragraph" w:customStyle="1" w:styleId="76">
    <w:name w:val="表格文字"/>
    <w:basedOn w:val="1"/>
    <w:qFormat/>
    <w:uiPriority w:val="0"/>
    <w:pPr>
      <w:adjustRightInd/>
      <w:spacing w:before="25" w:after="25"/>
    </w:pPr>
    <w:rPr>
      <w:rFonts w:ascii="Times New Roman"/>
      <w:bCs/>
      <w:spacing w:val="10"/>
      <w:szCs w:val="20"/>
    </w:rPr>
  </w:style>
  <w:style w:type="paragraph" w:customStyle="1" w:styleId="77">
    <w:name w:val="纯文本1"/>
    <w:basedOn w:val="78"/>
    <w:qFormat/>
    <w:uiPriority w:val="0"/>
    <w:rPr>
      <w:rFonts w:ascii="宋体" w:hAnsi="Courier New"/>
      <w:szCs w:val="20"/>
    </w:rPr>
  </w:style>
  <w:style w:type="paragraph" w:customStyle="1" w:styleId="78">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9">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0">
    <w:name w:val="Table Normal"/>
    <w:semiHidden/>
    <w:unhideWhenUsed/>
    <w:qFormat/>
    <w:uiPriority w:val="2"/>
    <w:tblPr>
      <w:tblLayout w:type="fixed"/>
      <w:tblCellMar>
        <w:top w:w="0" w:type="dxa"/>
        <w:left w:w="0" w:type="dxa"/>
        <w:bottom w:w="0" w:type="dxa"/>
        <w:right w:w="0" w:type="dxa"/>
      </w:tblCellMar>
    </w:tblPr>
  </w:style>
  <w:style w:type="paragraph" w:customStyle="1" w:styleId="81">
    <w:name w:val="Table Paragraph"/>
    <w:basedOn w:val="1"/>
    <w:qFormat/>
    <w:uiPriority w:val="1"/>
  </w:style>
  <w:style w:type="paragraph" w:customStyle="1" w:styleId="82">
    <w:name w:val="正文文本缩进1"/>
    <w:basedOn w:val="78"/>
    <w:qFormat/>
    <w:uiPriority w:val="0"/>
    <w:pPr>
      <w:spacing w:after="120"/>
      <w:ind w:left="420" w:leftChars="200"/>
    </w:pPr>
  </w:style>
  <w:style w:type="paragraph" w:customStyle="1" w:styleId="83">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4">
    <w:name w:val="纯文本2"/>
    <w:basedOn w:val="78"/>
    <w:qFormat/>
    <w:uiPriority w:val="0"/>
    <w:rPr>
      <w:rFonts w:ascii="宋体" w:hAnsi="Courier New"/>
      <w:szCs w:val="20"/>
    </w:rPr>
  </w:style>
  <w:style w:type="character" w:customStyle="1" w:styleId="85">
    <w:name w:val="font141"/>
    <w:qFormat/>
    <w:uiPriority w:val="0"/>
    <w:rPr>
      <w:rFonts w:hint="default" w:ascii="Times New Roman" w:hAnsi="Times New Roman" w:cs="Times New Roman"/>
      <w:color w:val="000000"/>
      <w:sz w:val="18"/>
      <w:szCs w:val="18"/>
      <w:u w:val="none"/>
    </w:rPr>
  </w:style>
  <w:style w:type="character" w:customStyle="1" w:styleId="86">
    <w:name w:val="font71"/>
    <w:qFormat/>
    <w:uiPriority w:val="0"/>
    <w:rPr>
      <w:rFonts w:hint="eastAsia" w:ascii="宋体" w:hAnsi="宋体" w:eastAsia="宋体" w:cs="宋体"/>
      <w:color w:val="000000"/>
      <w:sz w:val="18"/>
      <w:szCs w:val="18"/>
      <w:u w:val="none"/>
    </w:rPr>
  </w:style>
  <w:style w:type="paragraph" w:customStyle="1" w:styleId="87">
    <w:name w:val="Table Text"/>
    <w:basedOn w:val="1"/>
    <w:semiHidden/>
    <w:qFormat/>
    <w:uiPriority w:val="0"/>
    <w:rPr>
      <w:rFonts w:ascii="宋体" w:hAnsi="宋体" w:eastAsia="宋体" w:cs="宋体"/>
      <w:sz w:val="28"/>
      <w:szCs w:val="28"/>
      <w:lang w:val="en-US" w:eastAsia="en-US" w:bidi="ar-SA"/>
    </w:rPr>
  </w:style>
  <w:style w:type="paragraph" w:customStyle="1" w:styleId="88">
    <w:name w:val="Normal-1"/>
    <w:basedOn w:val="1"/>
    <w:qFormat/>
    <w:uiPriority w:val="0"/>
    <w:pPr>
      <w:spacing w:after="156" w:afterLines="50" w:line="312" w:lineRule="auto"/>
      <w:ind w:firstLine="200" w:firstLineChars="200"/>
    </w:pPr>
    <w:rPr>
      <w:rFonts w:ascii="Arial" w:hAnsi="Arial" w:eastAsia="宋体" w:cs="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15932</Words>
  <Characters>16838</Characters>
  <Lines>66</Lines>
  <Paragraphs>65</Paragraphs>
  <TotalTime>7</TotalTime>
  <ScaleCrop>false</ScaleCrop>
  <LinksUpToDate>false</LinksUpToDate>
  <CharactersWithSpaces>17190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彬</cp:lastModifiedBy>
  <cp:lastPrinted>2022-12-01T06:09:00Z</cp:lastPrinted>
  <dcterms:modified xsi:type="dcterms:W3CDTF">2025-05-16T01:56:01Z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74B8F4B9C7E2455898BD3D5A06502057_13</vt:lpwstr>
  </property>
  <property fmtid="{D5CDD505-2E9C-101B-9397-08002B2CF9AE}" pid="4" name="KSOTemplateDocerSaveRecord">
    <vt:lpwstr>eyJoZGlkIjoiZjg5YjI1ZjFkY2QyNGQ0MDg2NzMxMjJmZDg4ZTI1NmIiLCJ1c2VySWQiOiIxNjA0NzkzMjAxIn0=</vt:lpwstr>
  </property>
</Properties>
</file>