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right"/>
        <w:rPr>
          <w:rFonts w:ascii="黑体" w:eastAsia="黑体"/>
          <w:color w:val="auto"/>
          <w:szCs w:val="21"/>
          <w:highlight w:val="none"/>
        </w:rPr>
      </w:pPr>
    </w:p>
    <w:p>
      <w:pPr>
        <w:pStyle w:val="40"/>
        <w:shd w:val="clear"/>
        <w:ind w:firstLine="400"/>
        <w:rPr>
          <w:color w:val="auto"/>
          <w:highlight w:val="none"/>
        </w:rPr>
      </w:pPr>
    </w:p>
    <w:p>
      <w:pPr>
        <w:shd w:val="clear"/>
        <w:rPr>
          <w:color w:val="auto"/>
          <w:highlight w:val="none"/>
        </w:rPr>
      </w:pPr>
    </w:p>
    <w:p>
      <w:pPr>
        <w:shd w:val="clear"/>
        <w:rPr>
          <w:rFonts w:hint="eastAsia" w:eastAsia="宋体"/>
          <w:color w:val="auto"/>
          <w:highlight w:val="none"/>
          <w:lang w:eastAsia="zh-CN"/>
        </w:rPr>
      </w:pPr>
    </w:p>
    <w:p>
      <w:pPr>
        <w:shd w:val="clear"/>
        <w:rPr>
          <w:rFonts w:hint="default" w:eastAsia="宋体"/>
          <w:color w:val="auto"/>
          <w:highlight w:val="none"/>
          <w:lang w:val="en-US" w:eastAsia="zh-CN"/>
        </w:rPr>
      </w:pPr>
      <w:r>
        <w:rPr>
          <w:rFonts w:hint="eastAsia"/>
          <w:color w:val="auto"/>
          <w:highlight w:val="none"/>
          <w:lang w:val="en-US" w:eastAsia="zh-CN"/>
        </w:rPr>
        <w:t xml:space="preserve"> </w:t>
      </w:r>
      <w:r>
        <w:rPr>
          <w:rFonts w:hint="eastAsia"/>
          <w:color w:val="auto"/>
          <w:highlight w:val="none"/>
          <w:lang w:val="en-US" w:eastAsia="zh-CN"/>
        </w:rPr>
        <w:tab/>
      </w:r>
    </w:p>
    <w:p>
      <w:pPr>
        <w:shd w:val="clea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pPr>
        <w:shd w:val="clear"/>
        <w:rPr>
          <w:color w:val="auto"/>
          <w:highlight w:val="none"/>
        </w:rPr>
      </w:pPr>
    </w:p>
    <w:p>
      <w:pPr>
        <w:pStyle w:val="2"/>
        <w:shd w:val="clear"/>
        <w:rPr>
          <w:color w:val="auto"/>
          <w:highlight w:val="none"/>
        </w:rPr>
      </w:pPr>
    </w:p>
    <w:p>
      <w:pPr>
        <w:shd w:val="clear"/>
        <w:rPr>
          <w:color w:val="auto"/>
          <w:highlight w:val="none"/>
        </w:rPr>
      </w:pPr>
    </w:p>
    <w:tbl>
      <w:tblPr>
        <w:tblStyle w:val="37"/>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5"/>
        <w:gridCol w:w="6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495" w:type="dxa"/>
            <w:shd w:val="clear" w:color="auto" w:fill="auto"/>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321" w:type="dxa"/>
            <w:shd w:val="clear" w:color="auto" w:fill="auto"/>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莞寓·市人才安居社区14台电梯更新项目（重新采购）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2495" w:type="dxa"/>
            <w:shd w:val="clear" w:color="auto" w:fill="auto"/>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321" w:type="dxa"/>
            <w:shd w:val="clear" w:color="auto" w:fill="auto"/>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AJJS-DT-05-01-003(2025)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495" w:type="dxa"/>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321" w:type="dxa"/>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东莞市安居建设投资有限公司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495" w:type="dxa"/>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321" w:type="dxa"/>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广西同泽工程项目管理股份有限公司</w:t>
            </w:r>
          </w:p>
        </w:tc>
      </w:tr>
    </w:tbl>
    <w:p>
      <w:pPr>
        <w:shd w:val="clear"/>
        <w:jc w:val="center"/>
        <w:rPr>
          <w:rFonts w:ascii="黑体" w:eastAsia="黑体"/>
          <w:color w:val="auto"/>
          <w:szCs w:val="21"/>
          <w:highlight w:val="none"/>
        </w:rPr>
      </w:pPr>
    </w:p>
    <w:p>
      <w:pPr>
        <w:shd w:val="clear"/>
        <w:jc w:val="center"/>
        <w:rPr>
          <w:rFonts w:ascii="黑体" w:eastAsia="黑体"/>
          <w:color w:val="auto"/>
          <w:szCs w:val="21"/>
          <w:highlight w:val="none"/>
        </w:rPr>
      </w:pPr>
    </w:p>
    <w:p>
      <w:pPr>
        <w:shd w:val="clear"/>
        <w:jc w:val="center"/>
        <w:rPr>
          <w:rFonts w:ascii="黑体" w:eastAsia="黑体"/>
          <w:color w:val="auto"/>
          <w:szCs w:val="21"/>
          <w:highlight w:val="none"/>
        </w:rPr>
      </w:pPr>
    </w:p>
    <w:p>
      <w:pPr>
        <w:pStyle w:val="40"/>
        <w:shd w:val="clear"/>
        <w:ind w:firstLine="400"/>
        <w:rPr>
          <w:color w:val="auto"/>
          <w:highlight w:val="none"/>
        </w:rPr>
      </w:pPr>
    </w:p>
    <w:p>
      <w:pPr>
        <w:shd w:val="clear"/>
        <w:jc w:val="center"/>
        <w:rPr>
          <w:rFonts w:ascii="黑体" w:eastAsia="黑体"/>
          <w:color w:val="auto"/>
          <w:szCs w:val="21"/>
          <w:highlight w:val="none"/>
        </w:rPr>
      </w:pPr>
    </w:p>
    <w:p>
      <w:pPr>
        <w:shd w:val="clear"/>
        <w:jc w:val="center"/>
        <w:rPr>
          <w:rFonts w:ascii="黑体" w:eastAsia="黑体"/>
          <w:color w:val="auto"/>
          <w:szCs w:val="21"/>
          <w:highlight w:val="none"/>
        </w:rPr>
      </w:pPr>
    </w:p>
    <w:p>
      <w:pPr>
        <w:shd w:val="clea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w:t>
      </w:r>
      <w:r>
        <w:rPr>
          <w:rFonts w:hint="eastAsia" w:ascii="黑体" w:hAnsi="黑体" w:eastAsia="黑体" w:cs="黑体"/>
          <w:bCs/>
          <w:color w:val="auto"/>
          <w:sz w:val="32"/>
          <w:szCs w:val="24"/>
          <w:highlight w:val="none"/>
          <w:lang w:val="en-US" w:eastAsia="zh-CN"/>
        </w:rPr>
        <w:t>25</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 xml:space="preserve"> 4 </w:t>
      </w:r>
      <w:r>
        <w:rPr>
          <w:rFonts w:hint="eastAsia" w:ascii="黑体" w:hAnsi="黑体" w:eastAsia="黑体" w:cs="黑体"/>
          <w:bCs/>
          <w:color w:val="auto"/>
          <w:sz w:val="32"/>
          <w:szCs w:val="24"/>
          <w:highlight w:val="none"/>
        </w:rPr>
        <w:t>月</w:t>
      </w:r>
    </w:p>
    <w:p>
      <w:pPr>
        <w:shd w:val="clear"/>
        <w:rPr>
          <w:color w:val="auto"/>
          <w:highlight w:val="none"/>
        </w:rPr>
        <w:sectPr>
          <w:footerReference r:id="rId5" w:type="first"/>
          <w:headerReference r:id="rId3" w:type="even"/>
          <w:footerReference r:id="rId4" w:type="even"/>
          <w:pgSz w:w="11906" w:h="16838"/>
          <w:pgMar w:top="1440" w:right="1800" w:bottom="1440" w:left="1800" w:header="708" w:footer="708" w:gutter="0"/>
          <w:pgNumType w:fmt="decimal" w:start="1"/>
          <w:cols w:space="708" w:num="1"/>
          <w:titlePg/>
          <w:docGrid w:type="lines" w:linePitch="360" w:charSpace="0"/>
        </w:sectPr>
      </w:pPr>
    </w:p>
    <w:p>
      <w:pPr>
        <w:pStyle w:val="26"/>
        <w:shd w:val="clear"/>
        <w:ind w:left="0" w:leftChars="0"/>
        <w:rPr>
          <w:b/>
          <w:bCs/>
          <w:color w:val="auto"/>
          <w:sz w:val="32"/>
          <w:szCs w:val="32"/>
          <w:highlight w:val="none"/>
        </w:rPr>
      </w:pPr>
      <w:r>
        <w:rPr>
          <w:rFonts w:hint="eastAsia"/>
          <w:b/>
          <w:bCs/>
          <w:color w:val="auto"/>
          <w:sz w:val="32"/>
          <w:szCs w:val="32"/>
          <w:highlight w:val="none"/>
        </w:rPr>
        <w:t>目</w:t>
      </w:r>
      <w:r>
        <w:rPr>
          <w:rFonts w:hint="eastAsia"/>
          <w:b/>
          <w:bCs/>
          <w:color w:val="auto"/>
          <w:sz w:val="32"/>
          <w:szCs w:val="32"/>
          <w:highlight w:val="none"/>
          <w:lang w:val="en-US" w:eastAsia="zh-CN"/>
        </w:rPr>
        <w:t xml:space="preserve"> </w:t>
      </w:r>
      <w:r>
        <w:rPr>
          <w:rFonts w:hint="eastAsia"/>
          <w:b/>
          <w:bCs/>
          <w:color w:val="auto"/>
          <w:sz w:val="32"/>
          <w:szCs w:val="32"/>
          <w:highlight w:val="none"/>
        </w:rPr>
        <w:t>录</w:t>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第一部分投标邀请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_Toc27184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_Toc14311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_Toc26944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 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 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 采购文件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 采购文件的组成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 采购文件的澄清或修改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_Toc4114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_Toc4114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 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 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 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 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 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 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 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 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 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_Toc23501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 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_Toc12819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_Toc20786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 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 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 采购文件的解释权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_Toc15040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.报价明细表格式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_Toc15040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.电梯配置表格式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_Toc27104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3"/>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_Toc9746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.唱标信封内装（内容务必与投标文件正本一致）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rPr>
          <w:rFonts w:cs="宋体"/>
          <w:color w:val="auto"/>
          <w:sz w:val="21"/>
          <w:szCs w:val="21"/>
          <w:highlight w:val="none"/>
        </w:rPr>
      </w:pPr>
      <w:r>
        <w:rPr>
          <w:rFonts w:hint="eastAsia" w:ascii="宋体" w:hAnsi="宋体" w:eastAsia="宋体" w:cs="宋体"/>
          <w:color w:val="auto"/>
          <w:sz w:val="21"/>
          <w:szCs w:val="21"/>
          <w:highlight w:val="none"/>
        </w:rPr>
        <w:fldChar w:fldCharType="end"/>
      </w:r>
    </w:p>
    <w:p>
      <w:pPr>
        <w:shd w:val="clear"/>
        <w:rPr>
          <w:rFonts w:ascii="宋体" w:hAnsi="宋体" w:cs="宋体"/>
          <w:color w:val="auto"/>
          <w:szCs w:val="21"/>
          <w:highlight w:val="none"/>
        </w:rPr>
      </w:pPr>
      <w:r>
        <w:rPr>
          <w:rFonts w:hint="eastAsia" w:ascii="宋体" w:hAnsi="宋体" w:cs="宋体"/>
          <w:color w:val="auto"/>
          <w:szCs w:val="21"/>
          <w:highlight w:val="none"/>
        </w:rPr>
        <w:br w:type="page"/>
      </w:r>
      <w:bookmarkStart w:id="189" w:name="_GoBack"/>
      <w:bookmarkEnd w:id="189"/>
    </w:p>
    <w:p>
      <w:pPr>
        <w:pStyle w:val="6"/>
        <w:shd w:val="clear"/>
        <w:spacing w:before="0" w:after="0" w:line="240" w:lineRule="auto"/>
        <w:rPr>
          <w:color w:val="auto"/>
          <w:sz w:val="28"/>
          <w:szCs w:val="28"/>
          <w:highlight w:val="none"/>
        </w:rPr>
      </w:pPr>
      <w:bookmarkStart w:id="0" w:name="_Toc28600"/>
      <w:r>
        <w:rPr>
          <w:rFonts w:hint="eastAsia"/>
          <w:color w:val="auto"/>
          <w:sz w:val="28"/>
          <w:szCs w:val="28"/>
          <w:highlight w:val="none"/>
        </w:rPr>
        <w:t>第一部分投标邀请</w:t>
      </w:r>
      <w:bookmarkEnd w:id="0"/>
    </w:p>
    <w:p>
      <w:pPr>
        <w:pStyle w:val="7"/>
        <w:shd w:val="clear"/>
        <w:spacing w:before="0" w:after="0" w:line="360" w:lineRule="auto"/>
        <w:jc w:val="center"/>
        <w:rPr>
          <w:rFonts w:ascii="宋体" w:hAnsi="宋体" w:cs="宋体"/>
          <w:color w:val="auto"/>
          <w:highlight w:val="none"/>
        </w:rPr>
      </w:pPr>
      <w:bookmarkStart w:id="1" w:name="_Toc7878"/>
      <w:r>
        <w:rPr>
          <w:rFonts w:hint="eastAsia" w:ascii="宋体" w:hAnsi="宋体" w:cs="宋体"/>
          <w:color w:val="auto"/>
          <w:highlight w:val="none"/>
        </w:rPr>
        <w:t>投标邀请书</w:t>
      </w:r>
      <w:bookmarkEnd w:id="1"/>
    </w:p>
    <w:p>
      <w:pPr>
        <w:shd w:val="clea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广西同</w:t>
      </w:r>
      <w:r>
        <w:rPr>
          <w:rFonts w:hint="eastAsia" w:ascii="宋体" w:hAnsi="宋体"/>
          <w:b/>
          <w:bCs/>
          <w:color w:val="auto"/>
          <w:szCs w:val="21"/>
          <w:highlight w:val="none"/>
          <w:u w:val="single"/>
          <w:shd w:val="clear"/>
          <w:lang w:eastAsia="zh-CN"/>
        </w:rPr>
        <w:t>泽工程项目管理股份有限公司</w:t>
      </w:r>
      <w:r>
        <w:rPr>
          <w:rFonts w:ascii="宋体" w:hAnsi="宋体"/>
          <w:color w:val="auto"/>
          <w:szCs w:val="21"/>
          <w:highlight w:val="none"/>
          <w:shd w:val="clear"/>
        </w:rPr>
        <w:t>（以下简称</w:t>
      </w:r>
      <w:r>
        <w:rPr>
          <w:rFonts w:hint="eastAsia" w:ascii="宋体" w:hAnsi="宋体"/>
          <w:color w:val="auto"/>
          <w:szCs w:val="21"/>
          <w:highlight w:val="none"/>
          <w:shd w:val="clear"/>
        </w:rPr>
        <w:t>“采购代理机构”</w:t>
      </w:r>
      <w:r>
        <w:rPr>
          <w:rFonts w:ascii="宋体" w:hAnsi="宋体"/>
          <w:color w:val="auto"/>
          <w:szCs w:val="21"/>
          <w:highlight w:val="none"/>
          <w:shd w:val="clear"/>
        </w:rPr>
        <w:t>）受</w:t>
      </w:r>
      <w:r>
        <w:rPr>
          <w:rFonts w:hint="eastAsia" w:ascii="宋体" w:hAnsi="宋体"/>
          <w:b/>
          <w:color w:val="auto"/>
          <w:szCs w:val="21"/>
          <w:highlight w:val="none"/>
          <w:u w:val="single"/>
          <w:shd w:val="clear"/>
          <w:lang w:eastAsia="zh-CN"/>
        </w:rPr>
        <w:t>东莞市安居建设投资有限公司</w:t>
      </w:r>
      <w:r>
        <w:rPr>
          <w:rFonts w:ascii="宋体" w:hAnsi="宋体"/>
          <w:color w:val="auto"/>
          <w:szCs w:val="21"/>
          <w:highlight w:val="none"/>
          <w:shd w:val="clear"/>
        </w:rPr>
        <w:t>（以下简称</w:t>
      </w:r>
      <w:r>
        <w:rPr>
          <w:rFonts w:hint="eastAsia" w:ascii="宋体" w:hAnsi="宋体"/>
          <w:color w:val="auto"/>
          <w:szCs w:val="21"/>
          <w:highlight w:val="none"/>
          <w:shd w:val="clear"/>
        </w:rPr>
        <w:t>“采购人”</w:t>
      </w:r>
      <w:r>
        <w:rPr>
          <w:rFonts w:ascii="宋体" w:hAnsi="宋体"/>
          <w:color w:val="auto"/>
          <w:szCs w:val="21"/>
          <w:highlight w:val="none"/>
          <w:shd w:val="clear"/>
        </w:rPr>
        <w:t>）委托，</w:t>
      </w:r>
      <w:r>
        <w:rPr>
          <w:rFonts w:hint="eastAsia" w:ascii="宋体" w:hAnsi="宋体"/>
          <w:color w:val="auto"/>
          <w:szCs w:val="21"/>
          <w:highlight w:val="none"/>
          <w:shd w:val="clear"/>
        </w:rPr>
        <w:t>现</w:t>
      </w:r>
      <w:r>
        <w:rPr>
          <w:rFonts w:ascii="宋体" w:hAnsi="宋体"/>
          <w:color w:val="auto"/>
          <w:szCs w:val="21"/>
          <w:highlight w:val="none"/>
          <w:shd w:val="clear"/>
        </w:rPr>
        <w:t>就</w:t>
      </w:r>
      <w:r>
        <w:rPr>
          <w:rFonts w:hint="eastAsia" w:ascii="宋体" w:hAnsi="宋体"/>
          <w:b/>
          <w:color w:val="auto"/>
          <w:szCs w:val="21"/>
          <w:highlight w:val="none"/>
          <w:u w:val="single"/>
          <w:shd w:val="clear"/>
          <w:lang w:eastAsia="zh-CN"/>
        </w:rPr>
        <w:t>莞寓·市人才安居社区14台电梯更新项目（重新采购）</w:t>
      </w:r>
      <w:r>
        <w:rPr>
          <w:rFonts w:hint="eastAsia" w:ascii="宋体" w:hAnsi="宋体"/>
          <w:color w:val="auto"/>
          <w:szCs w:val="21"/>
          <w:highlight w:val="none"/>
          <w:shd w:val="clear"/>
        </w:rPr>
        <w:t>（项目编号：</w:t>
      </w:r>
      <w:r>
        <w:rPr>
          <w:rFonts w:hint="eastAsia" w:ascii="宋体" w:hAnsi="宋体"/>
          <w:b/>
          <w:bCs/>
          <w:color w:val="auto"/>
          <w:szCs w:val="21"/>
          <w:highlight w:val="none"/>
          <w:shd w:val="clear"/>
          <w:lang w:val="en-US" w:eastAsia="zh-CN"/>
        </w:rPr>
        <w:t xml:space="preserve">AJJS-DT-05-01-003(2025) </w:t>
      </w:r>
      <w:r>
        <w:rPr>
          <w:rFonts w:hint="eastAsia" w:ascii="宋体" w:hAnsi="宋体"/>
          <w:color w:val="auto"/>
          <w:szCs w:val="21"/>
          <w:highlight w:val="none"/>
          <w:shd w:val="clear"/>
        </w:rPr>
        <w:t>）</w:t>
      </w:r>
      <w:r>
        <w:rPr>
          <w:rFonts w:hint="eastAsia" w:ascii="宋体" w:hAnsi="宋体" w:cs="Times New Roman"/>
          <w:color w:val="auto"/>
          <w:szCs w:val="21"/>
          <w:highlight w:val="none"/>
          <w:shd w:val="clear"/>
        </w:rPr>
        <w:t>进行</w:t>
      </w:r>
      <w:r>
        <w:rPr>
          <w:rFonts w:hint="eastAsia" w:ascii="宋体" w:hAnsi="宋体" w:cs="Times New Roman"/>
          <w:color w:val="auto"/>
          <w:szCs w:val="21"/>
          <w:highlight w:val="none"/>
        </w:rPr>
        <w:t>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pPr>
        <w:shd w:val="clear"/>
        <w:ind w:firstLine="413" w:firstLineChars="196"/>
        <w:rPr>
          <w:rFonts w:ascii="宋体" w:hAnsi="宋体"/>
          <w:b/>
          <w:color w:val="auto"/>
          <w:szCs w:val="21"/>
          <w:highlight w:val="none"/>
        </w:rPr>
      </w:pPr>
    </w:p>
    <w:p>
      <w:pPr>
        <w:shd w:val="clear"/>
        <w:rPr>
          <w:rFonts w:ascii="宋体" w:hAnsi="宋体"/>
          <w:b/>
          <w:color w:val="auto"/>
          <w:szCs w:val="21"/>
          <w:highlight w:val="none"/>
        </w:rPr>
      </w:pPr>
      <w:r>
        <w:rPr>
          <w:rFonts w:hint="eastAsia" w:ascii="宋体" w:hAnsi="宋体"/>
          <w:b/>
          <w:color w:val="auto"/>
          <w:szCs w:val="21"/>
          <w:highlight w:val="none"/>
        </w:rPr>
        <w:t>一、采购项目概况</w:t>
      </w:r>
    </w:p>
    <w:p>
      <w:pPr>
        <w:shd w:val="clea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color w:val="auto"/>
          <w:szCs w:val="21"/>
          <w:highlight w:val="none"/>
          <w:u w:val="single"/>
          <w:lang w:eastAsia="zh-CN"/>
        </w:rPr>
        <w:t>莞寓·市人才安居社区14台电梯更新项目（重新采购）</w:t>
      </w:r>
    </w:p>
    <w:p>
      <w:pPr>
        <w:shd w:val="clear"/>
        <w:ind w:firstLine="420" w:firstLineChars="200"/>
        <w:rPr>
          <w:rFonts w:hint="default" w:ascii="宋体" w:hAnsi="宋体"/>
          <w:color w:val="auto"/>
          <w:szCs w:val="21"/>
          <w:highlight w:val="none"/>
          <w:lang w:val="en-US"/>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¥2,860,000.00</w:t>
      </w:r>
      <w:r>
        <w:rPr>
          <w:rFonts w:hint="eastAsia" w:ascii="宋体" w:hAnsi="宋体"/>
          <w:color w:val="auto"/>
          <w:szCs w:val="21"/>
          <w:highlight w:val="none"/>
          <w:u w:val="single"/>
          <w:lang w:eastAsia="zh-CN"/>
        </w:rPr>
        <w:t>元</w:t>
      </w: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u w:val="single"/>
        </w:rPr>
        <w:t>¥2,860,000.00</w:t>
      </w:r>
      <w:r>
        <w:rPr>
          <w:rFonts w:hint="eastAsia" w:ascii="宋体" w:hAnsi="宋体"/>
          <w:color w:val="auto"/>
          <w:szCs w:val="21"/>
          <w:highlight w:val="none"/>
          <w:u w:val="single"/>
          <w:lang w:eastAsia="zh-CN"/>
        </w:rPr>
        <w:t>元</w:t>
      </w:r>
    </w:p>
    <w:p>
      <w:pPr>
        <w:shd w:val="clear"/>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4、本项目</w:t>
      </w:r>
      <w:r>
        <w:rPr>
          <w:rFonts w:hint="eastAsia" w:ascii="宋体" w:hAnsi="宋体"/>
          <w:b/>
          <w:bCs/>
          <w:color w:val="auto"/>
          <w:szCs w:val="21"/>
          <w:highlight w:val="none"/>
          <w:lang w:val="en-US" w:eastAsia="zh-CN"/>
        </w:rPr>
        <w:t>不</w:t>
      </w:r>
      <w:r>
        <w:rPr>
          <w:rFonts w:hint="eastAsia" w:ascii="宋体" w:hAnsi="宋体" w:eastAsia="宋体"/>
          <w:b/>
          <w:bCs/>
          <w:color w:val="auto"/>
          <w:szCs w:val="21"/>
          <w:highlight w:val="none"/>
          <w:lang w:val="en-US" w:eastAsia="zh-CN"/>
        </w:rPr>
        <w:t>接受</w:t>
      </w:r>
      <w:r>
        <w:rPr>
          <w:rFonts w:hint="eastAsia" w:ascii="宋体" w:hAnsi="宋体" w:eastAsia="宋体"/>
          <w:color w:val="auto"/>
          <w:szCs w:val="21"/>
          <w:highlight w:val="none"/>
          <w:lang w:val="en-US" w:eastAsia="zh-CN"/>
        </w:rPr>
        <w:t>联合体投标。</w:t>
      </w:r>
    </w:p>
    <w:p>
      <w:pPr>
        <w:shd w:val="clea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、项目内容</w:t>
      </w:r>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411"/>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1072" w:type="dxa"/>
            <w:vAlign w:val="center"/>
          </w:tcPr>
          <w:p>
            <w:pPr>
              <w:shd w:val="clea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411" w:type="dxa"/>
            <w:vAlign w:val="center"/>
          </w:tcPr>
          <w:p>
            <w:pPr>
              <w:shd w:val="clea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5039" w:type="dxa"/>
            <w:vAlign w:val="center"/>
          </w:tcPr>
          <w:p>
            <w:pPr>
              <w:shd w:val="clea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072" w:type="dxa"/>
            <w:vAlign w:val="center"/>
          </w:tcPr>
          <w:p>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w:t>
            </w:r>
          </w:p>
        </w:tc>
        <w:tc>
          <w:tcPr>
            <w:tcW w:w="2411" w:type="dxa"/>
            <w:vAlign w:val="center"/>
          </w:tcPr>
          <w:p>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莞寓·市人才安居社区14台电梯更新项目（重新采购）</w:t>
            </w:r>
          </w:p>
        </w:tc>
        <w:tc>
          <w:tcPr>
            <w:tcW w:w="5039" w:type="dxa"/>
            <w:vAlign w:val="center"/>
          </w:tcPr>
          <w:p>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bidi="ar-SA"/>
              </w:rPr>
              <w:t>根据现场实际条件分批分期施工，合同签订且采购人签发开工令后 1 个月内首批设备进场安装，在此后 3 个月内完成全部设备安装并取得质量技术监督部门安全质量验收合格证书。</w:t>
            </w:r>
            <w:r>
              <w:rPr>
                <w:rFonts w:hint="eastAsia" w:ascii="宋体" w:hAnsi="宋体" w:eastAsia="宋体" w:cs="宋体"/>
                <w:color w:val="auto"/>
                <w:sz w:val="21"/>
                <w:szCs w:val="21"/>
                <w:highlight w:val="none"/>
                <w:lang w:val="en-US" w:eastAsia="zh-CN" w:bidi="ar-SA"/>
              </w:rPr>
              <w:br w:type="textWrapping"/>
            </w:r>
            <w:r>
              <w:rPr>
                <w:rFonts w:hint="eastAsia" w:ascii="宋体" w:hAnsi="宋体" w:eastAsia="宋体" w:cs="宋体"/>
                <w:color w:val="auto"/>
                <w:sz w:val="21"/>
                <w:szCs w:val="21"/>
                <w:highlight w:val="none"/>
                <w:lang w:val="en-US" w:eastAsia="zh-CN" w:bidi="ar-SA"/>
              </w:rPr>
              <w:t>每楼栋电梯安装工期为20天，自停梯之日起计算至安装调试完成（含拆除原电梯）。</w:t>
            </w:r>
          </w:p>
        </w:tc>
      </w:tr>
    </w:tbl>
    <w:p>
      <w:pPr>
        <w:shd w:val="clear"/>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、项目需求</w:t>
      </w:r>
      <w:r>
        <w:rPr>
          <w:rFonts w:hint="eastAsia" w:ascii="宋体" w:hAnsi="宋体"/>
          <w:color w:val="auto"/>
          <w:szCs w:val="21"/>
          <w:highlight w:val="none"/>
          <w:lang w:eastAsia="zh-CN"/>
        </w:rPr>
        <w:t>：</w:t>
      </w:r>
      <w:r>
        <w:rPr>
          <w:rFonts w:hint="eastAsia" w:ascii="宋体" w:hAnsi="宋体"/>
          <w:color w:val="auto"/>
          <w:szCs w:val="21"/>
          <w:highlight w:val="none"/>
        </w:rPr>
        <w:t>详细内容请参阅采购文件第三部分《用户需求书》。</w:t>
      </w:r>
    </w:p>
    <w:p>
      <w:pPr>
        <w:shd w:val="clear"/>
        <w:ind w:firstLine="413" w:firstLineChars="196"/>
        <w:rPr>
          <w:rFonts w:ascii="宋体" w:hAnsi="宋体"/>
          <w:b/>
          <w:color w:val="auto"/>
          <w:szCs w:val="21"/>
          <w:highlight w:val="none"/>
        </w:rPr>
      </w:pPr>
    </w:p>
    <w:p>
      <w:pPr>
        <w:shd w:val="clear"/>
        <w:rPr>
          <w:rFonts w:ascii="宋体" w:hAnsi="宋体"/>
          <w:b/>
          <w:color w:val="auto"/>
          <w:szCs w:val="21"/>
          <w:highlight w:val="none"/>
        </w:rPr>
      </w:pPr>
      <w:r>
        <w:rPr>
          <w:rFonts w:hint="eastAsia" w:ascii="宋体" w:hAnsi="宋体"/>
          <w:b/>
          <w:color w:val="auto"/>
          <w:szCs w:val="21"/>
          <w:highlight w:val="none"/>
        </w:rPr>
        <w:t>二、投标人资格要求</w:t>
      </w:r>
    </w:p>
    <w:p>
      <w:pPr>
        <w:shd w:val="clear"/>
        <w:ind w:firstLine="411" w:firstLineChars="196"/>
        <w:rPr>
          <w:rFonts w:ascii="宋体" w:hAnsi="宋体"/>
          <w:color w:val="auto"/>
          <w:szCs w:val="21"/>
          <w:highlight w:val="none"/>
        </w:rPr>
      </w:pPr>
      <w:r>
        <w:rPr>
          <w:rFonts w:hint="eastAsia" w:ascii="宋体" w:hAnsi="宋体"/>
          <w:color w:val="auto"/>
          <w:szCs w:val="21"/>
          <w:highlight w:val="none"/>
        </w:rPr>
        <w:t>1、一般要求：</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w:t>
      </w:r>
    </w:p>
    <w:p>
      <w:pPr>
        <w:shd w:val="clear"/>
        <w:ind w:firstLine="420" w:firstLineChars="200"/>
        <w:rPr>
          <w:rFonts w:hint="eastAsia"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或政府采购严重违法失信行为”记录名单。以代理机构于投标截止日当天在“信用中国”网站查询结果为准，如相关失信记录已失效，投标人需提供相关证明资料。</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（5）未被列入东实集团及下属企业相关领域黑名单。【以</w:t>
      </w:r>
      <w:r>
        <w:rPr>
          <w:rFonts w:hint="eastAsia" w:hAnsi="宋体" w:cs="宋体"/>
          <w:color w:val="auto"/>
          <w:kern w:val="2"/>
          <w:szCs w:val="21"/>
          <w:highlight w:val="none"/>
          <w:lang w:val="zh-CN"/>
        </w:rPr>
        <w:t>东莞实业投资控股集团有限公司</w:t>
      </w:r>
      <w:r>
        <w:rPr>
          <w:rFonts w:hint="eastAsia" w:ascii="宋体" w:hAnsi="宋体"/>
          <w:color w:val="auto"/>
          <w:szCs w:val="21"/>
          <w:highlight w:val="none"/>
        </w:rPr>
        <w:t>发文（东实通〔2021〕44号）、（东实通〔2021〕98号）、</w:t>
      </w:r>
      <w:r>
        <w:rPr>
          <w:rFonts w:ascii="宋体" w:hAnsi="宋体"/>
          <w:color w:val="auto"/>
          <w:szCs w:val="21"/>
          <w:highlight w:val="none"/>
        </w:rPr>
        <w:t>（东实通〔2022〕75号）</w:t>
      </w:r>
      <w:r>
        <w:rPr>
          <w:rFonts w:hint="eastAsia" w:ascii="宋体" w:hAnsi="宋体"/>
          <w:color w:val="auto"/>
          <w:szCs w:val="21"/>
          <w:highlight w:val="none"/>
        </w:rPr>
        <w:t>、（东实通〔2023〕37号）为准，如有最新发文通知，按最新文件执行。】</w:t>
      </w:r>
    </w:p>
    <w:p>
      <w:pPr>
        <w:shd w:val="clear"/>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2、其他要求</w:t>
      </w:r>
      <w:r>
        <w:rPr>
          <w:rFonts w:hint="eastAsia" w:ascii="宋体" w:hAnsi="宋体"/>
          <w:color w:val="auto"/>
          <w:szCs w:val="21"/>
          <w:highlight w:val="none"/>
          <w:lang w:val="en-US" w:eastAsia="zh-CN"/>
        </w:rPr>
        <w:t>:</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1</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若投标人为制造商，</w:t>
      </w:r>
      <w:r>
        <w:rPr>
          <w:rFonts w:hint="eastAsia" w:ascii="宋体" w:hAnsi="宋体"/>
          <w:b w:val="0"/>
          <w:bCs/>
          <w:color w:val="auto"/>
          <w:szCs w:val="21"/>
          <w:highlight w:val="none"/>
          <w:lang w:val="en-US" w:eastAsia="zh-CN"/>
        </w:rPr>
        <w:t>须</w:t>
      </w:r>
      <w:r>
        <w:rPr>
          <w:rFonts w:hint="eastAsia" w:ascii="宋体" w:hAnsi="宋体"/>
          <w:b w:val="0"/>
          <w:bCs/>
          <w:color w:val="auto"/>
          <w:szCs w:val="21"/>
          <w:highlight w:val="none"/>
        </w:rPr>
        <w:t>提供：</w:t>
      </w:r>
    </w:p>
    <w:p>
      <w:pPr>
        <w:shd w:val="clear"/>
        <w:ind w:firstLine="420" w:firstLineChars="200"/>
        <w:rPr>
          <w:rFonts w:hint="eastAsia" w:ascii="宋体" w:hAnsi="宋体" w:eastAsia="宋体"/>
          <w:b w:val="0"/>
          <w:bCs/>
          <w:color w:val="auto"/>
          <w:szCs w:val="21"/>
          <w:highlight w:val="none"/>
          <w:lang w:eastAsia="zh-CN"/>
        </w:rPr>
      </w:pPr>
      <w:r>
        <w:rPr>
          <w:rFonts w:hint="eastAsia" w:ascii="宋体" w:hAnsi="宋体"/>
          <w:b w:val="0"/>
          <w:bCs/>
          <w:color w:val="auto"/>
          <w:szCs w:val="21"/>
          <w:highlight w:val="none"/>
        </w:rPr>
        <w:t>1）国家质检部门颁发的《中华人民共和国特种设备制造许可证》（电梯）；2）具备《中华人民共和国特种设备安装改造维修许可证》（电梯）</w:t>
      </w:r>
      <w:r>
        <w:rPr>
          <w:rFonts w:hint="eastAsia" w:ascii="宋体" w:hAnsi="宋体"/>
          <w:b w:val="0"/>
          <w:bCs/>
          <w:color w:val="auto"/>
          <w:szCs w:val="21"/>
          <w:highlight w:val="none"/>
          <w:lang w:eastAsia="zh-CN"/>
        </w:rPr>
        <w:t>。</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注：①如制造商以上两项证件合二为一的，须提供新版《中华人民共和国特种设备生产许可证》（电梯制造（含安装、修理、改造）；②以上许可证内容需包含客梯许可范围。</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若投标人为代理商，</w:t>
      </w:r>
      <w:r>
        <w:rPr>
          <w:rFonts w:hint="eastAsia" w:ascii="宋体" w:hAnsi="宋体"/>
          <w:b w:val="0"/>
          <w:bCs/>
          <w:color w:val="auto"/>
          <w:szCs w:val="21"/>
          <w:highlight w:val="none"/>
          <w:lang w:val="en-US" w:eastAsia="zh-CN"/>
        </w:rPr>
        <w:t>须</w:t>
      </w:r>
      <w:r>
        <w:rPr>
          <w:rFonts w:hint="eastAsia" w:ascii="宋体" w:hAnsi="宋体"/>
          <w:b w:val="0"/>
          <w:bCs/>
          <w:color w:val="auto"/>
          <w:szCs w:val="21"/>
          <w:highlight w:val="none"/>
        </w:rPr>
        <w:t>提供：</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1）需具备国家质检部门颁发的《中华人民共和国特种设备安装改造维修许可证》(电梯)或新版《中华人民共和国特种设备生产许可证》（电梯安装（含修理））；</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2）其所拟投本项目产品的电梯制造商需具备：①国家质检部门颁发的《中华人民共和国特种设备制造许可证》(电梯)；②具备《中华人民共和国特种设备安装改造维修许可证》(电梯)</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注：①如制造商以上两项证件合二为一的，须提供新版《中华人民共和国特种设备生产许可证》（电梯制造（含安装、修理、改造）；②以上许可证内容需包含客梯许可范围。</w:t>
      </w:r>
    </w:p>
    <w:p>
      <w:pPr>
        <w:shd w:val="clear"/>
        <w:rPr>
          <w:rFonts w:hint="eastAsia" w:ascii="宋体" w:hAnsi="宋体"/>
          <w:b/>
          <w:color w:val="auto"/>
          <w:szCs w:val="21"/>
          <w:highlight w:val="none"/>
        </w:rPr>
      </w:pPr>
    </w:p>
    <w:p>
      <w:pPr>
        <w:shd w:val="clear"/>
        <w:rPr>
          <w:rFonts w:ascii="宋体" w:hAnsi="宋体"/>
          <w:b/>
          <w:color w:val="auto"/>
          <w:szCs w:val="21"/>
          <w:highlight w:val="none"/>
        </w:rPr>
      </w:pPr>
      <w:r>
        <w:rPr>
          <w:rFonts w:hint="eastAsia" w:ascii="宋体" w:hAnsi="宋体"/>
          <w:b/>
          <w:color w:val="auto"/>
          <w:szCs w:val="21"/>
          <w:highlight w:val="none"/>
        </w:rPr>
        <w:t>三、获取采购文件方式及要求</w:t>
      </w:r>
    </w:p>
    <w:p>
      <w:pPr>
        <w:shd w:val="clear"/>
        <w:wordWrap w:val="0"/>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不进行实名登记报名，拟参加投标的投标人可于投标截止时间前自行网上下载采购文件。采购文件下载地址中国招标投标公共服务平台（http://www.cebpubservice.com/）、东莞实业投资控股集团有限公司-招标采购栏目（http://www.dgsy.com.cn/）、东莞市安居建设投资有限公司网站（https://www.0769aj.com/）、广西同泽工程项目管理股份有限公司网（http://www.gxtzfz.cn/）。</w:t>
      </w:r>
    </w:p>
    <w:p>
      <w:pPr>
        <w:shd w:val="clear"/>
        <w:rPr>
          <w:color w:val="auto"/>
          <w:highlight w:val="none"/>
        </w:rPr>
      </w:pPr>
    </w:p>
    <w:p>
      <w:pPr>
        <w:shd w:val="clear"/>
        <w:rPr>
          <w:rFonts w:ascii="宋体" w:hAnsi="宋体"/>
          <w:b/>
          <w:color w:val="auto"/>
          <w:szCs w:val="21"/>
          <w:highlight w:val="none"/>
        </w:rPr>
      </w:pPr>
      <w:r>
        <w:rPr>
          <w:rFonts w:hint="eastAsia" w:ascii="宋体" w:hAnsi="宋体"/>
          <w:b/>
          <w:color w:val="auto"/>
          <w:szCs w:val="21"/>
          <w:highlight w:val="none"/>
        </w:rPr>
        <w:t>四、投标文件的递交</w:t>
      </w:r>
    </w:p>
    <w:p>
      <w:pPr>
        <w:shd w:val="clear"/>
        <w:ind w:firstLine="420" w:firstLineChars="200"/>
        <w:rPr>
          <w:rFonts w:ascii="宋体" w:hAnsi="宋体"/>
          <w:color w:val="auto"/>
          <w:szCs w:val="21"/>
          <w:highlight w:val="none"/>
          <w:u w:val="none"/>
        </w:rPr>
      </w:pPr>
      <w:r>
        <w:rPr>
          <w:rFonts w:hint="eastAsia" w:ascii="宋体" w:hAnsi="宋体"/>
          <w:color w:val="auto"/>
          <w:szCs w:val="21"/>
          <w:highlight w:val="none"/>
        </w:rPr>
        <w:t>1、递交投标文件时间：</w:t>
      </w:r>
      <w:r>
        <w:rPr>
          <w:rFonts w:hint="eastAsia" w:ascii="宋体" w:hAnsi="宋体" w:cs="宋体"/>
          <w:color w:val="auto"/>
          <w:szCs w:val="21"/>
          <w:highlight w:val="none"/>
          <w:u w:val="none"/>
        </w:rPr>
        <w:t>20</w:t>
      </w:r>
      <w:r>
        <w:rPr>
          <w:rFonts w:hint="eastAsia" w:ascii="宋体" w:hAnsi="宋体" w:cs="宋体"/>
          <w:color w:val="auto"/>
          <w:szCs w:val="21"/>
          <w:highlight w:val="none"/>
          <w:u w:val="none"/>
          <w:lang w:val="en-US" w:eastAsia="zh-CN"/>
        </w:rPr>
        <w:t>25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 xml:space="preserve"> 05 </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 xml:space="preserve"> 13 </w:t>
      </w:r>
      <w:r>
        <w:rPr>
          <w:rFonts w:hint="eastAsia" w:ascii="宋体" w:hAnsi="宋体" w:cs="宋体"/>
          <w:color w:val="auto"/>
          <w:szCs w:val="21"/>
          <w:highlight w:val="none"/>
          <w:u w:val="none"/>
        </w:rPr>
        <w:t>日（</w:t>
      </w:r>
      <w:r>
        <w:rPr>
          <w:rFonts w:hint="eastAsia" w:ascii="宋体" w:hAnsi="宋体"/>
          <w:color w:val="auto"/>
          <w:szCs w:val="21"/>
          <w:highlight w:val="none"/>
          <w:u w:val="none"/>
        </w:rPr>
        <w:t>北京时间）</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00</w:t>
      </w:r>
      <w:r>
        <w:rPr>
          <w:rFonts w:ascii="宋体" w:hAnsi="宋体"/>
          <w:color w:val="auto"/>
          <w:szCs w:val="21"/>
          <w:highlight w:val="none"/>
          <w:u w:val="none"/>
        </w:rPr>
        <w:t>-</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w:t>
      </w:r>
    </w:p>
    <w:p>
      <w:pPr>
        <w:shd w:val="clear"/>
        <w:ind w:firstLine="420" w:firstLineChars="200"/>
        <w:rPr>
          <w:rFonts w:ascii="宋体" w:hAnsi="宋体"/>
          <w:b/>
          <w:color w:val="auto"/>
          <w:szCs w:val="21"/>
          <w:highlight w:val="none"/>
        </w:rPr>
      </w:pPr>
      <w:r>
        <w:rPr>
          <w:rFonts w:hint="eastAsia" w:ascii="宋体" w:hAnsi="宋体"/>
          <w:color w:val="auto"/>
          <w:szCs w:val="21"/>
          <w:highlight w:val="none"/>
          <w:u w:val="none"/>
        </w:rPr>
        <w:t>2、递交投标文件</w:t>
      </w:r>
      <w:r>
        <w:rPr>
          <w:rFonts w:ascii="宋体" w:hAnsi="宋体"/>
          <w:color w:val="auto"/>
          <w:szCs w:val="21"/>
          <w:highlight w:val="none"/>
          <w:u w:val="none"/>
        </w:rPr>
        <w:t>截止</w:t>
      </w:r>
      <w:r>
        <w:rPr>
          <w:rFonts w:hint="eastAsia" w:ascii="宋体" w:hAnsi="宋体"/>
          <w:color w:val="auto"/>
          <w:szCs w:val="21"/>
          <w:highlight w:val="none"/>
          <w:u w:val="none"/>
        </w:rPr>
        <w:t>及开标时间：</w:t>
      </w:r>
      <w:r>
        <w:rPr>
          <w:rFonts w:hint="eastAsia" w:ascii="宋体" w:hAnsi="宋体" w:cs="宋体"/>
          <w:color w:val="auto"/>
          <w:szCs w:val="21"/>
          <w:highlight w:val="none"/>
          <w:u w:val="none"/>
        </w:rPr>
        <w:t>20</w:t>
      </w:r>
      <w:r>
        <w:rPr>
          <w:rFonts w:hint="eastAsia" w:ascii="宋体" w:hAnsi="宋体" w:cs="宋体"/>
          <w:color w:val="auto"/>
          <w:szCs w:val="21"/>
          <w:highlight w:val="none"/>
          <w:u w:val="none"/>
          <w:lang w:val="en-US" w:eastAsia="zh-CN"/>
        </w:rPr>
        <w:t>25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 xml:space="preserve"> 05 </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 xml:space="preserve"> 13 </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（北京时间）</w:t>
      </w:r>
      <w:r>
        <w:rPr>
          <w:rFonts w:hint="eastAsia" w:ascii="宋体" w:hAnsi="宋体"/>
          <w:color w:val="auto"/>
          <w:szCs w:val="21"/>
          <w:highlight w:val="none"/>
        </w:rPr>
        <w:t>，所有投标文件应于截止时间之前递交，迟交或以电报、传真形式的投标文件将拒绝接收。</w:t>
      </w: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w:t>
      </w:r>
      <w:r>
        <w:rPr>
          <w:rFonts w:hint="eastAsia" w:ascii="宋体" w:hAnsi="宋体" w:cs="宋体"/>
          <w:bCs/>
          <w:color w:val="auto"/>
          <w:sz w:val="21"/>
          <w:szCs w:val="21"/>
          <w:highlight w:val="none"/>
          <w:u w:val="single"/>
        </w:rPr>
        <w:t>广东省东莞市南城街道胜和路3号胜和广场2栋</w:t>
      </w:r>
      <w:r>
        <w:rPr>
          <w:rFonts w:ascii="宋体" w:hAnsi="宋体" w:cs="宋体"/>
          <w:bCs/>
          <w:color w:val="auto"/>
          <w:sz w:val="21"/>
          <w:szCs w:val="21"/>
          <w:highlight w:val="none"/>
          <w:u w:val="single"/>
        </w:rPr>
        <w:t>1007</w:t>
      </w:r>
      <w:r>
        <w:rPr>
          <w:rFonts w:hint="eastAsia" w:ascii="宋体" w:hAnsi="宋体" w:cs="宋体"/>
          <w:bCs/>
          <w:color w:val="auto"/>
          <w:sz w:val="21"/>
          <w:szCs w:val="21"/>
          <w:highlight w:val="none"/>
          <w:u w:val="single"/>
        </w:rPr>
        <w:t>室</w:t>
      </w:r>
      <w:r>
        <w:rPr>
          <w:rFonts w:hint="eastAsia" w:ascii="宋体" w:hAnsi="宋体"/>
          <w:color w:val="auto"/>
          <w:szCs w:val="21"/>
          <w:highlight w:val="none"/>
          <w:u w:val="single"/>
          <w:lang w:eastAsia="zh-CN"/>
        </w:rPr>
        <w:t>。</w:t>
      </w:r>
    </w:p>
    <w:p>
      <w:pPr>
        <w:shd w:val="clear"/>
        <w:ind w:firstLine="411" w:firstLineChars="196"/>
        <w:rPr>
          <w:rFonts w:hint="eastAsia" w:ascii="宋体" w:hAnsi="宋体" w:eastAsia="宋体" w:cs="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rPr>
        <w:t>届时请投标人的法定代表人或其授权代表务必携带有效身份证明出席</w:t>
      </w:r>
      <w:r>
        <w:rPr>
          <w:rFonts w:hint="eastAsia" w:ascii="宋体" w:hAnsi="宋体" w:eastAsia="宋体" w:cs="宋体"/>
          <w:b/>
          <w:bCs/>
          <w:color w:val="auto"/>
          <w:szCs w:val="21"/>
          <w:highlight w:val="none"/>
        </w:rPr>
        <w:t>开标会</w:t>
      </w:r>
      <w:r>
        <w:rPr>
          <w:rFonts w:hint="eastAsia" w:ascii="宋体" w:hAnsi="宋体" w:eastAsia="宋体" w:cs="宋体"/>
          <w:bCs/>
          <w:color w:val="auto"/>
          <w:szCs w:val="21"/>
          <w:highlight w:val="none"/>
        </w:rPr>
        <w:t>。</w:t>
      </w:r>
    </w:p>
    <w:p>
      <w:pPr>
        <w:pStyle w:val="40"/>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bidi="ar-SA"/>
        </w:rPr>
        <w:t>5、出现以</w:t>
      </w:r>
      <w:r>
        <w:rPr>
          <w:rFonts w:hint="eastAsia" w:ascii="宋体" w:hAnsi="宋体" w:eastAsia="宋体" w:cs="宋体"/>
          <w:color w:val="auto"/>
          <w:sz w:val="21"/>
          <w:szCs w:val="21"/>
          <w:highlight w:val="none"/>
        </w:rPr>
        <w:t>下情形时，采购代理机构不予接收投标（响应）文件：</w:t>
      </w:r>
    </w:p>
    <w:p>
      <w:pPr>
        <w:pStyle w:val="40"/>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40"/>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pPr>
        <w:pStyle w:val="40"/>
        <w:shd w:val="clear"/>
        <w:ind w:firstLine="400"/>
        <w:rPr>
          <w:color w:val="auto"/>
          <w:highlight w:val="none"/>
        </w:rPr>
      </w:pPr>
    </w:p>
    <w:p>
      <w:pPr>
        <w:shd w:val="clear"/>
        <w:rPr>
          <w:rFonts w:hint="eastAsia" w:ascii="宋体" w:hAnsi="宋体" w:eastAsia="宋体"/>
          <w:b/>
          <w:color w:val="auto"/>
          <w:szCs w:val="21"/>
          <w:highlight w:val="none"/>
        </w:rPr>
      </w:pPr>
      <w:r>
        <w:rPr>
          <w:rFonts w:hint="eastAsia" w:ascii="宋体" w:hAnsi="宋体" w:eastAsia="宋体"/>
          <w:b/>
          <w:color w:val="auto"/>
          <w:szCs w:val="21"/>
          <w:highlight w:val="none"/>
        </w:rPr>
        <w:t>五、发布公告的媒介</w:t>
      </w:r>
    </w:p>
    <w:p>
      <w:pPr>
        <w:pStyle w:val="40"/>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采购公告发布媒介：</w:t>
      </w:r>
    </w:p>
    <w:p>
      <w:pPr>
        <w:pStyle w:val="40"/>
        <w:shd w:val="clea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中国招标投标公共服务平台（http://www.cebpubservice.com/）</w:t>
      </w:r>
    </w:p>
    <w:p>
      <w:pPr>
        <w:pStyle w:val="40"/>
        <w:shd w:val="clea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（2）东莞实业投资控股集团有限公司-招标采购栏目（http://www.dgsy.com.cn/）</w:t>
      </w:r>
    </w:p>
    <w:p>
      <w:pPr>
        <w:pStyle w:val="40"/>
        <w:shd w:val="clear"/>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（3）东莞市安居建设投资有限公司（http://www.0769aj.com/）</w:t>
      </w:r>
    </w:p>
    <w:p>
      <w:pPr>
        <w:pStyle w:val="40"/>
        <w:shd w:val="clear"/>
        <w:spacing w:line="360" w:lineRule="auto"/>
        <w:rPr>
          <w:color w:val="auto"/>
          <w:highlight w:val="none"/>
        </w:rPr>
      </w:pPr>
      <w:r>
        <w:rPr>
          <w:rFonts w:hint="eastAsia" w:ascii="宋体" w:hAnsi="宋体" w:eastAsia="宋体" w:cs="宋体"/>
          <w:color w:val="auto"/>
          <w:sz w:val="21"/>
          <w:szCs w:val="21"/>
          <w:highlight w:val="none"/>
          <w:u w:val="none"/>
          <w:lang w:val="en-US" w:eastAsia="zh-CN"/>
        </w:rPr>
        <w:t>（4）广西同泽工程项目管理股份有限公司</w:t>
      </w:r>
      <w:r>
        <w:rPr>
          <w:rFonts w:hint="eastAsia" w:ascii="宋体" w:hAnsi="宋体" w:eastAsia="宋体" w:cs="宋体"/>
          <w:color w:val="auto"/>
          <w:sz w:val="21"/>
          <w:szCs w:val="21"/>
          <w:highlight w:val="none"/>
          <w:u w:val="none"/>
        </w:rPr>
        <w:t>网（http://www.gxtzfz.cn/）</w:t>
      </w:r>
    </w:p>
    <w:p>
      <w:pPr>
        <w:pStyle w:val="40"/>
        <w:shd w:val="clea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40"/>
        <w:shd w:val="clear"/>
        <w:spacing w:line="360" w:lineRule="auto"/>
        <w:rPr>
          <w:color w:val="auto"/>
          <w:highlight w:val="none"/>
        </w:rPr>
      </w:pPr>
      <w:r>
        <w:rPr>
          <w:rFonts w:hint="eastAsia" w:ascii="宋体" w:hAnsi="宋体" w:eastAsia="宋体" w:cs="宋体"/>
          <w:color w:val="auto"/>
          <w:sz w:val="21"/>
          <w:szCs w:val="21"/>
          <w:highlight w:val="none"/>
        </w:rPr>
        <w:t>东莞实业投资控股集团有限公司-招标采购栏目（http://www.dgsy.com.cn/）</w:t>
      </w:r>
    </w:p>
    <w:p>
      <w:pPr>
        <w:shd w:val="clear"/>
        <w:ind w:firstLine="413" w:firstLineChars="196"/>
        <w:rPr>
          <w:rFonts w:hint="eastAsia" w:ascii="宋体" w:hAnsi="宋体"/>
          <w:b/>
          <w:color w:val="auto"/>
          <w:szCs w:val="21"/>
          <w:highlight w:val="none"/>
        </w:rPr>
      </w:pPr>
    </w:p>
    <w:p>
      <w:pPr>
        <w:shd w:val="clear"/>
        <w:rPr>
          <w:rFonts w:hint="eastAsia" w:ascii="宋体" w:hAnsi="宋体" w:eastAsia="宋体"/>
          <w:b/>
          <w:color w:val="auto"/>
          <w:szCs w:val="21"/>
          <w:highlight w:val="none"/>
        </w:rPr>
      </w:pPr>
      <w:r>
        <w:rPr>
          <w:rFonts w:hint="eastAsia" w:ascii="宋体" w:hAnsi="宋体" w:eastAsia="宋体"/>
          <w:b/>
          <w:color w:val="auto"/>
          <w:szCs w:val="21"/>
          <w:highlight w:val="none"/>
        </w:rPr>
        <w:t>六、采购人及采购代理机构的名称、地址和联系方法</w:t>
      </w:r>
    </w:p>
    <w:p>
      <w:pPr>
        <w:shd w:val="clear"/>
        <w:ind w:firstLine="420" w:firstLineChars="200"/>
        <w:rPr>
          <w:rFonts w:ascii="宋体" w:hAnsi="宋体"/>
          <w:bCs/>
          <w:color w:val="auto"/>
          <w:szCs w:val="21"/>
          <w:highlight w:val="none"/>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r>
        <w:rPr>
          <w:rFonts w:hint="eastAsia" w:ascii="宋体" w:hAnsi="宋体"/>
          <w:bCs/>
          <w:color w:val="auto"/>
          <w:szCs w:val="21"/>
          <w:highlight w:val="none"/>
          <w:lang w:eastAsia="zh-CN"/>
        </w:rPr>
        <w:t>东莞市安居建设投资有限公司</w:t>
      </w:r>
    </w:p>
    <w:p>
      <w:pPr>
        <w:shd w:val="clear"/>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采购人联系人：</w:t>
      </w:r>
      <w:r>
        <w:rPr>
          <w:rFonts w:hint="eastAsia"/>
          <w:color w:val="auto"/>
          <w:highlight w:val="none"/>
        </w:rPr>
        <w:t xml:space="preserve">江先生 </w:t>
      </w:r>
    </w:p>
    <w:p>
      <w:pPr>
        <w:shd w:val="clear"/>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采购人地址：广东省东莞市东城街道莞长路东城段27号莞寓市人才安居社区</w:t>
      </w:r>
    </w:p>
    <w:p>
      <w:pPr>
        <w:shd w:val="clear"/>
        <w:ind w:firstLine="420" w:firstLineChars="200"/>
        <w:rPr>
          <w:rFonts w:ascii="宋体" w:hAnsi="宋体"/>
          <w:bCs/>
          <w:color w:val="auto"/>
          <w:szCs w:val="21"/>
          <w:highlight w:val="none"/>
        </w:rPr>
      </w:pPr>
      <w:r>
        <w:rPr>
          <w:rFonts w:hint="eastAsia" w:ascii="宋体" w:hAnsi="宋体"/>
          <w:bCs/>
          <w:color w:val="auto"/>
          <w:szCs w:val="21"/>
          <w:highlight w:val="none"/>
        </w:rPr>
        <w:t>采购人联系电话：0769-22226146</w:t>
      </w:r>
    </w:p>
    <w:p>
      <w:pPr>
        <w:shd w:val="clear"/>
        <w:ind w:firstLine="420" w:firstLineChars="200"/>
        <w:rPr>
          <w:rFonts w:ascii="宋体" w:hAnsi="宋体"/>
          <w:color w:val="auto"/>
          <w:szCs w:val="21"/>
          <w:highlight w:val="none"/>
        </w:rPr>
      </w:pP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olor w:val="auto"/>
          <w:szCs w:val="21"/>
          <w:highlight w:val="none"/>
          <w:lang w:eastAsia="zh-CN"/>
        </w:rPr>
        <w:t>广西同泽工程项目管理股份有限公司</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采购代理机构地址：广东省东莞市南城街道胜和路3号胜和广场2栋1006室</w:t>
      </w: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olor w:val="auto"/>
          <w:szCs w:val="21"/>
          <w:highlight w:val="none"/>
          <w:lang w:val="en-US" w:eastAsia="zh-CN"/>
        </w:rPr>
        <w:t>张先生</w:t>
      </w:r>
    </w:p>
    <w:p>
      <w:pPr>
        <w:shd w:val="clea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采购代理机构联系电话：0769-</w:t>
      </w:r>
      <w:r>
        <w:rPr>
          <w:rFonts w:hint="eastAsia" w:ascii="宋体" w:hAnsi="宋体"/>
          <w:color w:val="auto"/>
          <w:szCs w:val="21"/>
          <w:highlight w:val="none"/>
          <w:lang w:val="en-US" w:eastAsia="zh-CN"/>
        </w:rPr>
        <w:t>21688191</w:t>
      </w:r>
    </w:p>
    <w:p>
      <w:pPr>
        <w:shd w:val="clear"/>
        <w:ind w:firstLine="420" w:firstLineChars="200"/>
        <w:rPr>
          <w:color w:val="auto"/>
          <w:highlight w:val="none"/>
        </w:rPr>
      </w:pPr>
      <w:r>
        <w:rPr>
          <w:rFonts w:hint="eastAsia" w:ascii="宋体" w:hAnsi="宋体"/>
          <w:color w:val="auto"/>
          <w:szCs w:val="21"/>
          <w:highlight w:val="none"/>
        </w:rPr>
        <w:t>采购代理机构邮箱：2195953904@qq.com</w:t>
      </w:r>
    </w:p>
    <w:p>
      <w:pPr>
        <w:shd w:val="clear"/>
        <w:ind w:firstLine="420" w:firstLineChars="200"/>
        <w:rPr>
          <w:color w:val="auto"/>
          <w:highlight w:val="none"/>
        </w:rPr>
      </w:pPr>
    </w:p>
    <w:p>
      <w:pPr>
        <w:shd w:val="clear"/>
        <w:ind w:right="752" w:rightChars="358"/>
        <w:jc w:val="right"/>
        <w:rPr>
          <w:color w:val="auto"/>
          <w:highlight w:val="none"/>
        </w:rPr>
      </w:pPr>
    </w:p>
    <w:p>
      <w:pPr>
        <w:keepNext w:val="0"/>
        <w:keepLines w:val="0"/>
        <w:pageBreakBefore w:val="0"/>
        <w:widowControl/>
        <w:shd w:val="clear"/>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广西同泽</w:t>
      </w:r>
      <w:r>
        <w:rPr>
          <w:rFonts w:hint="eastAsia" w:ascii="宋体" w:hAnsi="宋体" w:eastAsia="宋体" w:cs="宋体"/>
          <w:color w:val="auto"/>
          <w:sz w:val="21"/>
          <w:szCs w:val="21"/>
          <w:highlight w:val="none"/>
          <w:lang w:eastAsia="zh-CN"/>
        </w:rPr>
        <w:t>工程</w:t>
      </w:r>
      <w:r>
        <w:rPr>
          <w:rFonts w:hint="eastAsia" w:ascii="宋体" w:hAnsi="宋体" w:cs="宋体"/>
          <w:color w:val="auto"/>
          <w:sz w:val="21"/>
          <w:szCs w:val="21"/>
          <w:highlight w:val="none"/>
          <w:lang w:eastAsia="zh-CN"/>
        </w:rPr>
        <w:t>项目管理股份有限公司</w:t>
      </w:r>
    </w:p>
    <w:p>
      <w:pPr>
        <w:keepNext w:val="0"/>
        <w:keepLines w:val="0"/>
        <w:pageBreakBefore w:val="0"/>
        <w:widowControl/>
        <w:shd w:val="clear"/>
        <w:kinsoku/>
        <w:wordWrap/>
        <w:overflowPunct/>
        <w:topLinePunct w:val="0"/>
        <w:autoSpaceDE/>
        <w:autoSpaceDN/>
        <w:bidi w:val="0"/>
        <w:adjustRightInd/>
        <w:snapToGrid/>
        <w:spacing w:line="400" w:lineRule="exact"/>
        <w:jc w:val="righ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 xml:space="preserve"> 04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22 日</w:t>
      </w:r>
    </w:p>
    <w:p>
      <w:pPr>
        <w:shd w:val="clea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6"/>
        <w:shd w:val="clear"/>
        <w:spacing w:before="0" w:after="0" w:line="240" w:lineRule="auto"/>
        <w:rPr>
          <w:color w:val="auto"/>
          <w:sz w:val="28"/>
          <w:szCs w:val="28"/>
          <w:highlight w:val="none"/>
        </w:rPr>
      </w:pPr>
      <w:bookmarkStart w:id="2" w:name="_Toc1067"/>
      <w:r>
        <w:rPr>
          <w:rFonts w:hint="eastAsia"/>
          <w:color w:val="auto"/>
          <w:sz w:val="28"/>
          <w:szCs w:val="28"/>
          <w:highlight w:val="none"/>
        </w:rPr>
        <w:t>第二部分相关资料表格</w:t>
      </w:r>
      <w:bookmarkEnd w:id="2"/>
    </w:p>
    <w:p>
      <w:pPr>
        <w:pStyle w:val="7"/>
        <w:shd w:val="clear"/>
        <w:spacing w:before="0" w:after="0" w:line="240" w:lineRule="auto"/>
        <w:jc w:val="center"/>
        <w:rPr>
          <w:rFonts w:ascii="宋体" w:hAnsi="宋体" w:cs="宋体"/>
          <w:color w:val="auto"/>
          <w:sz w:val="24"/>
          <w:szCs w:val="24"/>
          <w:highlight w:val="none"/>
        </w:rPr>
      </w:pPr>
      <w:bookmarkStart w:id="3" w:name="_Toc14722"/>
      <w:r>
        <w:rPr>
          <w:rFonts w:hint="eastAsia" w:ascii="宋体" w:hAnsi="宋体" w:cs="宋体"/>
          <w:color w:val="auto"/>
          <w:sz w:val="24"/>
          <w:szCs w:val="24"/>
          <w:highlight w:val="none"/>
        </w:rPr>
        <w:t>附表一：投标资料表</w:t>
      </w:r>
      <w:bookmarkEnd w:id="3"/>
    </w:p>
    <w:tbl>
      <w:tblPr>
        <w:tblStyle w:val="36"/>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01" w:type="dxa"/>
            <w:tcBorders>
              <w:tl2br w:val="nil"/>
              <w:tr2bl w:val="nil"/>
            </w:tcBorders>
            <w:vAlign w:val="center"/>
          </w:tcPr>
          <w:p>
            <w:pPr>
              <w:shd w:val="clea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7609" w:type="dxa"/>
            <w:gridSpan w:val="2"/>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609" w:type="dxa"/>
            <w:gridSpan w:val="2"/>
            <w:tcBorders>
              <w:tl2br w:val="nil"/>
              <w:tr2bl w:val="nil"/>
            </w:tcBorders>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t>项目最高限价（</w:t>
            </w:r>
            <w:r>
              <w:rPr>
                <w:rFonts w:hint="eastAsia" w:ascii="宋体" w:hAnsi="宋体"/>
                <w:b/>
                <w:bCs/>
                <w:color w:val="auto"/>
                <w:sz w:val="21"/>
                <w:szCs w:val="21"/>
                <w:highlight w:val="none"/>
                <w:u w:val="single"/>
              </w:rPr>
              <w:t>单位：元</w:t>
            </w:r>
            <w:r>
              <w:rPr>
                <w:rFonts w:hint="eastAsia" w:ascii="宋体" w:hAnsi="宋体"/>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rPr>
                <w:rFonts w:hint="eastAsia" w:ascii="宋体" w:hAnsi="宋体" w:eastAsia="宋体"/>
                <w:b/>
                <w:bCs/>
                <w:color w:val="auto"/>
                <w:sz w:val="21"/>
                <w:szCs w:val="21"/>
                <w:highlight w:val="none"/>
                <w:lang w:eastAsia="zh-CN"/>
              </w:rPr>
            </w:pPr>
            <w:r>
              <w:rPr>
                <w:rFonts w:hint="eastAsia" w:ascii="宋体" w:hAnsi="宋体"/>
                <w:b w:val="0"/>
                <w:bCs w:val="0"/>
                <w:color w:val="auto"/>
                <w:sz w:val="21"/>
                <w:szCs w:val="21"/>
                <w:highlight w:val="none"/>
              </w:rPr>
              <w:t>与项目预算一致</w:t>
            </w:r>
            <w:r>
              <w:rPr>
                <w:rFonts w:hint="eastAsia" w:ascii="宋体" w:hAnsi="宋体"/>
                <w:b w:val="0"/>
                <w:bCs w:val="0"/>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pPr>
              <w:shd w:val="clea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609" w:type="dxa"/>
            <w:gridSpan w:val="2"/>
            <w:tcBorders>
              <w:tl2br w:val="nil"/>
              <w:tr2bl w:val="nil"/>
            </w:tcBorders>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b/>
                <w:bCs/>
                <w:color w:val="auto"/>
                <w:sz w:val="21"/>
                <w:szCs w:val="21"/>
                <w:highlight w:val="none"/>
              </w:rPr>
              <w:t>固定总价包干；</w:t>
            </w:r>
          </w:p>
          <w:p>
            <w:pPr>
              <w:shd w:val="clear"/>
              <w:rPr>
                <w:rFonts w:ascii="宋体" w:hAnsi="宋体"/>
                <w:b/>
                <w:bCs/>
                <w:color w:val="auto"/>
                <w:sz w:val="21"/>
                <w:szCs w:val="21"/>
                <w:highlight w:val="none"/>
              </w:rPr>
            </w:pPr>
            <w:r>
              <w:rPr>
                <w:rFonts w:hint="eastAsia" w:ascii="宋体" w:hAnsi="宋体"/>
                <w:b/>
                <w:bCs/>
                <w:color w:val="auto"/>
                <w:sz w:val="21"/>
                <w:szCs w:val="21"/>
                <w:highlight w:val="none"/>
              </w:rPr>
              <w:sym w:font="Wingdings" w:char="00A8"/>
            </w:r>
            <w:r>
              <w:rPr>
                <w:rFonts w:hint="eastAsia" w:ascii="宋体" w:hAnsi="宋体"/>
                <w:b/>
                <w:bCs/>
                <w:color w:val="auto"/>
                <w:sz w:val="21"/>
                <w:szCs w:val="21"/>
                <w:highlight w:val="none"/>
              </w:rPr>
              <w:t>固定单价暂定总价包干；</w:t>
            </w:r>
          </w:p>
          <w:p>
            <w:pPr>
              <w:shd w:val="clear"/>
              <w:rPr>
                <w:rFonts w:ascii="宋体" w:hAnsi="宋体"/>
                <w:b/>
                <w:bCs/>
                <w:color w:val="auto"/>
                <w:sz w:val="21"/>
                <w:szCs w:val="21"/>
                <w:highlight w:val="none"/>
                <w:u w:val="single"/>
              </w:rPr>
            </w:pPr>
            <w:r>
              <w:rPr>
                <w:rFonts w:hint="eastAsia" w:ascii="宋体" w:hAnsi="宋体"/>
                <w:b/>
                <w:bCs/>
                <w:color w:val="auto"/>
                <w:sz w:val="21"/>
                <w:szCs w:val="21"/>
                <w:highlight w:val="none"/>
              </w:rPr>
              <w:sym w:font="Wingdings" w:char="00A8"/>
            </w:r>
            <w:r>
              <w:rPr>
                <w:rFonts w:hint="eastAsia" w:ascii="宋体" w:hAnsi="宋体"/>
                <w:b/>
                <w:bCs/>
                <w:color w:val="auto"/>
                <w:sz w:val="21"/>
                <w:szCs w:val="21"/>
                <w:highlight w:val="none"/>
              </w:rPr>
              <w:t>费率</w:t>
            </w:r>
            <w:r>
              <w:rPr>
                <w:rFonts w:hint="eastAsia" w:ascii="宋体" w:hAnsi="宋体"/>
                <w:b/>
                <w:bCs/>
                <w:color w:val="auto"/>
                <w:sz w:val="21"/>
                <w:szCs w:val="21"/>
                <w:highlight w:val="none"/>
                <w:u w:val="single"/>
              </w:rPr>
              <w:t xml:space="preserve">         ；</w:t>
            </w:r>
          </w:p>
          <w:p>
            <w:pPr>
              <w:shd w:val="clear"/>
              <w:rPr>
                <w:rFonts w:ascii="宋体" w:hAnsi="宋体"/>
                <w:b/>
                <w:bCs/>
                <w:color w:val="auto"/>
                <w:sz w:val="21"/>
                <w:szCs w:val="21"/>
                <w:highlight w:val="none"/>
              </w:rPr>
            </w:pPr>
            <w:r>
              <w:rPr>
                <w:rFonts w:hint="eastAsia" w:ascii="宋体" w:hAnsi="宋体"/>
                <w:b/>
                <w:bCs/>
                <w:color w:val="auto"/>
                <w:sz w:val="21"/>
                <w:szCs w:val="21"/>
                <w:highlight w:val="none"/>
              </w:rPr>
              <w:sym w:font="Wingdings" w:char="00A8"/>
            </w:r>
            <w:r>
              <w:rPr>
                <w:rFonts w:hint="eastAsia" w:ascii="宋体" w:hAnsi="宋体"/>
                <w:b/>
                <w:bCs/>
                <w:color w:val="auto"/>
                <w:sz w:val="21"/>
                <w:szCs w:val="21"/>
                <w:highlight w:val="none"/>
              </w:rPr>
              <w:t>其他</w:t>
            </w:r>
            <w:r>
              <w:rPr>
                <w:rFonts w:hint="eastAsia" w:ascii="宋体" w:hAnsi="宋体"/>
                <w:b/>
                <w:bCs/>
                <w:color w:val="auto"/>
                <w:sz w:val="21"/>
                <w:szCs w:val="21"/>
                <w:highlight w:val="none"/>
                <w:u w:val="single"/>
              </w:rPr>
              <w:t xml:space="preserve">           </w:t>
            </w:r>
            <w:r>
              <w:rPr>
                <w:rFonts w:hint="eastAsia" w:ascii="宋体" w:hAnsi="宋体"/>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val="en-US" w:eastAsia="zh-CN"/>
              </w:rPr>
            </w:pPr>
            <w:r>
              <w:rPr>
                <w:rFonts w:hint="eastAsia" w:ascii="宋体" w:hAnsi="宋体"/>
                <w:color w:val="auto"/>
                <w:szCs w:val="21"/>
                <w:highlight w:val="none"/>
              </w:rPr>
              <w:t>3</w:t>
            </w:r>
          </w:p>
        </w:tc>
        <w:tc>
          <w:tcPr>
            <w:tcW w:w="7609" w:type="dxa"/>
            <w:gridSpan w:val="2"/>
            <w:tcBorders>
              <w:tl2br w:val="nil"/>
              <w:tr2bl w:val="nil"/>
            </w:tcBorders>
            <w:vAlign w:val="center"/>
          </w:tcPr>
          <w:p>
            <w:pPr>
              <w:shd w:val="clear"/>
              <w:rPr>
                <w:rFonts w:hint="eastAsia" w:ascii="宋体" w:hAnsi="宋体"/>
                <w:b/>
                <w:bCs/>
                <w:color w:val="auto"/>
                <w:sz w:val="21"/>
                <w:szCs w:val="21"/>
                <w:highlight w:val="none"/>
              </w:rPr>
            </w:pPr>
            <w:r>
              <w:rPr>
                <w:rFonts w:hint="eastAsia" w:ascii="宋体" w:hAnsi="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right w:val="single" w:color="auto" w:sz="4" w:space="0"/>
              <w:tl2br w:val="nil"/>
              <w:tr2bl w:val="nil"/>
            </w:tcBorders>
            <w:shd w:val="clear" w:color="auto" w:fill="auto"/>
            <w:vAlign w:val="center"/>
          </w:tcPr>
          <w:p>
            <w:pPr>
              <w:pStyle w:val="43"/>
              <w:shd w:val="clear"/>
              <w:ind w:firstLine="0" w:firstLineChars="0"/>
              <w:rPr>
                <w:rFonts w:ascii="宋体" w:hAnsi="宋体" w:cs="宋体"/>
                <w:color w:val="auto"/>
                <w:szCs w:val="21"/>
                <w:highlight w:val="none"/>
              </w:rPr>
            </w:pPr>
            <w:r>
              <w:rPr>
                <w:rFonts w:hint="eastAsia" w:ascii="宋体" w:hAnsi="宋体"/>
                <w:b/>
                <w:bCs/>
                <w:color w:val="auto"/>
                <w:sz w:val="21"/>
                <w:szCs w:val="21"/>
                <w:highlight w:val="none"/>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pPr>
              <w:shd w:val="clear"/>
              <w:rPr>
                <w:rFonts w:hint="eastAsia" w:ascii="宋体" w:hAnsi="宋体"/>
                <w:b/>
                <w:bCs/>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7609" w:type="dxa"/>
            <w:gridSpan w:val="2"/>
            <w:tcBorders>
              <w:right w:val="single" w:color="auto" w:sz="4" w:space="0"/>
              <w:tl2br w:val="nil"/>
              <w:tr2bl w:val="nil"/>
            </w:tcBorders>
            <w:shd w:val="clear" w:color="auto" w:fill="auto"/>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both"/>
              <w:rPr>
                <w:rFonts w:ascii="宋体" w:hAnsi="宋体"/>
                <w:color w:val="auto"/>
                <w:sz w:val="21"/>
                <w:szCs w:val="21"/>
                <w:highlight w:val="none"/>
              </w:rPr>
              <w:pPrChange w:id="0" w:author="Administrator" w:date="2025-03-11T09:59:22Z">
                <w:pPr>
                  <w:shd w:val="clear"/>
                  <w:jc w:val="center"/>
                </w:pPr>
              </w:pPrChange>
            </w:pPr>
          </w:p>
        </w:tc>
        <w:tc>
          <w:tcPr>
            <w:tcW w:w="7609" w:type="dxa"/>
            <w:gridSpan w:val="2"/>
            <w:tcBorders>
              <w:right w:val="single" w:color="auto" w:sz="4" w:space="0"/>
              <w:tl2br w:val="nil"/>
              <w:tr2bl w:val="nil"/>
            </w:tcBorders>
            <w:shd w:val="clear" w:color="auto" w:fill="auto"/>
            <w:vAlign w:val="center"/>
          </w:tcPr>
          <w:p>
            <w:pPr>
              <w:shd w:val="clear"/>
              <w:rPr>
                <w:rFonts w:hint="eastAsia" w:ascii="宋体" w:hAnsi="宋体" w:eastAsia="宋体"/>
                <w:b/>
                <w:bCs/>
                <w:color w:val="auto"/>
                <w:sz w:val="21"/>
                <w:szCs w:val="21"/>
                <w:highlight w:val="none"/>
                <w:lang w:eastAsia="zh-CN"/>
              </w:rPr>
            </w:pPr>
            <w:r>
              <w:rPr>
                <w:rFonts w:hint="eastAsia" w:ascii="宋体" w:hAnsi="宋体" w:eastAsia="宋体" w:cstheme="minorBidi"/>
                <w:color w:val="auto"/>
                <w:sz w:val="21"/>
                <w:szCs w:val="21"/>
                <w:highlight w:val="none"/>
                <w:u w:val="none"/>
                <w:lang w:val="en-US" w:eastAsia="zh-CN" w:bidi="ar-SA"/>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7609" w:type="dxa"/>
            <w:gridSpan w:val="2"/>
            <w:tcBorders>
              <w:right w:val="single" w:color="auto" w:sz="4" w:space="0"/>
              <w:tl2br w:val="nil"/>
              <w:tr2bl w:val="nil"/>
            </w:tcBorders>
            <w:shd w:val="clear" w:color="auto" w:fill="auto"/>
            <w:vAlign w:val="center"/>
          </w:tcPr>
          <w:p>
            <w:pPr>
              <w:shd w:val="clear"/>
              <w:rPr>
                <w:rFonts w:ascii="宋体" w:hAnsi="宋体"/>
                <w:b/>
                <w:color w:val="auto"/>
                <w:sz w:val="21"/>
                <w:szCs w:val="21"/>
                <w:highlight w:val="none"/>
              </w:rPr>
            </w:pPr>
            <w:r>
              <w:rPr>
                <w:rFonts w:hint="eastAsia" w:ascii="宋体" w:hAnsi="宋体"/>
                <w:b/>
                <w:color w:val="auto"/>
                <w:sz w:val="21"/>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right w:val="single" w:color="auto" w:sz="4" w:space="0"/>
              <w:tl2br w:val="nil"/>
              <w:tr2bl w:val="nil"/>
            </w:tcBorders>
            <w:shd w:val="clear" w:color="auto" w:fill="auto"/>
            <w:vAlign w:val="center"/>
          </w:tcPr>
          <w:p>
            <w:pPr>
              <w:shd w:val="clear"/>
              <w:rPr>
                <w:rFonts w:ascii="宋体" w:hAnsi="宋体"/>
                <w:bCs/>
                <w:color w:val="auto"/>
                <w:sz w:val="21"/>
                <w:szCs w:val="21"/>
                <w:highlight w:val="none"/>
              </w:rPr>
            </w:pPr>
            <w:r>
              <w:rPr>
                <w:rFonts w:hint="eastAsia" w:ascii="宋体" w:hAnsi="宋体"/>
                <w:b/>
                <w:bCs/>
                <w:color w:val="auto"/>
                <w:sz w:val="21"/>
                <w:szCs w:val="21"/>
                <w:highlight w:val="none"/>
              </w:rPr>
              <w:sym w:font="Wingdings" w:char="00A8"/>
            </w:r>
            <w:r>
              <w:rPr>
                <w:rFonts w:hint="eastAsia" w:ascii="宋体" w:hAnsi="宋体"/>
                <w:bCs/>
                <w:color w:val="auto"/>
                <w:sz w:val="21"/>
                <w:szCs w:val="21"/>
                <w:highlight w:val="none"/>
              </w:rPr>
              <w:t>不组织 。</w:t>
            </w:r>
          </w:p>
          <w:p>
            <w:pPr>
              <w:shd w:val="clear"/>
              <w:rPr>
                <w:rFonts w:hint="eastAsia" w:ascii="宋体" w:hAnsi="宋体"/>
                <w:bCs/>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bCs/>
                <w:color w:val="auto"/>
                <w:sz w:val="21"/>
                <w:szCs w:val="21"/>
                <w:highlight w:val="none"/>
              </w:rPr>
              <w:t>组织，踏勘现场时间、地点：</w:t>
            </w:r>
          </w:p>
          <w:p>
            <w:pPr>
              <w:shd w:val="clear"/>
              <w:rPr>
                <w:rFonts w:ascii="宋体" w:hAnsi="宋体"/>
                <w:bCs/>
                <w:color w:val="auto"/>
                <w:sz w:val="21"/>
                <w:szCs w:val="21"/>
                <w:highlight w:val="none"/>
              </w:rPr>
            </w:pPr>
            <w:r>
              <w:rPr>
                <w:rFonts w:hint="eastAsia" w:ascii="宋体" w:hAnsi="宋体"/>
                <w:b/>
                <w:bCs w:val="0"/>
                <w:color w:val="auto"/>
                <w:sz w:val="21"/>
                <w:szCs w:val="21"/>
                <w:highlight w:val="none"/>
                <w:u w:val="single"/>
                <w:lang w:val="en-US" w:eastAsia="zh-CN"/>
              </w:rPr>
              <w:t>集中</w:t>
            </w:r>
            <w:r>
              <w:rPr>
                <w:rFonts w:hint="eastAsia" w:ascii="宋体" w:hAnsi="宋体"/>
                <w:b/>
                <w:bCs w:val="0"/>
                <w:color w:val="auto"/>
                <w:sz w:val="21"/>
                <w:szCs w:val="21"/>
                <w:highlight w:val="none"/>
                <w:u w:val="single"/>
              </w:rPr>
              <w:t>踏勘现场时间</w:t>
            </w:r>
            <w:r>
              <w:rPr>
                <w:rFonts w:hint="eastAsia" w:ascii="宋体" w:hAnsi="宋体"/>
                <w:b/>
                <w:bCs w:val="0"/>
                <w:color w:val="auto"/>
                <w:sz w:val="21"/>
                <w:szCs w:val="21"/>
                <w:highlight w:val="none"/>
                <w:u w:val="single"/>
                <w:shd w:val="clear"/>
                <w:lang w:eastAsia="zh-CN"/>
              </w:rPr>
              <w:t>：</w:t>
            </w:r>
            <w:r>
              <w:rPr>
                <w:rFonts w:hint="eastAsia" w:ascii="宋体" w:hAnsi="宋体" w:eastAsia="宋体" w:cs="Times New Roman"/>
                <w:b/>
                <w:bCs w:val="0"/>
                <w:color w:val="auto"/>
                <w:szCs w:val="21"/>
                <w:highlight w:val="none"/>
                <w:u w:val="single"/>
                <w:shd w:val="clear"/>
              </w:rPr>
              <w:t>2</w:t>
            </w:r>
            <w:r>
              <w:rPr>
                <w:rFonts w:ascii="宋体" w:hAnsi="宋体" w:eastAsia="宋体" w:cs="Times New Roman"/>
                <w:b/>
                <w:bCs w:val="0"/>
                <w:color w:val="auto"/>
                <w:szCs w:val="21"/>
                <w:highlight w:val="none"/>
                <w:u w:val="single"/>
                <w:shd w:val="clear"/>
              </w:rPr>
              <w:t>02</w:t>
            </w:r>
            <w:r>
              <w:rPr>
                <w:rFonts w:hint="eastAsia" w:ascii="宋体" w:hAnsi="宋体" w:cs="Times New Roman"/>
                <w:b/>
                <w:bCs w:val="0"/>
                <w:color w:val="auto"/>
                <w:szCs w:val="21"/>
                <w:highlight w:val="none"/>
                <w:u w:val="single"/>
                <w:shd w:val="clear"/>
                <w:lang w:val="en-US" w:eastAsia="zh-CN"/>
              </w:rPr>
              <w:t xml:space="preserve">5 </w:t>
            </w:r>
            <w:r>
              <w:rPr>
                <w:rFonts w:hint="eastAsia" w:ascii="宋体" w:hAnsi="宋体" w:eastAsia="宋体" w:cs="Times New Roman"/>
                <w:b/>
                <w:bCs w:val="0"/>
                <w:color w:val="auto"/>
                <w:szCs w:val="21"/>
                <w:highlight w:val="none"/>
                <w:u w:val="single"/>
                <w:shd w:val="clear"/>
              </w:rPr>
              <w:t>年</w:t>
            </w:r>
            <w:r>
              <w:rPr>
                <w:rFonts w:hint="eastAsia" w:ascii="宋体" w:hAnsi="宋体" w:cs="Times New Roman"/>
                <w:b/>
                <w:bCs w:val="0"/>
                <w:color w:val="auto"/>
                <w:szCs w:val="21"/>
                <w:highlight w:val="none"/>
                <w:u w:val="single"/>
                <w:shd w:val="clear"/>
                <w:lang w:val="en-US" w:eastAsia="zh-CN"/>
              </w:rPr>
              <w:t xml:space="preserve"> 04 </w:t>
            </w:r>
            <w:r>
              <w:rPr>
                <w:rFonts w:hint="eastAsia" w:ascii="宋体" w:hAnsi="宋体" w:eastAsia="宋体" w:cs="Times New Roman"/>
                <w:b/>
                <w:bCs w:val="0"/>
                <w:color w:val="auto"/>
                <w:szCs w:val="21"/>
                <w:highlight w:val="none"/>
                <w:u w:val="single"/>
                <w:shd w:val="clear"/>
              </w:rPr>
              <w:t>月</w:t>
            </w:r>
            <w:r>
              <w:rPr>
                <w:rFonts w:hint="eastAsia" w:ascii="宋体" w:hAnsi="宋体" w:cs="Times New Roman"/>
                <w:b/>
                <w:bCs w:val="0"/>
                <w:color w:val="auto"/>
                <w:szCs w:val="21"/>
                <w:highlight w:val="none"/>
                <w:u w:val="single"/>
                <w:shd w:val="clear"/>
                <w:lang w:val="en-US" w:eastAsia="zh-CN"/>
              </w:rPr>
              <w:t xml:space="preserve"> 29 </w:t>
            </w:r>
            <w:r>
              <w:rPr>
                <w:rFonts w:hint="eastAsia" w:ascii="宋体" w:hAnsi="宋体" w:eastAsia="宋体" w:cs="Times New Roman"/>
                <w:b/>
                <w:bCs w:val="0"/>
                <w:color w:val="auto"/>
                <w:szCs w:val="21"/>
                <w:highlight w:val="none"/>
                <w:u w:val="single"/>
                <w:shd w:val="clear"/>
              </w:rPr>
              <w:t>日</w:t>
            </w:r>
            <w:r>
              <w:rPr>
                <w:rFonts w:hint="eastAsia" w:ascii="宋体" w:hAnsi="宋体" w:cs="Times New Roman"/>
                <w:b/>
                <w:bCs w:val="0"/>
                <w:color w:val="auto"/>
                <w:szCs w:val="21"/>
                <w:highlight w:val="none"/>
                <w:u w:val="single"/>
                <w:shd w:val="clear"/>
                <w:lang w:val="en-US" w:eastAsia="zh-CN"/>
              </w:rPr>
              <w:t xml:space="preserve"> 上午10：00（北京时间）</w:t>
            </w:r>
            <w:r>
              <w:rPr>
                <w:rFonts w:hint="eastAsia" w:ascii="宋体" w:hAnsi="宋体" w:cs="Times New Roman"/>
                <w:b/>
                <w:bCs w:val="0"/>
                <w:color w:val="auto"/>
                <w:szCs w:val="21"/>
                <w:highlight w:val="none"/>
                <w:u w:val="single"/>
                <w:shd w:val="clear"/>
                <w:lang w:eastAsia="zh-CN"/>
              </w:rPr>
              <w:t>；</w:t>
            </w:r>
            <w:r>
              <w:rPr>
                <w:rFonts w:hint="eastAsia" w:ascii="宋体" w:hAnsi="宋体" w:eastAsia="宋体" w:cs="Times New Roman"/>
                <w:b/>
                <w:bCs w:val="0"/>
                <w:color w:val="auto"/>
                <w:szCs w:val="21"/>
                <w:highlight w:val="none"/>
                <w:u w:val="single"/>
              </w:rPr>
              <w:t>联系人：曹小姐18688666521</w:t>
            </w:r>
            <w:r>
              <w:rPr>
                <w:rFonts w:hint="eastAsia" w:ascii="宋体" w:hAnsi="宋体" w:cs="Times New Roman"/>
                <w:b/>
                <w:bCs w:val="0"/>
                <w:color w:val="auto"/>
                <w:szCs w:val="21"/>
                <w:highlight w:val="none"/>
                <w:u w:val="single"/>
                <w:lang w:eastAsia="zh-CN"/>
              </w:rPr>
              <w:t>；</w:t>
            </w:r>
            <w:r>
              <w:rPr>
                <w:rFonts w:hint="eastAsia" w:ascii="宋体" w:hAnsi="宋体" w:eastAsia="宋体" w:cs="Times New Roman"/>
                <w:b/>
                <w:bCs w:val="0"/>
                <w:color w:val="auto"/>
                <w:szCs w:val="21"/>
                <w:highlight w:val="none"/>
                <w:u w:val="single"/>
              </w:rPr>
              <w:t>地址：东莞市东城街道莞寓市人才安居社区A区6栋。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6</w:t>
            </w:r>
          </w:p>
        </w:tc>
        <w:tc>
          <w:tcPr>
            <w:tcW w:w="7609" w:type="dxa"/>
            <w:gridSpan w:val="2"/>
            <w:tcBorders>
              <w:tl2br w:val="nil"/>
              <w:tr2bl w:val="nil"/>
            </w:tcBorders>
            <w:vAlign w:val="center"/>
          </w:tcPr>
          <w:p>
            <w:pPr>
              <w:shd w:val="clear"/>
              <w:rPr>
                <w:rFonts w:ascii="宋体" w:hAnsi="宋体"/>
                <w:b/>
                <w:color w:val="auto"/>
                <w:sz w:val="21"/>
                <w:szCs w:val="21"/>
                <w:highlight w:val="none"/>
              </w:rPr>
            </w:pPr>
            <w:r>
              <w:rPr>
                <w:rFonts w:hint="eastAsia" w:ascii="宋体" w:hAnsi="宋体"/>
                <w:b/>
                <w:color w:val="auto"/>
                <w:sz w:val="21"/>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rPr>
                <w:rFonts w:ascii="宋体" w:hAnsi="宋体"/>
                <w:b/>
                <w:color w:val="auto"/>
                <w:sz w:val="21"/>
                <w:szCs w:val="21"/>
                <w:highlight w:val="none"/>
              </w:rPr>
            </w:pPr>
            <w:r>
              <w:rPr>
                <w:rFonts w:hint="eastAsia" w:ascii="宋体" w:hAnsi="宋体"/>
                <w:color w:val="auto"/>
                <w:sz w:val="21"/>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（1）投标保证金金额：</w:t>
            </w:r>
            <w:r>
              <w:rPr>
                <w:rFonts w:hint="eastAsia" w:ascii="宋体" w:hAnsi="宋体" w:eastAsia="宋体"/>
                <w:color w:val="auto"/>
                <w:sz w:val="21"/>
                <w:szCs w:val="21"/>
                <w:highlight w:val="none"/>
              </w:rPr>
              <w:t>人民币</w:t>
            </w:r>
            <w:r>
              <w:rPr>
                <w:rFonts w:hint="eastAsia" w:ascii="宋体" w:hAnsi="宋体"/>
                <w:b/>
                <w:bCs/>
                <w:color w:val="auto"/>
                <w:sz w:val="21"/>
                <w:szCs w:val="21"/>
                <w:highlight w:val="none"/>
                <w:lang w:val="en-US" w:eastAsia="zh-CN"/>
              </w:rPr>
              <w:t>伍万陆仟元整</w:t>
            </w:r>
            <w:r>
              <w:rPr>
                <w:rFonts w:hint="eastAsia" w:ascii="宋体" w:hAnsi="宋体" w:eastAsia="宋体"/>
                <w:color w:val="auto"/>
                <w:sz w:val="21"/>
                <w:szCs w:val="21"/>
                <w:highlight w:val="none"/>
              </w:rPr>
              <w:t>（</w:t>
            </w:r>
            <w:r>
              <w:rPr>
                <w:rFonts w:hint="eastAsia" w:ascii="宋体" w:hAnsi="宋体"/>
                <w:b/>
                <w:bCs/>
                <w:color w:val="auto"/>
                <w:sz w:val="21"/>
                <w:szCs w:val="21"/>
                <w:highlight w:val="none"/>
                <w:lang w:val="en-US" w:eastAsia="zh-CN"/>
              </w:rPr>
              <w:t>¥56</w:t>
            </w:r>
            <w:r>
              <w:rPr>
                <w:rFonts w:hint="eastAsia" w:ascii="宋体" w:hAnsi="宋体" w:eastAsia="宋体"/>
                <w:b/>
                <w:bCs/>
                <w:color w:val="auto"/>
                <w:sz w:val="21"/>
                <w:szCs w:val="21"/>
                <w:highlight w:val="none"/>
                <w:lang w:val="en-US" w:eastAsia="zh-CN"/>
              </w:rPr>
              <w:t>,000.00</w:t>
            </w:r>
            <w:r>
              <w:rPr>
                <w:rFonts w:hint="eastAsia" w:ascii="宋体" w:hAnsi="宋体"/>
                <w:b/>
                <w:bCs/>
                <w:color w:val="auto"/>
                <w:sz w:val="21"/>
                <w:szCs w:val="21"/>
                <w:highlight w:val="none"/>
                <w:lang w:val="en-US" w:eastAsia="zh-CN"/>
              </w:rPr>
              <w:t>元</w:t>
            </w:r>
            <w:r>
              <w:rPr>
                <w:rFonts w:hint="eastAsia" w:ascii="宋体" w:hAnsi="宋体" w:eastAsia="宋体"/>
                <w:color w:val="auto"/>
                <w:sz w:val="21"/>
                <w:szCs w:val="21"/>
                <w:highlight w:val="none"/>
              </w:rPr>
              <w:t>）</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tabs>
                <w:tab w:val="left" w:pos="567"/>
              </w:tabs>
              <w:jc w:val="both"/>
              <w:rPr>
                <w:rFonts w:hAnsi="宋体"/>
                <w:color w:val="auto"/>
                <w:kern w:val="2"/>
                <w:sz w:val="21"/>
                <w:szCs w:val="21"/>
                <w:highlight w:val="none"/>
                <w:lang w:val="zh-CN"/>
              </w:rPr>
            </w:pPr>
            <w:r>
              <w:rPr>
                <w:rFonts w:hint="eastAsia" w:ascii="宋体" w:hAnsi="宋体"/>
                <w:color w:val="auto"/>
                <w:sz w:val="21"/>
                <w:szCs w:val="21"/>
                <w:highlight w:val="none"/>
              </w:rPr>
              <w:t>（2）</w:t>
            </w:r>
            <w:r>
              <w:rPr>
                <w:rFonts w:hint="eastAsia" w:hAnsi="宋体"/>
                <w:color w:val="auto"/>
                <w:kern w:val="2"/>
                <w:sz w:val="21"/>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shd w:val="clea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投标保证金专用账户如下：</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帐户名称： </w:t>
            </w:r>
            <w:r>
              <w:rPr>
                <w:rFonts w:hint="eastAsia" w:hAnsi="宋体" w:cs="宋体"/>
                <w:color w:val="auto"/>
                <w:kern w:val="2"/>
                <w:sz w:val="21"/>
                <w:szCs w:val="21"/>
                <w:highlight w:val="none"/>
                <w:u w:val="single"/>
              </w:rPr>
              <w:t xml:space="preserve">  东莞市安居建设投资有限公司  </w:t>
            </w:r>
            <w:r>
              <w:rPr>
                <w:rFonts w:hint="eastAsia" w:hAnsi="宋体" w:cs="宋体"/>
                <w:color w:val="auto"/>
                <w:kern w:val="2"/>
                <w:sz w:val="21"/>
                <w:szCs w:val="21"/>
                <w:highlight w:val="none"/>
                <w:lang w:val="zh-CN"/>
              </w:rPr>
              <w:t>；</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开户银行： </w:t>
            </w:r>
            <w:r>
              <w:rPr>
                <w:rFonts w:hint="eastAsia" w:hAnsi="宋体" w:cs="宋体"/>
                <w:color w:val="auto"/>
                <w:kern w:val="2"/>
                <w:sz w:val="21"/>
                <w:szCs w:val="21"/>
                <w:highlight w:val="none"/>
                <w:u w:val="single"/>
              </w:rPr>
              <w:t xml:space="preserve">  中国建设银行愉景支行  </w:t>
            </w:r>
            <w:r>
              <w:rPr>
                <w:rFonts w:hint="eastAsia" w:hAnsi="宋体" w:cs="宋体"/>
                <w:color w:val="auto"/>
                <w:kern w:val="2"/>
                <w:sz w:val="21"/>
                <w:szCs w:val="21"/>
                <w:highlight w:val="none"/>
                <w:lang w:val="zh-CN"/>
              </w:rPr>
              <w:t>；</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银行帐号： </w:t>
            </w:r>
            <w:r>
              <w:rPr>
                <w:rFonts w:hint="eastAsia" w:hAnsi="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4405 0177 5937 0000 0219 </w:t>
            </w:r>
            <w:r>
              <w:rPr>
                <w:rFonts w:hint="eastAsia" w:hAnsi="宋体" w:cs="宋体"/>
                <w:color w:val="auto"/>
                <w:kern w:val="2"/>
                <w:sz w:val="21"/>
                <w:szCs w:val="21"/>
                <w:highlight w:val="none"/>
                <w:u w:val="single"/>
                <w:lang w:val="en-US" w:eastAsia="zh-CN"/>
              </w:rPr>
              <w:t xml:space="preserve"> </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u w:val="single"/>
              </w:rPr>
              <w:t xml:space="preserve">  </w:t>
            </w:r>
          </w:p>
          <w:p>
            <w:pPr>
              <w:shd w:val="clear"/>
              <w:tabs>
                <w:tab w:val="left" w:pos="567"/>
              </w:tabs>
              <w:ind w:firstLine="422" w:firstLineChars="200"/>
              <w:jc w:val="both"/>
              <w:rPr>
                <w:rFonts w:ascii="宋体" w:hAnsi="宋体"/>
                <w:b/>
                <w:color w:val="auto"/>
                <w:sz w:val="21"/>
                <w:szCs w:val="21"/>
                <w:highlight w:val="none"/>
              </w:rPr>
            </w:pPr>
            <w:r>
              <w:rPr>
                <w:rFonts w:hint="eastAsia" w:hAnsi="宋体" w:cs="宋体"/>
                <w:b/>
                <w:color w:val="auto"/>
                <w:sz w:val="21"/>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7609" w:type="dxa"/>
            <w:gridSpan w:val="2"/>
            <w:tcBorders>
              <w:tl2br w:val="nil"/>
              <w:tr2bl w:val="nil"/>
            </w:tcBorders>
            <w:vAlign w:val="center"/>
          </w:tcPr>
          <w:p>
            <w:pPr>
              <w:shd w:val="clear"/>
              <w:jc w:val="both"/>
              <w:rPr>
                <w:rFonts w:ascii="宋体" w:hAnsi="宋体"/>
                <w:b/>
                <w:bCs/>
                <w:color w:val="auto"/>
                <w:sz w:val="21"/>
                <w:szCs w:val="21"/>
                <w:highlight w:val="none"/>
                <w:lang w:val="zh-CN"/>
              </w:rPr>
            </w:pPr>
            <w:r>
              <w:rPr>
                <w:rFonts w:hint="eastAsia" w:ascii="宋体" w:hAnsi="宋体"/>
                <w:b/>
                <w:bCs/>
                <w:color w:val="auto"/>
                <w:sz w:val="21"/>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color w:val="auto"/>
                <w:sz w:val="21"/>
                <w:szCs w:val="21"/>
                <w:highlight w:val="none"/>
              </w:rPr>
              <w:t>1</w:t>
            </w:r>
            <w:r>
              <w:rPr>
                <w:rFonts w:hint="eastAsia" w:ascii="宋体" w:hAnsi="宋体"/>
                <w:color w:val="auto"/>
                <w:sz w:val="21"/>
                <w:szCs w:val="21"/>
                <w:highlight w:val="none"/>
                <w:lang w:val="zh-CN"/>
              </w:rPr>
              <w:t>）未中标的投标人的保证金应当在中标通知书发出后退还，中标</w:t>
            </w:r>
            <w:r>
              <w:rPr>
                <w:rFonts w:hint="eastAsia" w:ascii="宋体" w:hAnsi="宋体"/>
                <w:color w:val="auto"/>
                <w:sz w:val="21"/>
                <w:szCs w:val="21"/>
                <w:highlight w:val="none"/>
              </w:rPr>
              <w:t>的</w:t>
            </w:r>
            <w:r>
              <w:rPr>
                <w:rFonts w:hint="eastAsia" w:ascii="宋体" w:hAnsi="宋体"/>
                <w:color w:val="auto"/>
                <w:sz w:val="21"/>
                <w:szCs w:val="21"/>
                <w:highlight w:val="none"/>
                <w:lang w:val="zh-CN"/>
              </w:rPr>
              <w:t>投标人的保证金应当在采购合同签订</w:t>
            </w:r>
            <w:r>
              <w:rPr>
                <w:rFonts w:hint="eastAsia" w:ascii="宋体" w:hAnsi="宋体"/>
                <w:color w:val="auto"/>
                <w:sz w:val="21"/>
                <w:szCs w:val="21"/>
                <w:highlight w:val="none"/>
              </w:rPr>
              <w:t>并缴纳履约保证金</w:t>
            </w:r>
            <w:r>
              <w:rPr>
                <w:rFonts w:hint="eastAsia" w:ascii="宋体" w:hAnsi="宋体"/>
                <w:color w:val="auto"/>
                <w:sz w:val="21"/>
                <w:szCs w:val="21"/>
                <w:highlight w:val="none"/>
                <w:lang w:val="zh-CN"/>
              </w:rPr>
              <w:t>后退还。</w:t>
            </w:r>
          </w:p>
          <w:p>
            <w:pPr>
              <w:shd w:val="clear"/>
              <w:jc w:val="both"/>
              <w:rPr>
                <w:color w:val="auto"/>
                <w:sz w:val="21"/>
                <w:szCs w:val="21"/>
                <w:highlight w:val="none"/>
              </w:rPr>
            </w:pPr>
            <w:r>
              <w:rPr>
                <w:rFonts w:hint="eastAsia" w:ascii="宋体" w:hAnsi="宋体"/>
                <w:color w:val="auto"/>
                <w:sz w:val="21"/>
                <w:szCs w:val="21"/>
                <w:highlight w:val="none"/>
                <w:lang w:val="zh-CN"/>
              </w:rPr>
              <w:t>（</w:t>
            </w:r>
            <w:r>
              <w:rPr>
                <w:rFonts w:hint="eastAsia" w:ascii="宋体" w:hAnsi="宋体"/>
                <w:color w:val="auto"/>
                <w:sz w:val="21"/>
                <w:szCs w:val="21"/>
                <w:highlight w:val="none"/>
              </w:rPr>
              <w:t>2</w:t>
            </w:r>
            <w:r>
              <w:rPr>
                <w:rFonts w:hint="eastAsia" w:ascii="宋体" w:hAnsi="宋体"/>
                <w:color w:val="auto"/>
                <w:sz w:val="21"/>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color w:val="auto"/>
                <w:sz w:val="21"/>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7609" w:type="dxa"/>
            <w:gridSpan w:val="2"/>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投标文件类型</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唱标信封</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投标文件正本</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投标文件副本</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b/>
                <w:color w:val="auto"/>
                <w:sz w:val="21"/>
                <w:szCs w:val="21"/>
                <w:highlight w:val="none"/>
              </w:rPr>
              <w:t xml:space="preserve">5  </w:t>
            </w:r>
            <w:r>
              <w:rPr>
                <w:rFonts w:hint="eastAsia" w:ascii="宋体" w:hAnsi="宋体"/>
                <w:b/>
                <w:bCs/>
                <w:color w:val="auto"/>
                <w:sz w:val="21"/>
                <w:szCs w:val="21"/>
                <w:highlight w:val="none"/>
              </w:rPr>
              <w:sym w:font="Wingdings" w:char="00A8"/>
            </w:r>
            <w:r>
              <w:rPr>
                <w:rFonts w:hint="eastAsia" w:ascii="宋体" w:hAnsi="宋体"/>
                <w:b/>
                <w:color w:val="auto"/>
                <w:sz w:val="21"/>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vMerge w:val="restart"/>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电子文档</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vMerge w:val="continue"/>
            <w:tcBorders>
              <w:tl2br w:val="nil"/>
              <w:tr2bl w:val="nil"/>
            </w:tcBorders>
            <w:vAlign w:val="center"/>
          </w:tcPr>
          <w:p>
            <w:pPr>
              <w:shd w:val="clear"/>
              <w:jc w:val="center"/>
              <w:rPr>
                <w:rFonts w:ascii="宋体" w:hAnsi="宋体"/>
                <w:b/>
                <w:color w:val="auto"/>
                <w:sz w:val="21"/>
                <w:szCs w:val="21"/>
                <w:highlight w:val="none"/>
              </w:rPr>
            </w:pP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cs="Times New Roman"/>
                <w:b/>
                <w:color w:val="auto"/>
                <w:sz w:val="21"/>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12</w:t>
            </w: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b/>
                <w:color w:val="auto"/>
                <w:sz w:val="21"/>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color w:val="auto"/>
                <w:sz w:val="21"/>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13</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color w:val="auto"/>
                <w:sz w:val="21"/>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14</w:t>
            </w: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b/>
                <w:color w:val="auto"/>
                <w:sz w:val="21"/>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评标委员会成员共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五</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w:t>
            </w:r>
            <w:r>
              <w:rPr>
                <w:rFonts w:hint="eastAsia" w:ascii="宋体" w:hAnsi="宋体"/>
                <w:color w:val="auto"/>
                <w:sz w:val="21"/>
                <w:szCs w:val="21"/>
                <w:highlight w:val="none"/>
                <w:lang w:val="zh-CN"/>
              </w:rPr>
              <w:t>评标委员会由采购人</w:t>
            </w:r>
            <w:r>
              <w:rPr>
                <w:rFonts w:hint="eastAsia" w:ascii="宋体" w:hAnsi="宋体"/>
                <w:color w:val="auto"/>
                <w:sz w:val="21"/>
                <w:szCs w:val="21"/>
                <w:highlight w:val="none"/>
              </w:rPr>
              <w:t>的</w:t>
            </w:r>
            <w:r>
              <w:rPr>
                <w:rFonts w:hint="eastAsia" w:ascii="宋体" w:hAnsi="宋体"/>
                <w:color w:val="auto"/>
                <w:sz w:val="21"/>
                <w:szCs w:val="21"/>
                <w:highlight w:val="none"/>
                <w:lang w:val="zh-CN"/>
              </w:rPr>
              <w:t>代表和</w:t>
            </w:r>
            <w:r>
              <w:rPr>
                <w:rFonts w:hint="eastAsia" w:ascii="宋体" w:hAnsi="宋体"/>
                <w:color w:val="auto"/>
                <w:sz w:val="21"/>
                <w:szCs w:val="21"/>
                <w:highlight w:val="none"/>
              </w:rPr>
              <w:t>有关方面的</w:t>
            </w:r>
            <w:r>
              <w:rPr>
                <w:rFonts w:hint="eastAsia" w:ascii="宋体" w:hAnsi="宋体"/>
                <w:color w:val="auto"/>
                <w:sz w:val="21"/>
                <w:szCs w:val="21"/>
                <w:highlight w:val="none"/>
                <w:lang w:val="zh-CN"/>
              </w:rPr>
              <w:t>专家组成，</w:t>
            </w:r>
            <w:r>
              <w:rPr>
                <w:rFonts w:hint="eastAsia" w:ascii="宋体" w:hAnsi="宋体"/>
                <w:color w:val="auto"/>
                <w:sz w:val="21"/>
                <w:szCs w:val="21"/>
                <w:highlight w:val="none"/>
              </w:rPr>
              <w:t>成员人数为五人或五人以上单数</w:t>
            </w:r>
            <w:r>
              <w:rPr>
                <w:rFonts w:hint="eastAsia" w:ascii="宋体" w:hAnsi="宋体"/>
                <w:color w:val="auto"/>
                <w:sz w:val="21"/>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7609" w:type="dxa"/>
            <w:gridSpan w:val="2"/>
            <w:tcBorders>
              <w:tl2br w:val="nil"/>
              <w:tr2bl w:val="nil"/>
            </w:tcBorders>
            <w:shd w:val="clear" w:color="auto" w:fill="auto"/>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shd w:val="clear" w:color="auto" w:fill="auto"/>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1.履约担保金额为：</w:t>
            </w:r>
            <w:r>
              <w:rPr>
                <w:rFonts w:hint="eastAsia" w:ascii="宋体" w:hAnsi="宋体"/>
                <w:color w:val="auto"/>
                <w:sz w:val="21"/>
                <w:szCs w:val="21"/>
                <w:highlight w:val="none"/>
                <w:u w:val="single"/>
              </w:rPr>
              <w:t xml:space="preserve"> 合同金额的10% 。</w:t>
            </w:r>
          </w:p>
          <w:p>
            <w:pPr>
              <w:shd w:val="clear"/>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履约保证金账户信息</w:t>
            </w:r>
            <w:r>
              <w:rPr>
                <w:rFonts w:hint="eastAsia" w:ascii="宋体" w:hAnsi="宋体"/>
                <w:color w:val="auto"/>
                <w:sz w:val="21"/>
                <w:szCs w:val="21"/>
                <w:highlight w:val="none"/>
                <w:lang w:eastAsia="zh-CN"/>
              </w:rPr>
              <w:t>（中标结果公示后待中标单位与采购人协商确认）</w:t>
            </w:r>
          </w:p>
          <w:p>
            <w:pPr>
              <w:shd w:val="clear"/>
              <w:jc w:val="both"/>
              <w:rPr>
                <w:rFonts w:ascii="宋体" w:hAnsi="宋体"/>
                <w:color w:val="auto"/>
                <w:sz w:val="21"/>
                <w:szCs w:val="21"/>
                <w:highlight w:val="none"/>
              </w:rPr>
            </w:pPr>
            <w:r>
              <w:rPr>
                <w:rFonts w:hint="eastAsia" w:ascii="宋体" w:hAnsi="宋体"/>
                <w:color w:val="auto"/>
                <w:sz w:val="21"/>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shd w:val="clear"/>
              <w:jc w:val="both"/>
              <w:rPr>
                <w:rFonts w:ascii="宋体" w:hAnsi="宋体"/>
                <w:color w:val="auto"/>
                <w:sz w:val="21"/>
                <w:szCs w:val="21"/>
                <w:highlight w:val="none"/>
              </w:rPr>
            </w:pPr>
            <w:r>
              <w:rPr>
                <w:rFonts w:hint="eastAsia" w:ascii="宋体" w:hAnsi="宋体"/>
                <w:color w:val="auto"/>
                <w:sz w:val="21"/>
                <w:szCs w:val="21"/>
                <w:highlight w:val="none"/>
              </w:rPr>
              <w:t>4.履约担保期限从合同签订之日起至项目完工验收合格并结算完毕后，经双方签字</w:t>
            </w:r>
            <w:r>
              <w:rPr>
                <w:rFonts w:hint="eastAsia" w:ascii="宋体" w:hAnsi="宋体"/>
                <w:color w:val="auto"/>
                <w:sz w:val="21"/>
                <w:szCs w:val="21"/>
                <w:highlight w:val="none"/>
                <w:u w:val="single"/>
              </w:rPr>
              <w:t xml:space="preserve"> 7 </w:t>
            </w:r>
            <w:r>
              <w:rPr>
                <w:rFonts w:hint="eastAsia" w:ascii="宋体" w:hAnsi="宋体"/>
                <w:color w:val="auto"/>
                <w:sz w:val="21"/>
                <w:szCs w:val="21"/>
                <w:highlight w:val="none"/>
              </w:rPr>
              <w:t>天内保持有效。</w:t>
            </w:r>
          </w:p>
          <w:p>
            <w:pPr>
              <w:shd w:val="clear"/>
              <w:jc w:val="both"/>
              <w:rPr>
                <w:rFonts w:ascii="宋体" w:hAnsi="宋体"/>
                <w:color w:val="auto"/>
                <w:sz w:val="21"/>
                <w:szCs w:val="21"/>
                <w:highlight w:val="none"/>
              </w:rPr>
            </w:pPr>
            <w:r>
              <w:rPr>
                <w:rFonts w:hint="eastAsia" w:ascii="宋体" w:hAnsi="宋体"/>
                <w:color w:val="auto"/>
                <w:sz w:val="21"/>
                <w:szCs w:val="21"/>
                <w:highlight w:val="none"/>
              </w:rPr>
              <w:t>5、履约担保要求：</w:t>
            </w:r>
          </w:p>
          <w:p>
            <w:pPr>
              <w:shd w:val="clear"/>
              <w:jc w:val="both"/>
              <w:rPr>
                <w:rFonts w:ascii="宋体" w:hAnsi="宋体"/>
                <w:color w:val="auto"/>
                <w:sz w:val="21"/>
                <w:szCs w:val="21"/>
                <w:highlight w:val="none"/>
              </w:rPr>
            </w:pPr>
            <w:r>
              <w:rPr>
                <w:rFonts w:hint="eastAsia" w:ascii="宋体" w:hAnsi="宋体"/>
                <w:color w:val="auto"/>
                <w:sz w:val="21"/>
                <w:szCs w:val="21"/>
                <w:highlight w:val="none"/>
              </w:rPr>
              <w:t>（1）履约保函。如果中标人的履约担保是以银行保函形式提供的，则该银行保函应：</w:t>
            </w:r>
          </w:p>
          <w:p>
            <w:pPr>
              <w:shd w:val="clear"/>
              <w:jc w:val="both"/>
              <w:rPr>
                <w:rFonts w:ascii="宋体" w:hAnsi="宋体"/>
                <w:color w:val="auto"/>
                <w:sz w:val="21"/>
                <w:szCs w:val="21"/>
                <w:highlight w:val="none"/>
              </w:rPr>
            </w:pPr>
            <w:r>
              <w:rPr>
                <w:rFonts w:hint="eastAsia" w:ascii="宋体" w:hAnsi="宋体"/>
                <w:color w:val="auto"/>
                <w:sz w:val="21"/>
                <w:szCs w:val="21"/>
                <w:highlight w:val="none"/>
              </w:rPr>
              <w:t>①保函应由银行支行或以上银行机构开具，非东莞市行政区内的银行开具的保函要由银行所在地公证部门出具的公证书。</w:t>
            </w:r>
          </w:p>
          <w:p>
            <w:pPr>
              <w:shd w:val="clear"/>
              <w:jc w:val="both"/>
              <w:rPr>
                <w:rFonts w:ascii="宋体" w:hAnsi="宋体"/>
                <w:color w:val="auto"/>
                <w:sz w:val="21"/>
                <w:szCs w:val="21"/>
                <w:highlight w:val="none"/>
              </w:rPr>
            </w:pPr>
            <w:r>
              <w:rPr>
                <w:rFonts w:hint="eastAsia" w:ascii="宋体" w:hAnsi="宋体"/>
                <w:color w:val="auto"/>
                <w:sz w:val="21"/>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shd w:val="clear"/>
              <w:jc w:val="both"/>
              <w:rPr>
                <w:rFonts w:ascii="宋体" w:hAnsi="宋体"/>
                <w:color w:val="auto"/>
                <w:sz w:val="21"/>
                <w:szCs w:val="21"/>
                <w:highlight w:val="none"/>
              </w:rPr>
            </w:pPr>
            <w:r>
              <w:rPr>
                <w:rFonts w:hint="eastAsia" w:ascii="宋体" w:hAnsi="宋体"/>
                <w:color w:val="auto"/>
                <w:sz w:val="21"/>
                <w:szCs w:val="21"/>
                <w:highlight w:val="none"/>
              </w:rPr>
              <w:t>③履约保函必须打印，手写、涂改无效。</w:t>
            </w:r>
          </w:p>
          <w:p>
            <w:pPr>
              <w:shd w:val="clear"/>
              <w:jc w:val="both"/>
              <w:rPr>
                <w:rFonts w:ascii="宋体" w:hAnsi="宋体"/>
                <w:color w:val="auto"/>
                <w:sz w:val="21"/>
                <w:szCs w:val="21"/>
                <w:highlight w:val="none"/>
              </w:rPr>
            </w:pPr>
            <w:r>
              <w:rPr>
                <w:rFonts w:hint="eastAsia" w:ascii="宋体" w:hAnsi="宋体"/>
                <w:color w:val="auto"/>
                <w:sz w:val="21"/>
                <w:szCs w:val="21"/>
                <w:highlight w:val="none"/>
              </w:rPr>
              <w:t>（2）履约保证金。可采用电汇、银行汇票等银行转帐方式提交，但不可以采用现金方式提交。中标人必须保证履约保证金以中标人名称在签订合同前提交至采购人指定账户。</w:t>
            </w:r>
          </w:p>
          <w:p>
            <w:pPr>
              <w:shd w:val="clear"/>
              <w:jc w:val="both"/>
              <w:rPr>
                <w:rFonts w:ascii="宋体" w:hAnsi="宋体"/>
                <w:color w:val="auto"/>
                <w:sz w:val="21"/>
                <w:szCs w:val="21"/>
                <w:highlight w:val="none"/>
              </w:rPr>
            </w:pPr>
            <w:r>
              <w:rPr>
                <w:rFonts w:hint="eastAsia" w:ascii="宋体" w:hAnsi="宋体"/>
                <w:color w:val="auto"/>
                <w:sz w:val="21"/>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shd w:val="clear"/>
              <w:jc w:val="both"/>
              <w:rPr>
                <w:rFonts w:ascii="宋体" w:hAnsi="宋体"/>
                <w:color w:val="auto"/>
                <w:sz w:val="21"/>
                <w:szCs w:val="21"/>
                <w:highlight w:val="none"/>
              </w:rPr>
            </w:pPr>
            <w:r>
              <w:rPr>
                <w:rFonts w:hint="eastAsia" w:ascii="宋体" w:hAnsi="宋体"/>
                <w:color w:val="auto"/>
                <w:sz w:val="21"/>
                <w:szCs w:val="21"/>
                <w:highlight w:val="none"/>
              </w:rPr>
              <w:t>（4）为取得履约担保所需的费用，由中标人承担；若工期延误，履约担保时间延长，延长费用由中标人承担。</w:t>
            </w:r>
          </w:p>
          <w:p>
            <w:pPr>
              <w:shd w:val="clear"/>
              <w:jc w:val="both"/>
              <w:rPr>
                <w:rFonts w:ascii="宋体" w:hAnsi="宋体"/>
                <w:color w:val="auto"/>
                <w:sz w:val="21"/>
                <w:szCs w:val="21"/>
                <w:highlight w:val="none"/>
              </w:rPr>
            </w:pPr>
            <w:r>
              <w:rPr>
                <w:rFonts w:hint="eastAsia" w:ascii="宋体" w:hAnsi="宋体"/>
                <w:color w:val="auto"/>
                <w:sz w:val="21"/>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shd w:val="clear"/>
              <w:jc w:val="both"/>
              <w:rPr>
                <w:rFonts w:ascii="宋体" w:hAnsi="宋体"/>
                <w:color w:val="auto"/>
                <w:sz w:val="21"/>
                <w:szCs w:val="21"/>
                <w:highlight w:val="none"/>
              </w:rPr>
            </w:pPr>
            <w:r>
              <w:rPr>
                <w:rFonts w:hint="eastAsia" w:ascii="宋体" w:hAnsi="宋体"/>
                <w:color w:val="auto"/>
                <w:sz w:val="21"/>
                <w:szCs w:val="21"/>
                <w:highlight w:val="none"/>
              </w:rPr>
              <w:t>（6）下列任何情况发生时，采购人有权行使享有的担保权利：</w:t>
            </w:r>
          </w:p>
          <w:p>
            <w:pPr>
              <w:shd w:val="clear"/>
              <w:jc w:val="both"/>
              <w:rPr>
                <w:rFonts w:ascii="宋体" w:hAnsi="宋体"/>
                <w:color w:val="auto"/>
                <w:sz w:val="21"/>
                <w:szCs w:val="21"/>
                <w:highlight w:val="none"/>
              </w:rPr>
            </w:pPr>
            <w:r>
              <w:rPr>
                <w:rFonts w:hint="eastAsia" w:ascii="宋体" w:hAnsi="宋体"/>
                <w:color w:val="auto"/>
                <w:sz w:val="21"/>
                <w:szCs w:val="21"/>
                <w:highlight w:val="none"/>
              </w:rPr>
              <w:t>①中标人将本项目转让给他人，或者在投标文件中未说明，且未经采购人同意，将中标项目分包给他人的；</w:t>
            </w:r>
          </w:p>
          <w:p>
            <w:pPr>
              <w:shd w:val="clear"/>
              <w:jc w:val="both"/>
              <w:rPr>
                <w:rFonts w:ascii="宋体" w:hAnsi="宋体"/>
                <w:color w:val="auto"/>
                <w:sz w:val="21"/>
                <w:szCs w:val="21"/>
                <w:highlight w:val="none"/>
              </w:rPr>
            </w:pPr>
            <w:r>
              <w:rPr>
                <w:rFonts w:hint="eastAsia" w:ascii="宋体" w:hAnsi="宋体"/>
                <w:color w:val="auto"/>
                <w:sz w:val="21"/>
                <w:szCs w:val="21"/>
                <w:highlight w:val="none"/>
              </w:rPr>
              <w:t>②中标人在履行采购合同期间，违反有关法律法规的规定及合同约定的条款，损害了采购人的利益。</w:t>
            </w:r>
          </w:p>
          <w:p>
            <w:pPr>
              <w:shd w:val="clear"/>
              <w:jc w:val="both"/>
              <w:rPr>
                <w:rFonts w:ascii="宋体" w:hAnsi="宋体"/>
                <w:b/>
                <w:color w:val="auto"/>
                <w:sz w:val="21"/>
                <w:szCs w:val="21"/>
                <w:highlight w:val="none"/>
              </w:rPr>
            </w:pPr>
            <w:r>
              <w:rPr>
                <w:rFonts w:hint="eastAsia" w:ascii="宋体" w:hAnsi="宋体"/>
                <w:color w:val="auto"/>
                <w:sz w:val="21"/>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16</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keepNext w:val="0"/>
              <w:keepLines w:val="0"/>
              <w:pageBreakBefore w:val="0"/>
              <w:widowControl w:val="0"/>
              <w:shd w:val="clear"/>
              <w:tabs>
                <w:tab w:val="left" w:pos="907"/>
              </w:tabs>
              <w:kinsoku/>
              <w:wordWrap/>
              <w:overflowPunct/>
              <w:topLinePunct w:val="0"/>
              <w:autoSpaceDE/>
              <w:autoSpaceDN/>
              <w:bidi w:val="0"/>
              <w:adjustRightInd/>
              <w:snapToGrid/>
              <w:spacing w:after="0" w:line="360" w:lineRule="auto"/>
              <w:jc w:val="both"/>
              <w:textAlignment w:val="auto"/>
              <w:rPr>
                <w:rFonts w:ascii="宋体" w:hAnsi="宋体" w:eastAsia="宋体" w:cstheme="minorBidi"/>
                <w:color w:val="auto"/>
                <w:sz w:val="21"/>
                <w:szCs w:val="21"/>
                <w:highlight w:val="none"/>
                <w:lang w:val="en-US" w:eastAsia="zh-CN" w:bidi="ar-SA"/>
              </w:rPr>
            </w:pPr>
            <w:r>
              <w:rPr>
                <w:rFonts w:hint="eastAsia" w:ascii="宋体" w:hAnsi="宋体" w:eastAsia="宋体" w:cstheme="minorBidi"/>
                <w:color w:val="auto"/>
                <w:sz w:val="21"/>
                <w:szCs w:val="21"/>
                <w:highlight w:val="none"/>
                <w:lang w:val="en-US" w:eastAsia="zh-CN" w:bidi="ar-SA"/>
              </w:rPr>
              <w:t>本项目中标服务费由采购人支付。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pPr>
              <w:widowControl w:val="0"/>
              <w:shd w:val="clear"/>
              <w:tabs>
                <w:tab w:val="left" w:pos="907"/>
              </w:tabs>
              <w:adjustRightInd/>
              <w:snapToGrid/>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注：本表关于要采购项目的具体资料，是对投标人须知的具体补充和修改，如有矛盾，应以本资料表为准。不满足采购文件中 “★”条款的投标文件将作无效投标处理。</w:t>
            </w:r>
          </w:p>
        </w:tc>
      </w:tr>
    </w:tbl>
    <w:p>
      <w:pPr>
        <w:shd w:val="clear"/>
        <w:jc w:val="center"/>
        <w:rPr>
          <w:color w:val="auto"/>
          <w:highlight w:val="none"/>
        </w:rPr>
      </w:pPr>
      <w:r>
        <w:rPr>
          <w:rFonts w:hint="eastAsia"/>
          <w:color w:val="auto"/>
          <w:highlight w:val="none"/>
        </w:rPr>
        <w:br w:type="page"/>
      </w:r>
    </w:p>
    <w:p>
      <w:pPr>
        <w:pStyle w:val="7"/>
        <w:shd w:val="clear"/>
        <w:spacing w:before="0" w:after="0" w:line="240" w:lineRule="auto"/>
        <w:jc w:val="center"/>
        <w:rPr>
          <w:rFonts w:hAnsi="宋体" w:cs="宋体"/>
          <w:color w:val="auto"/>
          <w:sz w:val="21"/>
          <w:szCs w:val="21"/>
          <w:highlight w:val="none"/>
        </w:rPr>
      </w:pPr>
      <w:bookmarkStart w:id="4" w:name="_Toc29016"/>
      <w:bookmarkStart w:id="5" w:name="_Toc31223"/>
      <w:r>
        <w:rPr>
          <w:rFonts w:hint="eastAsia" w:ascii="宋体" w:hAnsi="宋体" w:cs="宋体"/>
          <w:color w:val="auto"/>
          <w:sz w:val="24"/>
          <w:szCs w:val="24"/>
          <w:highlight w:val="none"/>
        </w:rPr>
        <w:t>附表二：商务技术评分及价格权重表（满分100分）</w:t>
      </w:r>
      <w:bookmarkEnd w:id="4"/>
      <w:bookmarkEnd w:id="5"/>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0"/>
        <w:gridCol w:w="1060"/>
        <w:gridCol w:w="734"/>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82"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30</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lang w:eastAsia="zh-CN"/>
              </w:rPr>
            </w:pPr>
            <w:r>
              <w:rPr>
                <w:rFonts w:hint="eastAsia" w:ascii="宋体" w:eastAsia="宋体" w:cs="宋体"/>
                <w:color w:val="auto"/>
                <w:sz w:val="21"/>
                <w:szCs w:val="21"/>
                <w:highlight w:val="none"/>
                <w:u w:val="none"/>
              </w:rPr>
              <w:t>体系</w:t>
            </w:r>
            <w:r>
              <w:rPr>
                <w:rFonts w:hint="eastAsia" w:ascii="宋体" w:eastAsia="宋体" w:cs="宋体"/>
                <w:color w:val="auto"/>
                <w:sz w:val="21"/>
                <w:szCs w:val="21"/>
                <w:highlight w:val="none"/>
                <w:u w:val="none"/>
                <w:lang w:eastAsia="zh-CN"/>
              </w:rPr>
              <w:t>认证</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投标人具有由国家认证认可监督管理部门批准设立的认证机构颁发的有效期内认证证书：</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①质量管理体系认证；</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②环境管理体系认证；</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③职业健康安全管理体系认证；</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ascii="宋体" w:eastAsia="宋体" w:cs="宋体"/>
                <w:bCs/>
                <w:color w:val="auto"/>
                <w:sz w:val="21"/>
                <w:szCs w:val="21"/>
                <w:highlight w:val="none"/>
                <w:u w:val="none"/>
                <w:lang w:val="zh-CN"/>
              </w:rPr>
            </w:pPr>
            <w:r>
              <w:rPr>
                <w:rFonts w:hint="eastAsia" w:ascii="宋体" w:eastAsia="宋体" w:cs="宋体"/>
                <w:b/>
                <w:bCs w:val="0"/>
                <w:color w:val="auto"/>
                <w:sz w:val="21"/>
                <w:szCs w:val="21"/>
                <w:highlight w:val="none"/>
                <w:u w:val="none"/>
                <w:lang w:val="zh-CN"/>
              </w:rPr>
              <w:t>注：投标人</w:t>
            </w:r>
            <w:r>
              <w:rPr>
                <w:rFonts w:hint="eastAsia" w:ascii="宋体" w:eastAsia="宋体" w:cs="宋体"/>
                <w:b/>
                <w:bCs w:val="0"/>
                <w:color w:val="auto"/>
                <w:sz w:val="21"/>
                <w:szCs w:val="21"/>
                <w:highlight w:val="none"/>
                <w:u w:val="none"/>
              </w:rPr>
              <w:t>每提供一项得</w:t>
            </w:r>
            <w:r>
              <w:rPr>
                <w:rFonts w:hint="eastAsia" w:ascii="宋体" w:eastAsia="宋体" w:cs="宋体"/>
                <w:b/>
                <w:bCs w:val="0"/>
                <w:color w:val="auto"/>
                <w:sz w:val="21"/>
                <w:szCs w:val="21"/>
                <w:highlight w:val="none"/>
                <w:u w:val="none"/>
                <w:lang w:val="en-US" w:eastAsia="zh-CN"/>
              </w:rPr>
              <w:t>1</w:t>
            </w:r>
            <w:r>
              <w:rPr>
                <w:rFonts w:hint="eastAsia" w:ascii="宋体" w:eastAsia="宋体" w:cs="宋体"/>
                <w:b/>
                <w:bCs w:val="0"/>
                <w:color w:val="auto"/>
                <w:sz w:val="21"/>
                <w:szCs w:val="21"/>
                <w:highlight w:val="none"/>
                <w:u w:val="none"/>
              </w:rPr>
              <w:t>分，本项最高得</w:t>
            </w:r>
            <w:r>
              <w:rPr>
                <w:rFonts w:hint="eastAsia" w:ascii="宋体" w:eastAsia="宋体" w:cs="宋体"/>
                <w:b/>
                <w:bCs w:val="0"/>
                <w:color w:val="auto"/>
                <w:sz w:val="21"/>
                <w:szCs w:val="21"/>
                <w:highlight w:val="none"/>
                <w:u w:val="none"/>
                <w:lang w:val="en-US" w:eastAsia="zh-CN"/>
              </w:rPr>
              <w:t>3</w:t>
            </w:r>
            <w:r>
              <w:rPr>
                <w:rFonts w:hint="eastAsia" w:ascii="宋体" w:eastAsia="宋体" w:cs="宋体"/>
                <w:b/>
                <w:bCs w:val="0"/>
                <w:color w:val="auto"/>
                <w:sz w:val="21"/>
                <w:szCs w:val="21"/>
                <w:highlight w:val="none"/>
                <w:u w:val="none"/>
              </w:rPr>
              <w:t>分</w:t>
            </w:r>
            <w:r>
              <w:rPr>
                <w:rFonts w:hint="eastAsia" w:ascii="宋体" w:eastAsia="宋体" w:cs="宋体"/>
                <w:b/>
                <w:bCs w:val="0"/>
                <w:color w:val="auto"/>
                <w:sz w:val="21"/>
                <w:szCs w:val="21"/>
                <w:highlight w:val="none"/>
                <w:u w:val="none"/>
                <w:lang w:val="en-US" w:eastAsia="zh-CN"/>
              </w:rPr>
              <w:t>,</w:t>
            </w:r>
            <w:r>
              <w:rPr>
                <w:rFonts w:hint="eastAsia" w:ascii="宋体" w:eastAsia="宋体" w:cs="宋体"/>
                <w:b/>
                <w:bCs w:val="0"/>
                <w:color w:val="auto"/>
                <w:sz w:val="21"/>
                <w:szCs w:val="21"/>
                <w:highlight w:val="none"/>
                <w:u w:val="none"/>
                <w:lang w:val="zh-CN"/>
              </w:rPr>
              <w:t>应提供上述有效证书复印件及能显示证书有效状态的全国认证认可信息公共服务平台（http://cx.cnca.cn/）查询结果凭证[凭证界面需显示有“全国认证认可信息公共服务平台”或“认证证书（需显示网址cx.cnca.cn）”]，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财务状况</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根据投标人2021、2022、2023年的财务状况进行评审，三年盈利得</w:t>
            </w:r>
            <w:r>
              <w:rPr>
                <w:rFonts w:hint="eastAsia" w:ascii="宋体" w:eastAsia="宋体" w:cs="宋体"/>
                <w:bCs/>
                <w:color w:val="auto"/>
                <w:sz w:val="21"/>
                <w:szCs w:val="21"/>
                <w:highlight w:val="none"/>
                <w:u w:val="none"/>
                <w:lang w:val="en-US" w:eastAsia="zh-CN"/>
              </w:rPr>
              <w:t>3</w:t>
            </w:r>
            <w:r>
              <w:rPr>
                <w:rFonts w:hint="eastAsia" w:ascii="宋体" w:eastAsia="宋体" w:cs="宋体"/>
                <w:bCs/>
                <w:color w:val="auto"/>
                <w:sz w:val="21"/>
                <w:szCs w:val="21"/>
                <w:highlight w:val="none"/>
                <w:u w:val="none"/>
                <w:lang w:val="zh-CN"/>
              </w:rPr>
              <w:t>分，两年盈利得</w:t>
            </w:r>
            <w:r>
              <w:rPr>
                <w:rFonts w:hint="eastAsia" w:ascii="宋体" w:eastAsia="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分，一年盈利得</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分，无盈利不得分。</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hint="eastAsia" w:eastAsia="宋体"/>
                <w:color w:val="auto"/>
                <w:highlight w:val="none"/>
                <w:u w:val="none"/>
                <w:lang w:eastAsia="zh-CN"/>
              </w:rPr>
            </w:pPr>
            <w:r>
              <w:rPr>
                <w:rFonts w:hint="eastAsia" w:ascii="宋体" w:eastAsia="宋体" w:cs="宋体"/>
                <w:b/>
                <w:color w:val="auto"/>
                <w:sz w:val="21"/>
                <w:szCs w:val="21"/>
                <w:highlight w:val="none"/>
                <w:u w:val="none"/>
                <w:lang w:val="zh-CN"/>
              </w:rPr>
              <w:t>注：须提供</w:t>
            </w:r>
            <w:r>
              <w:rPr>
                <w:rFonts w:hint="eastAsia" w:ascii="宋体" w:eastAsia="宋体" w:cs="宋体"/>
                <w:b/>
                <w:bCs/>
                <w:color w:val="auto"/>
                <w:sz w:val="21"/>
                <w:szCs w:val="21"/>
                <w:highlight w:val="none"/>
                <w:u w:val="none"/>
              </w:rPr>
              <w:t>会计师事务所审计的</w:t>
            </w:r>
            <w:r>
              <w:rPr>
                <w:rFonts w:hint="eastAsia" w:ascii="宋体" w:eastAsia="宋体" w:cs="宋体"/>
                <w:b/>
                <w:bCs/>
                <w:color w:val="auto"/>
                <w:sz w:val="21"/>
                <w:szCs w:val="21"/>
                <w:highlight w:val="none"/>
                <w:u w:val="none"/>
                <w:lang w:eastAsia="zh-CN"/>
              </w:rPr>
              <w:t>完整的</w:t>
            </w:r>
            <w:r>
              <w:rPr>
                <w:rFonts w:hint="eastAsia" w:ascii="宋体" w:eastAsia="宋体" w:cs="宋体"/>
                <w:b/>
                <w:bCs/>
                <w:color w:val="auto"/>
                <w:sz w:val="21"/>
                <w:szCs w:val="21"/>
                <w:highlight w:val="none"/>
                <w:u w:val="none"/>
              </w:rPr>
              <w:t>财务报表复印件加盖投标人公章</w:t>
            </w:r>
            <w:r>
              <w:rPr>
                <w:rFonts w:hint="eastAsia" w:ascii="宋体" w:eastAsia="宋体" w:cs="宋体"/>
                <w:b/>
                <w:bCs/>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06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lang w:eastAsia="zh-CN"/>
              </w:rPr>
              <w:t>同类</w:t>
            </w:r>
            <w:r>
              <w:rPr>
                <w:rFonts w:hint="eastAsia" w:ascii="宋体" w:eastAsia="宋体" w:cs="宋体"/>
                <w:color w:val="auto"/>
                <w:sz w:val="21"/>
                <w:szCs w:val="21"/>
                <w:highlight w:val="none"/>
                <w:u w:val="none"/>
              </w:rPr>
              <w:t>业绩</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color w:val="auto"/>
                <w:highlight w:val="none"/>
                <w:u w:val="none"/>
                <w:lang w:val="en-US"/>
              </w:rPr>
            </w:pPr>
            <w:r>
              <w:rPr>
                <w:rFonts w:hint="eastAsia" w:ascii="宋体" w:eastAsia="宋体" w:cs="宋体"/>
                <w:color w:val="auto"/>
                <w:sz w:val="21"/>
                <w:szCs w:val="21"/>
                <w:highlight w:val="none"/>
                <w:u w:val="none"/>
                <w:lang w:val="en-US" w:eastAsia="zh-CN"/>
              </w:rPr>
              <w:t>8分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auto"/>
                <w:sz w:val="21"/>
                <w:szCs w:val="21"/>
                <w:highlight w:val="none"/>
                <w:u w:val="none"/>
                <w:lang w:val="zh-CN" w:eastAsia="zh-CN"/>
              </w:rPr>
            </w:pPr>
            <w:r>
              <w:rPr>
                <w:rFonts w:hint="eastAsia" w:ascii="宋体" w:eastAsia="宋体" w:cs="宋体"/>
                <w:bCs/>
                <w:color w:val="auto"/>
                <w:sz w:val="21"/>
                <w:szCs w:val="21"/>
                <w:highlight w:val="none"/>
                <w:u w:val="none"/>
                <w:lang w:val="en-US" w:eastAsia="zh-CN"/>
              </w:rPr>
              <w:t>自2021年1月1日以</w:t>
            </w:r>
            <w:r>
              <w:rPr>
                <w:rFonts w:hint="eastAsia" w:ascii="宋体" w:eastAsia="宋体" w:cs="宋体"/>
                <w:bCs/>
                <w:color w:val="auto"/>
                <w:sz w:val="21"/>
                <w:szCs w:val="21"/>
                <w:highlight w:val="none"/>
                <w:u w:val="none"/>
                <w:shd w:val="clear"/>
                <w:lang w:val="en-US" w:eastAsia="zh-CN"/>
              </w:rPr>
              <w:t>来</w:t>
            </w:r>
            <w:r>
              <w:rPr>
                <w:rFonts w:hint="eastAsia" w:ascii="宋体" w:hAnsi="宋体" w:eastAsia="宋体" w:cs="宋体"/>
                <w:bCs/>
                <w:color w:val="auto"/>
                <w:sz w:val="21"/>
                <w:szCs w:val="21"/>
                <w:highlight w:val="none"/>
                <w:u w:val="none"/>
                <w:shd w:val="clear"/>
                <w:lang w:val="zh-CN" w:eastAsia="zh-CN"/>
              </w:rPr>
              <w:t>具有</w:t>
            </w:r>
            <w:r>
              <w:rPr>
                <w:rFonts w:hint="eastAsia" w:ascii="宋体" w:eastAsia="宋体" w:cs="宋体"/>
                <w:bCs/>
                <w:color w:val="auto"/>
                <w:sz w:val="21"/>
                <w:szCs w:val="21"/>
                <w:highlight w:val="none"/>
                <w:u w:val="none"/>
                <w:shd w:val="clear"/>
                <w:lang w:val="en-US" w:eastAsia="zh-CN"/>
              </w:rPr>
              <w:t>所投品牌的</w:t>
            </w:r>
            <w:r>
              <w:rPr>
                <w:rFonts w:hint="eastAsia" w:ascii="宋体" w:hAnsi="宋体" w:eastAsia="宋体" w:cs="宋体"/>
                <w:bCs/>
                <w:color w:val="auto"/>
                <w:sz w:val="21"/>
                <w:szCs w:val="21"/>
                <w:highlight w:val="none"/>
                <w:u w:val="none"/>
                <w:shd w:val="clear"/>
                <w:lang w:val="zh-CN" w:eastAsia="zh-CN"/>
              </w:rPr>
              <w:t>电梯设备采购安装项目业绩，每提供一个</w:t>
            </w:r>
            <w:r>
              <w:rPr>
                <w:rFonts w:hint="eastAsia" w:ascii="宋体" w:eastAsia="宋体" w:cs="宋体"/>
                <w:bCs/>
                <w:color w:val="auto"/>
                <w:sz w:val="21"/>
                <w:szCs w:val="21"/>
                <w:highlight w:val="none"/>
                <w:u w:val="none"/>
                <w:shd w:val="clear"/>
                <w:lang w:val="en-US" w:eastAsia="zh-CN"/>
              </w:rPr>
              <w:t>有</w:t>
            </w:r>
            <w:r>
              <w:rPr>
                <w:rFonts w:hint="eastAsia" w:ascii="宋体" w:eastAsia="宋体" w:cs="宋体"/>
                <w:bCs/>
                <w:color w:val="auto"/>
                <w:sz w:val="21"/>
                <w:szCs w:val="21"/>
                <w:highlight w:val="none"/>
                <w:u w:val="none"/>
                <w:lang w:val="en-US" w:eastAsia="zh-CN"/>
              </w:rPr>
              <w:t>效</w:t>
            </w:r>
            <w:r>
              <w:rPr>
                <w:rFonts w:hint="eastAsia" w:ascii="宋体" w:hAnsi="宋体" w:eastAsia="宋体" w:cs="宋体"/>
                <w:bCs/>
                <w:color w:val="auto"/>
                <w:sz w:val="21"/>
                <w:szCs w:val="21"/>
                <w:highlight w:val="none"/>
                <w:u w:val="none"/>
                <w:lang w:val="zh-CN" w:eastAsia="zh-CN"/>
              </w:rPr>
              <w:t>合同业绩得</w:t>
            </w:r>
            <w:r>
              <w:rPr>
                <w:rFonts w:hint="eastAsia" w:asci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lang w:val="zh-CN" w:eastAsia="zh-CN"/>
              </w:rPr>
              <w:t>分，本项最高得</w:t>
            </w:r>
            <w:r>
              <w:rPr>
                <w:rFonts w:hint="eastAsia" w:ascii="宋体" w:eastAsia="宋体" w:cs="宋体"/>
                <w:bCs/>
                <w:color w:val="auto"/>
                <w:sz w:val="21"/>
                <w:szCs w:val="21"/>
                <w:highlight w:val="none"/>
                <w:u w:val="none"/>
                <w:lang w:val="en-US" w:eastAsia="zh-CN"/>
              </w:rPr>
              <w:t>8</w:t>
            </w:r>
            <w:r>
              <w:rPr>
                <w:rFonts w:hint="eastAsia" w:ascii="宋体" w:hAnsi="宋体" w:eastAsia="宋体" w:cs="宋体"/>
                <w:bCs/>
                <w:color w:val="auto"/>
                <w:sz w:val="21"/>
                <w:szCs w:val="21"/>
                <w:highlight w:val="none"/>
                <w:u w:val="none"/>
                <w:lang w:val="zh-CN" w:eastAsia="zh-CN"/>
              </w:rPr>
              <w:t>分。</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asci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u w:val="none"/>
                <w:lang w:val="zh-CN" w:eastAsia="zh-CN"/>
              </w:rPr>
              <w:t>注：以合同签订时间为准</w:t>
            </w:r>
            <w:r>
              <w:rPr>
                <w:rFonts w:hint="eastAsia" w:ascii="宋体" w:eastAsia="宋体" w:cs="宋体"/>
                <w:b/>
                <w:color w:val="auto"/>
                <w:sz w:val="21"/>
                <w:szCs w:val="21"/>
                <w:highlight w:val="none"/>
                <w:u w:val="none"/>
                <w:lang w:val="zh-CN" w:eastAsia="zh-CN"/>
              </w:rPr>
              <w:t>，</w:t>
            </w:r>
            <w:r>
              <w:rPr>
                <w:rFonts w:hint="eastAsia" w:ascii="宋体" w:hAnsi="宋体" w:eastAsia="宋体" w:cs="宋体"/>
                <w:b/>
                <w:color w:val="auto"/>
                <w:sz w:val="21"/>
                <w:szCs w:val="21"/>
                <w:highlight w:val="none"/>
                <w:u w:val="none"/>
                <w:lang w:val="zh-CN" w:eastAsia="zh-CN"/>
              </w:rPr>
              <w:t>须提供合同关键页复印件（包含但不限于合同首页、合同金额页、合同签字页等）、相关发票等证明材料并加盖投标人公章。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7"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人员要求</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6分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en-US" w:eastAsia="zh-CN"/>
              </w:rPr>
              <w:t>1、</w:t>
            </w:r>
            <w:bookmarkStart w:id="6" w:name="OLE_LINK2"/>
            <w:r>
              <w:rPr>
                <w:rFonts w:hint="eastAsia" w:ascii="宋体" w:eastAsia="宋体" w:cs="宋体"/>
                <w:bCs/>
                <w:color w:val="auto"/>
                <w:sz w:val="21"/>
                <w:szCs w:val="21"/>
                <w:highlight w:val="none"/>
                <w:u w:val="none"/>
                <w:lang w:val="zh-CN"/>
              </w:rPr>
              <w:t>投标人</w:t>
            </w:r>
            <w:bookmarkEnd w:id="6"/>
            <w:r>
              <w:rPr>
                <w:rFonts w:hint="eastAsia" w:ascii="宋体" w:eastAsia="宋体" w:cs="宋体"/>
                <w:bCs/>
                <w:color w:val="auto"/>
                <w:sz w:val="21"/>
                <w:szCs w:val="21"/>
                <w:highlight w:val="none"/>
                <w:u w:val="none"/>
                <w:lang w:val="zh-CN"/>
              </w:rPr>
              <w:t xml:space="preserve">项目安全管理员具有注册安全工程师资格证书或具有国家授予的特种作业操作证“特种设备安全管理（A）”的得2分；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 xml:space="preserve">2、投标人安装人员具有国家授予的特种作业操作证“电梯修理（T）”的，每提供1个人员证书得1分，最高2分；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3、投标人安装人员具有国家授予的特种作业操作证“高处作业证”的，每提供1个人员证书得</w:t>
            </w:r>
            <w:r>
              <w:rPr>
                <w:rFonts w:hint="eastAsia" w:ascii="宋体" w:eastAsia="宋体" w:cs="宋体"/>
                <w:bCs/>
                <w:color w:val="auto"/>
                <w:sz w:val="21"/>
                <w:szCs w:val="21"/>
                <w:highlight w:val="none"/>
                <w:u w:val="none"/>
                <w:lang w:val="en-US" w:eastAsia="zh-CN"/>
              </w:rPr>
              <w:t>0.5</w:t>
            </w:r>
            <w:r>
              <w:rPr>
                <w:rFonts w:hint="eastAsia" w:ascii="宋体" w:eastAsia="宋体" w:cs="宋体"/>
                <w:bCs/>
                <w:color w:val="auto"/>
                <w:sz w:val="21"/>
                <w:szCs w:val="21"/>
                <w:highlight w:val="none"/>
                <w:u w:val="none"/>
                <w:lang w:val="zh-CN"/>
              </w:rPr>
              <w:t>分，最高</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 xml:space="preserve">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4、投标人安装人员具有国家授予的特种作业操作证“电焊工作业证”的每提供1个人员证书得</w:t>
            </w:r>
            <w:r>
              <w:rPr>
                <w:rFonts w:hint="eastAsia" w:ascii="宋体" w:eastAsia="宋体" w:cs="宋体"/>
                <w:bCs/>
                <w:color w:val="auto"/>
                <w:sz w:val="21"/>
                <w:szCs w:val="21"/>
                <w:highlight w:val="none"/>
                <w:u w:val="none"/>
                <w:lang w:val="en-US" w:eastAsia="zh-CN"/>
              </w:rPr>
              <w:t>0.5</w:t>
            </w:r>
            <w:r>
              <w:rPr>
                <w:rFonts w:hint="eastAsia" w:ascii="宋体" w:eastAsia="宋体" w:cs="宋体"/>
                <w:bCs/>
                <w:color w:val="auto"/>
                <w:sz w:val="21"/>
                <w:szCs w:val="21"/>
                <w:highlight w:val="none"/>
                <w:u w:val="none"/>
                <w:lang w:val="zh-CN"/>
              </w:rPr>
              <w:t>分，最高</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 xml:space="preserve">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hint="eastAsia" w:ascii="宋体" w:eastAsia="宋体" w:cs="宋体"/>
                <w:color w:val="auto"/>
                <w:sz w:val="21"/>
                <w:szCs w:val="21"/>
                <w:highlight w:val="none"/>
                <w:u w:val="none"/>
                <w:lang w:eastAsia="zh-CN"/>
              </w:rPr>
            </w:pPr>
            <w:r>
              <w:rPr>
                <w:rFonts w:hint="eastAsia" w:ascii="宋体" w:eastAsia="宋体" w:cs="宋体"/>
                <w:b/>
                <w:bCs/>
                <w:color w:val="auto"/>
                <w:sz w:val="21"/>
                <w:szCs w:val="21"/>
                <w:highlight w:val="none"/>
                <w:u w:val="none"/>
              </w:rPr>
              <w:t>注：以上人员不得重复得分；须提供有效的相关证书复印件加盖投标人公章, 并提供社保部门出具的投标人为其购买的近六个月内任意</w:t>
            </w:r>
            <w:r>
              <w:rPr>
                <w:rFonts w:hint="eastAsia" w:ascii="宋体" w:eastAsia="宋体" w:cs="宋体"/>
                <w:b/>
                <w:bCs/>
                <w:color w:val="auto"/>
                <w:sz w:val="21"/>
                <w:szCs w:val="21"/>
                <w:highlight w:val="none"/>
                <w:u w:val="none"/>
                <w:lang w:eastAsia="zh-CN"/>
              </w:rPr>
              <w:t>三</w:t>
            </w:r>
            <w:r>
              <w:rPr>
                <w:rFonts w:hint="eastAsia" w:ascii="宋体" w:eastAsia="宋体" w:cs="宋体"/>
                <w:b/>
                <w:bCs/>
                <w:color w:val="auto"/>
                <w:sz w:val="21"/>
                <w:szCs w:val="21"/>
                <w:highlight w:val="none"/>
                <w:u w:val="none"/>
              </w:rPr>
              <w:t>个月的社会保险证明材料加盖投标人公章，否则不得分</w:t>
            </w:r>
            <w:r>
              <w:rPr>
                <w:rFonts w:hint="eastAsia" w:ascii="宋体" w:eastAsia="宋体" w:cs="宋体"/>
                <w:b/>
                <w:bCs w:val="0"/>
                <w:color w:val="auto"/>
                <w:sz w:val="21"/>
                <w:szCs w:val="21"/>
                <w:highlight w:val="none"/>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7"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rPr>
            </w:pPr>
            <w:r>
              <w:rPr>
                <w:rFonts w:hint="eastAsia" w:ascii="宋体" w:eastAsia="宋体" w:cs="宋体"/>
                <w:color w:val="auto"/>
                <w:sz w:val="21"/>
                <w:szCs w:val="21"/>
                <w:highlight w:val="none"/>
                <w:u w:val="none"/>
              </w:rPr>
              <w:t>电梯安装工期</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10分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hAnsi="宋体" w:eastAsia="宋体" w:cs="Times New Roman"/>
                <w:b/>
                <w:color w:val="auto"/>
                <w:kern w:val="0"/>
                <w:sz w:val="21"/>
                <w:szCs w:val="21"/>
                <w:highlight w:val="none"/>
              </w:rPr>
            </w:pPr>
            <w:r>
              <w:rPr>
                <w:rFonts w:hint="eastAsia" w:ascii="宋体" w:hAnsi="宋体" w:eastAsia="宋体" w:cs="Times New Roman"/>
                <w:bCs/>
                <w:color w:val="auto"/>
                <w:kern w:val="0"/>
                <w:sz w:val="21"/>
                <w:szCs w:val="21"/>
                <w:highlight w:val="none"/>
              </w:rPr>
              <w:t>单梯楼栋电梯</w:t>
            </w:r>
            <w:r>
              <w:rPr>
                <w:rFonts w:hint="eastAsia" w:ascii="宋体" w:eastAsia="宋体" w:cs="宋体"/>
                <w:bCs/>
                <w:color w:val="auto"/>
                <w:sz w:val="21"/>
                <w:szCs w:val="21"/>
                <w:highlight w:val="none"/>
                <w:u w:val="none"/>
                <w:lang w:val="zh-CN"/>
              </w:rPr>
              <w:t>安装</w:t>
            </w:r>
            <w:r>
              <w:rPr>
                <w:rFonts w:hint="eastAsia" w:ascii="宋体" w:hAnsi="宋体" w:eastAsia="宋体" w:cs="Times New Roman"/>
                <w:bCs/>
                <w:color w:val="auto"/>
                <w:kern w:val="0"/>
                <w:sz w:val="21"/>
                <w:szCs w:val="21"/>
                <w:highlight w:val="none"/>
              </w:rPr>
              <w:t>工期为2</w:t>
            </w:r>
            <w:r>
              <w:rPr>
                <w:rFonts w:ascii="宋体" w:hAnsi="宋体" w:eastAsia="宋体" w:cs="Times New Roman"/>
                <w:bCs/>
                <w:color w:val="auto"/>
                <w:kern w:val="0"/>
                <w:sz w:val="21"/>
                <w:szCs w:val="21"/>
                <w:highlight w:val="none"/>
              </w:rPr>
              <w:t>0</w:t>
            </w:r>
            <w:r>
              <w:rPr>
                <w:rFonts w:hint="eastAsia" w:ascii="宋体" w:hAnsi="宋体" w:eastAsia="宋体" w:cs="Times New Roman"/>
                <w:bCs/>
                <w:color w:val="auto"/>
                <w:kern w:val="0"/>
                <w:sz w:val="21"/>
                <w:szCs w:val="21"/>
                <w:highlight w:val="none"/>
              </w:rPr>
              <w:t>天，</w:t>
            </w:r>
            <w:r>
              <w:rPr>
                <w:rFonts w:hint="eastAsia" w:ascii="宋体" w:eastAsia="宋体" w:cs="宋体"/>
                <w:bCs/>
                <w:color w:val="auto"/>
                <w:sz w:val="21"/>
                <w:szCs w:val="21"/>
                <w:highlight w:val="none"/>
                <w:u w:val="none"/>
                <w:lang w:val="zh-CN"/>
              </w:rPr>
              <w:t>投标人</w:t>
            </w:r>
            <w:r>
              <w:rPr>
                <w:rFonts w:hint="eastAsia" w:ascii="宋体" w:hAnsi="宋体" w:eastAsia="宋体" w:cs="Times New Roman"/>
                <w:bCs/>
                <w:color w:val="auto"/>
                <w:kern w:val="0"/>
                <w:sz w:val="21"/>
                <w:szCs w:val="21"/>
                <w:highlight w:val="none"/>
                <w:lang w:val="en-US" w:eastAsia="zh-CN"/>
              </w:rPr>
              <w:t>承诺</w:t>
            </w:r>
            <w:r>
              <w:rPr>
                <w:rFonts w:hint="eastAsia" w:ascii="宋体" w:hAnsi="宋体" w:eastAsia="宋体" w:cs="Times New Roman"/>
                <w:bCs/>
                <w:color w:val="auto"/>
                <w:kern w:val="0"/>
                <w:sz w:val="21"/>
                <w:szCs w:val="21"/>
                <w:highlight w:val="none"/>
              </w:rPr>
              <w:t>每提前1天完成得1分，本项最高</w:t>
            </w:r>
            <w:r>
              <w:rPr>
                <w:rFonts w:hint="eastAsia" w:ascii="宋体" w:hAnsi="宋体" w:eastAsia="宋体" w:cs="Times New Roman"/>
                <w:bCs/>
                <w:color w:val="auto"/>
                <w:kern w:val="0"/>
                <w:sz w:val="21"/>
                <w:szCs w:val="21"/>
                <w:highlight w:val="none"/>
                <w:lang w:val="en-US" w:eastAsia="zh-CN"/>
              </w:rPr>
              <w:t>得</w:t>
            </w:r>
            <w:r>
              <w:rPr>
                <w:rFonts w:hint="eastAsia" w:ascii="宋体" w:hAnsi="宋体" w:eastAsia="宋体" w:cs="Times New Roman"/>
                <w:bCs/>
                <w:color w:val="auto"/>
                <w:kern w:val="0"/>
                <w:sz w:val="21"/>
                <w:szCs w:val="21"/>
                <w:highlight w:val="none"/>
              </w:rPr>
              <w:t>1</w:t>
            </w:r>
            <w:r>
              <w:rPr>
                <w:rFonts w:ascii="宋体" w:hAnsi="宋体" w:eastAsia="宋体" w:cs="Times New Roman"/>
                <w:bCs/>
                <w:color w:val="auto"/>
                <w:kern w:val="0"/>
                <w:sz w:val="21"/>
                <w:szCs w:val="21"/>
                <w:highlight w:val="none"/>
              </w:rPr>
              <w:t>0</w:t>
            </w:r>
            <w:r>
              <w:rPr>
                <w:rFonts w:hint="eastAsia" w:ascii="宋体" w:hAnsi="宋体" w:eastAsia="宋体" w:cs="Times New Roman"/>
                <w:bCs/>
                <w:color w:val="auto"/>
                <w:kern w:val="0"/>
                <w:sz w:val="21"/>
                <w:szCs w:val="21"/>
                <w:highlight w:val="none"/>
              </w:rPr>
              <w:t>分。（合同将按投标人承诺的电梯安装</w:t>
            </w:r>
            <w:r>
              <w:rPr>
                <w:rFonts w:hint="eastAsia" w:ascii="宋体" w:eastAsia="宋体" w:cs="Times New Roman"/>
                <w:bCs/>
                <w:color w:val="auto"/>
                <w:kern w:val="0"/>
                <w:sz w:val="21"/>
                <w:szCs w:val="21"/>
                <w:highlight w:val="none"/>
                <w:lang w:val="en-US" w:eastAsia="zh-CN"/>
              </w:rPr>
              <w:t>工</w:t>
            </w:r>
            <w:r>
              <w:rPr>
                <w:rFonts w:hint="eastAsia" w:ascii="宋体" w:hAnsi="宋体" w:eastAsia="宋体" w:cs="Times New Roman"/>
                <w:bCs/>
                <w:color w:val="auto"/>
                <w:kern w:val="0"/>
                <w:sz w:val="21"/>
                <w:szCs w:val="21"/>
                <w:highlight w:val="none"/>
              </w:rPr>
              <w:t>期进行考核，若</w:t>
            </w:r>
            <w:bookmarkStart w:id="7" w:name="OLE_LINK4"/>
            <w:r>
              <w:rPr>
                <w:rFonts w:hint="eastAsia" w:ascii="宋体" w:hAnsi="宋体" w:eastAsia="宋体" w:cs="Times New Roman"/>
                <w:bCs/>
                <w:color w:val="auto"/>
                <w:kern w:val="0"/>
                <w:sz w:val="21"/>
                <w:szCs w:val="21"/>
                <w:highlight w:val="none"/>
              </w:rPr>
              <w:t>逾</w:t>
            </w:r>
            <w:bookmarkEnd w:id="7"/>
            <w:r>
              <w:rPr>
                <w:rFonts w:hint="eastAsia" w:ascii="宋体" w:hAnsi="宋体" w:eastAsia="宋体" w:cs="Times New Roman"/>
                <w:bCs/>
                <w:color w:val="auto"/>
                <w:kern w:val="0"/>
                <w:sz w:val="21"/>
                <w:szCs w:val="21"/>
                <w:highlight w:val="none"/>
              </w:rPr>
              <w:t>期，每逾期一天处以</w:t>
            </w:r>
            <w:r>
              <w:rPr>
                <w:rFonts w:hint="eastAsia" w:ascii="宋体" w:eastAsia="宋体" w:cs="Times New Roman"/>
                <w:bCs/>
                <w:color w:val="auto"/>
                <w:kern w:val="0"/>
                <w:sz w:val="21"/>
                <w:szCs w:val="21"/>
                <w:highlight w:val="none"/>
                <w:lang w:val="en-US" w:eastAsia="zh-CN"/>
              </w:rPr>
              <w:t>人民币</w:t>
            </w:r>
            <w:r>
              <w:rPr>
                <w:rFonts w:hint="eastAsia" w:ascii="宋体" w:hAnsi="宋体" w:eastAsia="宋体" w:cs="Times New Roman"/>
                <w:bCs/>
                <w:color w:val="auto"/>
                <w:kern w:val="0"/>
                <w:sz w:val="21"/>
                <w:szCs w:val="21"/>
                <w:highlight w:val="none"/>
              </w:rPr>
              <w:t>1</w:t>
            </w:r>
            <w:r>
              <w:rPr>
                <w:rFonts w:ascii="宋体" w:hAnsi="宋体" w:eastAsia="宋体" w:cs="Times New Roman"/>
                <w:bCs/>
                <w:color w:val="auto"/>
                <w:kern w:val="0"/>
                <w:sz w:val="21"/>
                <w:szCs w:val="21"/>
                <w:highlight w:val="none"/>
              </w:rPr>
              <w:t>0000</w:t>
            </w:r>
            <w:r>
              <w:rPr>
                <w:rFonts w:hint="eastAsia" w:ascii="宋体" w:hAnsi="宋体" w:eastAsia="宋体" w:cs="Times New Roman"/>
                <w:bCs/>
                <w:color w:val="auto"/>
                <w:kern w:val="0"/>
                <w:sz w:val="21"/>
                <w:szCs w:val="21"/>
                <w:highlight w:val="none"/>
              </w:rPr>
              <w:t>元违约金。）</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无提供承诺函的不得分。</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注：</w:t>
            </w:r>
            <w:r>
              <w:rPr>
                <w:rFonts w:ascii="宋体" w:hAnsi="宋体" w:eastAsia="宋体" w:cs="Times New Roman"/>
                <w:b/>
                <w:color w:val="auto"/>
                <w:kern w:val="0"/>
                <w:sz w:val="21"/>
                <w:szCs w:val="21"/>
                <w:highlight w:val="none"/>
              </w:rPr>
              <w:t>1.</w:t>
            </w:r>
            <w:r>
              <w:rPr>
                <w:rFonts w:hint="eastAsia" w:ascii="宋体" w:hAnsi="宋体" w:eastAsia="宋体" w:cs="Times New Roman"/>
                <w:b/>
                <w:color w:val="auto"/>
                <w:kern w:val="0"/>
                <w:sz w:val="21"/>
                <w:szCs w:val="21"/>
                <w:highlight w:val="none"/>
              </w:rPr>
              <w:t>单梯楼栋电梯安装工期指：单梯楼栋</w:t>
            </w:r>
            <w:r>
              <w:rPr>
                <w:rFonts w:hint="eastAsia" w:ascii="宋体" w:hAnsi="宋体" w:eastAsia="宋体" w:cs="Times New Roman"/>
                <w:b/>
                <w:color w:val="auto"/>
                <w:kern w:val="0"/>
                <w:sz w:val="21"/>
                <w:szCs w:val="21"/>
                <w:highlight w:val="none"/>
                <w:lang w:val="en-US" w:eastAsia="zh-CN"/>
              </w:rPr>
              <w:t>电梯</w:t>
            </w:r>
            <w:r>
              <w:rPr>
                <w:rFonts w:hint="eastAsia" w:ascii="宋体" w:hAnsi="宋体" w:eastAsia="宋体" w:cs="Times New Roman"/>
                <w:b/>
                <w:color w:val="auto"/>
                <w:kern w:val="0"/>
                <w:sz w:val="21"/>
                <w:szCs w:val="21"/>
                <w:highlight w:val="none"/>
              </w:rPr>
              <w:t>自停梯之日起计算至安装</w:t>
            </w:r>
            <w:r>
              <w:rPr>
                <w:rFonts w:hint="eastAsia" w:ascii="宋体" w:eastAsia="宋体" w:cs="宋体"/>
                <w:b/>
                <w:bCs/>
                <w:color w:val="auto"/>
                <w:sz w:val="21"/>
                <w:szCs w:val="21"/>
                <w:highlight w:val="none"/>
                <w:u w:val="none"/>
              </w:rPr>
              <w:t>调试</w:t>
            </w:r>
            <w:r>
              <w:rPr>
                <w:rFonts w:hint="eastAsia" w:ascii="宋体" w:hAnsi="宋体" w:eastAsia="宋体" w:cs="Times New Roman"/>
                <w:b/>
                <w:color w:val="auto"/>
                <w:kern w:val="0"/>
                <w:sz w:val="21"/>
                <w:szCs w:val="21"/>
                <w:highlight w:val="none"/>
              </w:rPr>
              <w:t>完成（含拆除原电梯）。</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hint="eastAsia" w:ascii="宋体" w:eastAsia="宋体" w:cs="宋体"/>
                <w:b/>
                <w:bCs/>
                <w:color w:val="auto"/>
                <w:sz w:val="21"/>
                <w:szCs w:val="21"/>
                <w:highlight w:val="none"/>
                <w:u w:val="none"/>
              </w:rPr>
            </w:pPr>
            <w:r>
              <w:rPr>
                <w:rFonts w:hint="eastAsia" w:ascii="宋体" w:hAnsi="宋体" w:eastAsia="宋体" w:cs="Times New Roman"/>
                <w:b/>
                <w:color w:val="auto"/>
                <w:kern w:val="0"/>
                <w:sz w:val="21"/>
                <w:szCs w:val="21"/>
                <w:highlight w:val="none"/>
              </w:rPr>
              <w:t>2</w:t>
            </w:r>
            <w:r>
              <w:rPr>
                <w:rFonts w:ascii="宋体" w:hAnsi="宋体" w:eastAsia="宋体" w:cs="Times New Roman"/>
                <w:b/>
                <w:color w:val="auto"/>
                <w:kern w:val="0"/>
                <w:sz w:val="21"/>
                <w:szCs w:val="21"/>
                <w:highlight w:val="none"/>
              </w:rPr>
              <w:t>.</w:t>
            </w:r>
            <w:r>
              <w:rPr>
                <w:rFonts w:hint="eastAsia" w:ascii="宋体" w:hAnsi="宋体" w:eastAsia="宋体" w:cs="Times New Roman"/>
                <w:b/>
                <w:color w:val="auto"/>
                <w:kern w:val="0"/>
                <w:sz w:val="21"/>
                <w:szCs w:val="21"/>
                <w:highlight w:val="none"/>
              </w:rPr>
              <w:t>本项目单梯楼栋指：8栋、9栋、1</w:t>
            </w:r>
            <w:r>
              <w:rPr>
                <w:rFonts w:ascii="宋体" w:hAnsi="宋体" w:eastAsia="宋体" w:cs="Times New Roman"/>
                <w:b/>
                <w:color w:val="auto"/>
                <w:kern w:val="0"/>
                <w:sz w:val="21"/>
                <w:szCs w:val="21"/>
                <w:highlight w:val="none"/>
              </w:rPr>
              <w:t>0</w:t>
            </w:r>
            <w:r>
              <w:rPr>
                <w:rFonts w:hint="eastAsia" w:ascii="宋体" w:hAnsi="宋体" w:eastAsia="宋体" w:cs="Times New Roman"/>
                <w:b/>
                <w:color w:val="auto"/>
                <w:kern w:val="0"/>
                <w:sz w:val="21"/>
                <w:szCs w:val="21"/>
                <w:highlight w:val="none"/>
              </w:rPr>
              <w:t>栋、1</w:t>
            </w:r>
            <w:r>
              <w:rPr>
                <w:rFonts w:ascii="宋体" w:hAnsi="宋体" w:eastAsia="宋体" w:cs="Times New Roman"/>
                <w:b/>
                <w:color w:val="auto"/>
                <w:kern w:val="0"/>
                <w:sz w:val="21"/>
                <w:szCs w:val="21"/>
                <w:highlight w:val="none"/>
              </w:rPr>
              <w:t>1</w:t>
            </w:r>
            <w:r>
              <w:rPr>
                <w:rFonts w:hint="eastAsia" w:ascii="宋体" w:hAnsi="宋体" w:eastAsia="宋体" w:cs="Times New Roman"/>
                <w:b/>
                <w:color w:val="auto"/>
                <w:kern w:val="0"/>
                <w:sz w:val="21"/>
                <w:szCs w:val="21"/>
                <w:highlight w:val="none"/>
              </w:rPr>
              <w:t>栋、1</w:t>
            </w:r>
            <w:r>
              <w:rPr>
                <w:rFonts w:ascii="宋体" w:hAnsi="宋体" w:eastAsia="宋体" w:cs="Times New Roman"/>
                <w:b/>
                <w:color w:val="auto"/>
                <w:kern w:val="0"/>
                <w:sz w:val="21"/>
                <w:szCs w:val="21"/>
                <w:highlight w:val="none"/>
              </w:rPr>
              <w:t>8</w:t>
            </w:r>
            <w:r>
              <w:rPr>
                <w:rFonts w:hint="eastAsia" w:ascii="宋体" w:hAnsi="宋体" w:eastAsia="宋体" w:cs="Times New Roman"/>
                <w:b/>
                <w:color w:val="auto"/>
                <w:kern w:val="0"/>
                <w:sz w:val="21"/>
                <w:szCs w:val="21"/>
                <w:highlight w:val="none"/>
              </w:rPr>
              <w:t>栋、1</w:t>
            </w:r>
            <w:r>
              <w:rPr>
                <w:rFonts w:ascii="宋体" w:hAnsi="宋体" w:eastAsia="宋体" w:cs="Times New Roman"/>
                <w:b/>
                <w:color w:val="auto"/>
                <w:kern w:val="0"/>
                <w:sz w:val="21"/>
                <w:szCs w:val="21"/>
                <w:highlight w:val="none"/>
              </w:rPr>
              <w:t>9</w:t>
            </w:r>
            <w:r>
              <w:rPr>
                <w:rFonts w:hint="eastAsia" w:ascii="宋体" w:hAnsi="宋体" w:eastAsia="宋体" w:cs="Times New Roman"/>
                <w:b/>
                <w:color w:val="auto"/>
                <w:kern w:val="0"/>
                <w:sz w:val="21"/>
                <w:szCs w:val="21"/>
                <w:highlight w:val="none"/>
              </w:rPr>
              <w:t>栋、2</w:t>
            </w:r>
            <w:r>
              <w:rPr>
                <w:rFonts w:ascii="宋体" w:hAnsi="宋体" w:eastAsia="宋体" w:cs="Times New Roman"/>
                <w:b/>
                <w:color w:val="auto"/>
                <w:kern w:val="0"/>
                <w:sz w:val="21"/>
                <w:szCs w:val="21"/>
                <w:highlight w:val="none"/>
              </w:rPr>
              <w:t>0</w:t>
            </w:r>
            <w:r>
              <w:rPr>
                <w:rFonts w:hint="eastAsia" w:ascii="宋体" w:hAnsi="宋体" w:eastAsia="宋体" w:cs="Times New Roman"/>
                <w:b/>
                <w:color w:val="auto"/>
                <w:kern w:val="0"/>
                <w:sz w:val="21"/>
                <w:szCs w:val="21"/>
                <w:highlight w:val="none"/>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20</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施工组织方案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提供的</w:t>
            </w:r>
            <w:r>
              <w:rPr>
                <w:color w:val="auto"/>
                <w:highlight w:val="none"/>
              </w:rPr>
              <w:t>施工组织设计方案</w:t>
            </w:r>
            <w:r>
              <w:rPr>
                <w:rFonts w:hint="eastAsia" w:ascii="宋体" w:hAnsi="宋体" w:cs="宋体"/>
                <w:color w:val="auto"/>
                <w:szCs w:val="21"/>
                <w:highlight w:val="none"/>
                <w:u w:val="none"/>
              </w:rPr>
              <w:t>（包括不限于</w:t>
            </w:r>
            <w:r>
              <w:rPr>
                <w:rFonts w:hint="eastAsia" w:ascii="宋体" w:hAnsi="宋体" w:cs="宋体"/>
                <w:color w:val="auto"/>
                <w:szCs w:val="21"/>
                <w:highlight w:val="none"/>
                <w:u w:val="none"/>
                <w:lang w:eastAsia="zh-CN"/>
              </w:rPr>
              <w:t>设计方案、</w:t>
            </w:r>
            <w:r>
              <w:rPr>
                <w:rFonts w:hint="eastAsia" w:ascii="宋体" w:hAnsi="宋体" w:cs="宋体"/>
                <w:color w:val="auto"/>
                <w:szCs w:val="21"/>
                <w:highlight w:val="none"/>
                <w:u w:val="none"/>
              </w:rPr>
              <w:t>项目进度安排、项目验收方案、货物运输及保护措施、安装调试方案</w:t>
            </w:r>
            <w:r>
              <w:rPr>
                <w:rFonts w:hint="eastAsia" w:ascii="宋体" w:hAnsi="宋体" w:cs="宋体"/>
                <w:color w:val="auto"/>
                <w:szCs w:val="21"/>
                <w:highlight w:val="none"/>
                <w:u w:val="none"/>
                <w:lang w:val="en-US" w:eastAsia="zh-CN"/>
              </w:rPr>
              <w:t>等</w:t>
            </w:r>
            <w:r>
              <w:rPr>
                <w:rFonts w:hint="eastAsia" w:ascii="宋体" w:hAnsi="宋体" w:cs="宋体"/>
                <w:color w:val="auto"/>
                <w:szCs w:val="21"/>
                <w:highlight w:val="none"/>
                <w:u w:val="none"/>
              </w:rPr>
              <w:t>）进行评审：</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①针对本项目特征制定的施工组织设计方案可靠性、可行性、安全性高的，进度计划安排科学合理，可行性强的，得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②针对本项目特征制定的施工组织设计方案可靠性、可行性、安全性比较高的，进度计划安排比较科学合理，可行性较强的，得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③针对本项目特征制定的施工组织设计方案可靠性、可行性、安全性一般的，进度计划安排基本科学合理，可行性一般的，得</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rPr>
              <w:t>④针对本项目特征制定的施工组织设计方案可靠性、可行性、安全性差的，进度计划安排比较简单，可行性差</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1分；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⑤</w:t>
            </w:r>
            <w:r>
              <w:rPr>
                <w:rFonts w:hint="eastAsia" w:ascii="宋体" w:hAnsi="宋体" w:cs="宋体"/>
                <w:color w:val="auto"/>
                <w:szCs w:val="21"/>
                <w:highlight w:val="none"/>
                <w:u w:val="none"/>
              </w:rPr>
              <w:t>未提供</w:t>
            </w:r>
            <w:r>
              <w:rPr>
                <w:rFonts w:hint="eastAsia" w:ascii="宋体" w:hAnsi="宋体" w:cs="宋体"/>
                <w:color w:val="auto"/>
                <w:szCs w:val="21"/>
                <w:highlight w:val="none"/>
                <w:u w:val="none"/>
                <w:lang w:eastAsia="zh-CN"/>
              </w:rPr>
              <w:t>相关方案的</w:t>
            </w:r>
            <w:r>
              <w:rPr>
                <w:rFonts w:hint="eastAsia" w:ascii="宋体" w:hAnsi="宋体" w:cs="宋体"/>
                <w:color w:val="auto"/>
                <w:szCs w:val="21"/>
                <w:highlight w:val="none"/>
                <w:u w:val="none"/>
              </w:rPr>
              <w:t>，不得分</w:t>
            </w:r>
            <w:r>
              <w:rPr>
                <w:rFonts w:hint="eastAsia" w:ascii="宋体" w:hAnsi="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售后服务方案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提供的</w:t>
            </w:r>
            <w:r>
              <w:rPr>
                <w:rFonts w:hint="eastAsia" w:ascii="宋体" w:hAnsi="宋体" w:cs="宋体"/>
                <w:color w:val="auto"/>
                <w:szCs w:val="21"/>
                <w:highlight w:val="none"/>
                <w:u w:val="none"/>
                <w:lang w:eastAsia="zh-CN"/>
              </w:rPr>
              <w:t>售后服务方案</w:t>
            </w:r>
            <w:r>
              <w:rPr>
                <w:rFonts w:hint="eastAsia" w:ascii="宋体" w:hAnsi="宋体" w:cs="宋体"/>
                <w:color w:val="auto"/>
                <w:szCs w:val="21"/>
                <w:highlight w:val="none"/>
                <w:u w:val="none"/>
              </w:rPr>
              <w:t>（包括不限于故障响应时间、售后人员配备、</w:t>
            </w:r>
            <w:r>
              <w:rPr>
                <w:rFonts w:hint="eastAsia" w:ascii="宋体" w:hAnsi="宋体" w:cs="宋体"/>
                <w:color w:val="auto"/>
                <w:szCs w:val="21"/>
                <w:highlight w:val="none"/>
                <w:u w:val="none"/>
                <w:lang w:val="en-US" w:eastAsia="zh-CN"/>
              </w:rPr>
              <w:t>维修保养措施、</w:t>
            </w:r>
            <w:r>
              <w:rPr>
                <w:rFonts w:hint="eastAsia" w:ascii="宋体" w:hAnsi="宋体" w:cs="宋体"/>
                <w:color w:val="auto"/>
                <w:szCs w:val="21"/>
                <w:highlight w:val="none"/>
                <w:u w:val="none"/>
              </w:rPr>
              <w:t>质保期外服务方式承诺</w:t>
            </w:r>
            <w:r>
              <w:rPr>
                <w:rFonts w:hint="eastAsia" w:ascii="宋体" w:hAnsi="宋体" w:cs="宋体"/>
                <w:color w:val="auto"/>
                <w:szCs w:val="21"/>
                <w:highlight w:val="none"/>
                <w:u w:val="none"/>
                <w:lang w:val="en-US" w:eastAsia="zh-CN"/>
              </w:rPr>
              <w:t>等</w:t>
            </w:r>
            <w:r>
              <w:rPr>
                <w:rFonts w:hint="eastAsia" w:ascii="宋体" w:hAnsi="宋体" w:cs="宋体"/>
                <w:color w:val="auto"/>
                <w:szCs w:val="21"/>
                <w:highlight w:val="none"/>
                <w:u w:val="none"/>
              </w:rPr>
              <w:t>）进行评审：</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①针对本项目特征制定的施工组织设计方案可靠性、可行性、安全性高的，进度计划安排科学合理，可行性强的，得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②针对本项目特征制定的施工组织设计方案可靠性、可行性、安全性比较高的，进度计划安排比较科学合理，可行性较强的，得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③针对本项目特征制定的施工组织设计方案可靠性、可行性、安全性一般的，进度计划安排基本科学合理，可行性一般的，得</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rPr>
              <w:t>④针对本项目特征制定的施工组织设计方案可靠性、可行性、安全性差的，进度计划安排比较简单，可行性差</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1分；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⑤</w:t>
            </w:r>
            <w:r>
              <w:rPr>
                <w:rFonts w:hint="eastAsia" w:ascii="宋体" w:hAnsi="宋体" w:cs="宋体"/>
                <w:color w:val="auto"/>
                <w:szCs w:val="21"/>
                <w:highlight w:val="none"/>
                <w:u w:val="none"/>
              </w:rPr>
              <w:t>未提供</w:t>
            </w:r>
            <w:r>
              <w:rPr>
                <w:rFonts w:hint="eastAsia" w:ascii="宋体" w:hAnsi="宋体" w:cs="宋体"/>
                <w:color w:val="auto"/>
                <w:szCs w:val="21"/>
                <w:highlight w:val="none"/>
                <w:u w:val="none"/>
                <w:lang w:eastAsia="zh-CN"/>
              </w:rPr>
              <w:t>相关方案的</w:t>
            </w:r>
            <w:r>
              <w:rPr>
                <w:rFonts w:hint="eastAsia" w:ascii="宋体" w:hAnsi="宋体" w:cs="宋体"/>
                <w:color w:val="auto"/>
                <w:szCs w:val="21"/>
                <w:highlight w:val="none"/>
                <w:u w:val="none"/>
              </w:rPr>
              <w:t>，不得分</w:t>
            </w:r>
            <w:r>
              <w:rPr>
                <w:rFonts w:hint="eastAsia" w:ascii="宋体" w:hAnsi="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质量保证措施</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提供质量保证措施方案（包括但不限于质量目标、项目质量的控制、安全保障措施</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质量保证措施等）进行评审；</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①</w:t>
            </w:r>
            <w:r>
              <w:rPr>
                <w:rFonts w:hint="eastAsia" w:ascii="宋体" w:hAnsi="宋体" w:cs="宋体"/>
                <w:color w:val="auto"/>
                <w:szCs w:val="21"/>
                <w:highlight w:val="none"/>
                <w:u w:val="none"/>
                <w:lang w:eastAsia="zh-CN"/>
              </w:rPr>
              <w:t>质量目标比较明确、对项目质量的控制详细、检验手段科学，质量保证措施具体，可行</w:t>
            </w:r>
            <w:r>
              <w:rPr>
                <w:rFonts w:hint="eastAsia" w:ascii="宋体" w:hAnsi="宋体" w:cs="宋体"/>
                <w:color w:val="auto"/>
                <w:szCs w:val="21"/>
                <w:highlight w:val="none"/>
                <w:u w:val="none"/>
                <w:lang w:val="en-US" w:eastAsia="zh-CN"/>
              </w:rPr>
              <w:t>性强</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eastAsia="zh-CN"/>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②</w:t>
            </w:r>
            <w:r>
              <w:rPr>
                <w:rFonts w:hint="eastAsia" w:ascii="宋体" w:hAnsi="宋体" w:cs="宋体"/>
                <w:color w:val="auto"/>
                <w:szCs w:val="21"/>
                <w:highlight w:val="none"/>
                <w:u w:val="none"/>
                <w:lang w:eastAsia="zh-CN"/>
              </w:rPr>
              <w:t>质量目标基本明确、对项目质量的控制详细程度</w:t>
            </w:r>
            <w:r>
              <w:rPr>
                <w:rFonts w:hint="eastAsia" w:ascii="宋体" w:hAnsi="宋体" w:cs="宋体"/>
                <w:color w:val="auto"/>
                <w:szCs w:val="21"/>
                <w:highlight w:val="none"/>
                <w:u w:val="none"/>
                <w:lang w:val="en-US" w:eastAsia="zh-CN"/>
              </w:rPr>
              <w:t>一般</w:t>
            </w:r>
            <w:r>
              <w:rPr>
                <w:rFonts w:hint="eastAsia" w:ascii="宋体" w:hAnsi="宋体" w:cs="宋体"/>
                <w:color w:val="auto"/>
                <w:szCs w:val="21"/>
                <w:highlight w:val="none"/>
                <w:u w:val="none"/>
                <w:lang w:eastAsia="zh-CN"/>
              </w:rPr>
              <w:t>、检验手段科学性一般，质量保证措施不够具体，可行性一般的，得</w:t>
            </w:r>
            <w:r>
              <w:rPr>
                <w:rFonts w:hint="eastAsia" w:ascii="宋体" w:hAnsi="宋体" w:cs="宋体"/>
                <w:color w:val="auto"/>
                <w:szCs w:val="21"/>
                <w:highlight w:val="none"/>
                <w:u w:val="none"/>
                <w:lang w:val="en-US" w:eastAsia="zh-CN"/>
              </w:rPr>
              <w:t>3分；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质量目标不明确、对项目质量的控制方案、检验手段科学性差，质量保证措施不具体，不可行的，得</w:t>
            </w:r>
            <w:r>
              <w:rPr>
                <w:rFonts w:hint="eastAsia" w:ascii="宋体" w:hAnsi="宋体" w:cs="宋体"/>
                <w:color w:val="auto"/>
                <w:szCs w:val="21"/>
                <w:highlight w:val="none"/>
                <w:u w:val="none"/>
                <w:lang w:val="en-US" w:eastAsia="zh-CN"/>
              </w:rPr>
              <w:t>1分；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Ansi="宋体" w:cs="宋体"/>
                <w:color w:val="auto"/>
                <w:szCs w:val="21"/>
                <w:highlight w:val="none"/>
                <w:u w:val="none"/>
              </w:rPr>
            </w:pPr>
            <w:r>
              <w:rPr>
                <w:rFonts w:hint="eastAsia" w:ascii="宋体" w:hAnsi="宋体" w:cs="宋体"/>
                <w:color w:val="auto"/>
                <w:szCs w:val="21"/>
                <w:highlight w:val="none"/>
                <w:u w:val="none"/>
                <w:lang w:val="en-US" w:eastAsia="zh-CN"/>
              </w:rPr>
              <w:t>④</w:t>
            </w:r>
            <w:r>
              <w:rPr>
                <w:rFonts w:hint="eastAsia" w:ascii="宋体" w:hAnsi="宋体" w:cs="宋体"/>
                <w:color w:val="auto"/>
                <w:szCs w:val="21"/>
                <w:highlight w:val="none"/>
                <w:u w:val="none"/>
                <w:lang w:eastAsia="zh-CN"/>
              </w:rPr>
              <w:t>未提供相关方案的，不</w:t>
            </w:r>
            <w:r>
              <w:rPr>
                <w:rFonts w:hint="eastAsia" w:ascii="宋体" w:hAnsi="宋体" w:eastAsia="宋体" w:cs="宋体"/>
                <w:color w:val="auto"/>
                <w:szCs w:val="21"/>
                <w:highlight w:val="none"/>
                <w:u w:val="none"/>
                <w:lang w:eastAsia="zh-CN"/>
              </w:rPr>
              <w:t>得分</w:t>
            </w:r>
            <w:r>
              <w:rPr>
                <w:rFonts w:hint="eastAsia" w:ascii="宋体" w:hAnsi="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应急处置方案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eastAsia="宋体" w:cs="宋体"/>
                <w:color w:val="auto"/>
                <w:szCs w:val="21"/>
                <w:highlight w:val="none"/>
                <w:u w:val="none"/>
              </w:rPr>
              <w:t>根据各投标</w:t>
            </w:r>
            <w:r>
              <w:rPr>
                <w:rFonts w:hint="eastAsia" w:ascii="宋体" w:hAnsi="宋体" w:cs="宋体"/>
                <w:color w:val="auto"/>
                <w:szCs w:val="21"/>
                <w:highlight w:val="none"/>
                <w:u w:val="none"/>
              </w:rPr>
              <w:t>人提供的应急处置方案（包括但不限于应急响应</w:t>
            </w:r>
            <w:r>
              <w:rPr>
                <w:rFonts w:hint="eastAsia" w:ascii="宋体" w:hAnsi="宋体" w:cs="宋体"/>
                <w:color w:val="auto"/>
                <w:szCs w:val="21"/>
                <w:highlight w:val="none"/>
                <w:u w:val="none"/>
                <w:lang w:val="en-US" w:eastAsia="zh-CN"/>
              </w:rPr>
              <w:t>安排</w:t>
            </w:r>
            <w:r>
              <w:rPr>
                <w:rFonts w:hint="eastAsia" w:ascii="宋体" w:hAnsi="宋体" w:cs="宋体"/>
                <w:color w:val="auto"/>
                <w:szCs w:val="21"/>
                <w:highlight w:val="none"/>
                <w:u w:val="none"/>
              </w:rPr>
              <w:t>、人员和设备调配、紧急处置预案等）进行</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①应对服务方案和处理措施非常完整可靠，具有针对性，可操作性强，得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eastAsia="zh-CN"/>
              </w:rPr>
              <w:t xml:space="preserve">分； </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②应对服务方案和处理措施比较合理，处理措施一般，可操作性较强，得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lang w:eastAsia="zh-CN"/>
              </w:rPr>
              <w:t xml:space="preserve">分； </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应对服务方案和处理措施比较</w:t>
            </w:r>
            <w:r>
              <w:rPr>
                <w:rFonts w:hint="eastAsia" w:ascii="宋体" w:hAnsi="宋体" w:cs="宋体"/>
                <w:color w:val="auto"/>
                <w:szCs w:val="21"/>
                <w:highlight w:val="none"/>
                <w:u w:val="none"/>
                <w:lang w:val="en-US" w:eastAsia="zh-CN"/>
              </w:rPr>
              <w:t>差</w:t>
            </w:r>
            <w:r>
              <w:rPr>
                <w:rFonts w:hint="eastAsia" w:ascii="宋体" w:hAnsi="宋体" w:cs="宋体"/>
                <w:color w:val="auto"/>
                <w:szCs w:val="21"/>
                <w:highlight w:val="none"/>
                <w:u w:val="none"/>
                <w:lang w:eastAsia="zh-CN"/>
              </w:rPr>
              <w:t>，处理措施</w:t>
            </w:r>
            <w:r>
              <w:rPr>
                <w:rFonts w:hint="eastAsia" w:ascii="宋体" w:hAnsi="宋体" w:cs="宋体"/>
                <w:color w:val="auto"/>
                <w:szCs w:val="21"/>
                <w:highlight w:val="none"/>
                <w:u w:val="none"/>
                <w:lang w:val="en-US" w:eastAsia="zh-CN"/>
              </w:rPr>
              <w:t>较差</w:t>
            </w:r>
            <w:r>
              <w:rPr>
                <w:rFonts w:hint="eastAsia" w:ascii="宋体" w:hAnsi="宋体" w:cs="宋体"/>
                <w:color w:val="auto"/>
                <w:szCs w:val="21"/>
                <w:highlight w:val="none"/>
                <w:u w:val="none"/>
                <w:lang w:eastAsia="zh-CN"/>
              </w:rPr>
              <w:t>，可操作性</w:t>
            </w:r>
            <w:r>
              <w:rPr>
                <w:rFonts w:hint="eastAsia" w:ascii="宋体" w:hAnsi="宋体" w:cs="宋体"/>
                <w:color w:val="auto"/>
                <w:szCs w:val="21"/>
                <w:highlight w:val="none"/>
                <w:u w:val="none"/>
                <w:lang w:val="en-US" w:eastAsia="zh-CN"/>
              </w:rPr>
              <w:t>差</w:t>
            </w:r>
            <w:r>
              <w:rPr>
                <w:rFonts w:hint="eastAsia" w:ascii="宋体" w:hAnsi="宋体" w:cs="宋体"/>
                <w:color w:val="auto"/>
                <w:szCs w:val="21"/>
                <w:highlight w:val="none"/>
                <w:u w:val="none"/>
                <w:lang w:eastAsia="zh-CN"/>
              </w:rPr>
              <w:t>，得</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lang w:eastAsia="zh-CN"/>
              </w:rPr>
              <w:t xml:space="preserve">分； </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highlight w:val="none"/>
                <w:u w:val="none"/>
                <w:lang w:val="zh-CN"/>
              </w:rPr>
            </w:pPr>
            <w:r>
              <w:rPr>
                <w:rFonts w:hint="eastAsia" w:ascii="宋体" w:hAnsi="宋体" w:cs="宋体"/>
                <w:color w:val="auto"/>
                <w:szCs w:val="21"/>
                <w:highlight w:val="none"/>
                <w:u w:val="none"/>
                <w:lang w:val="en-US" w:eastAsia="zh-CN"/>
              </w:rPr>
              <w:t>④</w:t>
            </w:r>
            <w:r>
              <w:rPr>
                <w:rFonts w:hint="eastAsia" w:ascii="宋体" w:hAnsi="宋体" w:eastAsia="宋体" w:cs="宋体"/>
                <w:color w:val="auto"/>
                <w:szCs w:val="21"/>
                <w:highlight w:val="none"/>
                <w:u w:val="none"/>
              </w:rPr>
              <w:t>未提供</w:t>
            </w:r>
            <w:r>
              <w:rPr>
                <w:rFonts w:hint="eastAsia" w:ascii="宋体" w:hAnsi="宋体" w:eastAsia="宋体" w:cs="宋体"/>
                <w:color w:val="auto"/>
                <w:szCs w:val="21"/>
                <w:highlight w:val="none"/>
                <w:u w:val="none"/>
                <w:lang w:eastAsia="zh-CN"/>
              </w:rPr>
              <w:t>相关方案的</w:t>
            </w:r>
            <w:r>
              <w:rPr>
                <w:rFonts w:hint="eastAsia" w:ascii="宋体" w:hAnsi="宋体" w:eastAsia="宋体" w:cs="宋体"/>
                <w:color w:val="auto"/>
                <w:szCs w:val="21"/>
                <w:highlight w:val="none"/>
                <w:u w:val="none"/>
              </w:rPr>
              <w:t>，不</w:t>
            </w:r>
            <w:r>
              <w:rPr>
                <w:rFonts w:hint="eastAsia" w:ascii="宋体" w:hAnsi="宋体" w:cs="宋体"/>
                <w:color w:val="auto"/>
                <w:szCs w:val="21"/>
                <w:highlight w:val="none"/>
                <w:u w:val="none"/>
              </w:rPr>
              <w:t>得分</w:t>
            </w:r>
            <w:r>
              <w:rPr>
                <w:rFonts w:hint="eastAsia" w:ascii="宋体" w:hAnsi="宋体" w:eastAsia="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w:t>
            </w:r>
          </w:p>
          <w:p>
            <w:pPr>
              <w:widowControl w:val="0"/>
              <w:shd w:val="clear"/>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（1）无特殊说明外，以上评审项，同一证明文件不重复计分。</w:t>
            </w:r>
          </w:p>
          <w:p>
            <w:pPr>
              <w:widowControl w:val="0"/>
              <w:shd w:val="clear"/>
              <w:tabs>
                <w:tab w:val="left" w:pos="907"/>
              </w:tabs>
              <w:adjustRightInd/>
              <w:snapToGrid/>
              <w:ind w:firstLine="422" w:firstLineChars="200"/>
              <w:jc w:val="both"/>
              <w:rPr>
                <w:rFonts w:ascii="宋体" w:hAnsi="宋体" w:cs="宋体"/>
                <w:color w:val="auto"/>
                <w:szCs w:val="21"/>
                <w:highlight w:val="none"/>
              </w:rPr>
            </w:pPr>
            <w:r>
              <w:rPr>
                <w:rFonts w:hint="eastAsia" w:ascii="宋体" w:hAnsi="宋体" w:cs="宋体"/>
                <w:b/>
                <w:color w:val="auto"/>
                <w:szCs w:val="21"/>
                <w:highlight w:val="none"/>
              </w:rPr>
              <w:t>（2）投标人根据以上评分要求提供的投标材料因模糊不清导致评标委员会无法清晰辨认进行评审的，视为无效材料。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lang w:val="zh-CN"/>
              </w:rPr>
            </w:pPr>
            <w:r>
              <w:rPr>
                <w:rFonts w:hint="eastAsia" w:ascii="宋体" w:hAnsi="宋体" w:eastAsia="宋体" w:cs="宋体"/>
                <w:b/>
                <w:bCs/>
                <w:color w:val="auto"/>
                <w:kern w:val="2"/>
                <w:sz w:val="21"/>
                <w:szCs w:val="21"/>
                <w:highlight w:val="none"/>
                <w:lang w:val="en-US" w:eastAsia="zh-CN" w:bidi="ar-SA"/>
              </w:rPr>
              <w:t>价格评审（</w:t>
            </w:r>
            <w:r>
              <w:rPr>
                <w:rFonts w:hint="eastAsia" w:ascii="宋体" w:eastAsia="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投标总价</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kern w:val="2"/>
                <w:szCs w:val="21"/>
                <w:highlight w:val="none"/>
                <w:lang w:val="en-US"/>
              </w:rPr>
            </w:pPr>
            <w:r>
              <w:rPr>
                <w:rFonts w:hint="eastAsia" w:ascii="宋体" w:hAnsi="宋体" w:cs="宋体"/>
                <w:color w:val="auto"/>
                <w:kern w:val="2"/>
                <w:szCs w:val="21"/>
                <w:highlight w:val="none"/>
                <w:lang w:val="en-US" w:eastAsia="zh-CN"/>
              </w:rPr>
              <w:t>50分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价格分计算方法：满足采购文件要求且投标价格最低的投标报价为评标基准价，其价格分为满分。其他投标人的价格分统一按照下列公式计算：</w:t>
            </w:r>
          </w:p>
          <w:p>
            <w:pPr>
              <w:widowControl w:val="0"/>
              <w:shd w:val="clear"/>
              <w:adjustRightInd/>
              <w:snapToGrid/>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lang w:val="zh-CN"/>
              </w:rPr>
              <w:t>投标报价得分=(评标基准价／投标报价)×价格权</w:t>
            </w:r>
            <w:r>
              <w:rPr>
                <w:rFonts w:hint="eastAsia" w:ascii="宋体" w:hAnsi="宋体" w:cs="宋体"/>
                <w:color w:val="auto"/>
                <w:kern w:val="2"/>
                <w:szCs w:val="21"/>
                <w:highlight w:val="none"/>
              </w:rPr>
              <w:t>重</w:t>
            </w:r>
          </w:p>
        </w:tc>
      </w:tr>
    </w:tbl>
    <w:p>
      <w:pPr>
        <w:shd w:val="clear"/>
        <w:ind w:firstLine="420" w:firstLineChars="200"/>
        <w:rPr>
          <w:rFonts w:hint="eastAsia"/>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pPr>
        <w:shd w:val="clear"/>
        <w:rPr>
          <w:rFonts w:hint="eastAsia"/>
          <w:color w:val="auto"/>
          <w:sz w:val="28"/>
          <w:szCs w:val="28"/>
          <w:highlight w:val="none"/>
        </w:rPr>
      </w:pPr>
      <w:r>
        <w:rPr>
          <w:rFonts w:hint="eastAsia"/>
          <w:color w:val="auto"/>
          <w:sz w:val="28"/>
          <w:szCs w:val="28"/>
          <w:highlight w:val="none"/>
        </w:rPr>
        <w:br w:type="page"/>
      </w:r>
    </w:p>
    <w:p>
      <w:pPr>
        <w:pStyle w:val="6"/>
        <w:shd w:val="clear"/>
        <w:spacing w:before="0" w:after="0" w:line="240" w:lineRule="auto"/>
        <w:rPr>
          <w:color w:val="auto"/>
          <w:sz w:val="36"/>
          <w:szCs w:val="36"/>
          <w:highlight w:val="none"/>
        </w:rPr>
      </w:pPr>
      <w:bookmarkStart w:id="8" w:name="_Toc26871"/>
      <w:r>
        <w:rPr>
          <w:rFonts w:hint="eastAsia"/>
          <w:color w:val="auto"/>
          <w:sz w:val="28"/>
          <w:szCs w:val="28"/>
          <w:highlight w:val="none"/>
        </w:rPr>
        <w:t>第三部分用户需求书</w:t>
      </w:r>
      <w:bookmarkEnd w:id="8"/>
    </w:p>
    <w:p>
      <w:pPr>
        <w:pStyle w:val="7"/>
        <w:shd w:val="clear"/>
        <w:spacing w:before="0" w:after="0" w:line="360" w:lineRule="auto"/>
        <w:jc w:val="center"/>
        <w:rPr>
          <w:rFonts w:ascii="宋体" w:hAnsi="宋体"/>
          <w:color w:val="auto"/>
          <w:highlight w:val="none"/>
        </w:rPr>
      </w:pPr>
      <w:bookmarkStart w:id="9" w:name="_Toc28836"/>
      <w:bookmarkStart w:id="10" w:name="_Toc1593"/>
      <w:bookmarkStart w:id="11" w:name="_Toc13112"/>
      <w:bookmarkStart w:id="12" w:name="_Toc308786492"/>
      <w:bookmarkStart w:id="13" w:name="_Toc14462"/>
      <w:bookmarkStart w:id="14" w:name="_Toc31278"/>
      <w:bookmarkStart w:id="15" w:name="_Toc24679"/>
      <w:r>
        <w:rPr>
          <w:rFonts w:hint="eastAsia" w:ascii="宋体" w:hAnsi="宋体"/>
          <w:color w:val="auto"/>
          <w:highlight w:val="none"/>
        </w:rPr>
        <w:t>第一章 商务需求书</w:t>
      </w:r>
      <w:bookmarkEnd w:id="9"/>
      <w:bookmarkEnd w:id="10"/>
    </w:p>
    <w:tbl>
      <w:tblPr>
        <w:tblStyle w:val="36"/>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trPr>
        <w:tc>
          <w:tcPr>
            <w:tcW w:w="718" w:type="dxa"/>
            <w:vAlign w:val="center"/>
          </w:tcPr>
          <w:p>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01" w:type="dxa"/>
            <w:vAlign w:val="center"/>
          </w:tcPr>
          <w:p>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6466" w:type="dxa"/>
            <w:vAlign w:val="center"/>
          </w:tcPr>
          <w:p>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9"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1" w:type="dxa"/>
            <w:vAlign w:val="center"/>
          </w:tcPr>
          <w:p>
            <w:pPr>
              <w:shd w:val="clea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交货期</w:t>
            </w:r>
          </w:p>
        </w:tc>
        <w:tc>
          <w:tcPr>
            <w:tcW w:w="6466" w:type="dxa"/>
            <w:vAlign w:val="center"/>
          </w:tcPr>
          <w:p>
            <w:pPr>
              <w:pStyle w:val="40"/>
              <w:shd w:val="clear"/>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根据现场实际条件分批分期施工，合同签订且采购人签发开工令后 1 个月内首批设备进场安装，在此后 3 个月内完成全部设备安装并取得质量技术监督部门安全质量验收合格证书。</w:t>
            </w:r>
          </w:p>
          <w:p>
            <w:pPr>
              <w:pStyle w:val="40"/>
              <w:shd w:val="clear"/>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每楼栋电梯安装工期为20天，自停梯之日起计算至安装调试完成（含拆除原电梯）。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 w:val="0"/>
                <w:bCs/>
                <w:sz w:val="21"/>
                <w:szCs w:val="21"/>
                <w:highlight w:val="none"/>
                <w:lang w:val="en-US" w:eastAsia="zh-CN"/>
              </w:rPr>
              <w:t>交货期的施工时间</w:t>
            </w:r>
            <w:r>
              <w:rPr>
                <w:rFonts w:hint="eastAsia" w:ascii="宋体" w:hAnsi="宋体" w:cs="宋体"/>
                <w:b w:val="0"/>
                <w:bCs/>
                <w:sz w:val="21"/>
                <w:szCs w:val="21"/>
                <w:highlight w:val="none"/>
                <w:lang w:val="en-US" w:eastAsia="zh-CN"/>
              </w:rPr>
              <w:t>如下</w:t>
            </w:r>
            <w:r>
              <w:rPr>
                <w:rFonts w:hint="eastAsia" w:ascii="宋体" w:hAnsi="宋体" w:eastAsia="宋体" w:cs="宋体"/>
                <w:bCs/>
                <w:sz w:val="21"/>
                <w:szCs w:val="21"/>
                <w:highlight w:val="none"/>
              </w:rPr>
              <w:t>：</w:t>
            </w:r>
          </w:p>
          <w:tbl>
            <w:tblPr>
              <w:tblStyle w:val="37"/>
              <w:tblW w:w="6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40" w:type="dxa"/>
                  <w:gridSpan w:val="2"/>
                  <w:vAlign w:val="center"/>
                </w:tcPr>
                <w:p>
                  <w:pPr>
                    <w:spacing w:line="360" w:lineRule="auto"/>
                    <w:jc w:val="center"/>
                    <w:rPr>
                      <w:rFonts w:hint="eastAsia" w:ascii="宋体" w:hAnsi="宋体" w:eastAsia="宋体" w:cs="宋体"/>
                      <w:sz w:val="21"/>
                      <w:szCs w:val="21"/>
                      <w:highlight w:val="none"/>
                      <w:vertAlign w:val="baseline"/>
                      <w:lang w:eastAsia="zh-CN"/>
                    </w:rPr>
                  </w:pPr>
                  <w:r>
                    <w:rPr>
                      <w:rFonts w:hint="eastAsia" w:ascii="宋体" w:hAnsi="宋体" w:eastAsia="宋体" w:cs="宋体"/>
                      <w:b/>
                      <w:bCs/>
                      <w:sz w:val="21"/>
                      <w:szCs w:val="21"/>
                      <w:highlight w:val="none"/>
                      <w:u w:val="single"/>
                      <w:vertAlign w:val="baseline"/>
                    </w:rPr>
                    <w:t>双梯楼栋</w:t>
                  </w:r>
                  <w:r>
                    <w:rPr>
                      <w:rFonts w:hint="eastAsia" w:ascii="宋体" w:hAnsi="宋体" w:eastAsia="宋体" w:cs="宋体"/>
                      <w:b/>
                      <w:bCs/>
                      <w:sz w:val="21"/>
                      <w:szCs w:val="21"/>
                      <w:highlight w:val="none"/>
                      <w:u w:val="none"/>
                      <w:vertAlign w:val="baseline"/>
                      <w:lang w:val="en-US" w:eastAsia="zh-CN"/>
                    </w:rPr>
                    <w:t>交货期</w:t>
                  </w:r>
                  <w:r>
                    <w:rPr>
                      <w:rFonts w:hint="eastAsia" w:ascii="宋体" w:hAnsi="宋体" w:eastAsia="宋体" w:cs="宋体"/>
                      <w:b/>
                      <w:bCs/>
                      <w:sz w:val="21"/>
                      <w:szCs w:val="21"/>
                      <w:highlight w:val="none"/>
                      <w:vertAlign w:val="baseline"/>
                    </w:rPr>
                    <w:t>施工时间</w:t>
                  </w:r>
                  <w:r>
                    <w:rPr>
                      <w:rFonts w:hint="eastAsia" w:ascii="宋体" w:hAnsi="宋体" w:eastAsia="宋体" w:cs="宋体"/>
                      <w:sz w:val="21"/>
                      <w:szCs w:val="21"/>
                      <w:highlight w:val="none"/>
                      <w:vertAlign w:val="baseline"/>
                    </w:rPr>
                    <w:t>（两部电梯轮换施工，保留一部运行</w:t>
                  </w:r>
                  <w:r>
                    <w:rPr>
                      <w:rFonts w:hint="eastAsia" w:ascii="宋体" w:hAnsi="宋体" w:eastAsia="宋体" w:cs="宋体"/>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2"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日期</w:t>
                  </w:r>
                </w:p>
              </w:tc>
              <w:tc>
                <w:tcPr>
                  <w:tcW w:w="3578"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施工时段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2" w:type="dxa"/>
                  <w:vMerge w:val="restart"/>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周一至周五</w:t>
                  </w:r>
                </w:p>
              </w:tc>
              <w:tc>
                <w:tcPr>
                  <w:tcW w:w="3578"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2" w:type="dxa"/>
                  <w:vMerge w:val="continue"/>
                  <w:vAlign w:val="center"/>
                </w:tcPr>
                <w:p>
                  <w:pPr>
                    <w:spacing w:line="360" w:lineRule="auto"/>
                    <w:jc w:val="center"/>
                    <w:rPr>
                      <w:rFonts w:hint="eastAsia" w:ascii="宋体" w:hAnsi="宋体" w:eastAsia="宋体" w:cs="宋体"/>
                      <w:sz w:val="21"/>
                      <w:szCs w:val="21"/>
                      <w:highlight w:val="none"/>
                      <w:vertAlign w:val="baseline"/>
                    </w:rPr>
                  </w:pPr>
                </w:p>
              </w:tc>
              <w:tc>
                <w:tcPr>
                  <w:tcW w:w="3578"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2" w:type="dxa"/>
                  <w:vMerge w:val="restart"/>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周六、周日</w:t>
                  </w:r>
                </w:p>
              </w:tc>
              <w:tc>
                <w:tcPr>
                  <w:tcW w:w="3578" w:type="dxa"/>
                  <w:vAlign w:val="center"/>
                </w:tcPr>
                <w:p>
                  <w:pPr>
                    <w:spacing w:line="360" w:lineRule="auto"/>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val="en-US" w:eastAsia="zh-CN"/>
                    </w:rPr>
                    <w:t>9:00-12:00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2" w:type="dxa"/>
                  <w:vMerge w:val="continue"/>
                  <w:vAlign w:val="center"/>
                </w:tcPr>
                <w:p>
                  <w:pPr>
                    <w:spacing w:line="360" w:lineRule="auto"/>
                    <w:jc w:val="center"/>
                    <w:rPr>
                      <w:rFonts w:hint="eastAsia" w:ascii="宋体" w:hAnsi="宋体" w:eastAsia="宋体" w:cs="宋体"/>
                      <w:sz w:val="21"/>
                      <w:szCs w:val="21"/>
                      <w:highlight w:val="none"/>
                      <w:vertAlign w:val="baseline"/>
                    </w:rPr>
                  </w:pPr>
                </w:p>
              </w:tc>
              <w:tc>
                <w:tcPr>
                  <w:tcW w:w="3578" w:type="dxa"/>
                  <w:vAlign w:val="center"/>
                </w:tcPr>
                <w:p>
                  <w:pPr>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40" w:type="dxa"/>
                  <w:gridSpan w:val="2"/>
                  <w:vAlign w:val="center"/>
                </w:tcPr>
                <w:p>
                  <w:pPr>
                    <w:spacing w:line="360" w:lineRule="auto"/>
                    <w:jc w:val="center"/>
                    <w:rPr>
                      <w:rFonts w:hint="eastAsia" w:ascii="宋体" w:hAnsi="宋体" w:eastAsia="宋体" w:cs="宋体"/>
                      <w:sz w:val="21"/>
                      <w:szCs w:val="21"/>
                      <w:highlight w:val="none"/>
                      <w:vertAlign w:val="baseline"/>
                      <w:lang w:eastAsia="zh-CN"/>
                    </w:rPr>
                  </w:pPr>
                  <w:r>
                    <w:rPr>
                      <w:rFonts w:hint="eastAsia" w:ascii="宋体" w:hAnsi="宋体" w:eastAsia="宋体" w:cs="宋体"/>
                      <w:b/>
                      <w:bCs/>
                      <w:sz w:val="21"/>
                      <w:szCs w:val="21"/>
                      <w:highlight w:val="none"/>
                      <w:u w:val="single"/>
                      <w:vertAlign w:val="baseline"/>
                      <w:lang w:val="en-US" w:eastAsia="zh-CN"/>
                    </w:rPr>
                    <w:t>单</w:t>
                  </w:r>
                  <w:r>
                    <w:rPr>
                      <w:rFonts w:hint="eastAsia" w:ascii="宋体" w:hAnsi="宋体" w:eastAsia="宋体" w:cs="宋体"/>
                      <w:b/>
                      <w:bCs/>
                      <w:sz w:val="21"/>
                      <w:szCs w:val="21"/>
                      <w:highlight w:val="none"/>
                      <w:u w:val="single"/>
                      <w:vertAlign w:val="baseline"/>
                    </w:rPr>
                    <w:t>梯楼栋</w:t>
                  </w:r>
                  <w:r>
                    <w:rPr>
                      <w:rFonts w:hint="eastAsia" w:ascii="宋体" w:hAnsi="宋体" w:eastAsia="宋体" w:cs="宋体"/>
                      <w:b/>
                      <w:bCs/>
                      <w:sz w:val="21"/>
                      <w:szCs w:val="21"/>
                      <w:highlight w:val="none"/>
                      <w:u w:val="none"/>
                      <w:vertAlign w:val="baseline"/>
                      <w:lang w:val="en-US" w:eastAsia="zh-CN"/>
                    </w:rPr>
                    <w:t>交货期</w:t>
                  </w:r>
                  <w:r>
                    <w:rPr>
                      <w:rFonts w:hint="eastAsia" w:ascii="宋体" w:hAnsi="宋体" w:eastAsia="宋体" w:cs="宋体"/>
                      <w:b/>
                      <w:bCs/>
                      <w:sz w:val="21"/>
                      <w:szCs w:val="21"/>
                      <w:highlight w:val="none"/>
                      <w:vertAlign w:val="baseline"/>
                    </w:rPr>
                    <w:t>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2"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日期</w:t>
                  </w:r>
                </w:p>
              </w:tc>
              <w:tc>
                <w:tcPr>
                  <w:tcW w:w="3578"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施工时段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662"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周一至周五</w:t>
                  </w:r>
                </w:p>
              </w:tc>
              <w:tc>
                <w:tcPr>
                  <w:tcW w:w="3578"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662"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周六、周日</w:t>
                  </w:r>
                </w:p>
              </w:tc>
              <w:tc>
                <w:tcPr>
                  <w:tcW w:w="3578" w:type="dxa"/>
                  <w:vAlign w:val="center"/>
                </w:tcPr>
                <w:p>
                  <w:pPr>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6:00-22:00</w:t>
                  </w:r>
                </w:p>
              </w:tc>
            </w:tr>
          </w:tbl>
          <w:p>
            <w:pPr>
              <w:pStyle w:val="40"/>
              <w:shd w:val="clear"/>
              <w:spacing w:line="360" w:lineRule="auto"/>
              <w:ind w:firstLine="420" w:firstLineChars="200"/>
              <w:rPr>
                <w:rFonts w:hint="eastAsia" w:ascii="宋体" w:hAnsi="宋体" w:eastAsia="宋体" w:cs="宋体"/>
                <w:color w:val="auto"/>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9"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501" w:type="dxa"/>
            <w:vAlign w:val="center"/>
          </w:tcPr>
          <w:p>
            <w:pPr>
              <w:shd w:val="clea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项目地点</w:t>
            </w:r>
          </w:p>
        </w:tc>
        <w:tc>
          <w:tcPr>
            <w:tcW w:w="6466" w:type="dxa"/>
            <w:vAlign w:val="center"/>
          </w:tcPr>
          <w:p>
            <w:pPr>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19"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501" w:type="dxa"/>
            <w:vAlign w:val="center"/>
          </w:tcPr>
          <w:p>
            <w:pPr>
              <w:shd w:val="clear"/>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采购范围</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次招标内容为对莞寓•市人才安居社区住宅楼共计14台垂直电梯（曳引式客梯）设备采购和安装及相关服务，包括但不限于对本项目旧有电梯的拆除，新装电梯设备及随机附件的设计、制造、包装、仓储、运输(包括装卸)、保险、安装、调试、验收、验收后的移交、结算、培训、技术服务（包括设计联络）、质保期服务保障、电梯报装、报验及取</w:t>
            </w:r>
            <w:r>
              <w:rPr>
                <w:rFonts w:hint="eastAsia" w:ascii="宋体" w:hAnsi="宋体" w:eastAsia="宋体" w:cs="Times New Roman"/>
                <w:color w:val="auto"/>
                <w:kern w:val="2"/>
                <w:sz w:val="21"/>
                <w:szCs w:val="21"/>
                <w:highlight w:val="none"/>
                <w:lang w:val="en-US" w:eastAsia="zh-CN" w:bidi="ar-SA"/>
              </w:rPr>
              <w:t>得《电梯使用登记证》和《安全检验合格证》及其他相关服务。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9"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01" w:type="dxa"/>
            <w:vAlign w:val="center"/>
          </w:tcPr>
          <w:p>
            <w:pPr>
              <w:shd w:val="clear"/>
              <w:jc w:val="center"/>
              <w:rPr>
                <w:rFonts w:hint="default" w:ascii="宋体" w:hAnsi="宋体" w:eastAsia="宋体" w:cs="宋体"/>
                <w:color w:val="auto"/>
                <w:sz w:val="21"/>
                <w:szCs w:val="21"/>
                <w:highlight w:val="none"/>
                <w:lang w:val="en-US" w:eastAsia="zh-CN" w:bidi="ar-SA"/>
              </w:rPr>
            </w:pPr>
            <w:r>
              <w:rPr>
                <w:rFonts w:hint="eastAsia" w:ascii="宋体" w:hAnsi="宋体"/>
                <w:b w:val="0"/>
                <w:bCs w:val="0"/>
                <w:color w:val="auto"/>
                <w:sz w:val="21"/>
                <w:szCs w:val="21"/>
                <w:highlight w:val="none"/>
              </w:rPr>
              <w:t>★</w:t>
            </w:r>
            <w:r>
              <w:rPr>
                <w:rFonts w:hint="eastAsia" w:ascii="宋体" w:hAnsi="宋体" w:cs="宋体"/>
                <w:b w:val="0"/>
                <w:bCs w:val="0"/>
                <w:color w:val="auto"/>
                <w:sz w:val="21"/>
                <w:szCs w:val="21"/>
                <w:highlight w:val="none"/>
                <w:lang w:val="en-US" w:eastAsia="zh-CN" w:bidi="ar-SA"/>
              </w:rPr>
              <w:t>投标品牌</w:t>
            </w:r>
          </w:p>
        </w:tc>
        <w:tc>
          <w:tcPr>
            <w:tcW w:w="6466" w:type="dxa"/>
            <w:vAlign w:val="center"/>
          </w:tcPr>
          <w:p>
            <w:pPr>
              <w:pStyle w:val="11"/>
              <w:shd w:val="clear"/>
              <w:ind w:firstLine="420" w:firstLineChars="20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本项目仅接受9个品牌进行投标，投标人投标时须在开标一览表中填报所投的品牌型号。</w:t>
            </w:r>
          </w:p>
          <w:p>
            <w:pPr>
              <w:pStyle w:val="11"/>
              <w:shd w:val="clear"/>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接受投标的品牌：</w:t>
            </w:r>
            <w:r>
              <w:rPr>
                <w:rFonts w:hint="eastAsia" w:ascii="宋体" w:hAnsi="宋体" w:eastAsia="宋体" w:cs="宋体"/>
                <w:color w:val="auto"/>
                <w:sz w:val="21"/>
                <w:szCs w:val="21"/>
                <w:highlight w:val="none"/>
                <w:lang w:val="en-US" w:eastAsia="zh-CN" w:bidi="ar-SA"/>
              </w:rPr>
              <w:t>奥的斯电梯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奥的斯机电电梯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杭州西奥电梯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苏州帝奥电梯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快意电梯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上海三菱电梯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迅达电梯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通力电梯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蒂升电梯</w:t>
            </w:r>
            <w:r>
              <w:rPr>
                <w:rFonts w:hint="eastAsia" w:ascii="宋体" w:hAnsi="宋体" w:cs="宋体"/>
                <w:color w:val="auto"/>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19"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501" w:type="dxa"/>
            <w:vAlign w:val="center"/>
          </w:tcPr>
          <w:p>
            <w:pPr>
              <w:shd w:val="clear"/>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报价要求</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投标人报价包括但不限：电梯购置及安装所产生的费用、相关货物、人工费、材料费、包装、现有电梯拆除、运输（含二次运输）、装卸、安装调试、人员培训、验收、检验、税收、保险、备品备件、专业工具、包质量、包工期、包安全、售后服务、质保期内维保等伴随的服务及实施过程中的不可预见费用等全部费用。投标人在报价中及项目实施过程中如有任何遗漏，均被视为遗漏部分价格已包含在总价中（投标人自行负责），采购人不再支付任何费用。</w:t>
            </w:r>
          </w:p>
          <w:p>
            <w:pPr>
              <w:pStyle w:val="11"/>
              <w:shd w:val="clear"/>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★2.更新</w:t>
            </w:r>
            <w:r>
              <w:rPr>
                <w:rFonts w:hint="eastAsia" w:ascii="宋体" w:hAnsi="宋体" w:cs="宋体"/>
                <w:color w:val="auto"/>
                <w:sz w:val="21"/>
                <w:szCs w:val="21"/>
                <w:highlight w:val="none"/>
                <w:lang w:val="en-US" w:eastAsia="zh-CN" w:bidi="ar-SA"/>
              </w:rPr>
              <w:t>的14台电梯均</w:t>
            </w:r>
            <w:r>
              <w:rPr>
                <w:rFonts w:hint="eastAsia" w:ascii="宋体" w:hAnsi="宋体" w:eastAsia="宋体" w:cs="宋体"/>
                <w:color w:val="auto"/>
                <w:sz w:val="21"/>
                <w:szCs w:val="21"/>
                <w:highlight w:val="none"/>
                <w:lang w:val="en-US" w:eastAsia="zh-CN" w:bidi="ar-SA"/>
              </w:rPr>
              <w:t>须满足申报国家长期特别国债补助的条件，单台电梯</w:t>
            </w:r>
            <w:r>
              <w:rPr>
                <w:rFonts w:hint="eastAsia" w:ascii="宋体" w:hAnsi="宋体" w:cs="宋体"/>
                <w:color w:val="auto"/>
                <w:sz w:val="21"/>
                <w:szCs w:val="21"/>
                <w:highlight w:val="none"/>
                <w:lang w:val="en-US" w:eastAsia="zh-CN" w:bidi="ar-SA"/>
              </w:rPr>
              <w:t>的</w:t>
            </w:r>
            <w:r>
              <w:rPr>
                <w:rFonts w:hint="eastAsia" w:ascii="宋体" w:hAnsi="宋体" w:eastAsia="宋体" w:cs="宋体"/>
                <w:color w:val="auto"/>
                <w:sz w:val="21"/>
                <w:szCs w:val="21"/>
                <w:highlight w:val="none"/>
                <w:lang w:val="en-US" w:eastAsia="zh-CN" w:bidi="ar-SA"/>
              </w:rPr>
              <w:t>报价</w:t>
            </w:r>
            <w:r>
              <w:rPr>
                <w:rFonts w:hint="eastAsia" w:ascii="宋体" w:hAnsi="宋体" w:cs="宋体"/>
                <w:color w:val="auto"/>
                <w:sz w:val="21"/>
                <w:szCs w:val="21"/>
                <w:highlight w:val="none"/>
                <w:lang w:val="en-US" w:eastAsia="zh-CN" w:bidi="ar-SA"/>
              </w:rPr>
              <w:t>（设备购置费+安装费）</w:t>
            </w:r>
            <w:r>
              <w:rPr>
                <w:rFonts w:hint="eastAsia" w:ascii="宋体" w:hAnsi="宋体" w:eastAsia="宋体" w:cs="宋体"/>
                <w:color w:val="auto"/>
                <w:sz w:val="21"/>
                <w:szCs w:val="21"/>
                <w:highlight w:val="none"/>
                <w:lang w:val="en-US" w:eastAsia="zh-CN" w:bidi="ar-SA"/>
              </w:rPr>
              <w:t>不低于¥150,000.00元</w:t>
            </w:r>
            <w:r>
              <w:rPr>
                <w:rFonts w:hint="eastAsia" w:ascii="宋体" w:hAnsi="宋体" w:cs="宋体"/>
                <w:color w:val="auto"/>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501" w:type="dxa"/>
            <w:vAlign w:val="center"/>
          </w:tcPr>
          <w:p>
            <w:pPr>
              <w:shd w:val="clea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付款方式</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合同签订且采购人签发开工令后，采购人向中标人支付40%电梯设备款；电梯设备货到工地经验收合格后支付至电梯设备款的80%；安装完成并通过当地政府部门验收后，支付至合同金额的80%；配合采购人申报国家长期特别国债补助后，支付至合同金额的97%；剩余3%为质保金，质保期满后无息退还。（每次支付款项前中标人须按采购人要求提交相关请款资料）</w:t>
            </w:r>
          </w:p>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按照现行税收政策规定，付款前，中标人必须提供合法有效、与本合同总价款条款中增值税税率一致的增值税专用发票给采购人，否则采购人有权拒绝付款且不构成违约；在采购人除支付质保金外的最后一期款项前，中标人须连同当期支付款项发票和质保金发票一并提交给采购人；若后续出现质保问题，按照质保责任和条款，部分或全部扣除质保金的，不退还相应金额的发票。若合同执行期间，遇国家税务政策调整所引起的合同价格变化，按照不含税价格调整结算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501" w:type="dxa"/>
            <w:vAlign w:val="center"/>
          </w:tcPr>
          <w:p>
            <w:pPr>
              <w:keepNext w:val="0"/>
              <w:keepLines w:val="0"/>
              <w:pageBreakBefore w:val="0"/>
              <w:widowControl/>
              <w:shd w:val="clear"/>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Cs w:val="21"/>
                <w:highlight w:val="none"/>
              </w:rPr>
              <w:t>质量要求</w:t>
            </w:r>
          </w:p>
        </w:tc>
        <w:tc>
          <w:tcPr>
            <w:tcW w:w="6466" w:type="dxa"/>
            <w:vAlign w:val="center"/>
          </w:tcPr>
          <w:p>
            <w:pPr>
              <w:pStyle w:val="11"/>
              <w:shd w:val="clear"/>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达到国家或行业质量检验评定的合格标准。投标时须提供所投产品的《电梯配置表》。（详见第六部分 投标文件格式 附件4.电梯配置表格式。）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501" w:type="dxa"/>
            <w:vAlign w:val="center"/>
          </w:tcPr>
          <w:p>
            <w:pPr>
              <w:keepNext w:val="0"/>
              <w:keepLines w:val="0"/>
              <w:pageBreakBefore w:val="0"/>
              <w:widowControl/>
              <w:shd w:val="clear"/>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eastAsia="宋体" w:cs="宋体"/>
                <w:b w:val="0"/>
                <w:bCs w:val="0"/>
                <w:color w:val="auto"/>
                <w:kern w:val="2"/>
                <w:szCs w:val="21"/>
                <w:highlight w:val="none"/>
                <w:lang w:val="en-US" w:eastAsia="zh-CN"/>
              </w:rPr>
            </w:pPr>
            <w:r>
              <w:rPr>
                <w:rFonts w:hint="eastAsia" w:ascii="宋体" w:hAnsi="宋体"/>
                <w:b w:val="0"/>
                <w:bCs w:val="0"/>
                <w:color w:val="auto"/>
                <w:sz w:val="21"/>
                <w:szCs w:val="21"/>
                <w:highlight w:val="none"/>
              </w:rPr>
              <w:t>★</w:t>
            </w:r>
            <w:r>
              <w:rPr>
                <w:rFonts w:hint="eastAsia" w:ascii="宋体" w:hAnsi="宋体" w:cs="宋体"/>
                <w:b w:val="0"/>
                <w:bCs w:val="0"/>
                <w:color w:val="auto"/>
                <w:kern w:val="2"/>
                <w:szCs w:val="21"/>
                <w:highlight w:val="none"/>
              </w:rPr>
              <w:t>保险</w:t>
            </w:r>
            <w:r>
              <w:rPr>
                <w:rFonts w:hint="eastAsia" w:ascii="宋体" w:hAnsi="宋体" w:cs="宋体"/>
                <w:b w:val="0"/>
                <w:bCs w:val="0"/>
                <w:color w:val="auto"/>
                <w:kern w:val="2"/>
                <w:szCs w:val="21"/>
                <w:highlight w:val="none"/>
                <w:lang w:val="en-US" w:eastAsia="zh-CN"/>
              </w:rPr>
              <w:t>要求</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中标人负责为本项目现场进行技术服务人员办理必要的保险并支付相关保险费，该保险的期限至本项目完成为止。在合同履行期间，中标人对其派出的人员的安全负全部责任。如中标人员在本项目合同履行中发生事故的，中标人应负责处理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501" w:type="dxa"/>
            <w:vAlign w:val="center"/>
          </w:tcPr>
          <w:p>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质保期</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电梯设备的质量保证期为当地相关政府职能部门签发电梯设备验收合格证书之日起2年。（含维保费、年审费用）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501"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投标有效期</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501"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合同条款</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trPr>
        <w:tc>
          <w:tcPr>
            <w:tcW w:w="718" w:type="dxa"/>
            <w:vAlign w:val="center"/>
          </w:tcPr>
          <w:p>
            <w:pPr>
              <w:shd w:val="clea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501"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其他要求</w:t>
            </w:r>
          </w:p>
        </w:tc>
        <w:tc>
          <w:tcPr>
            <w:tcW w:w="6466" w:type="dxa"/>
            <w:vAlign w:val="center"/>
          </w:tcPr>
          <w:p>
            <w:pPr>
              <w:pStyle w:val="11"/>
              <w:shd w:val="clear"/>
              <w:ind w:firstLine="420" w:firstLineChars="200"/>
              <w:rPr>
                <w:rFonts w:hint="eastAsia" w:ascii="宋体" w:hAnsi="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中标人需协助采购人申报国家长期特别国债补助。若本项目因未能成功申报国家长期特别国债补助的</w:t>
            </w:r>
            <w:r>
              <w:rPr>
                <w:rFonts w:hint="default" w:ascii="宋体" w:hAnsi="宋体" w:eastAsia="宋体" w:cs="宋体"/>
                <w:color w:val="auto"/>
                <w:sz w:val="21"/>
                <w:szCs w:val="21"/>
                <w:highlight w:val="none"/>
                <w:lang w:val="en-US" w:eastAsia="zh-CN" w:bidi="ar-SA"/>
              </w:rPr>
              <w:t>原因导致合同目的无法实现，则</w:t>
            </w:r>
            <w:r>
              <w:rPr>
                <w:rFonts w:hint="eastAsia" w:ascii="宋体" w:hAnsi="宋体" w:eastAsia="宋体" w:cs="宋体"/>
                <w:color w:val="auto"/>
                <w:sz w:val="21"/>
                <w:szCs w:val="21"/>
                <w:highlight w:val="none"/>
                <w:lang w:val="en-US" w:eastAsia="zh-CN" w:bidi="ar-SA"/>
              </w:rPr>
              <w:t>本</w:t>
            </w:r>
            <w:r>
              <w:rPr>
                <w:rFonts w:hint="default" w:ascii="宋体" w:hAnsi="宋体" w:eastAsia="宋体" w:cs="宋体"/>
                <w:color w:val="auto"/>
                <w:sz w:val="21"/>
                <w:szCs w:val="21"/>
                <w:highlight w:val="none"/>
                <w:lang w:val="en-US" w:eastAsia="zh-CN" w:bidi="ar-SA"/>
              </w:rPr>
              <w:t>项目的《</w:t>
            </w:r>
            <w:r>
              <w:rPr>
                <w:rFonts w:hint="eastAsia" w:ascii="宋体" w:hAnsi="宋体" w:eastAsia="宋体" w:cs="宋体"/>
                <w:color w:val="auto"/>
                <w:sz w:val="21"/>
                <w:szCs w:val="21"/>
                <w:highlight w:val="none"/>
                <w:lang w:val="en-US" w:eastAsia="zh-CN" w:bidi="ar-SA"/>
              </w:rPr>
              <w:t>电梯更换</w:t>
            </w:r>
            <w:r>
              <w:rPr>
                <w:rFonts w:hint="default" w:ascii="宋体" w:hAnsi="宋体" w:eastAsia="宋体" w:cs="宋体"/>
                <w:color w:val="auto"/>
                <w:sz w:val="21"/>
                <w:szCs w:val="21"/>
                <w:highlight w:val="none"/>
                <w:lang w:val="en-US" w:eastAsia="zh-CN" w:bidi="ar-SA"/>
              </w:rPr>
              <w:t>合同》同步失效。为参与该项目招采活动而产生的所有费用（包括交通费、咨询费、标书制作费、打印费等）由投标单位自行承担</w:t>
            </w:r>
            <w:r>
              <w:rPr>
                <w:rFonts w:hint="eastAsia" w:ascii="宋体" w:hAnsi="宋体" w:cs="宋体"/>
                <w:color w:val="auto"/>
                <w:sz w:val="21"/>
                <w:szCs w:val="21"/>
                <w:highlight w:val="none"/>
                <w:lang w:val="en-US" w:eastAsia="zh-CN" w:bidi="ar-SA"/>
              </w:rPr>
              <w:t>。</w:t>
            </w:r>
          </w:p>
          <w:p>
            <w:pPr>
              <w:pStyle w:val="11"/>
              <w:shd w:val="clear"/>
              <w:ind w:firstLine="422"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须</w:t>
            </w:r>
            <w:r>
              <w:rPr>
                <w:rFonts w:hint="eastAsia" w:ascii="宋体" w:hAnsi="宋体" w:eastAsia="宋体" w:cs="宋体"/>
                <w:b/>
                <w:bCs/>
                <w:color w:val="auto"/>
                <w:sz w:val="21"/>
                <w:szCs w:val="21"/>
                <w:highlight w:val="none"/>
                <w:lang w:val="en-US" w:eastAsia="zh-CN" w:bidi="ar-SA"/>
              </w:rPr>
              <w:t>提供单独承诺函并加盖投标人公章）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trPr>
        <w:tc>
          <w:tcPr>
            <w:tcW w:w="718" w:type="dxa"/>
            <w:vAlign w:val="center"/>
          </w:tcPr>
          <w:p>
            <w:pPr>
              <w:shd w:val="clea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501" w:type="dxa"/>
            <w:vAlign w:val="center"/>
          </w:tcPr>
          <w:p>
            <w:pPr>
              <w:shd w:val="clear"/>
              <w:jc w:val="center"/>
              <w:rPr>
                <w:rFonts w:hint="default" w:ascii="宋体" w:hAnsi="宋体" w:eastAsia="宋体" w:cs="宋体"/>
                <w:color w:val="auto"/>
                <w:szCs w:val="21"/>
                <w:highlight w:val="none"/>
                <w:lang w:val="en-US"/>
              </w:rPr>
            </w:pPr>
            <w:r>
              <w:rPr>
                <w:rFonts w:hint="eastAsia" w:ascii="宋体" w:hAnsi="宋体"/>
                <w:b w:val="0"/>
                <w:bCs w:val="0"/>
                <w:color w:val="auto"/>
                <w:sz w:val="21"/>
                <w:szCs w:val="21"/>
                <w:highlight w:val="none"/>
              </w:rPr>
              <w:t>★</w:t>
            </w:r>
            <w:r>
              <w:rPr>
                <w:rFonts w:hint="eastAsia" w:ascii="宋体" w:hAnsi="宋体" w:eastAsia="宋体" w:cs="宋体"/>
                <w:color w:val="auto"/>
                <w:szCs w:val="21"/>
                <w:highlight w:val="none"/>
                <w:lang w:val="en-US" w:eastAsia="zh-CN"/>
              </w:rPr>
              <w:t>申报国家长期特别国债补助内容</w:t>
            </w:r>
          </w:p>
        </w:tc>
        <w:tc>
          <w:tcPr>
            <w:tcW w:w="6466" w:type="dxa"/>
            <w:vAlign w:val="center"/>
          </w:tcPr>
          <w:p>
            <w:pPr>
              <w:pStyle w:val="11"/>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配合业主申请超长期特别国债补助，包括投标文件，中标通知书，合同，过程资料，验收报告，质监局检验报告，合格证，电梯登记证，发票等相关申报资料。</w:t>
            </w:r>
          </w:p>
        </w:tc>
      </w:tr>
    </w:tbl>
    <w:p>
      <w:pPr>
        <w:shd w:val="clear"/>
        <w:rPr>
          <w:rFonts w:ascii="宋体" w:hAnsi="宋体"/>
          <w:color w:val="auto"/>
          <w:highlight w:val="none"/>
        </w:rPr>
      </w:pPr>
      <w:bookmarkStart w:id="16" w:name="_Toc19316"/>
      <w:r>
        <w:rPr>
          <w:rFonts w:hint="eastAsia" w:ascii="宋体" w:hAnsi="宋体"/>
          <w:color w:val="auto"/>
          <w:highlight w:val="none"/>
        </w:rPr>
        <w:br w:type="page"/>
      </w:r>
    </w:p>
    <w:p>
      <w:pPr>
        <w:pStyle w:val="7"/>
        <w:shd w:val="clear"/>
        <w:spacing w:before="0" w:after="0" w:line="360" w:lineRule="auto"/>
        <w:jc w:val="center"/>
        <w:rPr>
          <w:color w:val="auto"/>
          <w:highlight w:val="none"/>
        </w:rPr>
      </w:pPr>
      <w:bookmarkStart w:id="17" w:name="_Toc27184"/>
      <w:r>
        <w:rPr>
          <w:rFonts w:hint="eastAsia" w:ascii="宋体" w:hAnsi="宋体"/>
          <w:color w:val="auto"/>
          <w:highlight w:val="none"/>
        </w:rPr>
        <w:t>第二章 技术需求书</w:t>
      </w:r>
      <w:bookmarkEnd w:id="16"/>
      <w:bookmarkEnd w:id="17"/>
    </w:p>
    <w:bookmarkEnd w:id="11"/>
    <w:bookmarkEnd w:id="12"/>
    <w:bookmarkEnd w:id="13"/>
    <w:bookmarkEnd w:id="14"/>
    <w:bookmarkEnd w:id="15"/>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项目的基本情况</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项目名称:</w:t>
      </w:r>
      <w:r>
        <w:rPr>
          <w:rFonts w:hint="eastAsia" w:ascii="宋体" w:hAnsi="宋体" w:cs="宋体"/>
          <w:b w:val="0"/>
          <w:bCs w:val="0"/>
          <w:color w:val="auto"/>
          <w:szCs w:val="21"/>
          <w:highlight w:val="none"/>
          <w:lang w:eastAsia="zh-CN"/>
        </w:rPr>
        <w:t>莞寓·市人才安居社区14台电梯更新项目（重新采购）</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项目代码:2412-441900-17-05-828175</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项目地址:东莞市东城街道莞长路东城段27号莞寓·市人才安居社区(北纬22°59'44"，东经113°46'5")</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项目内容</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工作内容包括但不限于：</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1.1拆除原有电梯所有部件并负责清运、处置。</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1.2对原有电梯底坑、井道、机房等改造修整，满足新电梯安装要求。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18" w:name="_Toc94368493"/>
      <w:bookmarkStart w:id="19" w:name="_Toc505020182"/>
      <w:r>
        <w:rPr>
          <w:rFonts w:hint="eastAsia" w:ascii="宋体" w:hAnsi="宋体" w:eastAsia="宋体" w:cs="宋体"/>
          <w:color w:val="auto"/>
          <w:szCs w:val="21"/>
          <w:highlight w:val="none"/>
        </w:rPr>
        <w:t>1.3设备及零星配件的采购、运输、装卸、成品保护；</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1.4设备搬运、吊装（含二次搬运及吊装）、安装及调试（含消防联动调试）；</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1.5井道永久照明、防水插座、底坑爬梯、机房爬梯、机房护栏及井道内其它和电梯安装有关的工作；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1.6电梯接地工程的全部工作；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1.7电梯安装时井道四周洞口的安全封堵；</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1.8安装用脚手架；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1.9各楼层井道口电梯安装时采用的安全措施；</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1.10在电梯安装、测试过程中从指定的电源接驳点（单体指定位置）到电梯安装现场所需临时电缆；</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1.11垃圾清运：施工期间及竣工后清理及运走所有与电梯工程有关的废料和垃圾；</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1.12在质保期内免费提供及更换零件，在质保期满后保证以合理价格提供备用零件；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1.13提供所需之施工详图、安装技术说明书、制作工程图、竣工图等；</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1.14提供保养操作、紧急处理程序及维修等说明书；</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1.15在质量保修期内，免费提供电梯轿厢二次平层调试服务</w:t>
      </w:r>
      <w:r>
        <w:rPr>
          <w:rFonts w:hint="eastAsia" w:ascii="宋体" w:hAnsi="宋体" w:cs="宋体"/>
          <w:color w:val="auto"/>
          <w:szCs w:val="21"/>
          <w:highlight w:val="none"/>
          <w:lang w:eastAsia="zh-CN"/>
        </w:rPr>
        <w:t>。</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技术参数、内部装饰及功能要求（详见附件</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 xml:space="preserve"> </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2.1新装电梯设备采购、安装，新装电梯的档次、品质应满足或优于本项目要求。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20" w:name="_Toc452400857"/>
      <w:bookmarkStart w:id="21" w:name="_Toc452400493"/>
      <w:bookmarkStart w:id="22" w:name="_Toc31443_WPSOffice_Level3"/>
      <w:bookmarkStart w:id="23" w:name="_Toc452400340"/>
      <w:bookmarkStart w:id="24" w:name="_Toc453140102"/>
      <w:bookmarkStart w:id="25" w:name="_Toc5380"/>
      <w:bookmarkStart w:id="26" w:name="_Toc5028_WPSOffice_Level3"/>
      <w:bookmarkStart w:id="27" w:name="_Toc74110635"/>
      <w:bookmarkStart w:id="28" w:name="_Toc450209088"/>
      <w:bookmarkStart w:id="29" w:name="_Toc8016"/>
      <w:r>
        <w:rPr>
          <w:rFonts w:hint="eastAsia" w:ascii="宋体" w:hAnsi="宋体" w:eastAsia="宋体" w:cs="宋体"/>
          <w:color w:val="auto"/>
          <w:szCs w:val="21"/>
          <w:highlight w:val="none"/>
        </w:rPr>
        <w:t>2.2最终制造、安装电梯的各项尺寸以现场环境为准，且须满足采购人实际使用需求。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电梯监控系统技术参数</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.1需由中标人负责拆除安装，需中标人同视频监控维保单位对接提前预留安装尺寸，拆除旧梯摄像头后移入新梯继续使用。</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.工作范围</w:t>
      </w:r>
      <w:bookmarkEnd w:id="20"/>
      <w:bookmarkEnd w:id="21"/>
      <w:bookmarkEnd w:id="22"/>
      <w:bookmarkEnd w:id="23"/>
      <w:bookmarkEnd w:id="24"/>
      <w:bookmarkEnd w:id="25"/>
      <w:bookmarkEnd w:id="26"/>
      <w:bookmarkEnd w:id="27"/>
      <w:bookmarkEnd w:id="28"/>
      <w:bookmarkEnd w:id="29"/>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.1制造、安装及调试：</w:t>
      </w:r>
      <w:r>
        <w:rPr>
          <w:rFonts w:hint="eastAsia" w:ascii="宋体" w:hAnsi="宋体" w:eastAsia="宋体" w:cs="宋体"/>
          <w:color w:val="auto"/>
          <w:szCs w:val="21"/>
          <w:highlight w:val="none"/>
        </w:rPr>
        <w:t>按本招标需求及内容的要求完成设备的设计、制造、运输、装卸、拆除旧梯、安装新机、产品保护、调试运行、质量技术监督部门验收、技术培训及售后服务等所有工作。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.2提供的设备</w:t>
      </w:r>
      <w:r>
        <w:rPr>
          <w:rFonts w:hint="eastAsia" w:ascii="宋体" w:hAnsi="宋体" w:eastAsia="宋体" w:cs="宋体"/>
          <w:color w:val="auto"/>
          <w:szCs w:val="21"/>
          <w:highlight w:val="none"/>
        </w:rPr>
        <w:t>：中标人提供的电梯须包括但不限于以下服务：提供详细构造图、设备样本和使用操作说明书；按采购人认可的设计方案和材料进行加工、制造、供货；负责设备运至装置地点所有环节的运输。</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.3踏勘现场：</w:t>
      </w:r>
      <w:r>
        <w:rPr>
          <w:rFonts w:hint="eastAsia" w:ascii="宋体" w:hAnsi="宋体" w:eastAsia="宋体" w:cs="宋体"/>
          <w:color w:val="auto"/>
          <w:szCs w:val="21"/>
          <w:highlight w:val="none"/>
        </w:rPr>
        <w:t>采购人统一</w:t>
      </w:r>
      <w:bookmarkStart w:id="30" w:name="OLE_LINK8"/>
      <w:r>
        <w:rPr>
          <w:rFonts w:hint="eastAsia" w:ascii="宋体" w:hAnsi="宋体" w:eastAsia="宋体" w:cs="宋体"/>
          <w:color w:val="auto"/>
          <w:szCs w:val="21"/>
          <w:highlight w:val="none"/>
        </w:rPr>
        <w:t>组织现场踏勘</w:t>
      </w:r>
      <w:bookmarkEnd w:id="30"/>
      <w:r>
        <w:rPr>
          <w:rFonts w:hint="eastAsia" w:ascii="宋体" w:hAnsi="宋体" w:eastAsia="宋体" w:cs="宋体"/>
          <w:color w:val="auto"/>
          <w:szCs w:val="21"/>
          <w:highlight w:val="none"/>
        </w:rPr>
        <w:t>，投标人自行考虑所有安装所需的条件。</w:t>
      </w:r>
      <w:r>
        <w:rPr>
          <w:rFonts w:hint="eastAsia" w:ascii="宋体" w:hAnsi="宋体" w:eastAsia="宋体" w:cs="宋体"/>
          <w:b/>
          <w:bCs/>
          <w:color w:val="auto"/>
          <w:szCs w:val="21"/>
          <w:highlight w:val="none"/>
        </w:rPr>
        <w:t>组织</w:t>
      </w:r>
      <w:r>
        <w:rPr>
          <w:rFonts w:hint="eastAsia" w:ascii="宋体" w:hAnsi="宋体"/>
          <w:b/>
          <w:bCs w:val="0"/>
          <w:color w:val="auto"/>
          <w:sz w:val="21"/>
          <w:szCs w:val="21"/>
          <w:highlight w:val="none"/>
          <w:u w:val="single"/>
          <w:lang w:val="en-US" w:eastAsia="zh-CN"/>
        </w:rPr>
        <w:t>集中</w:t>
      </w:r>
      <w:r>
        <w:rPr>
          <w:rFonts w:hint="eastAsia" w:ascii="宋体" w:hAnsi="宋体"/>
          <w:b/>
          <w:bCs w:val="0"/>
          <w:color w:val="auto"/>
          <w:sz w:val="21"/>
          <w:szCs w:val="21"/>
          <w:highlight w:val="none"/>
          <w:u w:val="single"/>
        </w:rPr>
        <w:t>踏勘现场时间</w:t>
      </w:r>
      <w:r>
        <w:rPr>
          <w:rFonts w:hint="eastAsia" w:ascii="宋体" w:hAnsi="宋体"/>
          <w:b/>
          <w:bCs w:val="0"/>
          <w:color w:val="auto"/>
          <w:sz w:val="21"/>
          <w:szCs w:val="21"/>
          <w:highlight w:val="none"/>
          <w:u w:val="single"/>
          <w:shd w:val="clear"/>
          <w:lang w:eastAsia="zh-CN"/>
        </w:rPr>
        <w:t>：</w:t>
      </w:r>
      <w:r>
        <w:rPr>
          <w:rFonts w:hint="eastAsia" w:ascii="宋体" w:hAnsi="宋体" w:eastAsia="宋体" w:cs="Times New Roman"/>
          <w:b/>
          <w:bCs w:val="0"/>
          <w:color w:val="auto"/>
          <w:szCs w:val="21"/>
          <w:highlight w:val="none"/>
          <w:u w:val="single"/>
          <w:shd w:val="clear"/>
        </w:rPr>
        <w:t>2</w:t>
      </w:r>
      <w:r>
        <w:rPr>
          <w:rFonts w:ascii="宋体" w:hAnsi="宋体" w:eastAsia="宋体" w:cs="Times New Roman"/>
          <w:b/>
          <w:bCs w:val="0"/>
          <w:color w:val="auto"/>
          <w:szCs w:val="21"/>
          <w:highlight w:val="none"/>
          <w:u w:val="single"/>
          <w:shd w:val="clear"/>
        </w:rPr>
        <w:t>02</w:t>
      </w:r>
      <w:r>
        <w:rPr>
          <w:rFonts w:hint="eastAsia" w:ascii="宋体" w:hAnsi="宋体" w:cs="Times New Roman"/>
          <w:b/>
          <w:bCs w:val="0"/>
          <w:color w:val="auto"/>
          <w:szCs w:val="21"/>
          <w:highlight w:val="none"/>
          <w:u w:val="single"/>
          <w:shd w:val="clear"/>
          <w:lang w:val="en-US" w:eastAsia="zh-CN"/>
        </w:rPr>
        <w:t xml:space="preserve">5 </w:t>
      </w:r>
      <w:r>
        <w:rPr>
          <w:rFonts w:hint="eastAsia" w:ascii="宋体" w:hAnsi="宋体" w:eastAsia="宋体" w:cs="Times New Roman"/>
          <w:b/>
          <w:bCs w:val="0"/>
          <w:color w:val="auto"/>
          <w:szCs w:val="21"/>
          <w:highlight w:val="none"/>
          <w:u w:val="single"/>
          <w:shd w:val="clear"/>
        </w:rPr>
        <w:t>年</w:t>
      </w:r>
      <w:r>
        <w:rPr>
          <w:rFonts w:hint="eastAsia" w:ascii="宋体" w:hAnsi="宋体" w:cs="Times New Roman"/>
          <w:b/>
          <w:bCs w:val="0"/>
          <w:color w:val="auto"/>
          <w:szCs w:val="21"/>
          <w:highlight w:val="none"/>
          <w:u w:val="single"/>
          <w:shd w:val="clear"/>
          <w:lang w:val="en-US" w:eastAsia="zh-CN"/>
        </w:rPr>
        <w:t xml:space="preserve"> 04 </w:t>
      </w:r>
      <w:r>
        <w:rPr>
          <w:rFonts w:hint="eastAsia" w:ascii="宋体" w:hAnsi="宋体" w:eastAsia="宋体" w:cs="Times New Roman"/>
          <w:b/>
          <w:bCs w:val="0"/>
          <w:color w:val="auto"/>
          <w:szCs w:val="21"/>
          <w:highlight w:val="none"/>
          <w:u w:val="single"/>
          <w:shd w:val="clear"/>
        </w:rPr>
        <w:t>月</w:t>
      </w:r>
      <w:r>
        <w:rPr>
          <w:rFonts w:hint="eastAsia" w:ascii="宋体" w:hAnsi="宋体" w:cs="Times New Roman"/>
          <w:b/>
          <w:bCs w:val="0"/>
          <w:color w:val="auto"/>
          <w:szCs w:val="21"/>
          <w:highlight w:val="none"/>
          <w:u w:val="single"/>
          <w:shd w:val="clear"/>
          <w:lang w:val="en-US" w:eastAsia="zh-CN"/>
        </w:rPr>
        <w:t xml:space="preserve"> 29 </w:t>
      </w:r>
      <w:r>
        <w:rPr>
          <w:rFonts w:hint="eastAsia" w:ascii="宋体" w:hAnsi="宋体" w:eastAsia="宋体" w:cs="Times New Roman"/>
          <w:b/>
          <w:bCs w:val="0"/>
          <w:color w:val="auto"/>
          <w:szCs w:val="21"/>
          <w:highlight w:val="none"/>
          <w:u w:val="single"/>
          <w:shd w:val="clear"/>
        </w:rPr>
        <w:t>日</w:t>
      </w:r>
      <w:r>
        <w:rPr>
          <w:rFonts w:hint="eastAsia" w:ascii="宋体" w:hAnsi="宋体" w:cs="Times New Roman"/>
          <w:b/>
          <w:bCs w:val="0"/>
          <w:color w:val="auto"/>
          <w:szCs w:val="21"/>
          <w:highlight w:val="none"/>
          <w:u w:val="single"/>
          <w:shd w:val="clear"/>
          <w:lang w:val="en-US" w:eastAsia="zh-CN"/>
        </w:rPr>
        <w:t xml:space="preserve"> 上午10：00（北京时间）</w:t>
      </w:r>
      <w:r>
        <w:rPr>
          <w:rFonts w:hint="eastAsia" w:ascii="宋体" w:hAnsi="宋体" w:cs="Times New Roman"/>
          <w:b/>
          <w:bCs w:val="0"/>
          <w:color w:val="auto"/>
          <w:szCs w:val="21"/>
          <w:highlight w:val="none"/>
          <w:u w:val="single"/>
          <w:shd w:val="clear"/>
          <w:lang w:eastAsia="zh-CN"/>
        </w:rPr>
        <w:t>；</w:t>
      </w:r>
      <w:r>
        <w:rPr>
          <w:rFonts w:hint="eastAsia" w:ascii="宋体" w:hAnsi="宋体" w:eastAsia="宋体" w:cs="Times New Roman"/>
          <w:b/>
          <w:bCs w:val="0"/>
          <w:color w:val="auto"/>
          <w:szCs w:val="21"/>
          <w:highlight w:val="none"/>
          <w:u w:val="single"/>
        </w:rPr>
        <w:t>联系人：曹小姐18688666521</w:t>
      </w:r>
      <w:r>
        <w:rPr>
          <w:rFonts w:hint="eastAsia" w:ascii="宋体" w:hAnsi="宋体" w:cs="Times New Roman"/>
          <w:b/>
          <w:bCs w:val="0"/>
          <w:color w:val="auto"/>
          <w:szCs w:val="21"/>
          <w:highlight w:val="none"/>
          <w:u w:val="single"/>
          <w:lang w:eastAsia="zh-CN"/>
        </w:rPr>
        <w:t>；</w:t>
      </w:r>
      <w:r>
        <w:rPr>
          <w:rFonts w:hint="eastAsia" w:ascii="宋体" w:hAnsi="宋体" w:eastAsia="宋体" w:cs="Times New Roman"/>
          <w:b/>
          <w:bCs w:val="0"/>
          <w:color w:val="auto"/>
          <w:szCs w:val="21"/>
          <w:highlight w:val="none"/>
          <w:u w:val="single"/>
        </w:rPr>
        <w:t>地址：东莞市东城街道莞寓市人才安居社区A区6栋</w:t>
      </w:r>
      <w:r>
        <w:rPr>
          <w:rFonts w:hint="eastAsia" w:ascii="宋体" w:hAnsi="宋体" w:eastAsia="宋体" w:cs="宋体"/>
          <w:b/>
          <w:bCs/>
          <w:color w:val="auto"/>
          <w:szCs w:val="21"/>
          <w:highlight w:val="none"/>
        </w:rPr>
        <w:t>。</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安装管理</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4.1现场安装须符合国家的相关条例规定；</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4.2设备的各个部件须防火、耐压、耐用、漏电保护，易清洗及易维修，并符合有关规定。</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4.3设备安装须经质量技术监督部门验收，直至质量技术监督部门安全质量验收合格并获得验收证书。</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4.4保证设备在起吊、运输过程中的安全，在安装期间，中标人负责安装中需要的起重、运输所需辅助设备，所有这些设备都须符合安全作业要求。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完工装潢：</w:t>
      </w:r>
      <w:r>
        <w:rPr>
          <w:rFonts w:hint="eastAsia" w:ascii="宋体" w:hAnsi="宋体" w:eastAsia="宋体" w:cs="宋体"/>
          <w:color w:val="auto"/>
          <w:szCs w:val="21"/>
          <w:highlight w:val="none"/>
        </w:rPr>
        <w:t>在进入完工装潢之前，所有不需要特殊装潢并且是暴露的钢制件应在表面进行除锈防腐处理，若是非暴露的零件、部件、机器等，可在制造时进行除锈、防腐蚀处理，其防腐蚀措施必须得到采购人的认可。</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测试和试运行</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6.1程序和表格：中标人在安装结束前2个星期，提交测试和调试方法及记录表格给采购人。</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6.2测试：部分或全部测试需根据实际情况在安装期内或后进行。</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6.3试运行：设备试运行应在有关部门及采购人的监督下进行。</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验收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7.1产品保护：工程完成后，中标人须负责全部设备的保护和清洁工作，直至设备验收合格并正常运行后为止。在安装过程中，如建筑结构或其它设备被损坏中标人将有责任修理或赔偿损失。</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7.2验收合格条件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（1）运行结果符合产品标准和招标需求及合同要求。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（2）在进行测试和验收运行过程中发生的故障已被消除并得到采购人的认可。</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（3）所有合同中规定的货物和材料都已提交。</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（4）设备在交付使用之前已通过质量管理部门的验收，并得到使用证书。</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（5）整套设备图纸及技术文件都已提交并得到接受。</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售后服务</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8.1维修服务须提供24小时全天服务。维修点需提供足够的备件。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8.3在质保期内的工作应包括对所有电梯常规检查、调整和润滑。</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8.4质量保修期内如重大部件(垂直电梯的曳引机、控制柜、门机及门保护系统、安全设备等)故障率超过3次/每年/台，每超过一次由中标人免费为采购人延长该梯质量保修期半年。</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8.5质保期内中标人</w:t>
      </w:r>
      <w:r>
        <w:rPr>
          <w:rFonts w:hint="eastAsia" w:ascii="宋体" w:hAnsi="宋体" w:eastAsia="宋体" w:cs="宋体"/>
          <w:color w:val="auto"/>
          <w:szCs w:val="21"/>
          <w:highlight w:val="none"/>
          <w:lang w:val="en-US" w:eastAsia="zh-CN"/>
        </w:rPr>
        <w:t>负</w:t>
      </w:r>
      <w:r>
        <w:rPr>
          <w:rFonts w:hint="eastAsia" w:ascii="宋体" w:hAnsi="宋体" w:eastAsia="宋体" w:cs="宋体"/>
          <w:color w:val="auto"/>
          <w:szCs w:val="21"/>
          <w:highlight w:val="none"/>
        </w:rPr>
        <w:t>责修理和替换任何由于设备自身的质量问题造成的损坏及故障并承担全部费用。质量保修期结束后，供应商以优惠的价格长期提供易损备品备件。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技术培训：</w:t>
      </w:r>
      <w:r>
        <w:rPr>
          <w:rFonts w:hint="eastAsia" w:ascii="宋体" w:hAnsi="宋体" w:eastAsia="宋体" w:cs="宋体"/>
          <w:color w:val="auto"/>
          <w:szCs w:val="21"/>
          <w:highlight w:val="none"/>
        </w:rPr>
        <w:t>中标人须对采购人的技术操作人员进行项目现场免费培训直至能安全独立操作。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备件供应：</w:t>
      </w:r>
      <w:r>
        <w:rPr>
          <w:rFonts w:hint="eastAsia" w:ascii="宋体" w:hAnsi="宋体" w:eastAsia="宋体" w:cs="宋体"/>
          <w:color w:val="auto"/>
          <w:szCs w:val="21"/>
          <w:highlight w:val="none"/>
        </w:rPr>
        <w:t>中标人对各种型号的设备须提供足够的备件、附件和易损件并保证是原品牌厂生产的产品或配套产品，以满足设备正常运行的需要。</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10.1</w:t>
      </w:r>
      <w:r>
        <w:rPr>
          <w:rFonts w:hint="eastAsia" w:ascii="宋体" w:hAnsi="宋体" w:eastAsia="宋体" w:cs="宋体"/>
          <w:b/>
          <w:bCs/>
          <w:color w:val="auto"/>
          <w:szCs w:val="21"/>
          <w:highlight w:val="none"/>
        </w:rPr>
        <w:t>检验和维修设备及工具</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31" w:name="OLE_LINK1"/>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w:t>
      </w:r>
      <w:bookmarkEnd w:id="31"/>
      <w:r>
        <w:rPr>
          <w:rFonts w:hint="eastAsia" w:ascii="宋体" w:hAnsi="宋体" w:eastAsia="宋体" w:cs="宋体"/>
          <w:color w:val="auto"/>
          <w:szCs w:val="21"/>
          <w:highlight w:val="none"/>
        </w:rPr>
        <w:t>1须免费提供足够的常用及专用检修设备。</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.2所有测试需要的附件、零部件和中文操作维修手册应与检修设备一并免费提供。</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.3商标与铭牌：投标人提供的设备，其铭牌、使用标记、警示标记都应表示清楚。</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.4本招标需求及内容只是对电梯一些原则性要求，并不是详尽的要求，中标人有责任对设计符合技术规范、标准负责。</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11.设备基本需要</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11.1产品标准和规范：由投标人提供的所有产品和服务须符合国家、行业规范、条例及标准。</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12.设备的防护、包装及运输</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12.1设备的防护及油漆：设备内、外表面应洁净。投标人在供货时须提供设备的具体防护措施供采购人认可，并对此工作负责。油漆表面应光洁，无折皱和剥落。</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12.2所有设备应合理、有效包装，以使其有效防止各种损坏，如受潮、受热、剥落、腐蚀、变形等。</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对不油漆且易磨损的零件应涂上高熔点或脂肪酸或其他保护功能的油脂以得到保护，并得到妥善包装后固定。机组所有开口处应封闭保护起来，以防止在运输人搬运途中异物进入。电动机、控制中心、排气装置和机组的控制器等均应加保护罩。</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12.4随机的零部件、备品备件等散件应木箱包装。这些箱盒应适合于储存，储存年限应在包装上予以说明。</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在包装箱中，应附有产品合格证书（包括机组合格证、部件合格证、材料合格证等）、产品说明书、装箱单、易损件、备件及专用工具清单，一套完整的经批准的图纸及有关技术文件资料。包装箱外面应注明数量、设备名称、编号、起吊位置、警示标志、外形尺寸、毛重等。</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12.6中标人应对设备的整个交货过程负责，包括运输、装卸、安装调试、装潢的安全。</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12.7随包装箱带的文件、资料应防潮密封，并放置在包装箱内明显处。</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13.到货验收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13.1中标人应派员在所供设备到工地时进行到货验收。若发现任何损坏及质量问题，中标人应负责更换零件，并妥善处理直至采购人认可。此工作所发生费用应由中标人自行承担。</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13.2在建设工地的临时存放场地由采购人负责协调落实，中标人负责看管。</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bookmarkStart w:id="32" w:name="_Toc8793_WPSOffice_Level3"/>
      <w:bookmarkStart w:id="33" w:name="_Toc17890"/>
      <w:bookmarkStart w:id="34" w:name="_Toc22036_WPSOffice_Level3"/>
      <w:bookmarkStart w:id="35" w:name="_Toc29828"/>
      <w:r>
        <w:rPr>
          <w:rFonts w:hint="eastAsia" w:ascii="宋体" w:hAnsi="宋体" w:eastAsia="宋体" w:cs="宋体"/>
          <w:b/>
          <w:bCs/>
          <w:color w:val="auto"/>
          <w:szCs w:val="21"/>
          <w:highlight w:val="none"/>
        </w:rPr>
        <w:t>14.电梯安装技术要求：</w:t>
      </w:r>
      <w:bookmarkEnd w:id="32"/>
      <w:bookmarkEnd w:id="33"/>
      <w:bookmarkEnd w:id="34"/>
      <w:bookmarkEnd w:id="35"/>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14.1质量标准：符合国家、行业标准要求。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14.2完成整个电梯的安装、测试和试运转。安装所有随行电缆、井道灯、底坑灯、防水开关及防水检修插座。电梯轨道安装必须平直、稳固,电梯运行时无振动、摇晃。</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14.3机房各种标识必须齐全。</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14.4所有电梯机房到消防控制中心的电梯运行状态信号电缆及消防控制中心内电梯运行状态显示装置、电缆型号及两端接线由供应商提供。</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14.5凡在质量保修期内非人为原因损坏而作了更换处理的零部件，应继续有12个月的质量保修期。</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14.6日常保养：中标人应定期派出定岗专业人员对全部电梯进行检查、调整、润滑和清理，保证每台电梯工作正常，在最初三个月内，每星期至少一次，在以后每二个星期至少一次。使用的润滑油由中标人负责。</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14.7排除故障及修理：及时排除故障，进行必要的修理，无偿更换非人为损坏或不能正常工作的机件，每天24小时内随时提供。</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14.8定期检查：中标人应每三个月对每台电梯的工作情况作一次全面检查统计，内容至少应包括故障次数、类型、处理方法及效果、润滑情况及安全装置状态等，并提交检查表。义务向市主管部门申报一年一度的电梯安全检验，作好年检前的一切准备工作，并保证取得使用合格证。</w:t>
      </w:r>
      <w:bookmarkEnd w:id="18"/>
      <w:bookmarkEnd w:id="19"/>
    </w:p>
    <w:p>
      <w:pPr>
        <w:shd w:val="clear"/>
        <w:spacing w:line="360" w:lineRule="auto"/>
        <w:rPr>
          <w:rFonts w:ascii="宋体" w:hAnsi="宋体" w:eastAsia="宋体" w:cs="Times New Roman"/>
          <w:color w:val="auto"/>
          <w:szCs w:val="21"/>
          <w:highlight w:val="none"/>
        </w:rPr>
      </w:pPr>
    </w:p>
    <w:p>
      <w:pPr>
        <w:shd w:val="clear"/>
        <w:rPr>
          <w:rFonts w:hint="eastAsia"/>
          <w:color w:val="auto"/>
          <w:sz w:val="28"/>
          <w:szCs w:val="28"/>
          <w:highlight w:val="none"/>
        </w:rPr>
      </w:pPr>
      <w:r>
        <w:rPr>
          <w:rFonts w:hint="eastAsia"/>
          <w:color w:val="auto"/>
          <w:sz w:val="28"/>
          <w:szCs w:val="28"/>
          <w:highlight w:val="none"/>
        </w:rPr>
        <w:br w:type="page"/>
      </w:r>
    </w:p>
    <w:p>
      <w:pPr>
        <w:pStyle w:val="6"/>
        <w:shd w:val="clear"/>
        <w:spacing w:before="0" w:after="0" w:line="240" w:lineRule="auto"/>
        <w:rPr>
          <w:color w:val="auto"/>
          <w:sz w:val="24"/>
          <w:szCs w:val="24"/>
          <w:highlight w:val="none"/>
        </w:rPr>
      </w:pPr>
      <w:bookmarkStart w:id="36" w:name="_Toc30529"/>
      <w:r>
        <w:rPr>
          <w:rFonts w:hint="eastAsia"/>
          <w:color w:val="auto"/>
          <w:sz w:val="28"/>
          <w:szCs w:val="28"/>
          <w:highlight w:val="none"/>
        </w:rPr>
        <w:t>第四部分投标人须知</w:t>
      </w:r>
      <w:bookmarkEnd w:id="36"/>
    </w:p>
    <w:p>
      <w:pPr>
        <w:pStyle w:val="7"/>
        <w:numPr>
          <w:ilvl w:val="0"/>
          <w:numId w:val="1"/>
        </w:numPr>
        <w:shd w:val="clear"/>
        <w:spacing w:before="0" w:after="0" w:line="480" w:lineRule="auto"/>
        <w:jc w:val="center"/>
        <w:rPr>
          <w:rFonts w:ascii="宋体" w:hAnsi="宋体"/>
          <w:color w:val="auto"/>
          <w:highlight w:val="none"/>
        </w:rPr>
      </w:pPr>
      <w:bookmarkStart w:id="37" w:name="_Toc8355"/>
      <w:r>
        <w:rPr>
          <w:rFonts w:hint="eastAsia" w:ascii="宋体" w:hAnsi="宋体"/>
          <w:color w:val="auto"/>
          <w:highlight w:val="none"/>
        </w:rPr>
        <w:t>说明</w:t>
      </w:r>
      <w:bookmarkEnd w:id="37"/>
    </w:p>
    <w:p>
      <w:pPr>
        <w:pStyle w:val="8"/>
        <w:widowControl w:val="0"/>
        <w:numPr>
          <w:ilvl w:val="0"/>
          <w:numId w:val="2"/>
        </w:numPr>
        <w:shd w:val="clear"/>
        <w:overflowPunct w:val="0"/>
        <w:rPr>
          <w:rFonts w:ascii="宋体" w:hAnsi="宋体" w:cs="宋体"/>
          <w:color w:val="auto"/>
          <w:sz w:val="21"/>
          <w:szCs w:val="21"/>
          <w:highlight w:val="none"/>
        </w:rPr>
      </w:pPr>
      <w:bookmarkStart w:id="38" w:name="_Toc14765"/>
      <w:r>
        <w:rPr>
          <w:rFonts w:hint="eastAsia" w:ascii="宋体" w:hAnsi="宋体" w:cs="宋体"/>
          <w:color w:val="auto"/>
          <w:sz w:val="21"/>
          <w:szCs w:val="21"/>
          <w:highlight w:val="none"/>
        </w:rPr>
        <w:t>适用范围</w:t>
      </w:r>
      <w:bookmarkEnd w:id="38"/>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39" w:name="_Toc23086"/>
      <w:bookmarkStart w:id="40" w:name="_Toc303084246"/>
      <w:bookmarkStart w:id="41" w:name="_Toc1530"/>
      <w:bookmarkStart w:id="42" w:name="_Toc298847174"/>
      <w:bookmarkStart w:id="43" w:name="_Toc382049092"/>
      <w:r>
        <w:rPr>
          <w:rFonts w:hint="eastAsia" w:ascii="宋体" w:hAnsi="宋体" w:cs="宋体"/>
          <w:color w:val="auto"/>
          <w:sz w:val="21"/>
          <w:szCs w:val="21"/>
          <w:highlight w:val="none"/>
        </w:rPr>
        <w:t>定义</w:t>
      </w:r>
      <w:bookmarkEnd w:id="39"/>
      <w:bookmarkEnd w:id="40"/>
      <w:bookmarkEnd w:id="41"/>
      <w:bookmarkEnd w:id="42"/>
      <w:bookmarkEnd w:id="43"/>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44" w:name="_Toc29763"/>
      <w:r>
        <w:rPr>
          <w:rFonts w:hint="eastAsia" w:ascii="宋体" w:hAnsi="宋体" w:cs="宋体"/>
          <w:color w:val="auto"/>
          <w:sz w:val="21"/>
          <w:szCs w:val="21"/>
          <w:highlight w:val="none"/>
        </w:rPr>
        <w:t>货物和服务</w:t>
      </w:r>
      <w:bookmarkEnd w:id="44"/>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45" w:name="_Toc14311"/>
      <w:r>
        <w:rPr>
          <w:rFonts w:hint="eastAsia" w:ascii="宋体" w:hAnsi="宋体" w:cs="宋体"/>
          <w:color w:val="auto"/>
          <w:sz w:val="21"/>
          <w:szCs w:val="21"/>
          <w:highlight w:val="none"/>
        </w:rPr>
        <w:t>投标费用</w:t>
      </w:r>
      <w:bookmarkEnd w:id="45"/>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shd w:val="clear"/>
        <w:adjustRightInd/>
        <w:snapToGrid/>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46" w:name="_Toc26944"/>
      <w:r>
        <w:rPr>
          <w:rFonts w:hint="eastAsia" w:ascii="宋体" w:hAnsi="宋体" w:cs="宋体"/>
          <w:color w:val="auto"/>
          <w:sz w:val="21"/>
          <w:szCs w:val="21"/>
          <w:highlight w:val="none"/>
        </w:rPr>
        <w:t>知识产权</w:t>
      </w:r>
      <w:bookmarkEnd w:id="46"/>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pPr>
        <w:widowControl w:val="0"/>
        <w:shd w:val="clear"/>
        <w:adjustRightInd/>
        <w:snapToGrid/>
        <w:ind w:left="567"/>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47" w:name="_Toc2710"/>
      <w:r>
        <w:rPr>
          <w:rFonts w:hint="eastAsia" w:ascii="宋体" w:hAnsi="宋体" w:cs="宋体"/>
          <w:color w:val="auto"/>
          <w:sz w:val="21"/>
          <w:szCs w:val="21"/>
          <w:highlight w:val="none"/>
        </w:rPr>
        <w:t>关于联合体投标</w:t>
      </w:r>
      <w:bookmarkEnd w:id="47"/>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shd w:val="clear"/>
        <w:adjustRightInd/>
        <w:snapToGrid/>
        <w:ind w:left="567"/>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48" w:name="_Toc18400"/>
      <w:r>
        <w:rPr>
          <w:rFonts w:hint="eastAsia" w:ascii="宋体" w:hAnsi="宋体" w:cs="宋体"/>
          <w:color w:val="auto"/>
          <w:sz w:val="21"/>
          <w:szCs w:val="21"/>
          <w:highlight w:val="none"/>
        </w:rPr>
        <w:t>关于分支机构投标</w:t>
      </w:r>
      <w:bookmarkEnd w:id="48"/>
    </w:p>
    <w:p>
      <w:pPr>
        <w:pStyle w:val="43"/>
        <w:widowControl w:val="0"/>
        <w:shd w:val="clear"/>
        <w:adjustRightInd/>
        <w:snapToGrid/>
        <w:ind w:left="425" w:firstLineChars="0"/>
        <w:jc w:val="both"/>
        <w:rPr>
          <w:rFonts w:ascii="宋体" w:hAnsi="宋体" w:cs="宋体"/>
          <w:vanish/>
          <w:color w:val="auto"/>
          <w:szCs w:val="21"/>
          <w:highlight w:val="none"/>
        </w:rPr>
      </w:pPr>
      <w:bookmarkStart w:id="49" w:name="EB389f116341dd4693875bc7987e7327f3"/>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49"/>
    </w:p>
    <w:p>
      <w:pPr>
        <w:widowControl w:val="0"/>
        <w:shd w:val="clear"/>
        <w:adjustRightInd/>
        <w:snapToGrid/>
        <w:ind w:left="567"/>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50" w:name="_Toc10192"/>
      <w:r>
        <w:rPr>
          <w:rFonts w:hint="eastAsia" w:ascii="宋体" w:hAnsi="宋体" w:cs="宋体"/>
          <w:color w:val="auto"/>
          <w:sz w:val="21"/>
          <w:szCs w:val="21"/>
          <w:highlight w:val="none"/>
        </w:rPr>
        <w:t>踏勘现场</w:t>
      </w:r>
      <w:bookmarkEnd w:id="50"/>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shd w:val="clear"/>
        <w:rPr>
          <w:rFonts w:ascii="宋体" w:hAnsi="宋体" w:cs="宋体"/>
          <w:color w:val="auto"/>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51" w:name="_Toc3462"/>
      <w:r>
        <w:rPr>
          <w:rFonts w:hint="eastAsia" w:ascii="宋体" w:hAnsi="宋体" w:cs="宋体"/>
          <w:color w:val="auto"/>
          <w:highlight w:val="none"/>
        </w:rPr>
        <w:t>采购文件</w:t>
      </w:r>
      <w:bookmarkEnd w:id="51"/>
    </w:p>
    <w:p>
      <w:pPr>
        <w:pStyle w:val="8"/>
        <w:widowControl w:val="0"/>
        <w:numPr>
          <w:ilvl w:val="0"/>
          <w:numId w:val="2"/>
        </w:numPr>
        <w:shd w:val="clear"/>
        <w:overflowPunct w:val="0"/>
        <w:rPr>
          <w:rFonts w:ascii="宋体" w:hAnsi="宋体" w:cs="宋体"/>
          <w:color w:val="auto"/>
          <w:sz w:val="21"/>
          <w:szCs w:val="21"/>
          <w:highlight w:val="none"/>
        </w:rPr>
      </w:pPr>
      <w:bookmarkStart w:id="52" w:name="_Toc9479"/>
      <w:r>
        <w:rPr>
          <w:rFonts w:hint="eastAsia" w:ascii="宋体" w:hAnsi="宋体" w:cs="宋体"/>
          <w:color w:val="auto"/>
          <w:sz w:val="21"/>
          <w:szCs w:val="21"/>
          <w:highlight w:val="none"/>
        </w:rPr>
        <w:t>采购文件的组成</w:t>
      </w:r>
      <w:bookmarkEnd w:id="52"/>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（1）投标邀请书；</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（2）投标资料表；</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（3）用户需求书；</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（4）投标人须知；</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（6）投标文件格式；</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53" w:name="_Toc14604"/>
      <w:r>
        <w:rPr>
          <w:rFonts w:hint="eastAsia" w:ascii="宋体" w:hAnsi="宋体" w:cs="宋体"/>
          <w:color w:val="auto"/>
          <w:sz w:val="21"/>
          <w:szCs w:val="21"/>
          <w:highlight w:val="none"/>
        </w:rPr>
        <w:t>采购文件的澄清或修改</w:t>
      </w:r>
      <w:bookmarkEnd w:id="53"/>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pPr>
        <w:widowControl w:val="0"/>
        <w:shd w:val="clear"/>
        <w:adjustRightInd/>
        <w:snapToGrid/>
        <w:ind w:left="567"/>
        <w:jc w:val="both"/>
        <w:rPr>
          <w:rFonts w:ascii="宋体" w:hAnsi="宋体" w:cs="宋体"/>
          <w:color w:val="auto"/>
          <w:szCs w:val="21"/>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54" w:name="_Toc4114"/>
      <w:r>
        <w:rPr>
          <w:rFonts w:hint="eastAsia" w:ascii="宋体" w:hAnsi="宋体" w:cs="宋体"/>
          <w:color w:val="auto"/>
          <w:highlight w:val="none"/>
        </w:rPr>
        <w:t>投标文件的编制</w:t>
      </w:r>
      <w:bookmarkEnd w:id="54"/>
    </w:p>
    <w:p>
      <w:pPr>
        <w:pStyle w:val="8"/>
        <w:widowControl w:val="0"/>
        <w:numPr>
          <w:ilvl w:val="0"/>
          <w:numId w:val="2"/>
        </w:numPr>
        <w:shd w:val="clear"/>
        <w:overflowPunct w:val="0"/>
        <w:rPr>
          <w:rFonts w:ascii="宋体" w:hAnsi="宋体" w:cs="宋体"/>
          <w:color w:val="auto"/>
          <w:sz w:val="21"/>
          <w:szCs w:val="21"/>
          <w:highlight w:val="none"/>
        </w:rPr>
      </w:pPr>
      <w:bookmarkStart w:id="55" w:name="_Toc10671"/>
      <w:r>
        <w:rPr>
          <w:rFonts w:hint="eastAsia" w:ascii="宋体" w:hAnsi="宋体" w:cs="宋体"/>
          <w:color w:val="auto"/>
          <w:sz w:val="21"/>
          <w:szCs w:val="21"/>
          <w:highlight w:val="none"/>
        </w:rPr>
        <w:t>投标文件的语言及度量衡单位</w:t>
      </w:r>
      <w:bookmarkEnd w:id="55"/>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shd w:val="clear"/>
        <w:adjustRightInd/>
        <w:snapToGrid/>
        <w:ind w:left="567"/>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56" w:name="_Toc307934854"/>
      <w:bookmarkStart w:id="57" w:name="_Toc303084256"/>
      <w:bookmarkStart w:id="58" w:name="_Toc28866"/>
      <w:bookmarkStart w:id="59" w:name="_Toc14584"/>
      <w:bookmarkStart w:id="60" w:name="_Toc382049103"/>
      <w:r>
        <w:rPr>
          <w:rFonts w:hint="eastAsia" w:ascii="宋体" w:hAnsi="宋体" w:cs="宋体"/>
          <w:color w:val="auto"/>
          <w:sz w:val="21"/>
          <w:szCs w:val="21"/>
          <w:highlight w:val="none"/>
        </w:rPr>
        <w:t>投标文件的组成</w:t>
      </w:r>
      <w:bookmarkEnd w:id="56"/>
      <w:bookmarkEnd w:id="57"/>
      <w:bookmarkEnd w:id="58"/>
      <w:bookmarkEnd w:id="59"/>
      <w:bookmarkEnd w:id="60"/>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61" w:name="_Toc3633"/>
      <w:r>
        <w:rPr>
          <w:rFonts w:hint="eastAsia" w:ascii="宋体" w:hAnsi="宋体" w:cs="宋体"/>
          <w:color w:val="auto"/>
          <w:sz w:val="21"/>
          <w:szCs w:val="21"/>
          <w:highlight w:val="none"/>
        </w:rPr>
        <w:t>投标文件编制</w:t>
      </w:r>
      <w:bookmarkEnd w:id="61"/>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bookmarkStart w:id="62" w:name="_Toc303084258"/>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投标文件内出现无官方证明文件的行业地域排名或使用“国家级”、“最高级”、“最佳”等用语字眼的。</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投标文件内出现恶意诋毁、贬低其他生产经营者的商品或者服务的内容。</w:t>
      </w:r>
    </w:p>
    <w:p>
      <w:pPr>
        <w:keepNext w:val="0"/>
        <w:keepLines w:val="0"/>
        <w:pageBreakBefore w:val="0"/>
        <w:widowControl w:val="0"/>
        <w:numPr>
          <w:ilvl w:val="1"/>
          <w:numId w:val="2"/>
        </w:numPr>
        <w:shd w:val="clear"/>
        <w:kinsoku/>
        <w:wordWrap/>
        <w:overflowPunct w:val="0"/>
        <w:topLinePunct w:val="0"/>
        <w:autoSpaceDE/>
        <w:autoSpaceDN/>
        <w:bidi w:val="0"/>
        <w:spacing w:line="264" w:lineRule="auto"/>
        <w:textAlignment w:val="auto"/>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62"/>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63" w:name="_Toc32509"/>
      <w:r>
        <w:rPr>
          <w:rFonts w:hint="eastAsia" w:ascii="宋体" w:hAnsi="宋体" w:cs="宋体"/>
          <w:color w:val="auto"/>
          <w:sz w:val="21"/>
          <w:szCs w:val="21"/>
          <w:highlight w:val="none"/>
        </w:rPr>
        <w:t>投标报价说明</w:t>
      </w:r>
      <w:bookmarkEnd w:id="63"/>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64" w:name="_Toc11809"/>
      <w:r>
        <w:rPr>
          <w:rFonts w:hint="eastAsia" w:ascii="宋体" w:hAnsi="宋体" w:cs="宋体"/>
          <w:color w:val="auto"/>
          <w:sz w:val="21"/>
          <w:szCs w:val="21"/>
          <w:highlight w:val="none"/>
        </w:rPr>
        <w:t>投标人所提供的服务或货物的证明文件</w:t>
      </w:r>
      <w:bookmarkEnd w:id="64"/>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bookmarkStart w:id="65" w:name="_Hlt107925668"/>
      <w:bookmarkEnd w:id="65"/>
      <w:bookmarkStart w:id="66" w:name="_Hlt107925638"/>
      <w:bookmarkEnd w:id="66"/>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（1）使用伪造、变造的许可证件；</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（2）提供虚假的财务状况或者业绩；</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（4）提供虚假的信用状况；</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（5）其他弄虚作假的行为。</w:t>
      </w:r>
    </w:p>
    <w:p>
      <w:pPr>
        <w:pStyle w:val="8"/>
        <w:widowControl w:val="0"/>
        <w:numPr>
          <w:ilvl w:val="0"/>
          <w:numId w:val="2"/>
        </w:numPr>
        <w:shd w:val="clear"/>
        <w:overflowPunct w:val="0"/>
        <w:rPr>
          <w:rFonts w:ascii="宋体" w:hAnsi="宋体" w:cs="宋体"/>
          <w:color w:val="auto"/>
          <w:sz w:val="21"/>
          <w:szCs w:val="21"/>
          <w:highlight w:val="none"/>
        </w:rPr>
      </w:pPr>
      <w:bookmarkStart w:id="67" w:name="_Toc25419"/>
      <w:r>
        <w:rPr>
          <w:rFonts w:hint="eastAsia" w:ascii="宋体" w:hAnsi="宋体" w:cs="宋体"/>
          <w:color w:val="auto"/>
          <w:sz w:val="21"/>
          <w:szCs w:val="21"/>
          <w:highlight w:val="none"/>
        </w:rPr>
        <w:t>投标有效期</w:t>
      </w:r>
      <w:bookmarkEnd w:id="67"/>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pPr>
        <w:widowControl w:val="0"/>
        <w:shd w:val="clear"/>
        <w:adjustRightInd/>
        <w:snapToGrid/>
        <w:ind w:left="567"/>
        <w:jc w:val="both"/>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68" w:name="_Toc26230"/>
      <w:r>
        <w:rPr>
          <w:rFonts w:hint="eastAsia" w:ascii="宋体" w:hAnsi="宋体" w:cs="宋体"/>
          <w:color w:val="auto"/>
          <w:sz w:val="21"/>
          <w:szCs w:val="21"/>
          <w:highlight w:val="none"/>
        </w:rPr>
        <w:t>投标保证金</w:t>
      </w:r>
      <w:bookmarkEnd w:id="68"/>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bookmarkStart w:id="69" w:name="_Ref179619405"/>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69"/>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pPr>
        <w:shd w:val="clear"/>
        <w:rPr>
          <w:rFonts w:ascii="宋体" w:hAnsi="宋体" w:cs="宋体"/>
          <w:color w:val="auto"/>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70" w:name="_Toc30124"/>
      <w:r>
        <w:rPr>
          <w:rFonts w:hint="eastAsia" w:ascii="宋体" w:hAnsi="宋体" w:cs="宋体"/>
          <w:color w:val="auto"/>
          <w:highlight w:val="none"/>
        </w:rPr>
        <w:t>投标文件的递交</w:t>
      </w:r>
      <w:bookmarkEnd w:id="70"/>
    </w:p>
    <w:p>
      <w:pPr>
        <w:pStyle w:val="8"/>
        <w:widowControl w:val="0"/>
        <w:numPr>
          <w:ilvl w:val="0"/>
          <w:numId w:val="2"/>
        </w:numPr>
        <w:shd w:val="clear"/>
        <w:overflowPunct w:val="0"/>
        <w:rPr>
          <w:rFonts w:ascii="宋体" w:hAnsi="宋体" w:cs="宋体"/>
          <w:color w:val="auto"/>
          <w:sz w:val="21"/>
          <w:szCs w:val="21"/>
          <w:highlight w:val="none"/>
        </w:rPr>
      </w:pPr>
      <w:bookmarkStart w:id="71" w:name="_Toc382049111"/>
      <w:bookmarkStart w:id="72" w:name="_Toc303084264"/>
      <w:bookmarkStart w:id="73" w:name="_Toc24997"/>
      <w:bookmarkStart w:id="74" w:name="_Toc15318"/>
      <w:r>
        <w:rPr>
          <w:rFonts w:hint="eastAsia" w:ascii="宋体" w:hAnsi="宋体" w:cs="宋体"/>
          <w:color w:val="auto"/>
          <w:sz w:val="21"/>
          <w:szCs w:val="21"/>
          <w:highlight w:val="none"/>
        </w:rPr>
        <w:t>投标文件的装订，签署，密封和标记</w:t>
      </w:r>
      <w:bookmarkEnd w:id="71"/>
      <w:bookmarkEnd w:id="72"/>
      <w:bookmarkEnd w:id="73"/>
      <w:bookmarkEnd w:id="74"/>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 xml:space="preserve">收件人： </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投标单位名称：</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项目名称：</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项目采购项目编号：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75" w:name="_Toc5157"/>
      <w:r>
        <w:rPr>
          <w:rFonts w:hint="eastAsia" w:ascii="宋体" w:hAnsi="宋体" w:cs="宋体"/>
          <w:color w:val="auto"/>
          <w:sz w:val="21"/>
          <w:szCs w:val="21"/>
          <w:highlight w:val="none"/>
        </w:rPr>
        <w:t>迟交的投标文件</w:t>
      </w:r>
      <w:bookmarkEnd w:id="75"/>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76" w:name="_Toc14401"/>
      <w:r>
        <w:rPr>
          <w:rFonts w:hint="eastAsia" w:ascii="宋体" w:hAnsi="宋体" w:cs="宋体"/>
          <w:color w:val="auto"/>
          <w:sz w:val="21"/>
          <w:szCs w:val="21"/>
          <w:highlight w:val="none"/>
        </w:rPr>
        <w:t>投标样品（如需提交）</w:t>
      </w:r>
      <w:bookmarkEnd w:id="76"/>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77" w:name="_Toc382049112"/>
      <w:bookmarkStart w:id="78" w:name="_Toc9777"/>
      <w:bookmarkStart w:id="79" w:name="_Toc31872"/>
      <w:bookmarkStart w:id="80" w:name="_Toc303084265"/>
      <w:r>
        <w:rPr>
          <w:rFonts w:hint="eastAsia" w:ascii="宋体" w:hAnsi="宋体" w:cs="宋体"/>
          <w:color w:val="auto"/>
          <w:sz w:val="21"/>
          <w:szCs w:val="21"/>
          <w:highlight w:val="none"/>
        </w:rPr>
        <w:t>投标截止期</w:t>
      </w:r>
      <w:bookmarkEnd w:id="77"/>
      <w:bookmarkEnd w:id="78"/>
      <w:bookmarkEnd w:id="79"/>
      <w:bookmarkEnd w:id="80"/>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81" w:name="_Toc14079"/>
      <w:r>
        <w:rPr>
          <w:rFonts w:hint="eastAsia" w:ascii="宋体" w:hAnsi="宋体" w:cs="宋体"/>
          <w:color w:val="auto"/>
          <w:sz w:val="21"/>
          <w:szCs w:val="21"/>
          <w:highlight w:val="none"/>
        </w:rPr>
        <w:t>投标文件的补充、修改与撤回</w:t>
      </w:r>
      <w:bookmarkEnd w:id="81"/>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pPr>
        <w:pStyle w:val="2"/>
        <w:shd w:val="clear"/>
        <w:rPr>
          <w:color w:val="auto"/>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82" w:name="_Toc26366"/>
      <w:r>
        <w:rPr>
          <w:rFonts w:hint="eastAsia" w:ascii="宋体" w:hAnsi="宋体" w:cs="宋体"/>
          <w:color w:val="auto"/>
          <w:highlight w:val="none"/>
        </w:rPr>
        <w:t>开标与评标</w:t>
      </w:r>
      <w:bookmarkEnd w:id="82"/>
    </w:p>
    <w:p>
      <w:pPr>
        <w:pStyle w:val="8"/>
        <w:widowControl w:val="0"/>
        <w:numPr>
          <w:ilvl w:val="0"/>
          <w:numId w:val="2"/>
        </w:numPr>
        <w:shd w:val="clear"/>
        <w:overflowPunct w:val="0"/>
        <w:rPr>
          <w:rFonts w:ascii="宋体" w:hAnsi="宋体" w:cs="宋体"/>
          <w:color w:val="auto"/>
          <w:sz w:val="21"/>
          <w:szCs w:val="21"/>
          <w:highlight w:val="none"/>
        </w:rPr>
      </w:pPr>
      <w:bookmarkStart w:id="83" w:name="_Toc6394"/>
      <w:r>
        <w:rPr>
          <w:rFonts w:hint="eastAsia" w:ascii="宋体" w:hAnsi="宋体" w:cs="宋体"/>
          <w:color w:val="auto"/>
          <w:sz w:val="21"/>
          <w:szCs w:val="21"/>
          <w:highlight w:val="none"/>
        </w:rPr>
        <w:t>开标</w:t>
      </w:r>
      <w:bookmarkEnd w:id="83"/>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pPr>
        <w:widowControl w:val="0"/>
        <w:shd w:val="clear"/>
        <w:adjustRightInd/>
        <w:snapToGrid/>
        <w:ind w:left="567"/>
        <w:jc w:val="both"/>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84" w:name="_Toc23501"/>
      <w:r>
        <w:rPr>
          <w:rFonts w:hint="eastAsia" w:ascii="宋体" w:hAnsi="宋体" w:cs="宋体"/>
          <w:color w:val="auto"/>
          <w:sz w:val="21"/>
          <w:szCs w:val="21"/>
          <w:highlight w:val="none"/>
        </w:rPr>
        <w:t>评标委员会及评标方法</w:t>
      </w:r>
      <w:bookmarkEnd w:id="84"/>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85" w:name="_Toc27886"/>
      <w:r>
        <w:rPr>
          <w:rFonts w:hint="eastAsia" w:ascii="宋体" w:hAnsi="宋体" w:cs="宋体"/>
          <w:color w:val="auto"/>
          <w:sz w:val="21"/>
          <w:szCs w:val="21"/>
          <w:highlight w:val="none"/>
        </w:rPr>
        <w:t>评审原则及评标过程的保密</w:t>
      </w:r>
      <w:bookmarkEnd w:id="85"/>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86" w:name="_Toc16628"/>
      <w:bookmarkStart w:id="87" w:name="_Toc7361"/>
      <w:r>
        <w:rPr>
          <w:rFonts w:hint="eastAsia" w:ascii="宋体" w:hAnsi="宋体" w:cs="宋体"/>
          <w:color w:val="auto"/>
          <w:sz w:val="21"/>
          <w:szCs w:val="21"/>
          <w:highlight w:val="none"/>
        </w:rPr>
        <w:t>评标程序</w:t>
      </w:r>
      <w:bookmarkEnd w:id="86"/>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widowControl w:val="0"/>
        <w:shd w:val="clear"/>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shd w:val="clea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）符合投标人资格要求中其他要求（如有）。（提供《附件9.相关资质证明文件》中对应证明文件。）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bookmarkEnd w:id="87"/>
    </w:tbl>
    <w:p>
      <w:pPr>
        <w:widowControl w:val="0"/>
        <w:shd w:val="clear"/>
        <w:overflowPunct w:val="0"/>
        <w:ind w:firstLine="420" w:firstLineChars="200"/>
        <w:rPr>
          <w:rFonts w:hint="eastAsia"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w:t>
      </w:r>
    </w:p>
    <w:p>
      <w:pPr>
        <w:widowControl w:val="0"/>
        <w:shd w:val="clear"/>
        <w:overflowPunct w:val="0"/>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经评标委员会资格性、符合性审查确认具有有效投标文件的投标人不足三家时</w:t>
      </w:r>
      <w:r>
        <w:rPr>
          <w:rFonts w:hint="eastAsia" w:ascii="宋体" w:hAnsi="宋体"/>
          <w:color w:val="auto"/>
          <w:szCs w:val="21"/>
          <w:highlight w:val="none"/>
          <w:lang w:eastAsia="zh-CN"/>
        </w:rPr>
        <w:t>：</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）当</w:t>
      </w:r>
      <w:r>
        <w:rPr>
          <w:rFonts w:hint="eastAsia" w:ascii="宋体" w:hAnsi="宋体"/>
          <w:color w:val="auto"/>
          <w:szCs w:val="21"/>
          <w:highlight w:val="none"/>
        </w:rPr>
        <w:t>具有有效投标文件的投标人</w:t>
      </w:r>
      <w:r>
        <w:rPr>
          <w:rFonts w:hint="eastAsia" w:ascii="宋体" w:hAnsi="宋体"/>
          <w:color w:val="auto"/>
          <w:szCs w:val="21"/>
          <w:highlight w:val="none"/>
          <w:lang w:eastAsia="zh-CN"/>
        </w:rPr>
        <w:t>只有</w:t>
      </w:r>
      <w:r>
        <w:rPr>
          <w:rFonts w:hint="eastAsia" w:ascii="宋体" w:hAnsi="宋体"/>
          <w:color w:val="auto"/>
          <w:szCs w:val="21"/>
          <w:highlight w:val="none"/>
          <w:lang w:val="en-US" w:eastAsia="zh-CN"/>
        </w:rPr>
        <w:t>两</w:t>
      </w:r>
      <w:r>
        <w:rPr>
          <w:rFonts w:hint="eastAsia" w:ascii="宋体" w:hAnsi="宋体"/>
          <w:color w:val="auto"/>
          <w:szCs w:val="21"/>
          <w:highlight w:val="none"/>
          <w:lang w:eastAsia="zh-CN"/>
        </w:rPr>
        <w:t>家时，现场</w:t>
      </w:r>
      <w:r>
        <w:rPr>
          <w:rFonts w:hint="eastAsia" w:ascii="宋体" w:hAnsi="宋体"/>
          <w:color w:val="auto"/>
          <w:szCs w:val="21"/>
          <w:highlight w:val="none"/>
          <w:lang w:val="en-US" w:eastAsia="zh-CN"/>
        </w:rPr>
        <w:t>可正常进行评审</w:t>
      </w:r>
      <w:r>
        <w:rPr>
          <w:rFonts w:hint="eastAsia" w:ascii="宋体" w:hAnsi="宋体"/>
          <w:color w:val="auto"/>
          <w:szCs w:val="21"/>
          <w:highlight w:val="none"/>
          <w:lang w:eastAsia="zh-CN"/>
        </w:rPr>
        <w:t>。</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当</w:t>
      </w:r>
      <w:r>
        <w:rPr>
          <w:rFonts w:hint="eastAsia" w:ascii="宋体" w:hAnsi="宋体"/>
          <w:color w:val="auto"/>
          <w:szCs w:val="21"/>
          <w:highlight w:val="none"/>
        </w:rPr>
        <w:t>具有</w:t>
      </w:r>
      <w:r>
        <w:rPr>
          <w:rFonts w:hint="eastAsia" w:ascii="宋体" w:hAnsi="宋体" w:cs="宋体"/>
          <w:color w:val="auto"/>
          <w:highlight w:val="none"/>
        </w:rPr>
        <w:t>有效</w:t>
      </w:r>
      <w:r>
        <w:rPr>
          <w:rFonts w:hint="eastAsia" w:ascii="宋体" w:hAnsi="宋体"/>
          <w:color w:val="auto"/>
          <w:szCs w:val="21"/>
          <w:highlight w:val="none"/>
        </w:rPr>
        <w:t>投标文件的投标人</w:t>
      </w:r>
      <w:r>
        <w:rPr>
          <w:rFonts w:hint="eastAsia" w:ascii="宋体" w:hAnsi="宋体"/>
          <w:color w:val="auto"/>
          <w:szCs w:val="21"/>
          <w:highlight w:val="none"/>
          <w:lang w:eastAsia="zh-CN"/>
        </w:rPr>
        <w:t>只有</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家时，现场可直接与其进行定向谈判。</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若</w:t>
      </w:r>
      <w:r>
        <w:rPr>
          <w:rFonts w:hint="eastAsia" w:ascii="宋体" w:hAnsi="宋体"/>
          <w:color w:val="auto"/>
          <w:szCs w:val="21"/>
          <w:highlight w:val="none"/>
        </w:rPr>
        <w:t>具有有效投标文件的投标人</w:t>
      </w:r>
      <w:r>
        <w:rPr>
          <w:rFonts w:hint="eastAsia" w:ascii="宋体" w:hAnsi="宋体"/>
          <w:color w:val="auto"/>
          <w:szCs w:val="21"/>
          <w:highlight w:val="none"/>
          <w:lang w:eastAsia="zh-CN"/>
        </w:rPr>
        <w:t>不</w:t>
      </w:r>
      <w:r>
        <w:rPr>
          <w:rFonts w:hint="eastAsia" w:ascii="宋体" w:hAnsi="宋体"/>
          <w:color w:val="auto"/>
          <w:szCs w:val="21"/>
          <w:highlight w:val="none"/>
          <w:lang w:val="en-US" w:eastAsia="zh-CN"/>
        </w:rPr>
        <w:t>接受现场</w:t>
      </w:r>
      <w:r>
        <w:rPr>
          <w:rFonts w:hint="eastAsia" w:ascii="宋体" w:hAnsi="宋体"/>
          <w:color w:val="auto"/>
          <w:szCs w:val="21"/>
          <w:highlight w:val="none"/>
          <w:lang w:eastAsia="zh-CN"/>
        </w:rPr>
        <w:t>转换采购方式</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视为放弃投标</w:t>
      </w:r>
      <w:r>
        <w:rPr>
          <w:rFonts w:hint="eastAsia" w:ascii="宋体" w:hAnsi="宋体"/>
          <w:color w:val="auto"/>
          <w:szCs w:val="21"/>
          <w:highlight w:val="none"/>
          <w:lang w:eastAsia="zh-CN"/>
        </w:rPr>
        <w:t>，投标文件</w:t>
      </w:r>
      <w:r>
        <w:rPr>
          <w:rFonts w:hint="eastAsia" w:ascii="宋体" w:hAnsi="宋体"/>
          <w:color w:val="auto"/>
          <w:szCs w:val="21"/>
          <w:highlight w:val="none"/>
          <w:lang w:val="en-US" w:eastAsia="zh-CN"/>
        </w:rPr>
        <w:t>不予</w:t>
      </w:r>
      <w:r>
        <w:rPr>
          <w:rFonts w:hint="eastAsia" w:ascii="宋体" w:hAnsi="宋体"/>
          <w:color w:val="auto"/>
          <w:szCs w:val="21"/>
          <w:highlight w:val="none"/>
          <w:lang w:eastAsia="zh-CN"/>
        </w:rPr>
        <w:t>退还。</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投标文件中开标一览表（报价表）内容与投标文件中相应内容不一致的，以开标一览表（报价表）为准；</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大写金额和小写金额不一致的，以大写金额为准；</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单价金额小数点或者百分比有明显错位的，以开标一览表的总价为准，并修改单价；</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总价</w:t>
      </w:r>
      <w:r>
        <w:rPr>
          <w:rFonts w:hint="eastAsia" w:ascii="宋体" w:hAnsi="宋体" w:cs="宋体"/>
          <w:color w:val="auto"/>
          <w:highlight w:val="none"/>
        </w:rPr>
        <w:t>金额</w:t>
      </w:r>
      <w:r>
        <w:rPr>
          <w:rFonts w:hint="eastAsia" w:ascii="宋体" w:hAnsi="宋体" w:cs="宋体"/>
          <w:color w:val="auto"/>
          <w:szCs w:val="21"/>
          <w:highlight w:val="none"/>
        </w:rPr>
        <w:t>与按单价汇总金额不一致的，以单价金额计算结果为准。</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同时</w:t>
      </w:r>
      <w:r>
        <w:rPr>
          <w:rFonts w:hint="eastAsia" w:ascii="宋体" w:hAnsi="宋体" w:cs="宋体"/>
          <w:color w:val="auto"/>
          <w:highlight w:val="none"/>
        </w:rPr>
        <w:t>出现</w:t>
      </w:r>
      <w:r>
        <w:rPr>
          <w:rFonts w:hint="eastAsia" w:ascii="宋体" w:hAnsi="宋体" w:cs="宋体"/>
          <w:color w:val="auto"/>
          <w:szCs w:val="21"/>
          <w:highlight w:val="none"/>
        </w:rPr>
        <w:t>两种以上不一致的，按照前款规定的顺序修正。修正后的报价按照经投标人确认后产生约束力，投标人不确认的，其投标无效。</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2"/>
        <w:shd w:val="clear"/>
        <w:rPr>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88" w:name="_Toc12819"/>
      <w:r>
        <w:rPr>
          <w:rFonts w:hint="eastAsia" w:ascii="宋体" w:hAnsi="宋体" w:cs="宋体"/>
          <w:color w:val="auto"/>
          <w:sz w:val="21"/>
          <w:szCs w:val="21"/>
          <w:highlight w:val="none"/>
        </w:rPr>
        <w:t>商务、技术、价格评审（具体评审项目详见投标资料表）</w:t>
      </w:r>
      <w:bookmarkEnd w:id="88"/>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pPr>
        <w:widowControl w:val="0"/>
        <w:shd w:val="clear"/>
        <w:tabs>
          <w:tab w:val="left" w:pos="907"/>
        </w:tabs>
        <w:adjustRightInd/>
        <w:snapToGrid/>
        <w:ind w:left="567"/>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89" w:name="_Toc316375620"/>
      <w:bookmarkStart w:id="90" w:name="_Toc19666"/>
      <w:bookmarkStart w:id="91" w:name="_Toc382049120"/>
      <w:bookmarkStart w:id="92" w:name="_Toc20328"/>
      <w:r>
        <w:rPr>
          <w:rFonts w:hint="eastAsia" w:ascii="宋体" w:hAnsi="宋体" w:cs="宋体"/>
          <w:color w:val="auto"/>
          <w:sz w:val="21"/>
          <w:szCs w:val="21"/>
          <w:highlight w:val="none"/>
        </w:rPr>
        <w:t>纪律和保密</w:t>
      </w:r>
      <w:bookmarkEnd w:id="89"/>
      <w:r>
        <w:rPr>
          <w:rFonts w:hint="eastAsia" w:ascii="宋体" w:hAnsi="宋体" w:cs="宋体"/>
          <w:color w:val="auto"/>
          <w:sz w:val="21"/>
          <w:szCs w:val="21"/>
          <w:highlight w:val="none"/>
        </w:rPr>
        <w:t>事项</w:t>
      </w:r>
      <w:bookmarkEnd w:id="90"/>
      <w:bookmarkEnd w:id="91"/>
      <w:bookmarkEnd w:id="92"/>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pPr>
        <w:shd w:val="clear"/>
        <w:rPr>
          <w:rFonts w:ascii="宋体" w:hAnsi="宋体" w:cs="宋体"/>
          <w:color w:val="auto"/>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93" w:name="_Toc20786"/>
      <w:r>
        <w:rPr>
          <w:rFonts w:hint="eastAsia" w:ascii="宋体" w:hAnsi="宋体" w:cs="宋体"/>
          <w:color w:val="auto"/>
          <w:highlight w:val="none"/>
        </w:rPr>
        <w:t>授予合同</w:t>
      </w:r>
      <w:bookmarkEnd w:id="93"/>
    </w:p>
    <w:p>
      <w:pPr>
        <w:pStyle w:val="8"/>
        <w:widowControl w:val="0"/>
        <w:numPr>
          <w:ilvl w:val="0"/>
          <w:numId w:val="2"/>
        </w:numPr>
        <w:shd w:val="clear"/>
        <w:overflowPunct w:val="0"/>
        <w:rPr>
          <w:rFonts w:ascii="宋体" w:hAnsi="宋体" w:cs="宋体"/>
          <w:color w:val="auto"/>
          <w:sz w:val="21"/>
          <w:szCs w:val="21"/>
          <w:highlight w:val="none"/>
        </w:rPr>
      </w:pPr>
      <w:bookmarkStart w:id="94" w:name="_Toc10597"/>
      <w:bookmarkStart w:id="95" w:name="_Toc508284011"/>
      <w:r>
        <w:rPr>
          <w:rFonts w:hint="eastAsia" w:ascii="宋体" w:hAnsi="宋体" w:cs="宋体"/>
          <w:color w:val="auto"/>
          <w:sz w:val="21"/>
          <w:szCs w:val="21"/>
          <w:highlight w:val="none"/>
        </w:rPr>
        <w:t>合同授予标准</w:t>
      </w:r>
      <w:bookmarkEnd w:id="94"/>
      <w:bookmarkEnd w:id="95"/>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96" w:name="_Toc508284013"/>
      <w:bookmarkStart w:id="97" w:name="_Toc1861"/>
      <w:r>
        <w:rPr>
          <w:rFonts w:hint="eastAsia" w:ascii="宋体" w:hAnsi="宋体" w:cs="宋体"/>
          <w:color w:val="auto"/>
          <w:sz w:val="21"/>
          <w:szCs w:val="21"/>
          <w:highlight w:val="none"/>
        </w:rPr>
        <w:t>发布中标结果</w:t>
      </w:r>
      <w:bookmarkEnd w:id="96"/>
      <w:bookmarkEnd w:id="97"/>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pPr>
        <w:widowControl w:val="0"/>
        <w:shd w:val="clear"/>
        <w:tabs>
          <w:tab w:val="left" w:pos="907"/>
        </w:tabs>
        <w:adjustRightInd/>
        <w:snapToGrid/>
        <w:jc w:val="both"/>
        <w:rPr>
          <w:rFonts w:ascii="宋体" w:hAnsi="宋体" w:cs="宋体"/>
          <w:color w:val="auto"/>
          <w:szCs w:val="21"/>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98" w:name="_Toc14063"/>
      <w:r>
        <w:rPr>
          <w:rFonts w:hint="eastAsia" w:ascii="宋体" w:hAnsi="宋体" w:cs="宋体"/>
          <w:color w:val="auto"/>
          <w:sz w:val="21"/>
          <w:szCs w:val="21"/>
          <w:highlight w:val="none"/>
        </w:rPr>
        <w:t>资格后审</w:t>
      </w:r>
      <w:bookmarkEnd w:id="98"/>
    </w:p>
    <w:p>
      <w:pPr>
        <w:pStyle w:val="43"/>
        <w:widowControl w:val="0"/>
        <w:numPr>
          <w:ilvl w:val="0"/>
          <w:numId w:val="3"/>
        </w:numPr>
        <w:shd w:val="clea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采购人将</w:t>
      </w:r>
      <w:r>
        <w:rPr>
          <w:rFonts w:hint="eastAsia" w:ascii="宋体" w:hAnsi="宋体" w:cs="宋体"/>
          <w:b/>
          <w:bCs/>
          <w:color w:val="auto"/>
          <w:szCs w:val="21"/>
          <w:highlight w:val="none"/>
        </w:rPr>
        <w:t>有权</w:t>
      </w:r>
      <w:r>
        <w:rPr>
          <w:rFonts w:hint="eastAsia" w:ascii="宋体" w:hAnsi="宋体" w:cs="宋体"/>
          <w:color w:val="auto"/>
          <w:szCs w:val="21"/>
          <w:highlight w:val="none"/>
        </w:rPr>
        <w:t>根据本文件中的要求，对评委会推荐的中标候选人进行资格后审。</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shd w:val="clear"/>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99" w:name="_Toc5636"/>
      <w:r>
        <w:rPr>
          <w:rFonts w:hint="eastAsia" w:ascii="宋体" w:hAnsi="宋体" w:cs="宋体"/>
          <w:color w:val="auto"/>
          <w:sz w:val="21"/>
          <w:szCs w:val="21"/>
          <w:highlight w:val="none"/>
        </w:rPr>
        <w:t>合同的签订与履行</w:t>
      </w:r>
      <w:bookmarkEnd w:id="99"/>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shd w:val="clear"/>
        <w:tabs>
          <w:tab w:val="left" w:pos="907"/>
        </w:tabs>
        <w:adjustRightInd/>
        <w:snapToGrid/>
        <w:jc w:val="both"/>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100" w:name="_Toc303084277"/>
      <w:bookmarkStart w:id="101" w:name="_Toc382049124"/>
      <w:bookmarkStart w:id="102" w:name="_Toc29009"/>
      <w:bookmarkStart w:id="103" w:name="_Toc4284"/>
      <w:r>
        <w:rPr>
          <w:rFonts w:hint="eastAsia" w:ascii="宋体" w:hAnsi="宋体" w:cs="宋体"/>
          <w:color w:val="auto"/>
          <w:sz w:val="21"/>
          <w:szCs w:val="21"/>
          <w:highlight w:val="none"/>
        </w:rPr>
        <w:t>履约</w:t>
      </w:r>
      <w:bookmarkEnd w:id="100"/>
      <w:bookmarkEnd w:id="101"/>
      <w:bookmarkEnd w:id="102"/>
      <w:r>
        <w:rPr>
          <w:rFonts w:hint="eastAsia" w:ascii="宋体" w:hAnsi="宋体" w:cs="宋体"/>
          <w:color w:val="auto"/>
          <w:sz w:val="21"/>
          <w:szCs w:val="21"/>
          <w:highlight w:val="none"/>
        </w:rPr>
        <w:t>担保</w:t>
      </w:r>
      <w:bookmarkEnd w:id="103"/>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keepNext w:val="0"/>
        <w:keepLines w:val="0"/>
        <w:pageBreakBefore w:val="0"/>
        <w:widowControl w:val="0"/>
        <w:shd w:val="clear"/>
        <w:tabs>
          <w:tab w:val="left" w:pos="907"/>
        </w:tabs>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pPr>
        <w:keepNext w:val="0"/>
        <w:keepLines w:val="0"/>
        <w:pageBreakBefore w:val="0"/>
        <w:widowControl w:val="0"/>
        <w:shd w:val="clear"/>
        <w:tabs>
          <w:tab w:val="left" w:pos="907"/>
        </w:tabs>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pPr>
        <w:widowControl w:val="0"/>
        <w:shd w:val="clear"/>
        <w:tabs>
          <w:tab w:val="left" w:pos="907"/>
        </w:tabs>
        <w:adjustRightInd/>
        <w:snapToGrid/>
        <w:jc w:val="both"/>
        <w:rPr>
          <w:rFonts w:ascii="宋体" w:hAnsi="宋体" w:cs="宋体"/>
          <w:color w:val="auto"/>
          <w:highlight w:val="none"/>
        </w:rPr>
      </w:pPr>
    </w:p>
    <w:p>
      <w:pPr>
        <w:pStyle w:val="8"/>
        <w:widowControl w:val="0"/>
        <w:numPr>
          <w:ilvl w:val="0"/>
          <w:numId w:val="2"/>
        </w:numPr>
        <w:shd w:val="clear"/>
        <w:overflowPunct w:val="0"/>
        <w:rPr>
          <w:rFonts w:ascii="宋体" w:hAnsi="宋体" w:cs="宋体"/>
          <w:color w:val="auto"/>
          <w:sz w:val="21"/>
          <w:szCs w:val="21"/>
          <w:highlight w:val="none"/>
        </w:rPr>
      </w:pPr>
      <w:bookmarkStart w:id="104" w:name="_Toc29212"/>
      <w:r>
        <w:rPr>
          <w:rFonts w:hint="eastAsia" w:ascii="宋体" w:hAnsi="宋体" w:cs="宋体"/>
          <w:color w:val="auto"/>
          <w:sz w:val="21"/>
          <w:szCs w:val="21"/>
          <w:highlight w:val="none"/>
        </w:rPr>
        <w:t>预付款保函（适用于预付款支付）</w:t>
      </w:r>
      <w:bookmarkEnd w:id="104"/>
    </w:p>
    <w:p>
      <w:pPr>
        <w:pStyle w:val="43"/>
        <w:widowControl w:val="0"/>
        <w:numPr>
          <w:ilvl w:val="0"/>
          <w:numId w:val="3"/>
        </w:numPr>
        <w:shd w:val="clea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pPr>
        <w:keepNext w:val="0"/>
        <w:keepLines w:val="0"/>
        <w:pageBreakBefore w:val="0"/>
        <w:widowControl w:val="0"/>
        <w:shd w:val="clear"/>
        <w:tabs>
          <w:tab w:val="left" w:pos="907"/>
        </w:tabs>
        <w:kinsoku/>
        <w:wordWrap/>
        <w:overflowPunct/>
        <w:topLinePunct w:val="0"/>
        <w:autoSpaceDE/>
        <w:autoSpaceDN/>
        <w:bidi w:val="0"/>
        <w:adjustRightInd/>
        <w:snapToGrid/>
        <w:spacing w:line="264"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pPr>
        <w:keepNext w:val="0"/>
        <w:keepLines w:val="0"/>
        <w:pageBreakBefore w:val="0"/>
        <w:widowControl w:val="0"/>
        <w:shd w:val="clear"/>
        <w:tabs>
          <w:tab w:val="left" w:pos="907"/>
        </w:tabs>
        <w:kinsoku/>
        <w:wordWrap/>
        <w:overflowPunct/>
        <w:topLinePunct w:val="0"/>
        <w:autoSpaceDE/>
        <w:autoSpaceDN/>
        <w:bidi w:val="0"/>
        <w:adjustRightInd/>
        <w:snapToGrid/>
        <w:spacing w:line="264"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（2）必须打印，手写、涂改无效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shd w:val="clear"/>
        <w:rPr>
          <w:rFonts w:ascii="宋体" w:hAnsi="宋体" w:cs="宋体"/>
          <w:color w:val="auto"/>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105" w:name="_Toc19730"/>
      <w:r>
        <w:rPr>
          <w:rFonts w:hint="eastAsia" w:ascii="宋体" w:hAnsi="宋体" w:cs="宋体"/>
          <w:color w:val="auto"/>
          <w:highlight w:val="none"/>
        </w:rPr>
        <w:t>异议</w:t>
      </w:r>
      <w:bookmarkEnd w:id="105"/>
    </w:p>
    <w:p>
      <w:pPr>
        <w:pStyle w:val="8"/>
        <w:widowControl w:val="0"/>
        <w:numPr>
          <w:ilvl w:val="0"/>
          <w:numId w:val="2"/>
        </w:numPr>
        <w:shd w:val="clear"/>
        <w:overflowPunct w:val="0"/>
        <w:rPr>
          <w:rFonts w:ascii="宋体" w:hAnsi="宋体" w:cs="宋体"/>
          <w:color w:val="auto"/>
          <w:sz w:val="21"/>
          <w:szCs w:val="21"/>
          <w:highlight w:val="none"/>
        </w:rPr>
      </w:pPr>
      <w:bookmarkStart w:id="106" w:name="_Toc9186"/>
      <w:r>
        <w:rPr>
          <w:rFonts w:hint="eastAsia" w:ascii="宋体" w:hAnsi="宋体" w:cs="宋体"/>
          <w:color w:val="auto"/>
          <w:sz w:val="21"/>
          <w:szCs w:val="21"/>
          <w:highlight w:val="none"/>
        </w:rPr>
        <w:t>异议</w:t>
      </w:r>
      <w:bookmarkEnd w:id="106"/>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2"/>
        </w:numPr>
        <w:shd w:val="clea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widowControl w:val="0"/>
        <w:numPr>
          <w:ilvl w:val="1"/>
          <w:numId w:val="2"/>
        </w:numPr>
        <w:shd w:val="clear"/>
        <w:overflowPunct w:val="0"/>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widowControl w:val="0"/>
        <w:numPr>
          <w:ilvl w:val="1"/>
          <w:numId w:val="2"/>
        </w:numPr>
        <w:shd w:val="clear"/>
        <w:overflowPunct w:val="0"/>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采购代理机构将拒收未能提供完整异议书面材料的异议，完整的异议书面材料必须同时包含：异议书（</w:t>
      </w:r>
      <w:r>
        <w:rPr>
          <w:rFonts w:hint="eastAsia" w:ascii="宋体" w:hAnsi="宋体" w:cs="宋体"/>
          <w:color w:val="auto"/>
          <w:szCs w:val="21"/>
          <w:highlight w:val="none"/>
          <w:lang w:val="zh-CN"/>
        </w:rPr>
        <w:t>加盖</w:t>
      </w:r>
      <w:r>
        <w:rPr>
          <w:rFonts w:hint="eastAsia" w:ascii="宋体" w:hAnsi="宋体" w:eastAsia="宋体" w:cs="宋体"/>
          <w:bCs/>
          <w:color w:val="auto"/>
          <w:kern w:val="2"/>
          <w:szCs w:val="21"/>
          <w:highlight w:val="none"/>
          <w:lang w:val="zh-CN"/>
        </w:rPr>
        <w:t>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2"/>
        </w:numPr>
        <w:shd w:val="clear"/>
        <w:overflowPunct w:val="0"/>
        <w:spacing w:line="360" w:lineRule="auto"/>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pPr>
        <w:shd w:val="clear"/>
        <w:rPr>
          <w:rFonts w:ascii="宋体" w:hAnsi="宋体" w:cs="宋体"/>
          <w:color w:val="auto"/>
          <w:highlight w:val="none"/>
        </w:rPr>
      </w:pPr>
    </w:p>
    <w:p>
      <w:pPr>
        <w:pStyle w:val="7"/>
        <w:numPr>
          <w:ilvl w:val="0"/>
          <w:numId w:val="1"/>
        </w:numPr>
        <w:shd w:val="clear"/>
        <w:spacing w:before="0" w:after="0" w:line="360" w:lineRule="auto"/>
        <w:jc w:val="center"/>
        <w:rPr>
          <w:rFonts w:ascii="宋体" w:hAnsi="宋体" w:cs="宋体"/>
          <w:color w:val="auto"/>
          <w:highlight w:val="none"/>
        </w:rPr>
      </w:pPr>
      <w:bookmarkStart w:id="107" w:name="_Toc31115"/>
      <w:r>
        <w:rPr>
          <w:rFonts w:hint="eastAsia" w:ascii="宋体" w:hAnsi="宋体" w:cs="宋体"/>
          <w:color w:val="auto"/>
          <w:highlight w:val="none"/>
        </w:rPr>
        <w:t>其他</w:t>
      </w:r>
      <w:bookmarkEnd w:id="107"/>
    </w:p>
    <w:p>
      <w:pPr>
        <w:pStyle w:val="8"/>
        <w:widowControl w:val="0"/>
        <w:numPr>
          <w:ilvl w:val="0"/>
          <w:numId w:val="2"/>
        </w:numPr>
        <w:shd w:val="clear"/>
        <w:overflowPunct w:val="0"/>
        <w:rPr>
          <w:rFonts w:ascii="宋体" w:hAnsi="宋体" w:cs="宋体"/>
          <w:color w:val="auto"/>
          <w:sz w:val="21"/>
          <w:szCs w:val="21"/>
          <w:highlight w:val="none"/>
        </w:rPr>
      </w:pPr>
      <w:bookmarkStart w:id="108" w:name="_Toc30389"/>
      <w:r>
        <w:rPr>
          <w:rFonts w:hint="eastAsia" w:ascii="宋体" w:hAnsi="宋体" w:cs="宋体"/>
          <w:color w:val="auto"/>
          <w:sz w:val="21"/>
          <w:szCs w:val="21"/>
          <w:highlight w:val="none"/>
        </w:rPr>
        <w:t>采购文件的解释权</w:t>
      </w:r>
      <w:bookmarkEnd w:id="108"/>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pPr>
        <w:widowControl w:val="0"/>
        <w:numPr>
          <w:ilvl w:val="1"/>
          <w:numId w:val="3"/>
        </w:numPr>
        <w:shd w:val="clear"/>
        <w:tabs>
          <w:tab w:val="left" w:pos="907"/>
        </w:tabs>
        <w:adjustRightInd/>
        <w:snapToGrid/>
        <w:jc w:val="both"/>
        <w:rPr>
          <w:rFonts w:ascii="宋体" w:hAnsi="宋体" w:cs="宋体"/>
          <w:color w:val="auto"/>
          <w:szCs w:val="21"/>
          <w:highlight w:val="none"/>
        </w:rPr>
      </w:pPr>
      <w:r>
        <w:rPr>
          <w:rFonts w:hint="eastAsia" w:ascii="宋体" w:hAnsi="宋体" w:cs="宋体"/>
          <w:color w:val="auto"/>
          <w:szCs w:val="21"/>
          <w:highlight w:val="none"/>
        </w:rPr>
        <w:br w:type="page"/>
      </w:r>
    </w:p>
    <w:p>
      <w:pPr>
        <w:pStyle w:val="6"/>
        <w:shd w:val="clear"/>
        <w:spacing w:before="0" w:after="0" w:line="240" w:lineRule="auto"/>
        <w:rPr>
          <w:color w:val="auto"/>
          <w:sz w:val="28"/>
          <w:szCs w:val="28"/>
          <w:highlight w:val="none"/>
        </w:rPr>
      </w:pPr>
      <w:bookmarkStart w:id="109" w:name="_Toc8051"/>
      <w:r>
        <w:rPr>
          <w:rFonts w:hint="eastAsia"/>
          <w:color w:val="auto"/>
          <w:sz w:val="28"/>
          <w:szCs w:val="28"/>
          <w:highlight w:val="none"/>
        </w:rPr>
        <w:t>第五部分  合同条款格式</w:t>
      </w:r>
      <w:bookmarkEnd w:id="109"/>
      <w:bookmarkStart w:id="110" w:name="_Toc15636"/>
    </w:p>
    <w:bookmarkEnd w:id="110"/>
    <w:p>
      <w:pPr>
        <w:shd w:val="clear"/>
        <w:spacing w:line="360" w:lineRule="auto"/>
        <w:jc w:val="center"/>
        <w:rPr>
          <w:rFonts w:ascii="宋体" w:hAnsi="宋体" w:cs="宋体"/>
          <w:color w:val="auto"/>
          <w:highlight w:val="none"/>
        </w:rPr>
      </w:pPr>
      <w:bookmarkStart w:id="111" w:name="_Hlt109815959"/>
      <w:bookmarkEnd w:id="111"/>
    </w:p>
    <w:p>
      <w:pPr>
        <w:shd w:val="clear"/>
        <w:spacing w:line="360" w:lineRule="auto"/>
        <w:jc w:val="center"/>
        <w:rPr>
          <w:rFonts w:ascii="宋体" w:hAnsi="宋体" w:cs="宋体"/>
          <w:b/>
          <w:color w:val="auto"/>
          <w:sz w:val="52"/>
          <w:szCs w:val="52"/>
          <w:highlight w:val="none"/>
        </w:rPr>
      </w:pPr>
    </w:p>
    <w:p>
      <w:pPr>
        <w:shd w:val="clear"/>
        <w:spacing w:line="360" w:lineRule="auto"/>
        <w:jc w:val="center"/>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莞寓·市人才安居社区14台电梯更新项目（重新采购）</w:t>
      </w:r>
    </w:p>
    <w:p>
      <w:pPr>
        <w:shd w:val="clear"/>
        <w:spacing w:line="360" w:lineRule="auto"/>
        <w:rPr>
          <w:rFonts w:ascii="宋体" w:hAnsi="宋体" w:cs="宋体"/>
          <w:b/>
          <w:color w:val="auto"/>
          <w:sz w:val="52"/>
          <w:szCs w:val="52"/>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tbl>
      <w:tblPr>
        <w:tblStyle w:val="36"/>
        <w:tblW w:w="7481" w:type="dxa"/>
        <w:jc w:val="center"/>
        <w:tblInd w:w="0" w:type="dxa"/>
        <w:tblLayout w:type="fixed"/>
        <w:tblCellMar>
          <w:top w:w="0" w:type="dxa"/>
          <w:left w:w="108" w:type="dxa"/>
          <w:bottom w:w="0" w:type="dxa"/>
          <w:right w:w="108" w:type="dxa"/>
        </w:tblCellMar>
      </w:tblPr>
      <w:tblGrid>
        <w:gridCol w:w="2520"/>
        <w:gridCol w:w="4961"/>
      </w:tblGrid>
      <w:tr>
        <w:tblPrEx>
          <w:tblLayout w:type="fixed"/>
          <w:tblCellMar>
            <w:top w:w="0" w:type="dxa"/>
            <w:left w:w="108" w:type="dxa"/>
            <w:bottom w:w="0" w:type="dxa"/>
            <w:right w:w="108" w:type="dxa"/>
          </w:tblCellMar>
        </w:tblPrEx>
        <w:trPr>
          <w:trHeight w:val="770" w:hRule="atLeast"/>
          <w:jc w:val="center"/>
        </w:trPr>
        <w:tc>
          <w:tcPr>
            <w:tcW w:w="2520" w:type="dxa"/>
            <w:noWrap/>
            <w:vAlign w:val="top"/>
          </w:tcPr>
          <w:p>
            <w:pPr>
              <w:shd w:val="clear"/>
              <w:autoSpaceDE w:val="0"/>
              <w:autoSpaceDN w:val="0"/>
              <w:adjustRightInd w:val="0"/>
              <w:spacing w:line="360" w:lineRule="auto"/>
              <w:ind w:firstLine="275" w:firstLineChars="98"/>
              <w:rPr>
                <w:rFonts w:ascii="宋体" w:hAnsi="宋体" w:cs="宋体"/>
                <w:b/>
                <w:bCs/>
                <w:color w:val="auto"/>
                <w:sz w:val="28"/>
                <w:szCs w:val="28"/>
                <w:highlight w:val="none"/>
              </w:rPr>
            </w:pPr>
            <w:r>
              <w:rPr>
                <w:rFonts w:hint="eastAsia" w:ascii="宋体" w:hAnsi="宋体" w:cs="宋体"/>
                <w:b/>
                <w:bCs/>
                <w:color w:val="auto"/>
                <w:sz w:val="28"/>
                <w:szCs w:val="28"/>
                <w:highlight w:val="none"/>
              </w:rPr>
              <w:t>甲       方：</w:t>
            </w:r>
          </w:p>
        </w:tc>
        <w:tc>
          <w:tcPr>
            <w:tcW w:w="4961" w:type="dxa"/>
            <w:noWrap/>
            <w:vAlign w:val="top"/>
          </w:tcPr>
          <w:p>
            <w:pPr>
              <w:shd w:val="clear"/>
              <w:autoSpaceDE w:val="0"/>
              <w:autoSpaceDN w:val="0"/>
              <w:adjustRightInd w:val="0"/>
              <w:spacing w:line="360" w:lineRule="auto"/>
              <w:rPr>
                <w:rFonts w:ascii="宋体" w:hAnsi="宋体" w:cs="宋体"/>
                <w:bCs/>
                <w:color w:val="auto"/>
                <w:sz w:val="28"/>
                <w:szCs w:val="28"/>
                <w:highlight w:val="none"/>
                <w:u w:val="single"/>
              </w:rPr>
            </w:pPr>
            <w:r>
              <w:rPr>
                <w:rFonts w:hint="eastAsia" w:ascii="宋体" w:hAnsi="宋体" w:cs="宋体"/>
                <w:bCs/>
                <w:color w:val="auto"/>
                <w:sz w:val="28"/>
                <w:szCs w:val="28"/>
                <w:highlight w:val="none"/>
                <w:u w:val="single"/>
                <w:lang w:eastAsia="zh-CN"/>
              </w:rPr>
              <w:t>东莞市安居建设投资有限公司</w:t>
            </w:r>
          </w:p>
        </w:tc>
      </w:tr>
      <w:tr>
        <w:tblPrEx>
          <w:tblLayout w:type="fixed"/>
          <w:tblCellMar>
            <w:top w:w="0" w:type="dxa"/>
            <w:left w:w="108" w:type="dxa"/>
            <w:bottom w:w="0" w:type="dxa"/>
            <w:right w:w="108" w:type="dxa"/>
          </w:tblCellMar>
        </w:tblPrEx>
        <w:trPr>
          <w:trHeight w:val="708" w:hRule="atLeast"/>
          <w:jc w:val="center"/>
        </w:trPr>
        <w:tc>
          <w:tcPr>
            <w:tcW w:w="2520" w:type="dxa"/>
            <w:noWrap/>
            <w:vAlign w:val="top"/>
          </w:tcPr>
          <w:p>
            <w:pPr>
              <w:shd w:val="clear"/>
              <w:autoSpaceDE w:val="0"/>
              <w:autoSpaceDN w:val="0"/>
              <w:adjustRightInd w:val="0"/>
              <w:spacing w:line="360" w:lineRule="auto"/>
              <w:ind w:firstLine="275" w:firstLineChars="98"/>
              <w:rPr>
                <w:rFonts w:ascii="宋体" w:hAnsi="宋体" w:cs="宋体"/>
                <w:b/>
                <w:bCs/>
                <w:color w:val="auto"/>
                <w:sz w:val="28"/>
                <w:szCs w:val="28"/>
                <w:highlight w:val="none"/>
              </w:rPr>
            </w:pPr>
            <w:r>
              <w:rPr>
                <w:rFonts w:hint="eastAsia" w:ascii="宋体" w:hAnsi="宋体" w:cs="宋体"/>
                <w:b/>
                <w:bCs/>
                <w:color w:val="auto"/>
                <w:sz w:val="28"/>
                <w:szCs w:val="28"/>
                <w:highlight w:val="none"/>
              </w:rPr>
              <w:t>乙       方：</w:t>
            </w:r>
          </w:p>
        </w:tc>
        <w:tc>
          <w:tcPr>
            <w:tcW w:w="4961" w:type="dxa"/>
            <w:noWrap/>
            <w:vAlign w:val="top"/>
          </w:tcPr>
          <w:p>
            <w:pPr>
              <w:shd w:val="clear"/>
              <w:autoSpaceDE w:val="0"/>
              <w:autoSpaceDN w:val="0"/>
              <w:adjustRightInd w:val="0"/>
              <w:spacing w:line="360" w:lineRule="auto"/>
              <w:rPr>
                <w:rFonts w:ascii="宋体" w:hAnsi="宋体" w:cs="宋体"/>
                <w:b/>
                <w:bCs/>
                <w:color w:val="auto"/>
                <w:sz w:val="28"/>
                <w:szCs w:val="28"/>
                <w:highlight w:val="none"/>
                <w:u w:val="single"/>
              </w:rPr>
            </w:pPr>
            <w:r>
              <w:rPr>
                <w:rFonts w:hint="eastAsia" w:ascii="宋体" w:hAnsi="宋体" w:cs="宋体"/>
                <w:color w:val="auto"/>
                <w:sz w:val="28"/>
                <w:szCs w:val="28"/>
                <w:highlight w:val="none"/>
                <w:u w:val="single"/>
              </w:rPr>
              <w:t xml:space="preserve">                </w:t>
            </w:r>
          </w:p>
        </w:tc>
      </w:tr>
      <w:tr>
        <w:tblPrEx>
          <w:tblLayout w:type="fixed"/>
          <w:tblCellMar>
            <w:top w:w="0" w:type="dxa"/>
            <w:left w:w="108" w:type="dxa"/>
            <w:bottom w:w="0" w:type="dxa"/>
            <w:right w:w="108" w:type="dxa"/>
          </w:tblCellMar>
        </w:tblPrEx>
        <w:trPr>
          <w:trHeight w:val="706" w:hRule="atLeast"/>
          <w:jc w:val="center"/>
        </w:trPr>
        <w:tc>
          <w:tcPr>
            <w:tcW w:w="2520" w:type="dxa"/>
            <w:noWrap/>
            <w:vAlign w:val="top"/>
          </w:tcPr>
          <w:p>
            <w:pPr>
              <w:shd w:val="clear"/>
              <w:autoSpaceDE w:val="0"/>
              <w:autoSpaceDN w:val="0"/>
              <w:adjustRightInd w:val="0"/>
              <w:spacing w:line="360" w:lineRule="auto"/>
              <w:ind w:firstLine="273" w:firstLineChars="97"/>
              <w:rPr>
                <w:rFonts w:ascii="宋体" w:hAnsi="宋体" w:cs="宋体"/>
                <w:b/>
                <w:bCs/>
                <w:color w:val="auto"/>
                <w:spacing w:val="9"/>
                <w:sz w:val="28"/>
                <w:szCs w:val="28"/>
                <w:highlight w:val="none"/>
              </w:rPr>
            </w:pPr>
            <w:r>
              <w:rPr>
                <w:rFonts w:hint="eastAsia" w:ascii="宋体" w:hAnsi="宋体" w:cs="宋体"/>
                <w:b/>
                <w:bCs/>
                <w:color w:val="auto"/>
                <w:sz w:val="28"/>
                <w:szCs w:val="28"/>
                <w:highlight w:val="none"/>
              </w:rPr>
              <w:t>签 订 时 间</w:t>
            </w:r>
            <w:r>
              <w:rPr>
                <w:rFonts w:hint="eastAsia" w:ascii="宋体" w:hAnsi="宋体" w:cs="宋体"/>
                <w:b/>
                <w:bCs/>
                <w:color w:val="auto"/>
                <w:spacing w:val="9"/>
                <w:sz w:val="28"/>
                <w:szCs w:val="28"/>
                <w:highlight w:val="none"/>
              </w:rPr>
              <w:t>：</w:t>
            </w:r>
          </w:p>
        </w:tc>
        <w:tc>
          <w:tcPr>
            <w:tcW w:w="4961" w:type="dxa"/>
            <w:noWrap/>
            <w:vAlign w:val="top"/>
          </w:tcPr>
          <w:p>
            <w:pPr>
              <w:shd w:val="clear"/>
              <w:autoSpaceDE w:val="0"/>
              <w:autoSpaceDN w:val="0"/>
              <w:adjustRightInd w:val="0"/>
              <w:spacing w:line="360" w:lineRule="auto"/>
              <w:rPr>
                <w:rFonts w:ascii="宋体" w:hAnsi="宋体" w:cs="宋体"/>
                <w:b/>
                <w:bCs/>
                <w:color w:val="auto"/>
                <w:sz w:val="28"/>
                <w:szCs w:val="28"/>
                <w:highlight w:val="none"/>
                <w:u w:val="single"/>
              </w:rPr>
            </w:pPr>
            <w:r>
              <w:rPr>
                <w:rFonts w:hint="eastAsia" w:ascii="宋体" w:hAnsi="宋体" w:cs="宋体"/>
                <w:bCs/>
                <w:color w:val="auto"/>
                <w:sz w:val="28"/>
                <w:szCs w:val="28"/>
                <w:highlight w:val="none"/>
                <w:u w:val="single"/>
              </w:rPr>
              <w:t xml:space="preserve">                </w:t>
            </w:r>
          </w:p>
        </w:tc>
      </w:tr>
    </w:tbl>
    <w:p>
      <w:pPr>
        <w:shd w:val="clear"/>
        <w:spacing w:line="360" w:lineRule="auto"/>
        <w:rPr>
          <w:rFonts w:ascii="宋体" w:hAnsi="宋体" w:cs="宋体"/>
          <w:b/>
          <w:bCs/>
          <w:color w:val="auto"/>
          <w:szCs w:val="21"/>
          <w:highlight w:val="none"/>
        </w:rPr>
      </w:pPr>
    </w:p>
    <w:p>
      <w:pPr>
        <w:shd w:val="clear"/>
        <w:tabs>
          <w:tab w:val="left" w:pos="720"/>
        </w:tabs>
        <w:spacing w:line="360" w:lineRule="auto"/>
        <w:jc w:val="center"/>
        <w:rPr>
          <w:rFonts w:ascii="宋体" w:hAnsi="宋体" w:cs="宋体"/>
          <w:color w:val="auto"/>
          <w:spacing w:val="20"/>
          <w:sz w:val="28"/>
          <w:szCs w:val="28"/>
          <w:highlight w:val="none"/>
        </w:rPr>
      </w:pPr>
    </w:p>
    <w:p>
      <w:pPr>
        <w:shd w:val="clear"/>
        <w:tabs>
          <w:tab w:val="left" w:pos="720"/>
        </w:tabs>
        <w:spacing w:line="360" w:lineRule="auto"/>
        <w:jc w:val="center"/>
        <w:rPr>
          <w:rFonts w:ascii="宋体" w:hAnsi="宋体" w:cs="宋体"/>
          <w:color w:val="auto"/>
          <w:spacing w:val="20"/>
          <w:sz w:val="28"/>
          <w:szCs w:val="28"/>
          <w:highlight w:val="none"/>
        </w:rPr>
      </w:pPr>
      <w:r>
        <w:rPr>
          <w:rFonts w:hint="eastAsia" w:ascii="宋体" w:hAnsi="宋体" w:cs="宋体"/>
          <w:color w:val="auto"/>
          <w:spacing w:val="20"/>
          <w:sz w:val="28"/>
          <w:szCs w:val="28"/>
          <w:highlight w:val="none"/>
        </w:rPr>
        <w:t>二〇二</w:t>
      </w:r>
      <w:r>
        <w:rPr>
          <w:rFonts w:hint="eastAsia" w:ascii="宋体" w:hAnsi="宋体" w:cs="宋体"/>
          <w:color w:val="auto"/>
          <w:spacing w:val="20"/>
          <w:sz w:val="28"/>
          <w:szCs w:val="28"/>
          <w:highlight w:val="none"/>
          <w:lang w:val="en-US" w:eastAsia="zh-CN"/>
        </w:rPr>
        <w:t>五</w:t>
      </w:r>
      <w:r>
        <w:rPr>
          <w:rFonts w:hint="eastAsia" w:ascii="宋体" w:hAnsi="宋体" w:cs="宋体"/>
          <w:color w:val="auto"/>
          <w:spacing w:val="20"/>
          <w:sz w:val="28"/>
          <w:szCs w:val="28"/>
          <w:highlight w:val="none"/>
        </w:rPr>
        <w:t>年  月</w:t>
      </w:r>
    </w:p>
    <w:p>
      <w:pPr>
        <w:rPr>
          <w:rFonts w:ascii="宋体" w:hAnsi="宋体" w:cs="宋体"/>
          <w:szCs w:val="21"/>
          <w:highlight w:val="none"/>
          <w:u w:val="single"/>
        </w:rPr>
      </w:pPr>
      <w:r>
        <w:rPr>
          <w:rFonts w:hint="eastAsia" w:ascii="宋体" w:hAnsi="宋体" w:cs="宋体"/>
          <w:color w:val="auto"/>
          <w:sz w:val="21"/>
          <w:szCs w:val="21"/>
          <w:highlight w:val="none"/>
          <w:u w:val="single"/>
        </w:rPr>
        <w:br w:type="page"/>
      </w:r>
      <w:r>
        <w:rPr>
          <w:rFonts w:hint="eastAsia" w:ascii="宋体" w:hAnsi="宋体" w:eastAsia="宋体" w:cs="宋体"/>
          <w:color w:val="auto"/>
          <w:sz w:val="21"/>
          <w:szCs w:val="21"/>
          <w:highlight w:val="none"/>
        </w:rPr>
        <w:t>甲</w:t>
      </w:r>
      <w:r>
        <w:rPr>
          <w:rFonts w:hint="eastAsia" w:ascii="宋体" w:hAnsi="宋体" w:cs="宋体"/>
          <w:szCs w:val="21"/>
          <w:highlight w:val="none"/>
        </w:rPr>
        <w:t>甲方：（采购人）</w:t>
      </w:r>
      <w:r>
        <w:rPr>
          <w:rFonts w:hint="eastAsia" w:ascii="宋体" w:hAnsi="宋体" w:cs="宋体"/>
          <w:szCs w:val="21"/>
          <w:highlight w:val="none"/>
          <w:u w:val="single"/>
        </w:rPr>
        <w:t xml:space="preserve">                 </w:t>
      </w:r>
    </w:p>
    <w:p>
      <w:pPr>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u w:val="single"/>
        </w:rPr>
        <w:t xml:space="preserve">                    </w:t>
      </w:r>
      <w:r>
        <w:rPr>
          <w:rFonts w:hint="eastAsia" w:ascii="宋体" w:hAnsi="宋体" w:cs="宋体"/>
          <w:szCs w:val="21"/>
          <w:highlight w:val="none"/>
        </w:rPr>
        <w:t xml:space="preserve">    联系电话：</w:t>
      </w:r>
      <w:r>
        <w:rPr>
          <w:rFonts w:hint="eastAsia" w:ascii="宋体" w:hAnsi="宋体" w:cs="宋体"/>
          <w:szCs w:val="21"/>
          <w:highlight w:val="none"/>
          <w:u w:val="single"/>
        </w:rPr>
        <w:t xml:space="preserve">             </w:t>
      </w:r>
    </w:p>
    <w:p>
      <w:pPr>
        <w:rPr>
          <w:rFonts w:ascii="宋体" w:hAnsi="宋体" w:cs="宋体"/>
          <w:szCs w:val="21"/>
          <w:highlight w:val="none"/>
          <w:u w:val="single"/>
        </w:rPr>
      </w:pPr>
      <w:r>
        <w:rPr>
          <w:rFonts w:hint="eastAsia" w:ascii="宋体" w:hAnsi="宋体" w:cs="宋体"/>
          <w:szCs w:val="21"/>
          <w:highlight w:val="none"/>
        </w:rPr>
        <w:t>乙方：（中标供应商）</w:t>
      </w:r>
      <w:r>
        <w:rPr>
          <w:rFonts w:hint="eastAsia" w:ascii="宋体" w:hAnsi="宋体" w:cs="宋体"/>
          <w:szCs w:val="21"/>
          <w:highlight w:val="none"/>
          <w:u w:val="single"/>
        </w:rPr>
        <w:t xml:space="preserve">             </w:t>
      </w:r>
    </w:p>
    <w:p>
      <w:pPr>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u w:val="single"/>
        </w:rPr>
        <w:t xml:space="preserve">                    </w:t>
      </w:r>
      <w:r>
        <w:rPr>
          <w:rFonts w:hint="eastAsia" w:ascii="宋体" w:hAnsi="宋体" w:cs="宋体"/>
          <w:szCs w:val="21"/>
          <w:highlight w:val="none"/>
        </w:rPr>
        <w:t xml:space="preserve">    联系电话：</w:t>
      </w:r>
      <w:r>
        <w:rPr>
          <w:rFonts w:hint="eastAsia" w:ascii="宋体" w:hAnsi="宋体" w:cs="宋体"/>
          <w:szCs w:val="21"/>
          <w:highlight w:val="none"/>
          <w:u w:val="single"/>
        </w:rPr>
        <w:t xml:space="preserve">             </w:t>
      </w:r>
    </w:p>
    <w:p>
      <w:pPr>
        <w:ind w:firstLine="480"/>
        <w:rPr>
          <w:rFonts w:hint="eastAsia" w:ascii="宋体" w:hAnsi="宋体" w:cs="宋体"/>
          <w:szCs w:val="21"/>
          <w:highlight w:val="none"/>
        </w:rPr>
      </w:pPr>
    </w:p>
    <w:p>
      <w:pPr>
        <w:ind w:firstLine="480"/>
        <w:rPr>
          <w:rFonts w:ascii="宋体" w:hAnsi="宋体" w:cs="宋体"/>
          <w:szCs w:val="21"/>
          <w:highlight w:val="none"/>
        </w:rPr>
      </w:pPr>
      <w:r>
        <w:rPr>
          <w:rFonts w:hint="eastAsia" w:ascii="宋体" w:hAnsi="宋体" w:cs="宋体"/>
          <w:szCs w:val="21"/>
          <w:highlight w:val="none"/>
        </w:rPr>
        <w:t>受甲方委托，</w:t>
      </w:r>
      <w:r>
        <w:rPr>
          <w:rFonts w:hint="eastAsia" w:ascii="宋体" w:hAnsi="宋体" w:cs="宋体"/>
          <w:szCs w:val="21"/>
          <w:highlight w:val="none"/>
          <w:u w:val="single"/>
        </w:rPr>
        <w:t xml:space="preserve">       (采购代理机构)</w:t>
      </w:r>
      <w:r>
        <w:rPr>
          <w:rFonts w:hint="eastAsia" w:ascii="宋体" w:hAnsi="宋体" w:cs="宋体"/>
          <w:szCs w:val="21"/>
          <w:highlight w:val="none"/>
        </w:rPr>
        <w:t>组织对甲方</w:t>
      </w:r>
      <w:r>
        <w:rPr>
          <w:rFonts w:hint="eastAsia" w:ascii="宋体" w:hAnsi="宋体" w:cs="宋体"/>
          <w:szCs w:val="21"/>
          <w:highlight w:val="none"/>
          <w:u w:val="single"/>
        </w:rPr>
        <w:t>XXXXXX</w:t>
      </w:r>
      <w:r>
        <w:rPr>
          <w:rFonts w:hint="eastAsia" w:ascii="宋体" w:hAnsi="宋体" w:cs="宋体"/>
          <w:szCs w:val="21"/>
          <w:highlight w:val="none"/>
        </w:rPr>
        <w:t>采购项目（项目编号</w:t>
      </w:r>
      <w:r>
        <w:rPr>
          <w:rFonts w:hint="eastAsia" w:ascii="宋体" w:hAnsi="宋体" w:cs="宋体"/>
          <w:szCs w:val="21"/>
          <w:highlight w:val="none"/>
          <w:u w:val="single"/>
        </w:rPr>
        <w:t xml:space="preserve">         </w:t>
      </w:r>
      <w:r>
        <w:rPr>
          <w:rFonts w:hint="eastAsia" w:ascii="宋体" w:hAnsi="宋体" w:cs="宋体"/>
          <w:szCs w:val="21"/>
          <w:highlight w:val="none"/>
        </w:rPr>
        <w:t>）进行采购，于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日通过</w:t>
      </w:r>
      <w:r>
        <w:rPr>
          <w:rFonts w:hint="eastAsia" w:ascii="宋体" w:hAnsi="宋体" w:cs="宋体"/>
          <w:szCs w:val="21"/>
          <w:highlight w:val="none"/>
          <w:u w:val="single"/>
        </w:rPr>
        <w:t xml:space="preserve">        </w:t>
      </w:r>
      <w:r>
        <w:rPr>
          <w:rFonts w:hint="eastAsia" w:ascii="宋体" w:hAnsi="宋体" w:cs="宋体"/>
          <w:szCs w:val="21"/>
          <w:highlight w:val="none"/>
        </w:rPr>
        <w:t>（公开、邀请、竞争性谈判、询价、单一来源）招标，经评标委员会评定乙方</w:t>
      </w:r>
      <w:r>
        <w:rPr>
          <w:rFonts w:hint="eastAsia" w:ascii="宋体" w:hAnsi="宋体" w:cs="宋体"/>
          <w:szCs w:val="21"/>
          <w:highlight w:val="none"/>
          <w:u w:val="single"/>
        </w:rPr>
        <w:t xml:space="preserve">      </w:t>
      </w:r>
      <w:r>
        <w:rPr>
          <w:rFonts w:hint="eastAsia" w:ascii="宋体" w:hAnsi="宋体" w:cs="宋体"/>
          <w:szCs w:val="21"/>
          <w:highlight w:val="none"/>
        </w:rPr>
        <w:t>为中标供应商。</w:t>
      </w:r>
    </w:p>
    <w:p>
      <w:pPr>
        <w:ind w:firstLine="480"/>
        <w:rPr>
          <w:rFonts w:ascii="宋体" w:hAnsi="宋体" w:cs="宋体"/>
          <w:szCs w:val="21"/>
          <w:highlight w:val="none"/>
        </w:rPr>
      </w:pPr>
      <w:r>
        <w:rPr>
          <w:rFonts w:hint="eastAsia" w:ascii="宋体" w:hAnsi="宋体" w:cs="宋体"/>
          <w:bCs/>
          <w:szCs w:val="21"/>
          <w:highlight w:val="none"/>
        </w:rPr>
        <w:t>为了保护甲、乙双方合法权益，根据《中华人民共和国</w:t>
      </w:r>
      <w:r>
        <w:rPr>
          <w:highlight w:val="none"/>
        </w:rPr>
        <w:fldChar w:fldCharType="begin"/>
      </w:r>
      <w:r>
        <w:rPr>
          <w:highlight w:val="none"/>
        </w:rPr>
        <w:instrText xml:space="preserve"> HYPERLINK "http://www.chinalawedu.com/web/23251/" \t "_blank" \o "合同法" </w:instrText>
      </w:r>
      <w:r>
        <w:rPr>
          <w:highlight w:val="none"/>
        </w:rPr>
        <w:fldChar w:fldCharType="separate"/>
      </w:r>
      <w:r>
        <w:rPr>
          <w:rFonts w:hint="eastAsia" w:ascii="宋体" w:hAnsi="宋体" w:cs="宋体"/>
          <w:bCs/>
          <w:szCs w:val="21"/>
          <w:highlight w:val="none"/>
        </w:rPr>
        <w:t>合同法</w:t>
      </w:r>
      <w:r>
        <w:rPr>
          <w:rFonts w:hint="eastAsia" w:ascii="宋体" w:hAnsi="宋体" w:cs="宋体"/>
          <w:bCs/>
          <w:szCs w:val="21"/>
          <w:highlight w:val="none"/>
        </w:rPr>
        <w:fldChar w:fldCharType="end"/>
      </w:r>
      <w:r>
        <w:rPr>
          <w:rFonts w:hint="eastAsia" w:ascii="宋体" w:hAnsi="宋体" w:cs="宋体"/>
          <w:bCs/>
          <w:szCs w:val="21"/>
          <w:highlight w:val="none"/>
        </w:rPr>
        <w:t>》及其他有关法律、行政法规，遵循平等、自愿、公平和诚实信用的原则，双方就本项目事项经协商达成一致，签署本合同</w:t>
      </w:r>
      <w:r>
        <w:rPr>
          <w:rFonts w:hint="eastAsia" w:ascii="宋体" w:hAnsi="宋体" w:cs="宋体"/>
          <w:szCs w:val="21"/>
          <w:highlight w:val="none"/>
        </w:rPr>
        <w:t>。</w:t>
      </w:r>
    </w:p>
    <w:p>
      <w:pPr>
        <w:ind w:firstLine="480"/>
        <w:rPr>
          <w:rFonts w:ascii="宋体" w:hAnsi="宋体" w:cs="宋体"/>
          <w:b/>
          <w:szCs w:val="21"/>
          <w:highlight w:val="none"/>
        </w:rPr>
      </w:pPr>
      <w:r>
        <w:rPr>
          <w:rFonts w:hint="eastAsia" w:ascii="宋体" w:hAnsi="宋体" w:cs="宋体"/>
          <w:b/>
          <w:szCs w:val="21"/>
          <w:highlight w:val="none"/>
        </w:rPr>
        <w:t xml:space="preserve">一、合同组成及合同总价 </w:t>
      </w:r>
    </w:p>
    <w:p>
      <w:pPr>
        <w:ind w:firstLine="480"/>
        <w:rPr>
          <w:rFonts w:ascii="宋体" w:hAnsi="宋体" w:cs="宋体"/>
          <w:szCs w:val="21"/>
          <w:highlight w:val="none"/>
        </w:rPr>
      </w:pPr>
      <w:r>
        <w:rPr>
          <w:rFonts w:hint="eastAsia" w:ascii="宋体" w:hAnsi="宋体" w:cs="宋体"/>
          <w:szCs w:val="21"/>
          <w:highlight w:val="none"/>
        </w:rPr>
        <w:t>1.1合同文件组成内容包括：本合同书、中标通知书、投标文件（含澄清内容）、招标文件（含招标文件澄清通知）等。</w:t>
      </w:r>
      <w:bookmarkStart w:id="112" w:name="_Toc86481557"/>
    </w:p>
    <w:p>
      <w:pPr>
        <w:ind w:firstLine="480"/>
        <w:rPr>
          <w:rFonts w:ascii="宋体" w:hAnsi="宋体" w:cs="宋体"/>
          <w:szCs w:val="21"/>
          <w:highlight w:val="none"/>
        </w:rPr>
      </w:pPr>
      <w:r>
        <w:rPr>
          <w:rFonts w:hint="eastAsia" w:ascii="宋体" w:hAnsi="宋体" w:cs="宋体"/>
          <w:szCs w:val="21"/>
          <w:highlight w:val="none"/>
        </w:rPr>
        <w:t>1.2</w:t>
      </w:r>
      <w:bookmarkEnd w:id="112"/>
      <w:r>
        <w:rPr>
          <w:rFonts w:hint="eastAsia" w:ascii="宋体" w:hAnsi="宋体" w:cs="宋体"/>
          <w:szCs w:val="21"/>
          <w:highlight w:val="none"/>
        </w:rPr>
        <w:t>合同主要内容：</w:t>
      </w:r>
    </w:p>
    <w:p>
      <w:pPr>
        <w:ind w:firstLine="480"/>
        <w:rPr>
          <w:rFonts w:ascii="宋体" w:hAnsi="宋体" w:cs="宋体"/>
          <w:szCs w:val="21"/>
          <w:highlight w:val="none"/>
        </w:rPr>
      </w:pPr>
      <w:r>
        <w:rPr>
          <w:rFonts w:hint="eastAsia" w:ascii="宋体" w:hAnsi="宋体" w:cs="宋体"/>
          <w:szCs w:val="21"/>
          <w:highlight w:val="none"/>
        </w:rPr>
        <w:t>1.3合同总价：本合同总价为人民币</w:t>
      </w:r>
      <w:r>
        <w:rPr>
          <w:rFonts w:hint="eastAsia" w:ascii="宋体" w:hAnsi="宋体" w:cs="宋体"/>
          <w:szCs w:val="21"/>
          <w:highlight w:val="none"/>
          <w:u w:val="single"/>
        </w:rPr>
        <w:t xml:space="preserve">      </w:t>
      </w:r>
      <w:r>
        <w:rPr>
          <w:rFonts w:hint="eastAsia" w:ascii="宋体" w:hAnsi="宋体" w:cs="宋体"/>
          <w:szCs w:val="21"/>
          <w:highlight w:val="none"/>
        </w:rPr>
        <w:t>元整（￥</w:t>
      </w:r>
      <w:r>
        <w:rPr>
          <w:rFonts w:hint="eastAsia" w:ascii="宋体" w:hAnsi="宋体" w:cs="宋体"/>
          <w:szCs w:val="21"/>
          <w:highlight w:val="none"/>
          <w:u w:val="single"/>
        </w:rPr>
        <w:t xml:space="preserve">      </w:t>
      </w:r>
      <w:r>
        <w:rPr>
          <w:rFonts w:hint="eastAsia" w:ascii="宋体" w:hAnsi="宋体" w:cs="宋体"/>
          <w:szCs w:val="21"/>
          <w:highlight w:val="none"/>
        </w:rPr>
        <w:t>元）。</w:t>
      </w:r>
    </w:p>
    <w:p>
      <w:pPr>
        <w:ind w:firstLine="480"/>
        <w:rPr>
          <w:rFonts w:ascii="宋体" w:hAnsi="宋体" w:cs="宋体"/>
          <w:szCs w:val="21"/>
          <w:highlight w:val="none"/>
        </w:rPr>
      </w:pPr>
      <w:r>
        <w:rPr>
          <w:rFonts w:hint="eastAsia" w:ascii="宋体" w:hAnsi="宋体" w:cs="宋体"/>
          <w:szCs w:val="21"/>
          <w:highlight w:val="none"/>
        </w:rPr>
        <w:t>本合同总价包含了服务期内所发生的所有含税费用，甲方无需支付乙方任何费用。</w:t>
      </w:r>
    </w:p>
    <w:p>
      <w:pPr>
        <w:ind w:firstLine="480"/>
        <w:rPr>
          <w:rFonts w:ascii="宋体" w:hAnsi="宋体" w:cs="宋体"/>
          <w:b/>
          <w:szCs w:val="21"/>
          <w:highlight w:val="none"/>
        </w:rPr>
      </w:pPr>
      <w:r>
        <w:rPr>
          <w:rFonts w:hint="eastAsia" w:ascii="宋体" w:hAnsi="宋体" w:cs="宋体"/>
          <w:b/>
          <w:szCs w:val="21"/>
          <w:highlight w:val="none"/>
        </w:rPr>
        <w:t>二、合同主要条款</w:t>
      </w:r>
    </w:p>
    <w:p>
      <w:pPr>
        <w:ind w:firstLine="420" w:firstLineChars="200"/>
        <w:rPr>
          <w:rFonts w:ascii="宋体" w:hAnsi="宋体" w:cs="宋体"/>
          <w:color w:val="auto"/>
          <w:szCs w:val="21"/>
          <w:highlight w:val="none"/>
        </w:rPr>
      </w:pPr>
      <w:r>
        <w:rPr>
          <w:rFonts w:hint="eastAsia" w:ascii="宋体" w:hAnsi="宋体" w:cs="宋体"/>
          <w:szCs w:val="21"/>
          <w:highlight w:val="none"/>
        </w:rPr>
        <w:t>1.合同签订且采购人签发开工令后，采购人向中标人支付40%电梯设备款；电梯设备货到工地经验收合格后支付至电梯设备款的80%；安装完成并通过当地政府部门验收后，支付至合同金额的80%；配合采购人申报国家长期特别国债补助后，支付至合同金额的97%；剩余3%</w:t>
      </w:r>
      <w:r>
        <w:rPr>
          <w:rFonts w:hint="eastAsia" w:ascii="宋体" w:hAnsi="宋体" w:cs="宋体"/>
          <w:color w:val="auto"/>
          <w:szCs w:val="21"/>
          <w:highlight w:val="none"/>
        </w:rPr>
        <w:t>为质保金，质保期满后无息退还。（每次支付款项前中标人须按采购人要求提交相关请款资料）</w:t>
      </w:r>
      <w:r>
        <w:rPr>
          <w:rFonts w:hint="eastAsia" w:ascii="宋体" w:hAnsi="宋体" w:cs="宋体"/>
          <w:color w:val="auto"/>
          <w:highlight w:val="none"/>
        </w:rPr>
        <w:t>。</w:t>
      </w:r>
    </w:p>
    <w:p>
      <w:pPr>
        <w:ind w:firstLine="480"/>
        <w:rPr>
          <w:rFonts w:ascii="宋体" w:hAnsi="宋体" w:cs="宋体"/>
          <w:color w:val="auto"/>
          <w:szCs w:val="21"/>
          <w:highlight w:val="none"/>
        </w:rPr>
      </w:pPr>
      <w:r>
        <w:rPr>
          <w:rFonts w:hint="eastAsia" w:ascii="宋体" w:hAnsi="宋体" w:cs="宋体"/>
          <w:color w:val="auto"/>
          <w:szCs w:val="21"/>
          <w:highlight w:val="none"/>
        </w:rPr>
        <w:t>按照现行税收政策规定，付款前，乙方必须提供合法有效、与本合同总价款条款中增值税税率一致的增值税专用发票给甲方，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w:t>
      </w:r>
    </w:p>
    <w:p>
      <w:pPr>
        <w:ind w:firstLine="480"/>
        <w:rPr>
          <w:rFonts w:hint="eastAsia" w:ascii="宋体" w:hAnsi="宋体" w:cs="宋体"/>
          <w:color w:val="auto"/>
          <w:szCs w:val="21"/>
          <w:highlight w:val="none"/>
        </w:rPr>
      </w:pPr>
      <w:r>
        <w:rPr>
          <w:rFonts w:hint="eastAsia" w:ascii="宋体" w:hAnsi="宋体" w:cs="宋体"/>
          <w:color w:val="auto"/>
          <w:szCs w:val="21"/>
          <w:highlight w:val="none"/>
        </w:rPr>
        <w:t>1.2本合同货物的交货时间为：根据现场实际条件分批分期施工，合同签订且采购人签发开工令后 1 个月内首批设备进场安装，在此后 3 个月内完成全部设备安装并取得质量技术监督部门安全质量验收合格证书。</w:t>
      </w:r>
    </w:p>
    <w:p>
      <w:pPr>
        <w:ind w:firstLine="480"/>
        <w:rPr>
          <w:rFonts w:hint="eastAsia" w:ascii="宋体" w:hAnsi="宋体" w:cs="宋体"/>
          <w:color w:val="auto"/>
          <w:szCs w:val="21"/>
          <w:highlight w:val="none"/>
        </w:rPr>
      </w:pPr>
      <w:r>
        <w:rPr>
          <w:rFonts w:hint="eastAsia" w:ascii="宋体" w:hAnsi="宋体" w:cs="宋体"/>
          <w:color w:val="auto"/>
          <w:szCs w:val="21"/>
          <w:highlight w:val="none"/>
        </w:rPr>
        <w:t>每楼栋电梯安装工期为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天</w:t>
      </w:r>
      <w:r>
        <w:rPr>
          <w:rFonts w:hint="eastAsia" w:ascii="宋体" w:hAnsi="宋体" w:cs="宋体"/>
          <w:color w:val="auto"/>
          <w:szCs w:val="21"/>
          <w:highlight w:val="none"/>
        </w:rPr>
        <w:t>，自停梯之日起计算至安装调试完成（含拆除原电梯）</w:t>
      </w:r>
      <w:r>
        <w:rPr>
          <w:rFonts w:hint="eastAsia" w:ascii="宋体" w:hAnsi="宋体" w:cs="宋体"/>
          <w:color w:val="auto"/>
          <w:szCs w:val="21"/>
          <w:highlight w:val="none"/>
          <w:lang w:eastAsia="zh-CN"/>
        </w:rPr>
        <w:t>；</w:t>
      </w:r>
      <w:r>
        <w:rPr>
          <w:rFonts w:hint="eastAsia" w:ascii="宋体" w:hAnsi="宋体" w:cs="宋体"/>
          <w:color w:val="auto"/>
          <w:szCs w:val="21"/>
          <w:highlight w:val="none"/>
        </w:rPr>
        <w:t>单梯楼栋电梯安装工期为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天，若逾期，每逾期一天处以10000元违约金。</w:t>
      </w:r>
    </w:p>
    <w:p>
      <w:pPr>
        <w:ind w:firstLine="480"/>
        <w:rPr>
          <w:rFonts w:ascii="宋体" w:hAnsi="宋体" w:cs="宋体"/>
          <w:szCs w:val="21"/>
          <w:highlight w:val="none"/>
        </w:rPr>
      </w:pPr>
      <w:r>
        <w:rPr>
          <w:rFonts w:hint="eastAsia" w:ascii="宋体" w:hAnsi="宋体" w:cs="宋体"/>
          <w:color w:val="auto"/>
          <w:szCs w:val="21"/>
          <w:highlight w:val="none"/>
        </w:rPr>
        <w:t>1.3本合同货物的质保期为：电梯设备的质量保证期为当地相关政府职能部门签发电梯设备验收合格证书之日起2年。（含维保费、年审费用）。质量保</w:t>
      </w:r>
      <w:r>
        <w:rPr>
          <w:rFonts w:hint="eastAsia" w:ascii="宋体" w:hAnsi="宋体" w:cs="宋体"/>
          <w:szCs w:val="21"/>
          <w:highlight w:val="none"/>
        </w:rPr>
        <w:t>修期内发生质量问题，由乙方在接到甲方的通知的</w:t>
      </w:r>
      <w:r>
        <w:rPr>
          <w:rFonts w:hint="eastAsia" w:ascii="宋体" w:hAnsi="宋体" w:cs="宋体"/>
          <w:szCs w:val="21"/>
          <w:highlight w:val="none"/>
          <w:u w:val="single"/>
        </w:rPr>
        <w:t xml:space="preserve">   </w:t>
      </w:r>
      <w:r>
        <w:rPr>
          <w:rFonts w:hint="eastAsia" w:ascii="宋体" w:hAnsi="宋体" w:cs="宋体"/>
          <w:szCs w:val="21"/>
          <w:highlight w:val="none"/>
        </w:rPr>
        <w:t>小时内免费上门维修或更换，乙方怠于或拒绝履行的，甲方可委托第三方代为履行，由此产生的费用及损失由乙方承担。</w:t>
      </w:r>
    </w:p>
    <w:p>
      <w:pPr>
        <w:ind w:firstLine="480"/>
        <w:rPr>
          <w:rFonts w:ascii="宋体" w:hAnsi="宋体" w:cs="宋体"/>
          <w:b/>
          <w:szCs w:val="21"/>
          <w:highlight w:val="none"/>
        </w:rPr>
      </w:pPr>
      <w:r>
        <w:rPr>
          <w:rFonts w:hint="eastAsia" w:ascii="宋体" w:hAnsi="宋体" w:cs="宋体"/>
          <w:b/>
          <w:szCs w:val="21"/>
          <w:highlight w:val="none"/>
        </w:rPr>
        <w:t>三、合同一般条款</w:t>
      </w:r>
    </w:p>
    <w:p>
      <w:pPr>
        <w:ind w:firstLine="480"/>
        <w:rPr>
          <w:rFonts w:ascii="宋体" w:hAnsi="宋体" w:cs="宋体"/>
          <w:szCs w:val="21"/>
          <w:highlight w:val="none"/>
        </w:rPr>
      </w:pPr>
      <w:r>
        <w:rPr>
          <w:rFonts w:hint="eastAsia" w:ascii="宋体" w:hAnsi="宋体" w:cs="宋体"/>
          <w:szCs w:val="21"/>
          <w:highlight w:val="none"/>
        </w:rPr>
        <w:t xml:space="preserve">1 定义本合同中的下列术语应解释为： </w:t>
      </w:r>
    </w:p>
    <w:p>
      <w:pPr>
        <w:ind w:firstLine="480"/>
        <w:rPr>
          <w:rFonts w:ascii="宋体" w:hAnsi="宋体" w:cs="宋体"/>
          <w:szCs w:val="21"/>
          <w:highlight w:val="none"/>
        </w:rPr>
      </w:pPr>
      <w:r>
        <w:rPr>
          <w:rFonts w:hint="eastAsia" w:ascii="宋体" w:hAnsi="宋体" w:cs="宋体"/>
          <w:szCs w:val="21"/>
          <w:highlight w:val="none"/>
        </w:rPr>
        <w:t xml:space="preserve">1.1“合同”系指甲乙双方签署的、合同格式中载明的甲乙双方所达成的协议，包括所有的附件、附录、和构成合同的其它文件。 </w:t>
      </w:r>
    </w:p>
    <w:p>
      <w:pPr>
        <w:ind w:firstLine="480"/>
        <w:rPr>
          <w:rFonts w:ascii="宋体" w:hAnsi="宋体" w:cs="宋体"/>
          <w:szCs w:val="21"/>
          <w:highlight w:val="none"/>
        </w:rPr>
      </w:pPr>
      <w:r>
        <w:rPr>
          <w:rFonts w:hint="eastAsia" w:ascii="宋体" w:hAnsi="宋体" w:cs="宋体"/>
          <w:szCs w:val="21"/>
          <w:highlight w:val="none"/>
        </w:rPr>
        <w:t>1.2“合同价”系指根据合同约定，乙方在完全履行合同义务后甲方应付给乙方的价格。</w:t>
      </w:r>
    </w:p>
    <w:p>
      <w:pPr>
        <w:ind w:firstLine="480"/>
        <w:rPr>
          <w:rFonts w:ascii="宋体" w:hAnsi="宋体" w:cs="宋体"/>
          <w:szCs w:val="21"/>
          <w:highlight w:val="none"/>
        </w:rPr>
      </w:pPr>
      <w:r>
        <w:rPr>
          <w:rFonts w:hint="eastAsia" w:ascii="宋体" w:hAnsi="宋体" w:cs="宋体"/>
          <w:szCs w:val="21"/>
          <w:highlight w:val="none"/>
        </w:rPr>
        <w:t xml:space="preserve">1.3“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ind w:firstLine="480"/>
        <w:rPr>
          <w:rFonts w:ascii="宋体" w:hAnsi="宋体" w:cs="宋体"/>
          <w:szCs w:val="21"/>
          <w:highlight w:val="none"/>
        </w:rPr>
      </w:pPr>
      <w:r>
        <w:rPr>
          <w:rFonts w:hint="eastAsia" w:ascii="宋体" w:hAnsi="宋体" w:cs="宋体"/>
          <w:szCs w:val="21"/>
          <w:highlight w:val="none"/>
        </w:rPr>
        <w:t xml:space="preserve">1.4“验收”系指合同双方依据强制性的国家技术质量规范和合同约定，确认合同项下的货物符合合同规定的活动。 </w:t>
      </w:r>
    </w:p>
    <w:p>
      <w:pPr>
        <w:ind w:firstLine="480"/>
        <w:rPr>
          <w:rFonts w:ascii="宋体" w:hAnsi="宋体" w:cs="宋体"/>
          <w:szCs w:val="21"/>
          <w:highlight w:val="none"/>
        </w:rPr>
      </w:pPr>
      <w:r>
        <w:rPr>
          <w:rFonts w:hint="eastAsia" w:ascii="宋体" w:hAnsi="宋体" w:cs="宋体"/>
          <w:szCs w:val="21"/>
          <w:highlight w:val="none"/>
        </w:rPr>
        <w:t>2 技术规范</w:t>
      </w:r>
    </w:p>
    <w:p>
      <w:pPr>
        <w:ind w:firstLine="480"/>
        <w:rPr>
          <w:rFonts w:ascii="宋体" w:hAnsi="宋体" w:cs="宋体"/>
          <w:szCs w:val="21"/>
          <w:highlight w:val="none"/>
        </w:rPr>
      </w:pPr>
      <w:r>
        <w:rPr>
          <w:rFonts w:hint="eastAsia" w:ascii="宋体" w:hAnsi="宋体" w:cs="宋体"/>
          <w:szCs w:val="21"/>
          <w:highlight w:val="none"/>
        </w:rPr>
        <w:t>2.1提交货物的技术规范应与招标文件规定的技术规范和其投标文件的技术规范相一致。若技术规范中无相应说明，则以国家有关部门最新颁布的相应标准及规范为准。</w:t>
      </w:r>
    </w:p>
    <w:p>
      <w:pPr>
        <w:ind w:firstLine="480"/>
        <w:rPr>
          <w:rFonts w:ascii="宋体" w:hAnsi="宋体" w:cs="宋体"/>
          <w:szCs w:val="21"/>
          <w:highlight w:val="none"/>
        </w:rPr>
      </w:pPr>
      <w:r>
        <w:rPr>
          <w:rFonts w:hint="eastAsia" w:ascii="宋体" w:hAnsi="宋体" w:cs="宋体"/>
          <w:szCs w:val="21"/>
          <w:highlight w:val="none"/>
        </w:rPr>
        <w:t>3 知识产权</w:t>
      </w:r>
    </w:p>
    <w:p>
      <w:pPr>
        <w:ind w:firstLine="480"/>
        <w:rPr>
          <w:rFonts w:ascii="宋体" w:hAnsi="宋体" w:cs="宋体"/>
          <w:szCs w:val="21"/>
          <w:highlight w:val="none"/>
        </w:rPr>
      </w:pPr>
      <w:r>
        <w:rPr>
          <w:rFonts w:hint="eastAsia" w:ascii="宋体" w:hAnsi="宋体" w:cs="宋体"/>
          <w:szCs w:val="21"/>
          <w:highlight w:val="none"/>
        </w:rPr>
        <w:t>3.1乙方应确保甲方在使用该货物或其任何一部分时，不会因第三方提出的专利权、著作权、商标权和工业设计权等侵权指控而受到任何影响。如果任何第三方提出侵权指控，乙方应立即与第三方进行沟通，并承担由此产生的所有责任、费用和经济赔偿。如因此导致甲方无法使用该货物，乙方应退还甲方已经支付的全部项目费用，承担违约责任及赔偿因此给甲方造成的全部损失。</w:t>
      </w:r>
    </w:p>
    <w:p>
      <w:pPr>
        <w:ind w:firstLine="480"/>
        <w:rPr>
          <w:rFonts w:ascii="宋体" w:hAnsi="宋体" w:cs="宋体"/>
          <w:szCs w:val="21"/>
          <w:highlight w:val="none"/>
        </w:rPr>
      </w:pPr>
      <w:r>
        <w:rPr>
          <w:rFonts w:hint="eastAsia" w:ascii="宋体" w:hAnsi="宋体" w:cs="宋体"/>
          <w:szCs w:val="21"/>
          <w:highlight w:val="none"/>
        </w:rPr>
        <w:t xml:space="preserve">4 包装要求 </w:t>
      </w:r>
    </w:p>
    <w:p>
      <w:pPr>
        <w:ind w:firstLine="480"/>
        <w:rPr>
          <w:rFonts w:ascii="宋体" w:hAnsi="宋体" w:cs="宋体"/>
          <w:szCs w:val="21"/>
          <w:highlight w:val="none"/>
        </w:rPr>
      </w:pPr>
      <w:r>
        <w:rPr>
          <w:rFonts w:hint="eastAsia" w:ascii="宋体" w:hAnsi="宋体" w:cs="宋体"/>
          <w:szCs w:val="21"/>
          <w:highlight w:val="none"/>
        </w:rPr>
        <w:t>4.1 除合同另有约定外，乙方提供的全部货物，均应采用本行业通用的方式进行包装，且该包装应符合国家有关包装的</w:t>
      </w:r>
      <w:r>
        <w:rPr>
          <w:highlight w:val="none"/>
        </w:rPr>
        <w:fldChar w:fldCharType="begin"/>
      </w:r>
      <w:r>
        <w:rPr>
          <w:highlight w:val="none"/>
        </w:rPr>
        <w:instrText xml:space="preserve"> HYPERLINK "http://www.chinalawedu.com/" \t "_blank" \o "法律" </w:instrText>
      </w:r>
      <w:r>
        <w:rPr>
          <w:highlight w:val="none"/>
        </w:rPr>
        <w:fldChar w:fldCharType="separate"/>
      </w:r>
      <w:r>
        <w:rPr>
          <w:rFonts w:hint="eastAsia" w:ascii="宋体" w:hAnsi="宋体" w:cs="宋体"/>
          <w:szCs w:val="21"/>
          <w:highlight w:val="none"/>
        </w:rPr>
        <w:t>法律</w:t>
      </w:r>
      <w:r>
        <w:rPr>
          <w:rFonts w:hint="eastAsia" w:ascii="宋体" w:hAnsi="宋体" w:cs="宋体"/>
          <w:szCs w:val="21"/>
          <w:highlight w:val="none"/>
        </w:rPr>
        <w:fldChar w:fldCharType="end"/>
      </w:r>
      <w:r>
        <w:rPr>
          <w:rFonts w:hint="eastAsia" w:ascii="宋体" w:hAnsi="宋体" w:cs="宋体"/>
          <w:szCs w:val="21"/>
          <w:highlight w:val="none"/>
        </w:rPr>
        <w:t>、</w:t>
      </w:r>
      <w:r>
        <w:rPr>
          <w:highlight w:val="none"/>
        </w:rPr>
        <w:fldChar w:fldCharType="begin"/>
      </w:r>
      <w:r>
        <w:rPr>
          <w:highlight w:val="none"/>
        </w:rPr>
        <w:instrText xml:space="preserve"> HYPERLINK "http://www.chinalawedu.com/falvfagui/" \t "_blank" \o "法规" </w:instrText>
      </w:r>
      <w:r>
        <w:rPr>
          <w:highlight w:val="none"/>
        </w:rPr>
        <w:fldChar w:fldCharType="separate"/>
      </w:r>
      <w:r>
        <w:rPr>
          <w:rFonts w:hint="eastAsia" w:ascii="宋体" w:hAnsi="宋体" w:cs="宋体"/>
          <w:szCs w:val="21"/>
          <w:highlight w:val="none"/>
        </w:rPr>
        <w:t>法规</w:t>
      </w:r>
      <w:r>
        <w:rPr>
          <w:rFonts w:hint="eastAsia" w:ascii="宋体" w:hAnsi="宋体" w:cs="宋体"/>
          <w:szCs w:val="21"/>
          <w:highlight w:val="none"/>
        </w:rPr>
        <w:fldChar w:fldCharType="end"/>
      </w:r>
      <w:r>
        <w:rPr>
          <w:rFonts w:hint="eastAsia" w:ascii="宋体" w:hAnsi="宋体" w:cs="宋体"/>
          <w:szCs w:val="21"/>
          <w:highlight w:val="none"/>
        </w:rPr>
        <w:t xml:space="preserve">的规定。包装应适应于远距离运输、防潮、防震、防锈和防粗暴装卸，确保货物安全无损，运抵现场。由于包装不善所引起的货物锈蚀、损坏和损失均由乙方承担，同时乙方应在限期内更换货物。 </w:t>
      </w:r>
    </w:p>
    <w:p>
      <w:pPr>
        <w:ind w:firstLine="480"/>
        <w:rPr>
          <w:rFonts w:ascii="宋体" w:hAnsi="宋体" w:cs="宋体"/>
          <w:szCs w:val="21"/>
          <w:highlight w:val="none"/>
        </w:rPr>
      </w:pPr>
      <w:r>
        <w:rPr>
          <w:rFonts w:hint="eastAsia" w:ascii="宋体" w:hAnsi="宋体" w:cs="宋体"/>
          <w:szCs w:val="21"/>
          <w:highlight w:val="none"/>
        </w:rPr>
        <w:t xml:space="preserve">4.2 每件包装箱内应附一份详细装箱单和质量合格证。 </w:t>
      </w:r>
    </w:p>
    <w:p>
      <w:pPr>
        <w:ind w:firstLine="480"/>
        <w:rPr>
          <w:rFonts w:ascii="宋体" w:hAnsi="宋体" w:cs="宋体"/>
          <w:szCs w:val="21"/>
          <w:highlight w:val="none"/>
        </w:rPr>
      </w:pPr>
      <w:r>
        <w:rPr>
          <w:rFonts w:hint="eastAsia" w:ascii="宋体" w:hAnsi="宋体" w:cs="宋体"/>
          <w:szCs w:val="21"/>
          <w:highlight w:val="none"/>
        </w:rPr>
        <w:t xml:space="preserve">5 交货方式 </w:t>
      </w:r>
    </w:p>
    <w:p>
      <w:pPr>
        <w:ind w:firstLine="480"/>
        <w:rPr>
          <w:rFonts w:ascii="宋体" w:hAnsi="宋体" w:cs="宋体"/>
          <w:szCs w:val="21"/>
          <w:highlight w:val="none"/>
        </w:rPr>
      </w:pPr>
      <w:r>
        <w:rPr>
          <w:rFonts w:hint="eastAsia" w:ascii="宋体" w:hAnsi="宋体" w:cs="宋体"/>
          <w:szCs w:val="21"/>
          <w:highlight w:val="none"/>
        </w:rPr>
        <w:t>5.1 乙方应按甲方指定时间和地点交货。</w:t>
      </w:r>
    </w:p>
    <w:p>
      <w:pPr>
        <w:ind w:firstLine="480"/>
        <w:rPr>
          <w:rFonts w:ascii="宋体" w:hAnsi="宋体" w:cs="宋体"/>
          <w:szCs w:val="21"/>
          <w:highlight w:val="none"/>
        </w:rPr>
      </w:pPr>
      <w:r>
        <w:rPr>
          <w:rFonts w:hint="eastAsia" w:ascii="宋体" w:hAnsi="宋体" w:cs="宋体"/>
          <w:szCs w:val="21"/>
          <w:highlight w:val="none"/>
        </w:rPr>
        <w:t xml:space="preserve">6技术资料 </w:t>
      </w:r>
    </w:p>
    <w:p>
      <w:pPr>
        <w:ind w:firstLine="480"/>
        <w:rPr>
          <w:rFonts w:ascii="宋体" w:hAnsi="宋体" w:cs="宋体"/>
          <w:szCs w:val="21"/>
          <w:highlight w:val="none"/>
        </w:rPr>
      </w:pPr>
      <w:r>
        <w:rPr>
          <w:rFonts w:hint="eastAsia" w:ascii="宋体" w:hAnsi="宋体" w:cs="宋体"/>
          <w:szCs w:val="21"/>
          <w:highlight w:val="none"/>
        </w:rPr>
        <w:t xml:space="preserve">6.1本合同技术资料（除合同主要条款规定外）按以下方式交付： </w:t>
      </w:r>
    </w:p>
    <w:p>
      <w:pPr>
        <w:ind w:firstLine="480"/>
        <w:rPr>
          <w:rFonts w:ascii="宋体" w:hAnsi="宋体" w:cs="宋体"/>
          <w:szCs w:val="21"/>
          <w:highlight w:val="none"/>
        </w:rPr>
      </w:pPr>
      <w:r>
        <w:rPr>
          <w:rFonts w:hint="eastAsia" w:ascii="宋体" w:hAnsi="宋体" w:cs="宋体"/>
          <w:szCs w:val="21"/>
          <w:highlight w:val="none"/>
        </w:rPr>
        <w:t>6.1.1乙方所提供货物必须符合国家有关规范、环保要求及甲方的技术要求，并提供货物的出厂测试报告及合格证，进口产品必须具备原产地证明或商检部门的检验证明及合法进货渠道证明。</w:t>
      </w:r>
    </w:p>
    <w:p>
      <w:pPr>
        <w:ind w:firstLine="480"/>
        <w:rPr>
          <w:rFonts w:ascii="宋体" w:hAnsi="宋体" w:cs="宋体"/>
          <w:szCs w:val="21"/>
          <w:highlight w:val="none"/>
        </w:rPr>
      </w:pPr>
      <w:r>
        <w:rPr>
          <w:rFonts w:hint="eastAsia" w:ascii="宋体" w:hAnsi="宋体" w:cs="宋体"/>
          <w:szCs w:val="21"/>
          <w:highlight w:val="none"/>
        </w:rPr>
        <w:t xml:space="preserve">7 质量保证 </w:t>
      </w:r>
    </w:p>
    <w:p>
      <w:pPr>
        <w:ind w:firstLine="480"/>
        <w:rPr>
          <w:rFonts w:ascii="宋体" w:hAnsi="宋体" w:cs="宋体"/>
          <w:szCs w:val="21"/>
          <w:highlight w:val="none"/>
        </w:rPr>
      </w:pPr>
      <w:r>
        <w:rPr>
          <w:rFonts w:hint="eastAsia" w:ascii="宋体" w:hAnsi="宋体" w:cs="宋体"/>
          <w:szCs w:val="21"/>
          <w:highlight w:val="none"/>
        </w:rPr>
        <w:t>7.1乙方须保证货物是全新、未使用过的，并完全符合强制性的国家技术质量规范和合同规定的质量、规格、性能和技术规范等的要求。</w:t>
      </w:r>
    </w:p>
    <w:p>
      <w:pPr>
        <w:ind w:firstLine="480"/>
        <w:rPr>
          <w:rFonts w:ascii="宋体" w:hAnsi="宋体" w:cs="宋体"/>
          <w:szCs w:val="21"/>
          <w:highlight w:val="none"/>
        </w:rPr>
      </w:pPr>
      <w:r>
        <w:rPr>
          <w:rFonts w:hint="eastAsia" w:ascii="宋体" w:hAnsi="宋体" w:cs="宋体"/>
          <w:szCs w:val="21"/>
          <w:highlight w:val="none"/>
        </w:rPr>
        <w:t>7.2乙方须保证所提供的货物经正确安装、正常运转和保养，在其使用寿命期内须具有符合质量要求和产品说明书的性能。在货物质量保证期之内，乙方须对由于设计、工艺或材料的缺陷而发生的任何不足或故障负责。</w:t>
      </w:r>
    </w:p>
    <w:p>
      <w:pPr>
        <w:ind w:firstLine="480"/>
        <w:rPr>
          <w:rFonts w:ascii="宋体" w:hAnsi="宋体" w:cs="宋体"/>
          <w:szCs w:val="21"/>
          <w:highlight w:val="none"/>
        </w:rPr>
      </w:pPr>
      <w:r>
        <w:rPr>
          <w:rFonts w:hint="eastAsia" w:ascii="宋体" w:hAnsi="宋体" w:cs="宋体"/>
          <w:szCs w:val="21"/>
          <w:highlight w:val="none"/>
        </w:rPr>
        <w:t>7.3根据甲方按检验标准自己检验结果或委托有资质的相关质检机构的检验结果，发现货物的数量、质量、规格与本合同不符；或者在质量保证期内，证实货物存在缺陷，包括潜在的缺陷或使用不符合要求的材料等，甲方应尽快以书面形式通知乙方。乙方在收到通知后</w:t>
      </w:r>
      <w:r>
        <w:rPr>
          <w:rFonts w:hint="eastAsia" w:ascii="宋体" w:hAnsi="宋体" w:cs="宋体"/>
          <w:szCs w:val="21"/>
          <w:highlight w:val="none"/>
          <w:u w:val="single"/>
        </w:rPr>
        <w:t>【】</w:t>
      </w:r>
      <w:r>
        <w:rPr>
          <w:rFonts w:hint="eastAsia" w:ascii="宋体" w:hAnsi="宋体" w:cs="宋体"/>
          <w:szCs w:val="21"/>
          <w:highlight w:val="none"/>
        </w:rPr>
        <w:t>天内应免费维修或更换有缺陷的货物或部件。</w:t>
      </w:r>
    </w:p>
    <w:p>
      <w:pPr>
        <w:ind w:firstLine="480"/>
        <w:rPr>
          <w:rFonts w:ascii="宋体" w:hAnsi="宋体" w:cs="宋体"/>
          <w:szCs w:val="21"/>
          <w:highlight w:val="none"/>
        </w:rPr>
      </w:pPr>
      <w:r>
        <w:rPr>
          <w:rFonts w:hint="eastAsia" w:ascii="宋体" w:hAnsi="宋体" w:cs="宋体"/>
          <w:szCs w:val="21"/>
          <w:highlight w:val="none"/>
        </w:rPr>
        <w:t>7.4如果乙方在收到通知后</w:t>
      </w:r>
      <w:r>
        <w:rPr>
          <w:rFonts w:hint="eastAsia" w:ascii="宋体" w:hAnsi="宋体" w:cs="宋体"/>
          <w:szCs w:val="21"/>
          <w:highlight w:val="none"/>
          <w:u w:val="single"/>
        </w:rPr>
        <w:t xml:space="preserve">  </w:t>
      </w:r>
      <w:r>
        <w:rPr>
          <w:rFonts w:hint="eastAsia" w:ascii="宋体" w:hAnsi="宋体" w:cs="宋体"/>
          <w:szCs w:val="21"/>
          <w:highlight w:val="none"/>
        </w:rPr>
        <w:t xml:space="preserve">天内没有弥补缺陷，甲方有权自行或是委托第三方采取必要的补救措施，但由此引发的风险和产生的费用将由乙方承担。 </w:t>
      </w:r>
    </w:p>
    <w:p>
      <w:pPr>
        <w:ind w:firstLine="480"/>
        <w:rPr>
          <w:rFonts w:ascii="宋体" w:hAnsi="宋体" w:cs="宋体"/>
          <w:szCs w:val="21"/>
          <w:highlight w:val="none"/>
        </w:rPr>
      </w:pPr>
      <w:r>
        <w:rPr>
          <w:rFonts w:hint="eastAsia" w:ascii="宋体" w:hAnsi="宋体" w:cs="宋体"/>
          <w:szCs w:val="21"/>
          <w:highlight w:val="none"/>
        </w:rPr>
        <w:t>7.5除“合同主要条款”规定外，合同项下货物的质量保证期为自货物通过最终验收起</w:t>
      </w:r>
      <w:r>
        <w:rPr>
          <w:rFonts w:hint="eastAsia" w:ascii="宋体" w:hAnsi="宋体" w:cs="宋体"/>
          <w:szCs w:val="21"/>
          <w:highlight w:val="none"/>
          <w:u w:val="single"/>
        </w:rPr>
        <w:t>【】</w:t>
      </w:r>
      <w:r>
        <w:rPr>
          <w:rFonts w:hint="eastAsia" w:ascii="宋体" w:hAnsi="宋体" w:cs="宋体"/>
          <w:szCs w:val="21"/>
          <w:highlight w:val="none"/>
        </w:rPr>
        <w:t>个月。乙方应在质保期内提供免费上门维修服务，并进行终身维护。要求乙方在设备寿命期内以不高于合同价格及市场价格的价格保证备品备件、耗材等并长期提供技术咨询服务，免收人工服务费。乙方在收到用户要求对所采购仪器进行维修通知后，应在</w:t>
      </w:r>
      <w:r>
        <w:rPr>
          <w:rFonts w:hint="eastAsia" w:ascii="宋体" w:hAnsi="宋体" w:cs="宋体"/>
          <w:szCs w:val="21"/>
          <w:highlight w:val="none"/>
          <w:u w:val="single"/>
        </w:rPr>
        <w:t xml:space="preserve">  </w:t>
      </w:r>
      <w:r>
        <w:rPr>
          <w:rFonts w:hint="eastAsia" w:ascii="宋体" w:hAnsi="宋体" w:cs="宋体"/>
          <w:szCs w:val="21"/>
          <w:highlight w:val="none"/>
        </w:rPr>
        <w:t>小时内做出响应，并在</w:t>
      </w:r>
      <w:r>
        <w:rPr>
          <w:rFonts w:hint="eastAsia" w:ascii="宋体" w:hAnsi="宋体" w:cs="宋体"/>
          <w:szCs w:val="21"/>
          <w:highlight w:val="none"/>
          <w:u w:val="single"/>
        </w:rPr>
        <w:t xml:space="preserve">  </w:t>
      </w:r>
      <w:r>
        <w:rPr>
          <w:rFonts w:hint="eastAsia" w:ascii="宋体" w:hAnsi="宋体" w:cs="宋体"/>
          <w:szCs w:val="21"/>
          <w:highlight w:val="none"/>
        </w:rPr>
        <w:t>小时内派出专门维修人员到现场维修。维修超过</w:t>
      </w:r>
      <w:r>
        <w:rPr>
          <w:rFonts w:hint="eastAsia" w:ascii="宋体" w:hAnsi="宋体" w:cs="宋体"/>
          <w:szCs w:val="21"/>
          <w:highlight w:val="none"/>
          <w:u w:val="single"/>
        </w:rPr>
        <w:t xml:space="preserve">  </w:t>
      </w:r>
      <w:r>
        <w:rPr>
          <w:rFonts w:hint="eastAsia" w:ascii="宋体" w:hAnsi="宋体" w:cs="宋体"/>
          <w:szCs w:val="21"/>
          <w:highlight w:val="none"/>
        </w:rPr>
        <w:t>小时未能恢复正常运行的，应用同规格同型号设备替换使用，以免影响甲方正常工作需求。</w:t>
      </w:r>
    </w:p>
    <w:p>
      <w:pPr>
        <w:ind w:firstLine="480"/>
        <w:rPr>
          <w:rFonts w:ascii="宋体" w:hAnsi="宋体" w:cs="宋体"/>
          <w:szCs w:val="21"/>
          <w:highlight w:val="none"/>
        </w:rPr>
      </w:pPr>
      <w:r>
        <w:rPr>
          <w:rFonts w:hint="eastAsia" w:ascii="宋体" w:hAnsi="宋体" w:cs="宋体"/>
          <w:szCs w:val="21"/>
          <w:highlight w:val="none"/>
        </w:rPr>
        <w:t>7.6乙方终身免费提供软件升级，定期咨询甲方对产品的意见，及时解答甲方提出的问题并进行产品的定期维护。</w:t>
      </w:r>
    </w:p>
    <w:p>
      <w:pPr>
        <w:ind w:firstLine="480"/>
        <w:rPr>
          <w:rFonts w:ascii="宋体" w:hAnsi="宋体" w:cs="宋体"/>
          <w:szCs w:val="21"/>
          <w:highlight w:val="none"/>
        </w:rPr>
      </w:pPr>
      <w:r>
        <w:rPr>
          <w:rFonts w:hint="eastAsia" w:ascii="宋体" w:hAnsi="宋体" w:cs="宋体"/>
          <w:szCs w:val="21"/>
          <w:highlight w:val="none"/>
        </w:rPr>
        <w:t>7.7免费培训</w:t>
      </w:r>
    </w:p>
    <w:p>
      <w:pPr>
        <w:ind w:firstLine="420" w:firstLineChars="200"/>
        <w:rPr>
          <w:rFonts w:ascii="宋体" w:hAnsi="宋体" w:cs="宋体"/>
          <w:szCs w:val="21"/>
          <w:highlight w:val="none"/>
        </w:rPr>
      </w:pPr>
      <w:r>
        <w:rPr>
          <w:rFonts w:hint="eastAsia" w:ascii="宋体" w:hAnsi="宋体" w:cs="宋体"/>
          <w:szCs w:val="21"/>
          <w:highlight w:val="none"/>
        </w:rPr>
        <w:t>7.7.1现场培训：供货方在设备的安装、调试、验收完毕后即进行现场培训(至少一周)直至采购方基本掌握使用操作、维护保养技术。</w:t>
      </w:r>
    </w:p>
    <w:p>
      <w:pPr>
        <w:ind w:firstLine="420" w:firstLineChars="200"/>
        <w:rPr>
          <w:rFonts w:ascii="宋体" w:hAnsi="宋体" w:cs="宋体"/>
          <w:szCs w:val="21"/>
          <w:highlight w:val="none"/>
        </w:rPr>
      </w:pPr>
      <w:r>
        <w:rPr>
          <w:rFonts w:hint="eastAsia" w:ascii="宋体" w:hAnsi="宋体" w:cs="宋体"/>
          <w:szCs w:val="21"/>
          <w:highlight w:val="none"/>
        </w:rPr>
        <w:t>7.7.2专门培训：供货方就设备的安装、检验、调试、使用和维护等培训采购方3名技术人员，直到采购方受训人员全部掌握运用操作、维护保养技术，并能达到正确检修、维护、排除一般故障为止。</w:t>
      </w:r>
    </w:p>
    <w:p>
      <w:pPr>
        <w:ind w:firstLine="420" w:firstLineChars="200"/>
        <w:rPr>
          <w:rFonts w:ascii="宋体" w:hAnsi="宋体" w:cs="宋体"/>
          <w:szCs w:val="21"/>
          <w:highlight w:val="none"/>
        </w:rPr>
      </w:pPr>
      <w:r>
        <w:rPr>
          <w:rFonts w:hint="eastAsia" w:ascii="宋体" w:hAnsi="宋体" w:cs="宋体"/>
          <w:szCs w:val="21"/>
          <w:highlight w:val="none"/>
        </w:rPr>
        <w:t>7.7.3培训方式：技术培训、操作培训。</w:t>
      </w:r>
    </w:p>
    <w:p>
      <w:pPr>
        <w:ind w:firstLine="480"/>
        <w:rPr>
          <w:rFonts w:ascii="宋体" w:hAnsi="宋体" w:cs="宋体"/>
          <w:szCs w:val="21"/>
          <w:highlight w:val="none"/>
        </w:rPr>
      </w:pPr>
      <w:r>
        <w:rPr>
          <w:rFonts w:hint="eastAsia" w:ascii="宋体" w:hAnsi="宋体" w:cs="宋体"/>
          <w:szCs w:val="21"/>
          <w:highlight w:val="none"/>
        </w:rPr>
        <w:t>7.7.4培训人员、地点和时间：受训人员由采购人确定，培训地点和时间由双方商定。</w:t>
      </w:r>
    </w:p>
    <w:p>
      <w:pPr>
        <w:ind w:firstLine="480"/>
        <w:rPr>
          <w:rFonts w:ascii="宋体" w:hAnsi="宋体" w:cs="宋体"/>
          <w:szCs w:val="21"/>
          <w:highlight w:val="none"/>
        </w:rPr>
      </w:pPr>
      <w:r>
        <w:rPr>
          <w:rFonts w:hint="eastAsia" w:ascii="宋体" w:hAnsi="宋体" w:cs="宋体"/>
          <w:szCs w:val="21"/>
          <w:highlight w:val="none"/>
        </w:rPr>
        <w:t xml:space="preserve">8 检验和验收 </w:t>
      </w:r>
    </w:p>
    <w:p>
      <w:pPr>
        <w:ind w:firstLine="480"/>
        <w:rPr>
          <w:rFonts w:ascii="宋体" w:hAnsi="宋体" w:cs="宋体"/>
          <w:szCs w:val="21"/>
          <w:highlight w:val="none"/>
        </w:rPr>
      </w:pPr>
      <w:r>
        <w:rPr>
          <w:rFonts w:hint="eastAsia" w:ascii="宋体" w:hAnsi="宋体" w:cs="宋体"/>
          <w:szCs w:val="21"/>
          <w:highlight w:val="none"/>
        </w:rPr>
        <w:t>8.1在交货前，乙方应对货物的质量、规格、性能、数量和重量等进行详细而全面的检验，并出具证明货物符合合同规定的文件。该文件将作为申请付款单据的一部分。</w:t>
      </w:r>
    </w:p>
    <w:p>
      <w:pPr>
        <w:ind w:firstLine="480"/>
        <w:rPr>
          <w:rFonts w:ascii="宋体" w:hAnsi="宋体" w:cs="宋体"/>
          <w:szCs w:val="21"/>
          <w:highlight w:val="none"/>
        </w:rPr>
      </w:pPr>
      <w:r>
        <w:rPr>
          <w:rFonts w:hint="eastAsia" w:ascii="宋体" w:hAnsi="宋体" w:cs="宋体"/>
          <w:szCs w:val="21"/>
          <w:highlight w:val="none"/>
        </w:rPr>
        <w:t>8.2验收应在甲乙双方共同参与下进行，依据制定的方案进行安装、调试，确保通过有关部门的验收。</w:t>
      </w:r>
    </w:p>
    <w:p>
      <w:pPr>
        <w:ind w:firstLine="315" w:firstLineChars="150"/>
        <w:rPr>
          <w:rFonts w:ascii="宋体" w:hAnsi="宋体" w:cs="宋体"/>
          <w:szCs w:val="21"/>
          <w:highlight w:val="none"/>
        </w:rPr>
      </w:pPr>
      <w:r>
        <w:rPr>
          <w:rFonts w:hint="eastAsia" w:ascii="宋体" w:hAnsi="宋体" w:cs="宋体"/>
          <w:szCs w:val="21"/>
          <w:highlight w:val="none"/>
        </w:rPr>
        <w:t>8.3货物验收：</w:t>
      </w:r>
    </w:p>
    <w:p>
      <w:pPr>
        <w:tabs>
          <w:tab w:val="left" w:pos="907"/>
        </w:tabs>
        <w:ind w:firstLine="420" w:firstLineChars="200"/>
        <w:rPr>
          <w:rFonts w:ascii="宋体" w:hAnsi="宋体" w:cs="宋体"/>
          <w:szCs w:val="21"/>
          <w:highlight w:val="none"/>
        </w:rPr>
      </w:pPr>
      <w:r>
        <w:rPr>
          <w:rFonts w:hint="eastAsia" w:ascii="宋体" w:hAnsi="宋体" w:cs="宋体"/>
          <w:szCs w:val="21"/>
          <w:highlight w:val="none"/>
        </w:rPr>
        <w:t>8.3.1招标人应当自供应商履行完合同义务之日起</w:t>
      </w:r>
      <w:r>
        <w:rPr>
          <w:rFonts w:hint="eastAsia" w:ascii="宋体" w:hAnsi="宋体" w:cs="宋体"/>
          <w:szCs w:val="21"/>
          <w:highlight w:val="none"/>
          <w:u w:val="single"/>
        </w:rPr>
        <w:t xml:space="preserve">  </w:t>
      </w:r>
      <w:r>
        <w:rPr>
          <w:rFonts w:hint="eastAsia" w:ascii="宋体" w:hAnsi="宋体" w:cs="宋体"/>
          <w:szCs w:val="21"/>
          <w:highlight w:val="none"/>
        </w:rPr>
        <w:t>个工作日内组织验收。验收工作由用户（或用户指定的单位）和供应商共同进行。</w:t>
      </w:r>
    </w:p>
    <w:p>
      <w:pPr>
        <w:tabs>
          <w:tab w:val="left" w:pos="907"/>
        </w:tabs>
        <w:ind w:firstLine="420" w:firstLineChars="200"/>
        <w:rPr>
          <w:rFonts w:ascii="宋体" w:hAnsi="宋体" w:cs="宋体"/>
          <w:szCs w:val="21"/>
          <w:highlight w:val="none"/>
        </w:rPr>
      </w:pPr>
      <w:r>
        <w:rPr>
          <w:rFonts w:hint="eastAsia" w:ascii="宋体" w:hAnsi="宋体" w:cs="宋体"/>
          <w:szCs w:val="21"/>
          <w:highlight w:val="none"/>
        </w:rPr>
        <w:t>8.3.2在验收时，供应商应按用户要求向用户提供货物的相关资料，按用户提出的方式验收。</w:t>
      </w:r>
    </w:p>
    <w:p>
      <w:pPr>
        <w:ind w:firstLine="420" w:firstLineChars="200"/>
        <w:rPr>
          <w:rFonts w:ascii="宋体" w:hAnsi="宋体" w:cs="宋体"/>
          <w:szCs w:val="21"/>
          <w:highlight w:val="none"/>
        </w:rPr>
      </w:pPr>
      <w:r>
        <w:rPr>
          <w:rFonts w:hint="eastAsia" w:ascii="宋体" w:hAnsi="宋体" w:cs="宋体"/>
          <w:szCs w:val="21"/>
          <w:highlight w:val="none"/>
        </w:rPr>
        <w:t>8.3.3由用户对货物的质量、规格和数量及其他进行检验。如发现质量、规格和数量等任何一项与招标要求规定不符，用户有权拒绝接受，并有权要求供应商在限期内更换符合规定的货物。</w:t>
      </w:r>
    </w:p>
    <w:p>
      <w:pPr>
        <w:ind w:firstLine="480"/>
        <w:rPr>
          <w:rFonts w:ascii="宋体" w:hAnsi="宋体" w:cs="宋体"/>
          <w:szCs w:val="21"/>
          <w:highlight w:val="none"/>
        </w:rPr>
      </w:pPr>
      <w:r>
        <w:rPr>
          <w:rFonts w:hint="eastAsia" w:ascii="宋体" w:hAnsi="宋体" w:cs="宋体"/>
          <w:szCs w:val="21"/>
          <w:highlight w:val="none"/>
        </w:rPr>
        <w:t>8.3.4验收完毕设备试运行</w:t>
      </w:r>
      <w:r>
        <w:rPr>
          <w:rFonts w:hint="eastAsia" w:ascii="宋体" w:hAnsi="宋体" w:cs="宋体"/>
          <w:szCs w:val="21"/>
          <w:highlight w:val="none"/>
          <w:u w:val="single"/>
        </w:rPr>
        <w:t xml:space="preserve">  </w:t>
      </w:r>
      <w:r>
        <w:rPr>
          <w:rFonts w:hint="eastAsia" w:ascii="宋体" w:hAnsi="宋体" w:cs="宋体"/>
          <w:szCs w:val="21"/>
          <w:highlight w:val="none"/>
        </w:rPr>
        <w:t xml:space="preserve">个工作日能正常运转视为验收合格，方可开始计算保修期起始日，如在试运行期间出现故障，由故障修复后试运行 </w:t>
      </w:r>
      <w:r>
        <w:rPr>
          <w:rFonts w:hint="eastAsia" w:ascii="宋体" w:hAnsi="宋体" w:cs="宋体"/>
          <w:szCs w:val="21"/>
          <w:highlight w:val="none"/>
          <w:u w:val="single"/>
        </w:rPr>
        <w:t xml:space="preserve">  </w:t>
      </w:r>
      <w:r>
        <w:rPr>
          <w:rFonts w:hint="eastAsia" w:ascii="宋体" w:hAnsi="宋体" w:cs="宋体"/>
          <w:szCs w:val="21"/>
          <w:highlight w:val="none"/>
        </w:rPr>
        <w:t>个工作日能正常运转起计算保修期起始日，以此类推。</w:t>
      </w:r>
    </w:p>
    <w:p>
      <w:pPr>
        <w:ind w:firstLine="480"/>
        <w:rPr>
          <w:rFonts w:ascii="宋体" w:hAnsi="宋体" w:cs="宋体"/>
          <w:szCs w:val="21"/>
          <w:highlight w:val="none"/>
        </w:rPr>
      </w:pPr>
      <w:r>
        <w:rPr>
          <w:rFonts w:hint="eastAsia" w:ascii="宋体" w:hAnsi="宋体" w:cs="宋体"/>
          <w:szCs w:val="21"/>
          <w:highlight w:val="none"/>
        </w:rPr>
        <w:t>8.3.5设备在</w:t>
      </w:r>
      <w:r>
        <w:rPr>
          <w:rFonts w:hint="eastAsia" w:ascii="宋体" w:hAnsi="宋体" w:cs="宋体"/>
          <w:szCs w:val="21"/>
          <w:highlight w:val="none"/>
          <w:u w:val="single"/>
        </w:rPr>
        <w:t xml:space="preserve">  </w:t>
      </w:r>
      <w:r>
        <w:rPr>
          <w:rFonts w:hint="eastAsia" w:ascii="宋体" w:hAnsi="宋体" w:cs="宋体"/>
          <w:szCs w:val="21"/>
          <w:highlight w:val="none"/>
        </w:rPr>
        <w:t>年质保期内如因故障停机</w:t>
      </w:r>
      <w:r>
        <w:rPr>
          <w:rFonts w:hint="eastAsia" w:ascii="宋体" w:hAnsi="宋体" w:cs="宋体"/>
          <w:szCs w:val="21"/>
          <w:highlight w:val="none"/>
          <w:u w:val="single"/>
        </w:rPr>
        <w:t xml:space="preserve">  </w:t>
      </w:r>
      <w:r>
        <w:rPr>
          <w:rFonts w:hint="eastAsia" w:ascii="宋体" w:hAnsi="宋体" w:cs="宋体"/>
          <w:szCs w:val="21"/>
          <w:highlight w:val="none"/>
        </w:rPr>
        <w:t>天内仍未能修复的，待设备修复后能正常运行</w:t>
      </w:r>
      <w:r>
        <w:rPr>
          <w:rFonts w:hint="eastAsia" w:ascii="宋体" w:hAnsi="宋体" w:cs="宋体"/>
          <w:szCs w:val="21"/>
          <w:highlight w:val="none"/>
          <w:u w:val="single"/>
        </w:rPr>
        <w:t xml:space="preserve">  </w:t>
      </w:r>
      <w:r>
        <w:rPr>
          <w:rFonts w:hint="eastAsia" w:ascii="宋体" w:hAnsi="宋体" w:cs="宋体"/>
          <w:szCs w:val="21"/>
          <w:highlight w:val="none"/>
        </w:rPr>
        <w:t>个工作日起重新计算质保期，以此类推。</w:t>
      </w:r>
    </w:p>
    <w:p>
      <w:pPr>
        <w:ind w:firstLine="480"/>
        <w:rPr>
          <w:rFonts w:ascii="宋体" w:hAnsi="宋体" w:cs="宋体"/>
          <w:szCs w:val="21"/>
          <w:highlight w:val="none"/>
        </w:rPr>
      </w:pPr>
      <w:r>
        <w:rPr>
          <w:rFonts w:hint="eastAsia" w:ascii="宋体" w:hAnsi="宋体" w:cs="宋体"/>
          <w:szCs w:val="21"/>
          <w:highlight w:val="none"/>
        </w:rPr>
        <w:t>8.4验收按国家有关规定、规范进行。验收时发现所交付的货物有短缺、次品、损坏或其它不符合本合同规定之情形的，甲方应做出详尽的现场记录，或由甲乙双方签署备忘录。此现场记录或备忘录可用作补充、缺失和更换损坏部件的有效证据。由此产生的有关费用由乙方承担。如果合同货物运输和安装调试过程中因事故造成货物短缺、损坏，乙方应及时安排换货，以保证合同货物成功完整交付。换货的相关费用由乙方承担。如货物更换三次仍不符合要求，用户有权解除合同并且供应商应退还用户已支付的全部款项</w:t>
      </w:r>
    </w:p>
    <w:p>
      <w:pPr>
        <w:ind w:firstLine="480"/>
        <w:rPr>
          <w:rFonts w:ascii="宋体" w:hAnsi="宋体" w:cs="宋体"/>
          <w:szCs w:val="21"/>
          <w:highlight w:val="none"/>
        </w:rPr>
      </w:pPr>
      <w:r>
        <w:rPr>
          <w:rFonts w:hint="eastAsia" w:ascii="宋体" w:hAnsi="宋体" w:cs="宋体"/>
          <w:szCs w:val="21"/>
          <w:highlight w:val="none"/>
        </w:rPr>
        <w:t>8.5甲方组织项目验收小组按国家有关规定、规范进行验收，必要时邀请相关专业人员或机构参与验收。因货物质量问题发生争议时，由本地质量技术监督部门鉴定。货物符合质量技术标准的，鉴定费由甲方承担；否则，鉴定费由乙方承担。</w:t>
      </w:r>
    </w:p>
    <w:p>
      <w:pPr>
        <w:ind w:firstLine="480"/>
        <w:rPr>
          <w:rFonts w:ascii="宋体" w:hAnsi="宋体" w:cs="宋体"/>
          <w:szCs w:val="21"/>
          <w:highlight w:val="none"/>
        </w:rPr>
      </w:pPr>
      <w:r>
        <w:rPr>
          <w:rFonts w:hint="eastAsia" w:ascii="宋体" w:hAnsi="宋体" w:cs="宋体"/>
          <w:szCs w:val="21"/>
          <w:highlight w:val="none"/>
        </w:rPr>
        <w:t>9 索赔</w:t>
      </w:r>
    </w:p>
    <w:p>
      <w:pPr>
        <w:ind w:firstLine="480"/>
        <w:rPr>
          <w:rFonts w:ascii="宋体" w:hAnsi="宋体" w:cs="宋体"/>
          <w:szCs w:val="21"/>
          <w:highlight w:val="none"/>
        </w:rPr>
      </w:pPr>
      <w:r>
        <w:rPr>
          <w:rFonts w:hint="eastAsia" w:ascii="宋体" w:hAnsi="宋体" w:cs="宋体"/>
          <w:szCs w:val="21"/>
          <w:highlight w:val="none"/>
        </w:rPr>
        <w:t>9.1如果货物的质量、规格、数量、重量等与合同不符，或在合同定的质量保证期内证实货物存有缺陷，包括潜在的缺陷或使用不符合要求的材料等，甲方有权向乙方提出索赔（索赔金额不低于合同总价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ind w:firstLine="480"/>
        <w:rPr>
          <w:rFonts w:ascii="宋体" w:hAnsi="宋体" w:cs="宋体"/>
          <w:szCs w:val="21"/>
          <w:highlight w:val="none"/>
        </w:rPr>
      </w:pPr>
      <w:r>
        <w:rPr>
          <w:rFonts w:hint="eastAsia" w:ascii="宋体" w:hAnsi="宋体" w:cs="宋体"/>
          <w:szCs w:val="21"/>
          <w:highlight w:val="none"/>
        </w:rPr>
        <w:t>9.2在根据合同规定的检验期和质量保证期内，如果乙方对甲方提出的索赔负有责任，乙方应按照甲方同意的方式解决索赔事宜，或由双方协商处理。</w:t>
      </w:r>
    </w:p>
    <w:p>
      <w:pPr>
        <w:ind w:firstLine="480"/>
        <w:rPr>
          <w:rFonts w:ascii="宋体" w:hAnsi="宋体" w:cs="宋体"/>
          <w:szCs w:val="21"/>
          <w:highlight w:val="none"/>
        </w:rPr>
      </w:pPr>
      <w:r>
        <w:rPr>
          <w:rFonts w:hint="eastAsia" w:ascii="宋体" w:hAnsi="宋体" w:cs="宋体"/>
          <w:szCs w:val="21"/>
          <w:highlight w:val="none"/>
        </w:rPr>
        <w:t>9.3如果在甲方发出索赔通知后</w:t>
      </w:r>
      <w:r>
        <w:rPr>
          <w:rFonts w:hint="eastAsia" w:ascii="宋体" w:hAnsi="宋体" w:cs="宋体"/>
          <w:szCs w:val="21"/>
          <w:highlight w:val="none"/>
          <w:u w:val="single"/>
        </w:rPr>
        <w:t xml:space="preserve">  </w:t>
      </w:r>
      <w:r>
        <w:rPr>
          <w:rFonts w:hint="eastAsia" w:ascii="宋体" w:hAnsi="宋体" w:cs="宋体"/>
          <w:szCs w:val="21"/>
          <w:highlight w:val="none"/>
        </w:rPr>
        <w:t>天内，乙方未作答复，上述索赔应视为已被乙方接受。如乙方未能在甲方提出索赔通知后</w:t>
      </w:r>
      <w:r>
        <w:rPr>
          <w:rFonts w:hint="eastAsia" w:ascii="宋体" w:hAnsi="宋体" w:cs="宋体"/>
          <w:szCs w:val="21"/>
          <w:highlight w:val="none"/>
          <w:u w:val="single"/>
        </w:rPr>
        <w:t xml:space="preserve">  </w:t>
      </w:r>
      <w:r>
        <w:rPr>
          <w:rFonts w:hint="eastAsia" w:ascii="宋体" w:hAnsi="宋体" w:cs="宋体"/>
          <w:szCs w:val="21"/>
          <w:highlight w:val="none"/>
        </w:rPr>
        <w:t>天内或甲方同意的更长时间内，按照本合同规定的方法解决索赔事宜，甲方将从合同款或从乙方开具的履约保证金保函中扣回索赔金额。如果这些金额不足以补偿索赔金额，甲方有权要求乙方补偿不足部分。</w:t>
      </w:r>
    </w:p>
    <w:p>
      <w:pPr>
        <w:ind w:firstLine="480"/>
        <w:rPr>
          <w:rFonts w:ascii="宋体" w:hAnsi="宋体" w:cs="宋体"/>
          <w:szCs w:val="21"/>
          <w:highlight w:val="none"/>
        </w:rPr>
      </w:pPr>
      <w:r>
        <w:rPr>
          <w:rFonts w:hint="eastAsia" w:ascii="宋体" w:hAnsi="宋体" w:cs="宋体"/>
          <w:szCs w:val="21"/>
          <w:highlight w:val="none"/>
        </w:rPr>
        <w:t>9.4本合同所述之损失、经济赔偿包括但不限于甲方因乙方原因而造成的直接经济损失、因此而向第三方支付的赔偿金、违约金、因此而支付的诉讼费、律师费、公证费、鉴定费等全部费用。</w:t>
      </w:r>
    </w:p>
    <w:p>
      <w:pPr>
        <w:ind w:firstLine="480"/>
        <w:rPr>
          <w:rFonts w:ascii="宋体" w:hAnsi="宋体" w:cs="宋体"/>
          <w:szCs w:val="21"/>
          <w:highlight w:val="none"/>
        </w:rPr>
      </w:pPr>
      <w:r>
        <w:rPr>
          <w:rFonts w:hint="eastAsia" w:ascii="宋体" w:hAnsi="宋体" w:cs="宋体"/>
          <w:szCs w:val="21"/>
          <w:highlight w:val="none"/>
        </w:rPr>
        <w:t xml:space="preserve">10 迟延交货 </w:t>
      </w:r>
    </w:p>
    <w:p>
      <w:pPr>
        <w:ind w:firstLine="480"/>
        <w:rPr>
          <w:rFonts w:ascii="宋体" w:hAnsi="宋体" w:cs="宋体"/>
          <w:szCs w:val="21"/>
          <w:highlight w:val="none"/>
        </w:rPr>
      </w:pPr>
      <w:r>
        <w:rPr>
          <w:rFonts w:hint="eastAsia" w:ascii="宋体" w:hAnsi="宋体" w:cs="宋体"/>
          <w:szCs w:val="21"/>
          <w:highlight w:val="none"/>
        </w:rPr>
        <w:t xml:space="preserve">10.1乙方应按照甲方规定的时间交货和提供服务。 </w:t>
      </w:r>
    </w:p>
    <w:p>
      <w:pPr>
        <w:ind w:firstLine="480"/>
        <w:rPr>
          <w:rFonts w:ascii="宋体" w:hAnsi="宋体" w:cs="宋体"/>
          <w:szCs w:val="21"/>
          <w:highlight w:val="none"/>
        </w:rPr>
      </w:pPr>
      <w:r>
        <w:rPr>
          <w:rFonts w:hint="eastAsia" w:ascii="宋体" w:hAnsi="宋体" w:cs="宋体"/>
          <w:szCs w:val="21"/>
          <w:highlight w:val="none"/>
        </w:rPr>
        <w:t>10.2如果乙方无正当理由迟延【】天交货，甲方有权解除合同，乙方应向甲方支付合同总金额的【】%作为违约金。</w:t>
      </w:r>
    </w:p>
    <w:p>
      <w:pPr>
        <w:ind w:firstLine="480"/>
        <w:rPr>
          <w:rFonts w:ascii="宋体" w:hAnsi="宋体" w:cs="宋体"/>
          <w:szCs w:val="21"/>
          <w:highlight w:val="none"/>
        </w:rPr>
      </w:pPr>
      <w:r>
        <w:rPr>
          <w:rFonts w:hint="eastAsia" w:ascii="宋体" w:hAnsi="宋体" w:cs="宋体"/>
          <w:szCs w:val="21"/>
          <w:highlight w:val="none"/>
        </w:rPr>
        <w:t xml:space="preserve">10.3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ind w:firstLine="480"/>
        <w:rPr>
          <w:rFonts w:ascii="宋体" w:hAnsi="宋体" w:cs="宋体"/>
          <w:szCs w:val="21"/>
          <w:highlight w:val="none"/>
        </w:rPr>
      </w:pPr>
      <w:r>
        <w:rPr>
          <w:rFonts w:hint="eastAsia" w:ascii="宋体" w:hAnsi="宋体" w:cs="宋体"/>
          <w:szCs w:val="21"/>
          <w:highlight w:val="none"/>
        </w:rPr>
        <w:t>11 违约赔偿</w:t>
      </w:r>
    </w:p>
    <w:p>
      <w:pPr>
        <w:ind w:firstLine="480"/>
        <w:rPr>
          <w:rFonts w:ascii="宋体" w:hAnsi="宋体" w:cs="宋体"/>
          <w:szCs w:val="21"/>
          <w:highlight w:val="none"/>
        </w:rPr>
      </w:pPr>
      <w:r>
        <w:rPr>
          <w:rFonts w:hint="eastAsia" w:ascii="宋体" w:hAnsi="宋体" w:cs="宋体"/>
          <w:szCs w:val="21"/>
          <w:highlight w:val="none"/>
        </w:rPr>
        <w:t>11.1除合同规定外，如果乙方没有按照合同规定的时间交货和提供服务，甲方可要求乙方支付违约金。从逾期之日起每日按本合同总价</w:t>
      </w:r>
      <w:r>
        <w:rPr>
          <w:rFonts w:hint="eastAsia" w:ascii="宋体" w:hAnsi="宋体" w:cs="宋体"/>
          <w:szCs w:val="21"/>
          <w:highlight w:val="none"/>
          <w:u w:val="single"/>
        </w:rPr>
        <w:t xml:space="preserve">  </w:t>
      </w:r>
      <w:r>
        <w:rPr>
          <w:rFonts w:hint="eastAsia" w:ascii="宋体" w:hAnsi="宋体" w:cs="宋体"/>
          <w:szCs w:val="21"/>
          <w:highlight w:val="none"/>
        </w:rPr>
        <w:t>‰的数额向甲方支付违约金；逾期15天以上（含15天）的，甲方有权终止合同，要求乙方支付合同总金额</w:t>
      </w:r>
      <w:r>
        <w:rPr>
          <w:rFonts w:hint="eastAsia" w:ascii="宋体" w:hAnsi="宋体" w:cs="宋体"/>
          <w:szCs w:val="21"/>
          <w:highlight w:val="none"/>
          <w:u w:val="single"/>
        </w:rPr>
        <w:t xml:space="preserve">  </w:t>
      </w:r>
      <w:r>
        <w:rPr>
          <w:rFonts w:hint="eastAsia" w:ascii="宋体" w:hAnsi="宋体" w:cs="宋体"/>
          <w:szCs w:val="21"/>
          <w:highlight w:val="none"/>
        </w:rPr>
        <w:t>%的违约金，并且给甲方造成的经济损失由乙方承担赔偿责任。</w:t>
      </w:r>
    </w:p>
    <w:p>
      <w:pPr>
        <w:ind w:firstLine="480"/>
        <w:rPr>
          <w:rFonts w:ascii="宋体" w:hAnsi="宋体" w:cs="宋体"/>
          <w:szCs w:val="21"/>
          <w:highlight w:val="none"/>
        </w:rPr>
      </w:pPr>
      <w:r>
        <w:rPr>
          <w:rFonts w:hint="eastAsia" w:ascii="宋体" w:hAnsi="宋体" w:cs="宋体"/>
          <w:szCs w:val="21"/>
          <w:highlight w:val="none"/>
        </w:rPr>
        <w:t>11.2因乙方原因导致本合同解除或是无法履行的，乙方应向甲方支付合同总价</w:t>
      </w:r>
      <w:r>
        <w:rPr>
          <w:rFonts w:hint="eastAsia" w:ascii="宋体" w:hAnsi="宋体" w:cs="宋体"/>
          <w:szCs w:val="21"/>
          <w:highlight w:val="none"/>
          <w:u w:val="single"/>
        </w:rPr>
        <w:t xml:space="preserve">  </w:t>
      </w:r>
      <w:r>
        <w:rPr>
          <w:rFonts w:hint="eastAsia" w:ascii="宋体" w:hAnsi="宋体" w:cs="宋体"/>
          <w:szCs w:val="21"/>
          <w:highlight w:val="none"/>
        </w:rPr>
        <w:t>%的违约金，违约金不足以弥补甲方损失的，乙方应另行补足。</w:t>
      </w:r>
    </w:p>
    <w:p>
      <w:pPr>
        <w:ind w:firstLine="480"/>
        <w:rPr>
          <w:rFonts w:ascii="宋体" w:hAnsi="宋体" w:cs="宋体"/>
          <w:szCs w:val="21"/>
          <w:highlight w:val="none"/>
        </w:rPr>
      </w:pPr>
      <w:r>
        <w:rPr>
          <w:rFonts w:hint="eastAsia" w:ascii="宋体" w:hAnsi="宋体" w:cs="宋体"/>
          <w:szCs w:val="21"/>
          <w:highlight w:val="none"/>
        </w:rPr>
        <w:t xml:space="preserve">11.3甲方有权从未支付的款项或是履约保证金中直接扣除乙方的违约金，不足的部分由乙方另行补足。 </w:t>
      </w:r>
    </w:p>
    <w:p>
      <w:pPr>
        <w:ind w:firstLine="480"/>
        <w:rPr>
          <w:rFonts w:ascii="宋体" w:hAnsi="宋体" w:cs="宋体"/>
          <w:szCs w:val="21"/>
          <w:highlight w:val="none"/>
        </w:rPr>
      </w:pPr>
      <w:r>
        <w:rPr>
          <w:rFonts w:hint="eastAsia" w:ascii="宋体" w:hAnsi="宋体" w:cs="宋体"/>
          <w:szCs w:val="21"/>
          <w:highlight w:val="none"/>
        </w:rPr>
        <w:t>12 不可抗力</w:t>
      </w:r>
    </w:p>
    <w:p>
      <w:pPr>
        <w:ind w:firstLine="480"/>
        <w:rPr>
          <w:rFonts w:ascii="宋体" w:hAnsi="宋体" w:cs="宋体"/>
          <w:szCs w:val="21"/>
          <w:highlight w:val="none"/>
        </w:rPr>
      </w:pPr>
      <w:r>
        <w:rPr>
          <w:rFonts w:hint="eastAsia" w:ascii="宋体" w:hAnsi="宋体" w:cs="宋体"/>
          <w:szCs w:val="21"/>
          <w:highlight w:val="none"/>
        </w:rPr>
        <w:t>12.1如果双方中任何一方遭遇法律规定的不可抗力，致使合同履行受阻时，履行合同的期限应予延长，延长的期限应相当于不可抗力所影响的时间。</w:t>
      </w:r>
    </w:p>
    <w:p>
      <w:pPr>
        <w:ind w:firstLine="480"/>
        <w:rPr>
          <w:rFonts w:ascii="宋体" w:hAnsi="宋体" w:cs="宋体"/>
          <w:szCs w:val="21"/>
          <w:highlight w:val="none"/>
        </w:rPr>
      </w:pPr>
      <w:r>
        <w:rPr>
          <w:rFonts w:hint="eastAsia" w:ascii="宋体" w:hAnsi="宋体" w:cs="宋体"/>
          <w:szCs w:val="21"/>
          <w:highlight w:val="none"/>
        </w:rPr>
        <w:t>12.2受事故影响的一方应在不可抗力的事故发生后尽快书面形式通知另一方，并在事故发生后</w:t>
      </w:r>
      <w:r>
        <w:rPr>
          <w:rFonts w:hint="eastAsia" w:ascii="宋体" w:hAnsi="宋体" w:cs="宋体"/>
          <w:szCs w:val="21"/>
          <w:highlight w:val="none"/>
          <w:u w:val="single"/>
        </w:rPr>
        <w:t xml:space="preserve">  </w:t>
      </w:r>
      <w:r>
        <w:rPr>
          <w:rFonts w:hint="eastAsia" w:ascii="宋体" w:hAnsi="宋体" w:cs="宋体"/>
          <w:szCs w:val="21"/>
          <w:highlight w:val="none"/>
        </w:rPr>
        <w:t>天内，将有关部门出具的证明文件送达另一方。</w:t>
      </w:r>
    </w:p>
    <w:p>
      <w:pPr>
        <w:ind w:firstLine="480"/>
        <w:rPr>
          <w:rFonts w:ascii="宋体" w:hAnsi="宋体" w:cs="宋体"/>
          <w:szCs w:val="21"/>
          <w:highlight w:val="none"/>
        </w:rPr>
      </w:pPr>
      <w:r>
        <w:rPr>
          <w:rFonts w:hint="eastAsia" w:ascii="宋体" w:hAnsi="宋体" w:cs="宋体"/>
          <w:szCs w:val="21"/>
          <w:highlight w:val="none"/>
        </w:rPr>
        <w:t>12.3不可抗力使合同的某些内容有变更必要的，双方应通过协商在</w:t>
      </w:r>
      <w:r>
        <w:rPr>
          <w:rFonts w:hint="eastAsia" w:ascii="宋体" w:hAnsi="宋体" w:cs="宋体"/>
          <w:szCs w:val="21"/>
          <w:highlight w:val="none"/>
          <w:u w:val="single"/>
        </w:rPr>
        <w:t xml:space="preserve">  </w:t>
      </w:r>
      <w:r>
        <w:rPr>
          <w:rFonts w:hint="eastAsia" w:ascii="宋体" w:hAnsi="宋体" w:cs="宋体"/>
          <w:szCs w:val="21"/>
          <w:highlight w:val="none"/>
        </w:rPr>
        <w:t xml:space="preserve">日内达成进一步履行合同的协议并另行签订补充协议，因不可抗力致使合同不能履行的，合同终止。 </w:t>
      </w:r>
    </w:p>
    <w:p>
      <w:pPr>
        <w:ind w:firstLine="480"/>
        <w:rPr>
          <w:rFonts w:ascii="宋体" w:hAnsi="宋体" w:cs="宋体"/>
          <w:szCs w:val="21"/>
          <w:highlight w:val="none"/>
        </w:rPr>
      </w:pPr>
      <w:r>
        <w:rPr>
          <w:rFonts w:hint="eastAsia" w:ascii="宋体" w:hAnsi="宋体" w:cs="宋体"/>
          <w:szCs w:val="21"/>
          <w:highlight w:val="none"/>
        </w:rPr>
        <w:t xml:space="preserve">13税费 </w:t>
      </w:r>
    </w:p>
    <w:p>
      <w:pPr>
        <w:ind w:firstLine="480"/>
        <w:rPr>
          <w:rFonts w:ascii="宋体" w:hAnsi="宋体" w:cs="宋体"/>
          <w:szCs w:val="21"/>
          <w:highlight w:val="none"/>
        </w:rPr>
      </w:pPr>
      <w:r>
        <w:rPr>
          <w:rFonts w:hint="eastAsia" w:ascii="宋体" w:hAnsi="宋体" w:cs="宋体"/>
          <w:szCs w:val="21"/>
          <w:highlight w:val="none"/>
        </w:rPr>
        <w:t xml:space="preserve">13.1 与本合同有关的一切税费均适用中华人民共和国法律的相关规定。 </w:t>
      </w:r>
    </w:p>
    <w:p>
      <w:pPr>
        <w:ind w:firstLine="480"/>
        <w:rPr>
          <w:rFonts w:ascii="宋体" w:hAnsi="宋体" w:cs="宋体"/>
          <w:szCs w:val="21"/>
          <w:highlight w:val="none"/>
        </w:rPr>
      </w:pPr>
      <w:r>
        <w:rPr>
          <w:rFonts w:hint="eastAsia" w:ascii="宋体" w:hAnsi="宋体" w:cs="宋体"/>
          <w:szCs w:val="21"/>
          <w:highlight w:val="none"/>
        </w:rPr>
        <w:t xml:space="preserve">14 合同争议的解决 </w:t>
      </w:r>
    </w:p>
    <w:p>
      <w:pPr>
        <w:ind w:firstLine="480"/>
        <w:rPr>
          <w:rFonts w:ascii="宋体" w:hAnsi="宋体" w:cs="宋体"/>
          <w:szCs w:val="21"/>
          <w:highlight w:val="none"/>
        </w:rPr>
      </w:pPr>
      <w:r>
        <w:rPr>
          <w:rFonts w:hint="eastAsia" w:ascii="宋体" w:hAnsi="宋体" w:cs="宋体"/>
          <w:szCs w:val="21"/>
          <w:highlight w:val="none"/>
        </w:rPr>
        <w:t>14.1因合同履行中发生的争议，可通过合同当事人双方友好协商解决。如自协商开始之起15日内得不到解决，双方应将争议提交同级监督管理部门调解。调解不成的，可向甲方所在地人</w:t>
      </w:r>
      <w:r>
        <w:rPr>
          <w:highlight w:val="none"/>
        </w:rPr>
        <w:fldChar w:fldCharType="begin"/>
      </w:r>
      <w:r>
        <w:rPr>
          <w:highlight w:val="none"/>
        </w:rPr>
        <w:instrText xml:space="preserve"> HYPERLINK "http://www.chinalawedu.com/web/23243/" \t "_blank" \o "民法" </w:instrText>
      </w:r>
      <w:r>
        <w:rPr>
          <w:highlight w:val="none"/>
        </w:rPr>
        <w:fldChar w:fldCharType="separate"/>
      </w:r>
      <w:r>
        <w:rPr>
          <w:rFonts w:hint="eastAsia" w:ascii="宋体" w:hAnsi="宋体" w:cs="宋体"/>
          <w:szCs w:val="21"/>
          <w:highlight w:val="none"/>
        </w:rPr>
        <w:t>民法</w:t>
      </w:r>
      <w:r>
        <w:rPr>
          <w:rFonts w:hint="eastAsia" w:ascii="宋体" w:hAnsi="宋体" w:cs="宋体"/>
          <w:szCs w:val="21"/>
          <w:highlight w:val="none"/>
        </w:rPr>
        <w:fldChar w:fldCharType="end"/>
      </w:r>
      <w:r>
        <w:rPr>
          <w:rFonts w:hint="eastAsia" w:ascii="宋体" w:hAnsi="宋体" w:cs="宋体"/>
          <w:szCs w:val="21"/>
          <w:highlight w:val="none"/>
        </w:rPr>
        <w:t>院提起诉讼。</w:t>
      </w:r>
    </w:p>
    <w:p>
      <w:pPr>
        <w:ind w:firstLine="480"/>
        <w:rPr>
          <w:rFonts w:ascii="宋体" w:hAnsi="宋体" w:cs="宋体"/>
          <w:szCs w:val="21"/>
          <w:highlight w:val="none"/>
        </w:rPr>
      </w:pPr>
      <w:r>
        <w:rPr>
          <w:rFonts w:hint="eastAsia" w:ascii="宋体" w:hAnsi="宋体" w:cs="宋体"/>
          <w:szCs w:val="21"/>
          <w:highlight w:val="none"/>
        </w:rPr>
        <w:t xml:space="preserve">15 违约解除合同 </w:t>
      </w:r>
    </w:p>
    <w:p>
      <w:pPr>
        <w:ind w:firstLine="480"/>
        <w:rPr>
          <w:rFonts w:ascii="宋体" w:hAnsi="宋体" w:cs="宋体"/>
          <w:szCs w:val="21"/>
          <w:highlight w:val="none"/>
        </w:rPr>
      </w:pPr>
      <w:r>
        <w:rPr>
          <w:rFonts w:hint="eastAsia" w:ascii="宋体" w:hAnsi="宋体" w:cs="宋体"/>
          <w:szCs w:val="21"/>
          <w:highlight w:val="none"/>
        </w:rPr>
        <w:t xml:space="preserve">15.1在乙方违约的情况下，甲方经同级监督管理部门审批后，可向乙方发出书面通知，部分或全部终止合同。同时保留向乙方追诉的权利。 </w:t>
      </w:r>
    </w:p>
    <w:p>
      <w:pPr>
        <w:ind w:firstLine="480"/>
        <w:rPr>
          <w:rFonts w:ascii="宋体" w:hAnsi="宋体" w:cs="宋体"/>
          <w:szCs w:val="21"/>
          <w:highlight w:val="none"/>
        </w:rPr>
      </w:pPr>
      <w:r>
        <w:rPr>
          <w:rFonts w:hint="eastAsia" w:ascii="宋体" w:hAnsi="宋体" w:cs="宋体"/>
          <w:szCs w:val="21"/>
          <w:highlight w:val="none"/>
        </w:rPr>
        <w:t>15.2全部或部分解除合同之后，甲方应当遵循诚实信用原则，以监督管理部门同意的方式，购买与未交付的货物类似的货物或服务。乙方应承担甲方购买类似货物或服务而产生的额外支出。部分解除合同的，乙方应继续履行合同中未解除的部分。</w:t>
      </w:r>
    </w:p>
    <w:p>
      <w:pPr>
        <w:ind w:firstLine="480"/>
        <w:rPr>
          <w:rFonts w:ascii="宋体" w:hAnsi="宋体" w:cs="宋体"/>
          <w:szCs w:val="21"/>
          <w:highlight w:val="none"/>
        </w:rPr>
      </w:pPr>
      <w:r>
        <w:rPr>
          <w:rFonts w:hint="eastAsia" w:ascii="宋体" w:hAnsi="宋体" w:cs="宋体"/>
          <w:szCs w:val="21"/>
          <w:highlight w:val="none"/>
        </w:rPr>
        <w:t>16破产终止合同</w:t>
      </w:r>
    </w:p>
    <w:p>
      <w:pPr>
        <w:ind w:firstLine="480"/>
        <w:rPr>
          <w:rFonts w:ascii="宋体" w:hAnsi="宋体" w:cs="宋体"/>
          <w:szCs w:val="21"/>
          <w:highlight w:val="none"/>
        </w:rPr>
      </w:pPr>
      <w:r>
        <w:rPr>
          <w:rFonts w:hint="eastAsia" w:ascii="宋体" w:hAnsi="宋体" w:cs="宋体"/>
          <w:szCs w:val="21"/>
          <w:highlight w:val="none"/>
        </w:rPr>
        <w:t xml:space="preserve">16.1如果乙方破产或无清偿能力时，甲方经报同级监督管理部门审批后，可在任何时候以书面通知乙方，提出终止合同而不给乙方补偿。该合同的终止将不损害或不影响甲方已经采取或将要采取任何行动或补救措施的权利。 </w:t>
      </w:r>
    </w:p>
    <w:p>
      <w:pPr>
        <w:ind w:firstLine="480"/>
        <w:rPr>
          <w:rFonts w:ascii="宋体" w:hAnsi="宋体" w:cs="宋体"/>
          <w:szCs w:val="21"/>
          <w:highlight w:val="none"/>
        </w:rPr>
      </w:pPr>
      <w:r>
        <w:rPr>
          <w:rFonts w:hint="eastAsia" w:ascii="宋体" w:hAnsi="宋体" w:cs="宋体"/>
          <w:szCs w:val="21"/>
          <w:highlight w:val="none"/>
        </w:rPr>
        <w:t>17 转让和分包</w:t>
      </w:r>
    </w:p>
    <w:p>
      <w:pPr>
        <w:ind w:firstLine="480"/>
        <w:rPr>
          <w:rFonts w:ascii="宋体" w:hAnsi="宋体" w:cs="宋体"/>
          <w:szCs w:val="21"/>
          <w:highlight w:val="none"/>
        </w:rPr>
      </w:pPr>
      <w:r>
        <w:rPr>
          <w:rFonts w:hint="eastAsia" w:ascii="宋体" w:hAnsi="宋体" w:cs="宋体"/>
          <w:szCs w:val="21"/>
          <w:highlight w:val="none"/>
        </w:rPr>
        <w:t>17.1合同不能转让。</w:t>
      </w:r>
    </w:p>
    <w:p>
      <w:pPr>
        <w:ind w:firstLine="480"/>
        <w:rPr>
          <w:rFonts w:ascii="宋体" w:hAnsi="宋体" w:cs="宋体"/>
          <w:szCs w:val="21"/>
          <w:highlight w:val="none"/>
        </w:rPr>
      </w:pPr>
      <w:r>
        <w:rPr>
          <w:rFonts w:hint="eastAsia" w:ascii="宋体" w:hAnsi="宋体" w:cs="宋体"/>
          <w:szCs w:val="21"/>
          <w:highlight w:val="none"/>
        </w:rPr>
        <w:t>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pPr>
        <w:ind w:firstLine="480"/>
        <w:rPr>
          <w:rFonts w:ascii="宋体" w:hAnsi="宋体" w:cs="宋体"/>
          <w:szCs w:val="21"/>
          <w:highlight w:val="none"/>
        </w:rPr>
      </w:pPr>
      <w:r>
        <w:rPr>
          <w:rFonts w:hint="eastAsia" w:ascii="宋体" w:hAnsi="宋体" w:cs="宋体"/>
          <w:szCs w:val="21"/>
          <w:highlight w:val="none"/>
        </w:rPr>
        <w:t>17.3甲方和乙方都不得擅自变更本合同，但合同继续履行将损害国家和社会公共利益的除外。如必须对合同条款进行改动时，当事人双方须共同签署书面文件，作为合同的补充，并报同级监督管理部门备案。</w:t>
      </w:r>
    </w:p>
    <w:p>
      <w:pPr>
        <w:ind w:firstLine="480"/>
        <w:rPr>
          <w:rFonts w:ascii="宋体" w:hAnsi="宋体" w:cs="宋体"/>
          <w:szCs w:val="21"/>
          <w:highlight w:val="none"/>
        </w:rPr>
      </w:pPr>
      <w:r>
        <w:rPr>
          <w:rFonts w:hint="eastAsia" w:ascii="宋体" w:hAnsi="宋体" w:cs="宋体"/>
          <w:szCs w:val="21"/>
          <w:highlight w:val="none"/>
        </w:rPr>
        <w:t>17.4乙方擅自转让本合同或是未经甲方书面同意将合同项下非主体、非关键性工作分包给他人的，甲方有权立即解除本合同，同时要求乙方支付合同总价</w:t>
      </w:r>
      <w:r>
        <w:rPr>
          <w:rFonts w:hint="eastAsia" w:ascii="宋体" w:hAnsi="宋体" w:cs="宋体"/>
          <w:szCs w:val="21"/>
          <w:highlight w:val="none"/>
          <w:u w:val="single"/>
        </w:rPr>
        <w:t xml:space="preserve">  </w:t>
      </w:r>
      <w:r>
        <w:rPr>
          <w:rFonts w:hint="eastAsia" w:ascii="宋体" w:hAnsi="宋体" w:cs="宋体"/>
          <w:szCs w:val="21"/>
          <w:highlight w:val="none"/>
        </w:rPr>
        <w:t xml:space="preserve">%的违约金，违约金不足以弥补甲方损失，甲方有权继续向乙方追索。 </w:t>
      </w:r>
    </w:p>
    <w:p>
      <w:pPr>
        <w:ind w:firstLine="480"/>
        <w:rPr>
          <w:rFonts w:ascii="宋体" w:hAnsi="宋体" w:cs="宋体"/>
          <w:szCs w:val="21"/>
          <w:highlight w:val="none"/>
        </w:rPr>
      </w:pPr>
      <w:r>
        <w:rPr>
          <w:rFonts w:hint="eastAsia" w:ascii="宋体" w:hAnsi="宋体" w:cs="宋体"/>
          <w:szCs w:val="21"/>
          <w:highlight w:val="none"/>
        </w:rPr>
        <w:t xml:space="preserve">18 计量单位 </w:t>
      </w:r>
    </w:p>
    <w:p>
      <w:pPr>
        <w:ind w:firstLine="480"/>
        <w:rPr>
          <w:rFonts w:ascii="宋体" w:hAnsi="宋体" w:cs="宋体"/>
          <w:szCs w:val="21"/>
          <w:highlight w:val="none"/>
        </w:rPr>
      </w:pPr>
      <w:r>
        <w:rPr>
          <w:rFonts w:hint="eastAsia" w:ascii="宋体" w:hAnsi="宋体" w:cs="宋体"/>
          <w:szCs w:val="21"/>
          <w:highlight w:val="none"/>
        </w:rPr>
        <w:t>18.1除技术规范中另有规定外，计量单位均使用国家法定计量单位。</w:t>
      </w:r>
    </w:p>
    <w:p>
      <w:pPr>
        <w:ind w:firstLine="480"/>
        <w:rPr>
          <w:rFonts w:ascii="宋体" w:hAnsi="宋体" w:cs="宋体"/>
          <w:szCs w:val="21"/>
          <w:highlight w:val="none"/>
        </w:rPr>
      </w:pPr>
      <w:r>
        <w:rPr>
          <w:rFonts w:hint="eastAsia" w:ascii="宋体" w:hAnsi="宋体" w:cs="宋体"/>
          <w:szCs w:val="21"/>
          <w:highlight w:val="none"/>
        </w:rPr>
        <w:t>19 合同生效和其它</w:t>
      </w:r>
    </w:p>
    <w:p>
      <w:pPr>
        <w:ind w:firstLine="480"/>
        <w:rPr>
          <w:rFonts w:ascii="宋体" w:hAnsi="宋体" w:cs="宋体"/>
          <w:szCs w:val="21"/>
          <w:highlight w:val="none"/>
        </w:rPr>
      </w:pPr>
      <w:r>
        <w:rPr>
          <w:rFonts w:hint="eastAsia" w:ascii="宋体" w:hAnsi="宋体" w:cs="宋体"/>
          <w:szCs w:val="21"/>
          <w:highlight w:val="none"/>
        </w:rPr>
        <w:t xml:space="preserve">19.1项目的采购合同内容的确定应以招标文件和投标文件为基础，不得违背其实质性内容。项目的采购合同自签订之日起七个工作日内，甲方应当将合同副本报同级监督管理部门和有关部门备案。本合同经双方授权代表签字盖章后生效，生效日以最后一个签字日为准。 </w:t>
      </w:r>
    </w:p>
    <w:p>
      <w:pPr>
        <w:ind w:firstLine="420" w:firstLineChars="200"/>
        <w:rPr>
          <w:rFonts w:ascii="宋体" w:hAnsi="宋体" w:cs="宋体"/>
          <w:szCs w:val="21"/>
          <w:highlight w:val="none"/>
        </w:rPr>
      </w:pPr>
      <w:r>
        <w:rPr>
          <w:rFonts w:hint="eastAsia" w:ascii="宋体" w:hAnsi="宋体" w:cs="宋体"/>
          <w:szCs w:val="21"/>
          <w:highlight w:val="none"/>
        </w:rPr>
        <w:t>19.2本合同一式</w:t>
      </w:r>
      <w:r>
        <w:rPr>
          <w:rFonts w:hint="eastAsia" w:ascii="宋体" w:hAnsi="宋体" w:cs="宋体"/>
          <w:szCs w:val="21"/>
          <w:highlight w:val="none"/>
          <w:u w:val="single"/>
        </w:rPr>
        <w:t xml:space="preserve">  </w:t>
      </w:r>
      <w:r>
        <w:rPr>
          <w:rFonts w:hint="eastAsia" w:ascii="宋体" w:hAnsi="宋体" w:cs="宋体"/>
          <w:szCs w:val="21"/>
          <w:highlight w:val="none"/>
        </w:rPr>
        <w:t>份，甲方执</w:t>
      </w:r>
      <w:r>
        <w:rPr>
          <w:rFonts w:hint="eastAsia" w:ascii="宋体" w:hAnsi="宋体" w:cs="宋体"/>
          <w:szCs w:val="21"/>
          <w:highlight w:val="none"/>
          <w:u w:val="single"/>
        </w:rPr>
        <w:t xml:space="preserve">  </w:t>
      </w:r>
      <w:r>
        <w:rPr>
          <w:rFonts w:hint="eastAsia" w:ascii="宋体" w:hAnsi="宋体" w:cs="宋体"/>
          <w:szCs w:val="21"/>
          <w:highlight w:val="none"/>
        </w:rPr>
        <w:t>份，乙方执</w:t>
      </w:r>
      <w:r>
        <w:rPr>
          <w:rFonts w:hint="eastAsia" w:ascii="宋体" w:hAnsi="宋体" w:cs="宋体"/>
          <w:szCs w:val="21"/>
          <w:highlight w:val="none"/>
          <w:u w:val="single"/>
        </w:rPr>
        <w:t xml:space="preserve">  </w:t>
      </w:r>
      <w:r>
        <w:rPr>
          <w:rFonts w:hint="eastAsia" w:ascii="宋体" w:hAnsi="宋体" w:cs="宋体"/>
          <w:szCs w:val="21"/>
          <w:highlight w:val="none"/>
        </w:rPr>
        <w:t>份，采购代理机构执</w:t>
      </w:r>
      <w:r>
        <w:rPr>
          <w:rFonts w:hint="eastAsia" w:ascii="宋体" w:hAnsi="宋体" w:cs="宋体"/>
          <w:szCs w:val="21"/>
          <w:highlight w:val="none"/>
          <w:u w:val="single"/>
        </w:rPr>
        <w:t xml:space="preserve">  </w:t>
      </w:r>
      <w:r>
        <w:rPr>
          <w:rFonts w:hint="eastAsia" w:ascii="宋体" w:hAnsi="宋体" w:cs="宋体"/>
          <w:szCs w:val="21"/>
          <w:highlight w:val="none"/>
        </w:rPr>
        <w:t>份，具同等法律效力。本合同合计</w:t>
      </w:r>
      <w:r>
        <w:rPr>
          <w:rFonts w:hint="eastAsia" w:ascii="宋体" w:hAnsi="宋体" w:cs="宋体"/>
          <w:szCs w:val="21"/>
          <w:highlight w:val="none"/>
          <w:u w:val="single"/>
        </w:rPr>
        <w:t xml:space="preserve">   </w:t>
      </w:r>
      <w:r>
        <w:rPr>
          <w:rFonts w:hint="eastAsia" w:ascii="宋体" w:hAnsi="宋体" w:cs="宋体"/>
          <w:szCs w:val="21"/>
          <w:highlight w:val="none"/>
        </w:rPr>
        <w:t>页，缺页之合同为无效合同。</w:t>
      </w:r>
    </w:p>
    <w:p>
      <w:pPr>
        <w:ind w:firstLine="420" w:firstLineChars="200"/>
        <w:rPr>
          <w:rFonts w:ascii="宋体" w:hAnsi="宋体" w:cs="宋体"/>
          <w:szCs w:val="21"/>
          <w:highlight w:val="none"/>
        </w:rPr>
      </w:pPr>
      <w:r>
        <w:rPr>
          <w:rFonts w:hint="eastAsia" w:ascii="宋体" w:hAnsi="宋体" w:cs="宋体"/>
          <w:szCs w:val="21"/>
          <w:highlight w:val="none"/>
        </w:rPr>
        <w:t>19.3其它未尽事宜，由甲乙双方另行签订补充协议，并参照《中华人民共和国合同法》有关条款执行。</w:t>
      </w:r>
    </w:p>
    <w:p>
      <w:pPr>
        <w:ind w:firstLine="420" w:firstLineChars="200"/>
        <w:rPr>
          <w:rFonts w:ascii="宋体" w:hAnsi="宋体" w:cs="宋体"/>
          <w:szCs w:val="21"/>
          <w:highlight w:val="none"/>
        </w:rPr>
      </w:pPr>
      <w:r>
        <w:rPr>
          <w:rFonts w:hint="eastAsia" w:ascii="宋体" w:hAnsi="宋体" w:cs="宋体"/>
          <w:szCs w:val="21"/>
          <w:highlight w:val="none"/>
        </w:rPr>
        <w:t>19.4本合同应按照中华人民共和国的法律进行解释。</w:t>
      </w:r>
    </w:p>
    <w:p>
      <w:pPr>
        <w:shd w:val="clea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shd w:val="clea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                         授权代表：</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账号： </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3"/>
        <w:shd w:val="clear"/>
        <w:spacing w:line="600" w:lineRule="exact"/>
        <w:rPr>
          <w:rFonts w:hint="eastAsia" w:ascii="宋体" w:hAnsi="宋体" w:cs="宋体"/>
          <w:color w:val="auto"/>
          <w:spacing w:val="20"/>
          <w:szCs w:val="44"/>
          <w:highlight w:val="none"/>
        </w:rPr>
      </w:pPr>
    </w:p>
    <w:p>
      <w:pPr>
        <w:shd w:val="clear"/>
        <w:spacing w:line="600" w:lineRule="exact"/>
        <w:rPr>
          <w:rFonts w:hint="eastAsia" w:ascii="宋体" w:hAnsi="宋体" w:cs="宋体"/>
          <w:color w:val="auto"/>
          <w:spacing w:val="20"/>
          <w:szCs w:val="44"/>
          <w:highlight w:val="none"/>
        </w:rPr>
      </w:pPr>
    </w:p>
    <w:p>
      <w:pPr>
        <w:shd w:val="clear"/>
        <w:rPr>
          <w:rFonts w:hint="eastAsia"/>
          <w:color w:val="auto"/>
          <w:sz w:val="28"/>
          <w:szCs w:val="28"/>
          <w:highlight w:val="none"/>
        </w:rPr>
      </w:pPr>
    </w:p>
    <w:p>
      <w:pPr>
        <w:shd w:val="clear"/>
        <w:rPr>
          <w:rFonts w:hint="eastAsia"/>
          <w:color w:val="auto"/>
          <w:sz w:val="28"/>
          <w:szCs w:val="28"/>
          <w:highlight w:val="none"/>
        </w:rPr>
      </w:pPr>
      <w:r>
        <w:rPr>
          <w:rFonts w:hint="eastAsia"/>
          <w:color w:val="auto"/>
          <w:sz w:val="28"/>
          <w:szCs w:val="28"/>
          <w:highlight w:val="none"/>
        </w:rPr>
        <w:br w:type="page"/>
      </w:r>
    </w:p>
    <w:p>
      <w:pPr>
        <w:pStyle w:val="6"/>
        <w:shd w:val="clear"/>
        <w:spacing w:before="0" w:after="0" w:line="240" w:lineRule="auto"/>
        <w:rPr>
          <w:color w:val="auto"/>
          <w:sz w:val="28"/>
          <w:szCs w:val="28"/>
          <w:highlight w:val="none"/>
        </w:rPr>
      </w:pPr>
      <w:bookmarkStart w:id="113" w:name="_Toc13433"/>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投标文件格式</w:t>
      </w:r>
      <w:bookmarkEnd w:id="113"/>
    </w:p>
    <w:p>
      <w:pPr>
        <w:shd w:val="clear"/>
        <w:rPr>
          <w:color w:val="auto"/>
          <w:highlight w:val="none"/>
        </w:rPr>
      </w:pPr>
    </w:p>
    <w:p>
      <w:pPr>
        <w:pStyle w:val="8"/>
        <w:widowControl w:val="0"/>
        <w:shd w:val="clear"/>
        <w:overflowPunct w:val="0"/>
        <w:spacing w:line="240" w:lineRule="auto"/>
        <w:rPr>
          <w:rFonts w:ascii="宋体" w:hAnsi="宋体"/>
          <w:color w:val="auto"/>
          <w:sz w:val="21"/>
          <w:szCs w:val="21"/>
          <w:highlight w:val="none"/>
        </w:rPr>
      </w:pPr>
      <w:bookmarkStart w:id="114" w:name="_Toc14299"/>
      <w:r>
        <w:rPr>
          <w:rFonts w:hint="eastAsia" w:ascii="宋体" w:hAnsi="宋体"/>
          <w:color w:val="auto"/>
          <w:sz w:val="21"/>
          <w:szCs w:val="21"/>
          <w:highlight w:val="none"/>
        </w:rPr>
        <w:t>投标文件目录</w:t>
      </w:r>
      <w:bookmarkEnd w:id="114"/>
    </w:p>
    <w:p>
      <w:pPr>
        <w:shd w:val="clear"/>
        <w:jc w:val="center"/>
        <w:rPr>
          <w:rFonts w:ascii="黑体" w:eastAsia="黑体"/>
          <w:color w:val="auto"/>
          <w:sz w:val="32"/>
          <w:szCs w:val="32"/>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目录</w:t>
      </w:r>
    </w:p>
    <w:p>
      <w:pPr>
        <w:shd w:val="clea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shd w:val="clea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15" w:name="_Toc21959"/>
      <w:r>
        <w:rPr>
          <w:rFonts w:hint="eastAsia" w:ascii="宋体" w:hAnsi="宋体"/>
          <w:color w:val="auto"/>
          <w:sz w:val="21"/>
          <w:szCs w:val="21"/>
          <w:highlight w:val="none"/>
        </w:rPr>
        <w:t>附件1.评分标准索引表</w:t>
      </w:r>
      <w:bookmarkEnd w:id="115"/>
    </w:p>
    <w:p>
      <w:pPr>
        <w:shd w:val="clear"/>
        <w:adjustRightInd/>
        <w:snapToGrid/>
        <w:spacing w:line="276" w:lineRule="auto"/>
        <w:rPr>
          <w:rFonts w:ascii="宋体" w:hAnsi="宋体"/>
          <w:color w:val="auto"/>
          <w:szCs w:val="21"/>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vAlign w:val="center"/>
          </w:tcPr>
          <w:p>
            <w:pPr>
              <w:shd w:val="clea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pPr>
              <w:shd w:val="clea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pPr>
              <w:shd w:val="clea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pPr>
              <w:shd w:val="clea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pPr>
              <w:shd w:val="clea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hd w:val="clea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hd w:val="clea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注：</w:t>
      </w:r>
    </w:p>
    <w:p>
      <w:pPr>
        <w:numPr>
          <w:ilvl w:val="0"/>
          <w:numId w:val="6"/>
        </w:numPr>
        <w:shd w:val="clea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pPr>
        <w:pStyle w:val="2"/>
        <w:shd w:val="clear"/>
        <w:spacing w:before="0"/>
        <w:ind w:left="0"/>
        <w:rPr>
          <w:color w:val="auto"/>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shd w:val="clear"/>
        <w:jc w:val="center"/>
        <w:rPr>
          <w:rFonts w:ascii="黑体" w:eastAsia="黑体"/>
          <w:color w:val="auto"/>
          <w:sz w:val="52"/>
          <w:szCs w:val="52"/>
          <w:highlight w:val="none"/>
        </w:rPr>
      </w:pPr>
      <w:bookmarkStart w:id="116" w:name="_Toc30918"/>
      <w:bookmarkStart w:id="117" w:name="_Toc18450"/>
      <w:bookmarkStart w:id="118" w:name="_Toc21746"/>
      <w:bookmarkStart w:id="119" w:name="_Toc20335"/>
      <w:bookmarkStart w:id="120" w:name="_Toc28154"/>
    </w:p>
    <w:p>
      <w:pPr>
        <w:pStyle w:val="6"/>
        <w:shd w:val="clear"/>
        <w:spacing w:before="0" w:after="0" w:line="360" w:lineRule="auto"/>
        <w:jc w:val="center"/>
        <w:rPr>
          <w:color w:val="auto"/>
          <w:sz w:val="72"/>
          <w:szCs w:val="72"/>
          <w:highlight w:val="none"/>
        </w:rPr>
      </w:pPr>
      <w:bookmarkStart w:id="121" w:name="_Toc30081"/>
      <w:r>
        <w:rPr>
          <w:rFonts w:hint="eastAsia"/>
          <w:color w:val="auto"/>
          <w:sz w:val="72"/>
          <w:szCs w:val="72"/>
          <w:highlight w:val="none"/>
        </w:rPr>
        <w:t>价格文件</w:t>
      </w:r>
      <w:bookmarkEnd w:id="116"/>
      <w:bookmarkEnd w:id="117"/>
      <w:bookmarkEnd w:id="121"/>
      <w:bookmarkStart w:id="122" w:name="_Hlt10519799"/>
      <w:bookmarkEnd w:id="122"/>
      <w:bookmarkStart w:id="123" w:name="_Hlt10456397"/>
      <w:bookmarkEnd w:id="123"/>
    </w:p>
    <w:p>
      <w:pPr>
        <w:shd w:val="clea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18"/>
      <w:bookmarkEnd w:id="119"/>
      <w:bookmarkEnd w:id="120"/>
    </w:p>
    <w:p>
      <w:pPr>
        <w:shd w:val="clear"/>
        <w:rPr>
          <w:color w:val="auto"/>
          <w:highlight w:val="none"/>
        </w:rPr>
      </w:pPr>
    </w:p>
    <w:p>
      <w:pPr>
        <w:pStyle w:val="2"/>
        <w:shd w:val="clear"/>
        <w:rPr>
          <w:color w:val="auto"/>
          <w:highlight w:val="none"/>
        </w:rPr>
      </w:pPr>
    </w:p>
    <w:p>
      <w:pPr>
        <w:shd w:val="clear"/>
        <w:ind w:firstLine="240"/>
        <w:rPr>
          <w:color w:val="auto"/>
          <w:highlight w:val="none"/>
        </w:rPr>
      </w:pPr>
    </w:p>
    <w:p>
      <w:pPr>
        <w:shd w:val="clear"/>
        <w:rPr>
          <w:rFonts w:hint="eastAsia" w:ascii="宋体" w:hAnsi="宋体" w:cs="宋体"/>
          <w:b/>
          <w:bCs/>
          <w:color w:val="auto"/>
          <w:spacing w:val="106"/>
          <w:kern w:val="0"/>
          <w:sz w:val="32"/>
          <w:szCs w:val="32"/>
          <w:highlight w:val="none"/>
          <w:fitText w:val="1600" w:id="0"/>
        </w:rPr>
      </w:pPr>
      <w:r>
        <w:rPr>
          <w:rFonts w:hint="eastAsia" w:ascii="宋体" w:hAnsi="宋体" w:cs="宋体"/>
          <w:b/>
          <w:bCs/>
          <w:color w:val="auto"/>
          <w:spacing w:val="0"/>
          <w:kern w:val="0"/>
          <w:sz w:val="32"/>
          <w:szCs w:val="32"/>
          <w:highlight w:val="none"/>
          <w:fitText w:val="1600" w:id="0"/>
        </w:rPr>
        <w:t>项目名称：</w:t>
      </w:r>
    </w:p>
    <w:p>
      <w:pPr>
        <w:shd w:val="clear"/>
        <w:rPr>
          <w:rFonts w:hint="eastAsia" w:ascii="宋体" w:hAnsi="宋体" w:cs="宋体"/>
          <w:b/>
          <w:bCs/>
          <w:color w:val="auto"/>
          <w:spacing w:val="106"/>
          <w:kern w:val="0"/>
          <w:sz w:val="32"/>
          <w:szCs w:val="32"/>
          <w:highlight w:val="none"/>
          <w:fitText w:val="1600" w:id="1"/>
        </w:rPr>
      </w:pPr>
      <w:r>
        <w:rPr>
          <w:rFonts w:hint="eastAsia" w:ascii="宋体" w:hAnsi="宋体" w:cs="宋体"/>
          <w:b/>
          <w:bCs/>
          <w:color w:val="auto"/>
          <w:spacing w:val="0"/>
          <w:kern w:val="0"/>
          <w:sz w:val="32"/>
          <w:szCs w:val="32"/>
          <w:highlight w:val="none"/>
          <w:fitText w:val="1600" w:id="1"/>
        </w:rPr>
        <w:t>项目编号：</w:t>
      </w:r>
    </w:p>
    <w:p>
      <w:pPr>
        <w:shd w:val="clear"/>
        <w:rPr>
          <w:rFonts w:hint="eastAsia" w:ascii="宋体" w:hAnsi="宋体" w:cs="宋体"/>
          <w:b/>
          <w:bCs/>
          <w:color w:val="auto"/>
          <w:spacing w:val="106"/>
          <w:kern w:val="0"/>
          <w:sz w:val="32"/>
          <w:szCs w:val="32"/>
          <w:highlight w:val="none"/>
          <w:fitText w:val="1600" w:id="2"/>
        </w:rPr>
      </w:pPr>
      <w:r>
        <w:rPr>
          <w:rFonts w:hint="eastAsia" w:ascii="宋体" w:hAnsi="宋体" w:cs="宋体"/>
          <w:b/>
          <w:bCs/>
          <w:color w:val="auto"/>
          <w:spacing w:val="1"/>
          <w:w w:val="62"/>
          <w:kern w:val="0"/>
          <w:sz w:val="32"/>
          <w:szCs w:val="32"/>
          <w:highlight w:val="none"/>
          <w:fitText w:val="1600" w:id="2"/>
        </w:rPr>
        <w:t>包组号（如有）</w:t>
      </w:r>
      <w:r>
        <w:rPr>
          <w:rFonts w:hint="eastAsia" w:ascii="宋体" w:hAnsi="宋体" w:cs="宋体"/>
          <w:b/>
          <w:bCs/>
          <w:color w:val="auto"/>
          <w:spacing w:val="4"/>
          <w:w w:val="62"/>
          <w:kern w:val="0"/>
          <w:sz w:val="32"/>
          <w:szCs w:val="32"/>
          <w:highlight w:val="none"/>
          <w:fitText w:val="1600" w:id="2"/>
        </w:rPr>
        <w:t>：</w:t>
      </w:r>
    </w:p>
    <w:p>
      <w:pPr>
        <w:shd w:val="clear"/>
        <w:rPr>
          <w:rFonts w:hint="eastAsia" w:ascii="宋体" w:hAnsi="宋体" w:cs="宋体"/>
          <w:b/>
          <w:bCs/>
          <w:color w:val="auto"/>
          <w:spacing w:val="106"/>
          <w:kern w:val="0"/>
          <w:sz w:val="32"/>
          <w:szCs w:val="32"/>
          <w:highlight w:val="none"/>
          <w:fitText w:val="1600" w:id="3"/>
        </w:rPr>
      </w:pPr>
      <w:r>
        <w:rPr>
          <w:rFonts w:hint="eastAsia" w:ascii="宋体" w:hAnsi="宋体" w:cs="宋体"/>
          <w:b/>
          <w:bCs/>
          <w:color w:val="auto"/>
          <w:spacing w:val="0"/>
          <w:w w:val="83"/>
          <w:kern w:val="0"/>
          <w:sz w:val="32"/>
          <w:szCs w:val="32"/>
          <w:highlight w:val="none"/>
          <w:fitText w:val="1600" w:id="3"/>
        </w:rPr>
        <w:t>投标人名称：</w:t>
      </w:r>
    </w:p>
    <w:p>
      <w:pPr>
        <w:shd w:val="clear"/>
        <w:rPr>
          <w:rFonts w:hint="eastAsia" w:ascii="宋体" w:hAnsi="宋体" w:cs="宋体"/>
          <w:b/>
          <w:bCs/>
          <w:color w:val="auto"/>
          <w:spacing w:val="106"/>
          <w:kern w:val="0"/>
          <w:sz w:val="32"/>
          <w:szCs w:val="32"/>
          <w:highlight w:val="none"/>
          <w:fitText w:val="1600" w:id="4"/>
        </w:rPr>
      </w:pPr>
      <w:r>
        <w:rPr>
          <w:rFonts w:hint="eastAsia" w:ascii="宋体" w:hAnsi="宋体" w:cs="宋体"/>
          <w:b/>
          <w:bCs/>
          <w:color w:val="auto"/>
          <w:spacing w:val="0"/>
          <w:kern w:val="0"/>
          <w:sz w:val="32"/>
          <w:szCs w:val="32"/>
          <w:highlight w:val="none"/>
          <w:fitText w:val="1600" w:id="4"/>
        </w:rPr>
        <w:t>日    期：</w:t>
      </w:r>
    </w:p>
    <w:p>
      <w:pPr>
        <w:shd w:val="clear"/>
        <w:rPr>
          <w:color w:val="auto"/>
          <w:highlight w:val="none"/>
        </w:rPr>
      </w:pPr>
    </w:p>
    <w:p>
      <w:pPr>
        <w:pStyle w:val="2"/>
        <w:shd w:val="clear"/>
        <w:rPr>
          <w:color w:val="auto"/>
          <w:highlight w:val="none"/>
        </w:rPr>
      </w:pPr>
    </w:p>
    <w:p>
      <w:pPr>
        <w:shd w:val="clear"/>
        <w:ind w:firstLine="240"/>
        <w:rPr>
          <w:color w:val="auto"/>
          <w:highlight w:val="none"/>
        </w:rPr>
      </w:pPr>
    </w:p>
    <w:p>
      <w:pPr>
        <w:pStyle w:val="25"/>
        <w:shd w:val="clear"/>
        <w:rPr>
          <w:color w:val="auto"/>
          <w:highlight w:val="none"/>
        </w:rPr>
      </w:pPr>
    </w:p>
    <w:p>
      <w:pPr>
        <w:shd w:val="clear"/>
        <w:rPr>
          <w:color w:val="auto"/>
          <w:highlight w:val="none"/>
        </w:rPr>
      </w:pPr>
    </w:p>
    <w:p>
      <w:pPr>
        <w:pStyle w:val="2"/>
        <w:shd w:val="clear"/>
        <w:rPr>
          <w:color w:val="auto"/>
          <w:highlight w:val="none"/>
        </w:rPr>
      </w:pPr>
    </w:p>
    <w:p>
      <w:pPr>
        <w:shd w:val="clear"/>
        <w:ind w:firstLine="240"/>
        <w:rPr>
          <w:color w:val="auto"/>
          <w:highlight w:val="none"/>
        </w:rPr>
      </w:pPr>
    </w:p>
    <w:p>
      <w:pPr>
        <w:pStyle w:val="25"/>
        <w:shd w:val="clear"/>
        <w:rPr>
          <w:color w:val="auto"/>
          <w:highlight w:val="none"/>
        </w:rPr>
      </w:pPr>
    </w:p>
    <w:p>
      <w:pPr>
        <w:pStyle w:val="25"/>
        <w:shd w:val="clear"/>
        <w:ind w:left="0"/>
        <w:rPr>
          <w:color w:val="auto"/>
          <w:highlight w:val="none"/>
        </w:rPr>
      </w:pPr>
    </w:p>
    <w:p>
      <w:pPr>
        <w:shd w:val="clear"/>
        <w:rPr>
          <w:rFonts w:ascii="宋体" w:hAnsi="宋体"/>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24" w:name="_Toc5320"/>
      <w:r>
        <w:rPr>
          <w:rFonts w:hint="eastAsia" w:ascii="宋体" w:hAnsi="宋体"/>
          <w:color w:val="auto"/>
          <w:sz w:val="21"/>
          <w:szCs w:val="21"/>
          <w:highlight w:val="none"/>
        </w:rPr>
        <w:t>附件2.开标一览表格式</w:t>
      </w:r>
      <w:bookmarkEnd w:id="124"/>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shd w:val="clear"/>
        <w:rPr>
          <w:color w:val="auto"/>
          <w:highlight w:val="none"/>
        </w:rPr>
      </w:pPr>
    </w:p>
    <w:p>
      <w:pPr>
        <w:shd w:val="clear"/>
        <w:rPr>
          <w:rFonts w:ascii="宋体" w:hAnsi="宋体"/>
          <w:color w:val="auto"/>
          <w:szCs w:val="21"/>
          <w:highlight w:val="none"/>
        </w:rPr>
      </w:pPr>
      <w:r>
        <w:rPr>
          <w:rFonts w:hint="eastAsia" w:ascii="宋体" w:hAnsi="宋体"/>
          <w:color w:val="auto"/>
          <w:szCs w:val="21"/>
          <w:highlight w:val="none"/>
        </w:rPr>
        <w:t>投标人名称：</w:t>
      </w:r>
    </w:p>
    <w:p>
      <w:pPr>
        <w:shd w:val="clear"/>
        <w:rPr>
          <w:color w:val="auto"/>
          <w:highlight w:val="none"/>
        </w:rPr>
      </w:pPr>
      <w:r>
        <w:rPr>
          <w:rFonts w:hint="eastAsia" w:ascii="宋体" w:hAnsi="宋体"/>
          <w:color w:val="auto"/>
          <w:szCs w:val="21"/>
          <w:highlight w:val="none"/>
        </w:rPr>
        <w:t>采购项目编号：</w:t>
      </w:r>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334"/>
        <w:gridCol w:w="1080"/>
        <w:gridCol w:w="1740"/>
        <w:gridCol w:w="1275"/>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9" w:hRule="atLeast"/>
          <w:jc w:val="center"/>
        </w:trPr>
        <w:tc>
          <w:tcPr>
            <w:tcW w:w="1420"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334"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1080"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740" w:type="dxa"/>
            <w:shd w:val="clear" w:color="auto" w:fill="auto"/>
            <w:vAlign w:val="center"/>
          </w:tcPr>
          <w:p>
            <w:pPr>
              <w:shd w:val="clear"/>
              <w:spacing w:line="240" w:lineRule="auto"/>
              <w:jc w:val="center"/>
              <w:rPr>
                <w:rFonts w:hint="eastAsia" w:ascii="宋体" w:hAnsi="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交货期</w:t>
            </w:r>
          </w:p>
        </w:tc>
        <w:tc>
          <w:tcPr>
            <w:tcW w:w="1275" w:type="dxa"/>
            <w:shd w:val="clear" w:color="auto" w:fill="auto"/>
            <w:vAlign w:val="center"/>
          </w:tcPr>
          <w:p>
            <w:pPr>
              <w:shd w:val="clear"/>
              <w:spacing w:line="240" w:lineRule="auto"/>
              <w:jc w:val="center"/>
              <w:rPr>
                <w:rFonts w:hint="default" w:ascii="宋体" w:hAnsi="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品牌型号</w:t>
            </w:r>
          </w:p>
        </w:tc>
        <w:tc>
          <w:tcPr>
            <w:tcW w:w="673"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420" w:type="dxa"/>
            <w:vAlign w:val="center"/>
          </w:tcPr>
          <w:p>
            <w:pPr>
              <w:shd w:val="clear"/>
              <w:spacing w:line="240" w:lineRule="auto"/>
              <w:jc w:val="center"/>
              <w:rPr>
                <w:rFonts w:ascii="宋体" w:hAnsi="宋体" w:cs="宋体"/>
                <w:color w:val="auto"/>
                <w:szCs w:val="21"/>
                <w:highlight w:val="none"/>
              </w:rPr>
            </w:pPr>
          </w:p>
        </w:tc>
        <w:tc>
          <w:tcPr>
            <w:tcW w:w="2334" w:type="dxa"/>
            <w:vAlign w:val="center"/>
          </w:tcPr>
          <w:p>
            <w:pPr>
              <w:shd w:val="clear"/>
              <w:spacing w:line="240" w:lineRule="auto"/>
              <w:jc w:val="both"/>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pPr>
              <w:shd w:val="clear"/>
              <w:spacing w:line="24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080" w:type="dxa"/>
            <w:vAlign w:val="center"/>
          </w:tcPr>
          <w:p>
            <w:pPr>
              <w:pStyle w:val="67"/>
              <w:shd w:val="clear"/>
              <w:jc w:val="center"/>
              <w:rPr>
                <w:rFonts w:hAnsi="宋体"/>
                <w:color w:val="auto"/>
                <w:sz w:val="21"/>
                <w:szCs w:val="21"/>
                <w:highlight w:val="none"/>
              </w:rPr>
            </w:pPr>
          </w:p>
        </w:tc>
        <w:tc>
          <w:tcPr>
            <w:tcW w:w="1740" w:type="dxa"/>
            <w:vAlign w:val="center"/>
          </w:tcPr>
          <w:p>
            <w:pPr>
              <w:pStyle w:val="67"/>
              <w:shd w:val="clear"/>
              <w:jc w:val="center"/>
              <w:rPr>
                <w:rFonts w:hAnsi="宋体"/>
                <w:color w:val="auto"/>
                <w:sz w:val="21"/>
                <w:szCs w:val="21"/>
                <w:highlight w:val="none"/>
              </w:rPr>
            </w:pPr>
            <w:r>
              <w:rPr>
                <w:rFonts w:hint="eastAsia" w:hAnsi="宋体"/>
                <w:color w:val="auto"/>
                <w:sz w:val="21"/>
                <w:szCs w:val="21"/>
                <w:highlight w:val="none"/>
              </w:rPr>
              <w:t xml:space="preserve"> </w:t>
            </w:r>
          </w:p>
        </w:tc>
        <w:tc>
          <w:tcPr>
            <w:tcW w:w="1275" w:type="dxa"/>
            <w:vAlign w:val="center"/>
          </w:tcPr>
          <w:p>
            <w:pPr>
              <w:pStyle w:val="67"/>
              <w:shd w:val="clear"/>
              <w:jc w:val="center"/>
              <w:rPr>
                <w:rFonts w:hint="eastAsia" w:hAnsi="宋体"/>
                <w:color w:val="auto"/>
                <w:sz w:val="21"/>
                <w:szCs w:val="21"/>
                <w:highlight w:val="none"/>
              </w:rPr>
            </w:pPr>
          </w:p>
        </w:tc>
        <w:tc>
          <w:tcPr>
            <w:tcW w:w="673" w:type="dxa"/>
            <w:vAlign w:val="center"/>
          </w:tcPr>
          <w:p>
            <w:pPr>
              <w:pStyle w:val="67"/>
              <w:shd w:val="clear"/>
              <w:jc w:val="center"/>
              <w:rPr>
                <w:rFonts w:hAnsi="宋体"/>
                <w:color w:val="auto"/>
                <w:sz w:val="21"/>
                <w:szCs w:val="21"/>
                <w:highlight w:val="none"/>
              </w:rPr>
            </w:pPr>
          </w:p>
        </w:tc>
      </w:tr>
    </w:tbl>
    <w:p>
      <w:pPr>
        <w:shd w:val="clear"/>
        <w:rPr>
          <w:rFonts w:ascii="宋体" w:hAnsi="宋体"/>
          <w:color w:val="auto"/>
          <w:szCs w:val="21"/>
          <w:highlight w:val="none"/>
        </w:rPr>
      </w:pPr>
    </w:p>
    <w:p>
      <w:pPr>
        <w:shd w:val="clea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pPr>
        <w:shd w:val="clear"/>
        <w:ind w:firstLine="359" w:firstLineChars="171"/>
        <w:rPr>
          <w:rFonts w:ascii="宋体" w:hAnsi="宋体"/>
          <w:color w:val="auto"/>
          <w:szCs w:val="21"/>
          <w:highlight w:val="none"/>
        </w:rPr>
      </w:pPr>
      <w:r>
        <w:rPr>
          <w:rFonts w:hint="eastAsia" w:ascii="宋体" w:hAnsi="宋体"/>
          <w:color w:val="auto"/>
          <w:szCs w:val="21"/>
          <w:highlight w:val="none"/>
        </w:rPr>
        <w:t>投标人盖章：</w:t>
      </w:r>
    </w:p>
    <w:p>
      <w:pPr>
        <w:shd w:val="clear"/>
        <w:ind w:firstLine="359" w:firstLineChars="171"/>
        <w:rPr>
          <w:rFonts w:ascii="宋体" w:hAnsi="宋体"/>
          <w:color w:val="auto"/>
          <w:szCs w:val="21"/>
          <w:highlight w:val="none"/>
        </w:rPr>
      </w:pPr>
      <w:r>
        <w:rPr>
          <w:rFonts w:hint="eastAsia" w:ascii="宋体" w:hAnsi="宋体"/>
          <w:color w:val="auto"/>
          <w:szCs w:val="21"/>
          <w:highlight w:val="none"/>
        </w:rPr>
        <w:t>日期：</w:t>
      </w:r>
    </w:p>
    <w:p>
      <w:pPr>
        <w:shd w:val="clear"/>
        <w:ind w:firstLine="359" w:firstLineChars="171"/>
        <w:rPr>
          <w:rFonts w:ascii="宋体" w:hAnsi="宋体"/>
          <w:color w:val="auto"/>
          <w:szCs w:val="21"/>
          <w:highlight w:val="none"/>
        </w:rPr>
      </w:pPr>
    </w:p>
    <w:p>
      <w:pPr>
        <w:shd w:val="clear"/>
        <w:spacing w:line="240" w:lineRule="auto"/>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1、投标总价栏须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表示的投标总价</w:t>
      </w:r>
      <w:r>
        <w:rPr>
          <w:rFonts w:hint="eastAsia" w:ascii="宋体" w:hAnsi="宋体"/>
          <w:color w:val="auto"/>
          <w:szCs w:val="21"/>
          <w:highlight w:val="none"/>
        </w:rPr>
        <w:t>，报价保留小数点后两位。投标总价大小写不一致，以大写为准。投标总价必须准确唯一且应包含采购文件要求的所有费用。</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2、温馨提示：未按采购文件要求报价、填写开标一览表是导致投标人废标的常见问题，请投标人仔细填写，认真核对。</w:t>
      </w:r>
    </w:p>
    <w:p>
      <w:pPr>
        <w:shd w:val="clea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25" w:name="_Toc15040"/>
      <w:bookmarkStart w:id="126" w:name="_Toc93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.报价明细表格式</w:t>
      </w:r>
      <w:bookmarkEnd w:id="125"/>
      <w:bookmarkEnd w:id="126"/>
    </w:p>
    <w:p>
      <w:pPr>
        <w:shd w:val="clear"/>
        <w:jc w:val="center"/>
        <w:rPr>
          <w:rFonts w:ascii="黑体" w:eastAsia="黑体"/>
          <w:color w:val="auto"/>
          <w:sz w:val="32"/>
          <w:szCs w:val="32"/>
          <w:highlight w:val="none"/>
        </w:rPr>
      </w:pPr>
      <w:bookmarkStart w:id="127" w:name="_Toc31062"/>
      <w:bookmarkStart w:id="128" w:name="_Toc31172"/>
      <w:r>
        <w:rPr>
          <w:rFonts w:hint="eastAsia" w:ascii="黑体" w:eastAsia="黑体"/>
          <w:color w:val="auto"/>
          <w:sz w:val="32"/>
          <w:szCs w:val="32"/>
          <w:highlight w:val="none"/>
        </w:rPr>
        <w:t>报价明细表</w:t>
      </w:r>
      <w:bookmarkEnd w:id="127"/>
      <w:bookmarkEnd w:id="128"/>
    </w:p>
    <w:p>
      <w:pPr>
        <w:pStyle w:val="77"/>
        <w:shd w:val="clear"/>
        <w:spacing w:before="0" w:after="0"/>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36"/>
        <w:tblW w:w="8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992"/>
        <w:gridCol w:w="1230"/>
        <w:gridCol w:w="1005"/>
        <w:gridCol w:w="1110"/>
        <w:gridCol w:w="720"/>
        <w:gridCol w:w="9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82"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序号</w:t>
            </w:r>
          </w:p>
        </w:tc>
        <w:tc>
          <w:tcPr>
            <w:tcW w:w="1772"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名称</w:t>
            </w:r>
          </w:p>
        </w:tc>
        <w:tc>
          <w:tcPr>
            <w:tcW w:w="992"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品牌</w:t>
            </w: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规格型号</w:t>
            </w: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数量</w:t>
            </w: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单价</w:t>
            </w: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w:t>
            </w: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791" w:type="dxa"/>
            <w:gridSpan w:val="6"/>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合计总价</w:t>
            </w:r>
          </w:p>
        </w:tc>
        <w:tc>
          <w:tcPr>
            <w:tcW w:w="1635" w:type="dxa"/>
            <w:gridSpan w:val="2"/>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bl>
    <w:p>
      <w:pPr>
        <w:shd w:val="clear"/>
        <w:rPr>
          <w:rFonts w:ascii="宋体" w:hAnsi="宋体" w:cs="宋体"/>
          <w:b/>
          <w:color w:val="auto"/>
          <w:szCs w:val="21"/>
          <w:highlight w:val="none"/>
        </w:rPr>
      </w:pPr>
    </w:p>
    <w:p>
      <w:pPr>
        <w:shd w:val="clear"/>
        <w:rPr>
          <w:rFonts w:ascii="宋体" w:hAnsi="宋体"/>
          <w:color w:val="auto"/>
          <w:szCs w:val="21"/>
          <w:highlight w:val="none"/>
        </w:rPr>
      </w:pPr>
      <w:bookmarkStart w:id="129" w:name="_Toc12412"/>
    </w:p>
    <w:bookmarkEnd w:id="129"/>
    <w:p>
      <w:pPr>
        <w:shd w:val="clear"/>
        <w:rPr>
          <w:color w:val="auto"/>
          <w:sz w:val="52"/>
          <w:szCs w:val="52"/>
          <w:highlight w:val="none"/>
        </w:rPr>
      </w:pPr>
      <w:r>
        <w:rPr>
          <w:color w:val="auto"/>
          <w:sz w:val="52"/>
          <w:szCs w:val="52"/>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30" w:name="_Toc3273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.电梯配置表格式</w:t>
      </w:r>
      <w:bookmarkEnd w:id="130"/>
    </w:p>
    <w:p>
      <w:pPr>
        <w:shd w:val="clear"/>
        <w:jc w:val="center"/>
        <w:rPr>
          <w:rFonts w:hint="eastAsia" w:ascii="黑体" w:eastAsia="黑体"/>
          <w:color w:val="auto"/>
          <w:sz w:val="32"/>
          <w:szCs w:val="32"/>
          <w:highlight w:val="none"/>
        </w:rPr>
      </w:pPr>
      <w:r>
        <w:rPr>
          <w:rFonts w:hint="eastAsia" w:ascii="黑体" w:eastAsia="黑体"/>
          <w:color w:val="auto"/>
          <w:sz w:val="32"/>
          <w:szCs w:val="32"/>
          <w:highlight w:val="none"/>
        </w:rPr>
        <w:t>电梯配置表</w:t>
      </w:r>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734"/>
        <w:gridCol w:w="113"/>
        <w:gridCol w:w="726"/>
        <w:gridCol w:w="1288"/>
        <w:gridCol w:w="212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eastAsia="宋体"/>
                <w:b/>
                <w:bCs/>
                <w:color w:val="auto"/>
                <w:kern w:val="0"/>
                <w:sz w:val="21"/>
                <w:szCs w:val="21"/>
                <w:highlight w:val="none"/>
              </w:rPr>
            </w:pPr>
            <w:r>
              <w:rPr>
                <w:rFonts w:hint="eastAsia" w:ascii="Arial" w:hAnsi="Arial" w:eastAsia="宋体" w:cs="Arial"/>
                <w:b/>
                <w:color w:val="auto"/>
                <w:kern w:val="0"/>
                <w:sz w:val="21"/>
                <w:szCs w:val="21"/>
                <w:highlight w:val="none"/>
              </w:rPr>
              <w:t>基本规格</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梯号</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载重</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速度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提升高度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层数／站数／开门数</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曳引机</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机房类型</w:t>
            </w:r>
          </w:p>
        </w:tc>
        <w:tc>
          <w:tcPr>
            <w:tcW w:w="5557" w:type="dxa"/>
            <w:gridSpan w:val="3"/>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集选操作控制方式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电梯群控数量</w:t>
            </w:r>
          </w:p>
        </w:tc>
        <w:tc>
          <w:tcPr>
            <w:tcW w:w="5557" w:type="dxa"/>
            <w:gridSpan w:val="3"/>
            <w:vAlign w:val="center"/>
          </w:tcPr>
          <w:p>
            <w:pPr>
              <w:widowControl/>
              <w:shd w:val="clear"/>
              <w:ind w:left="105" w:hanging="105"/>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开门形式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入口数量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人机接口类型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前门楼层标记</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auto"/>
            <w:vAlign w:val="center"/>
          </w:tcPr>
          <w:p>
            <w:pPr>
              <w:widowControl/>
              <w:shd w:val="clear"/>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w:t>
            </w:r>
          </w:p>
        </w:tc>
        <w:tc>
          <w:tcPr>
            <w:tcW w:w="5557" w:type="dxa"/>
            <w:gridSpan w:val="3"/>
            <w:shd w:val="clear" w:color="auto" w:fill="auto"/>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轿厢及装潢</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轿厢规格</w:t>
            </w:r>
            <w:r>
              <w:rPr>
                <w:rFonts w:ascii="Arial" w:hAnsi="Arial" w:eastAsia="黑体" w:cs="Arial"/>
                <w:b/>
                <w:color w:val="auto"/>
                <w:kern w:val="0"/>
                <w:sz w:val="21"/>
                <w:szCs w:val="21"/>
                <w:highlight w:val="none"/>
              </w:rPr>
              <w:t>(</w:t>
            </w:r>
            <w:r>
              <w:rPr>
                <w:rFonts w:hint="eastAsia" w:ascii="宋体" w:hAnsi="宋体" w:eastAsia="宋体" w:cs="宋体"/>
                <w:b/>
                <w:color w:val="auto"/>
                <w:kern w:val="0"/>
                <w:sz w:val="21"/>
                <w:szCs w:val="21"/>
                <w:highlight w:val="none"/>
              </w:rPr>
              <w:t>宽</w:t>
            </w:r>
            <w:r>
              <w:rPr>
                <w:rFonts w:eastAsia="黑体" w:cs="Times New Roman"/>
                <w:b/>
                <w:color w:val="auto"/>
                <w:kern w:val="0"/>
                <w:sz w:val="21"/>
                <w:szCs w:val="21"/>
                <w:highlight w:val="none"/>
              </w:rPr>
              <w:t>×</w:t>
            </w:r>
            <w:r>
              <w:rPr>
                <w:rFonts w:hint="eastAsia" w:ascii="宋体" w:hAnsi="宋体" w:eastAsia="宋体" w:cs="宋体"/>
                <w:b/>
                <w:color w:val="auto"/>
                <w:kern w:val="0"/>
                <w:sz w:val="21"/>
                <w:szCs w:val="21"/>
                <w:highlight w:val="none"/>
              </w:rPr>
              <w:t>深</w:t>
            </w:r>
            <w:r>
              <w:rPr>
                <w:rFonts w:ascii="Arial" w:hAnsi="Arial" w:eastAsia="黑体" w:cs="Arial"/>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轿厢高（轿厢地面到结构顶内高度）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开门尺寸</w:t>
            </w:r>
            <w:r>
              <w:rPr>
                <w:rFonts w:ascii="Arial" w:hAnsi="Arial" w:eastAsia="黑体" w:cs="Arial"/>
                <w:b/>
                <w:color w:val="auto"/>
                <w:kern w:val="0"/>
                <w:sz w:val="21"/>
                <w:szCs w:val="21"/>
                <w:highlight w:val="none"/>
              </w:rPr>
              <w:t>(</w:t>
            </w:r>
            <w:r>
              <w:rPr>
                <w:rFonts w:hint="eastAsia" w:ascii="宋体" w:hAnsi="宋体" w:eastAsia="宋体" w:cs="宋体"/>
                <w:b/>
                <w:color w:val="auto"/>
                <w:kern w:val="0"/>
                <w:sz w:val="21"/>
                <w:szCs w:val="21"/>
                <w:highlight w:val="none"/>
              </w:rPr>
              <w:t>宽</w:t>
            </w:r>
            <w:r>
              <w:rPr>
                <w:rFonts w:eastAsia="黑体" w:cs="Times New Roman"/>
                <w:b/>
                <w:color w:val="auto"/>
                <w:kern w:val="0"/>
                <w:sz w:val="21"/>
                <w:szCs w:val="21"/>
                <w:highlight w:val="none"/>
              </w:rPr>
              <w:t>×</w:t>
            </w:r>
            <w:r>
              <w:rPr>
                <w:rFonts w:hint="eastAsia" w:ascii="宋体" w:hAnsi="宋体" w:eastAsia="宋体" w:cs="宋体"/>
                <w:b/>
                <w:color w:val="auto"/>
                <w:kern w:val="0"/>
                <w:sz w:val="21"/>
                <w:szCs w:val="21"/>
                <w:highlight w:val="none"/>
              </w:rPr>
              <w:t>高</w:t>
            </w:r>
            <w:r>
              <w:rPr>
                <w:rFonts w:ascii="Arial" w:hAnsi="Arial" w:eastAsia="黑体" w:cs="Arial"/>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门保护装置类型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轿厢整体装潢</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轿门材质</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前围壁</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侧围壁</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auto"/>
            <w:vAlign w:val="center"/>
          </w:tcPr>
          <w:p>
            <w:pPr>
              <w:widowControl/>
              <w:shd w:val="clear"/>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轿厢背面</w:t>
            </w:r>
          </w:p>
        </w:tc>
        <w:tc>
          <w:tcPr>
            <w:tcW w:w="5557" w:type="dxa"/>
            <w:gridSpan w:val="3"/>
            <w:shd w:val="clear" w:color="auto" w:fill="auto"/>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轿顶装潢</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地板类型／装饰／预留厚度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额外装修重量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操纵盘数量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操纵盘位置</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操纵盘面板材质</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主操纵盘显示器类型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操纵盘按钮类型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厅门及厅呼</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厅门材料／数量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门套材料／数量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门套类型／数量</w:t>
            </w:r>
          </w:p>
        </w:tc>
        <w:tc>
          <w:tcPr>
            <w:tcW w:w="5557" w:type="dxa"/>
            <w:gridSpan w:val="3"/>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前门厅外信号装置布置方式</w:t>
            </w:r>
            <w:r>
              <w:rPr>
                <w:rFonts w:ascii="Arial" w:hAnsi="Arial" w:eastAsia="黑体" w:cs="Arial"/>
                <w:b/>
                <w:color w:val="auto"/>
                <w:kern w:val="0"/>
                <w:sz w:val="21"/>
                <w:szCs w:val="21"/>
                <w:highlight w:val="none"/>
              </w:rPr>
              <w:t>/</w:t>
            </w:r>
            <w:r>
              <w:rPr>
                <w:rFonts w:hint="eastAsia" w:ascii="宋体" w:hAnsi="宋体" w:eastAsia="宋体" w:cs="宋体"/>
                <w:b/>
                <w:color w:val="auto"/>
                <w:kern w:val="0"/>
                <w:sz w:val="21"/>
                <w:szCs w:val="21"/>
                <w:highlight w:val="none"/>
              </w:rPr>
              <w:t>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前门厅门外呼装置类型／数量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前门外呼面板材质／数量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外呼按钮类型</w:t>
            </w:r>
          </w:p>
        </w:tc>
        <w:tc>
          <w:tcPr>
            <w:tcW w:w="5557" w:type="dxa"/>
            <w:gridSpan w:val="3"/>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井道及部件</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井道尺寸（宽</w:t>
            </w:r>
            <w:r>
              <w:rPr>
                <w:rFonts w:eastAsia="黑体" w:cs="Times New Roman"/>
                <w:b/>
                <w:color w:val="auto"/>
                <w:kern w:val="0"/>
                <w:sz w:val="21"/>
                <w:szCs w:val="21"/>
                <w:highlight w:val="none"/>
              </w:rPr>
              <w:t>×</w:t>
            </w:r>
            <w:r>
              <w:rPr>
                <w:rFonts w:hint="eastAsia" w:ascii="宋体" w:hAnsi="宋体" w:eastAsia="宋体" w:cs="宋体"/>
                <w:b/>
                <w:color w:val="auto"/>
                <w:kern w:val="0"/>
                <w:sz w:val="21"/>
                <w:szCs w:val="21"/>
                <w:highlight w:val="none"/>
              </w:rPr>
              <w:t>深）</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顶层高（</w:t>
            </w:r>
            <w:r>
              <w:rPr>
                <w:rFonts w:hint="eastAsia" w:ascii="Arial" w:hAnsi="Arial" w:eastAsia="黑体" w:cs="Arial"/>
                <w:b/>
                <w:color w:val="auto"/>
                <w:kern w:val="0"/>
                <w:sz w:val="21"/>
                <w:szCs w:val="21"/>
                <w:highlight w:val="none"/>
              </w:rPr>
              <w:t>K</w:t>
            </w:r>
            <w:r>
              <w:rPr>
                <w:rFonts w:hint="eastAsia" w:ascii="宋体" w:hAnsi="宋体" w:eastAsia="宋体" w:cs="宋体"/>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底坑深（</w:t>
            </w:r>
            <w:r>
              <w:rPr>
                <w:rFonts w:hint="eastAsia" w:ascii="Arial" w:hAnsi="Arial" w:eastAsia="黑体" w:cs="Arial"/>
                <w:b/>
                <w:color w:val="auto"/>
                <w:kern w:val="0"/>
                <w:sz w:val="21"/>
                <w:szCs w:val="21"/>
                <w:highlight w:val="none"/>
              </w:rPr>
              <w:t>S</w:t>
            </w:r>
            <w:r>
              <w:rPr>
                <w:rFonts w:hint="eastAsia" w:ascii="宋体" w:hAnsi="宋体" w:eastAsia="宋体" w:cs="宋体"/>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对重位置</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bottom"/>
          </w:tcPr>
          <w:p>
            <w:pPr>
              <w:widowControl/>
              <w:shd w:val="clear"/>
              <w:jc w:val="left"/>
              <w:rPr>
                <w:rFonts w:ascii="Arial" w:hAnsi="Arial" w:eastAsia="宋体" w:cs="Arial"/>
                <w:b/>
                <w:color w:val="auto"/>
                <w:kern w:val="0"/>
                <w:sz w:val="21"/>
                <w:szCs w:val="21"/>
                <w:highlight w:val="none"/>
              </w:rPr>
            </w:pPr>
            <w:r>
              <w:rPr>
                <w:rFonts w:hint="eastAsia" w:ascii="Arial" w:hAnsi="Arial" w:eastAsia="宋体" w:cs="Arial"/>
                <w:b/>
                <w:color w:val="auto"/>
                <w:kern w:val="0"/>
                <w:sz w:val="21"/>
                <w:szCs w:val="21"/>
                <w:highlight w:val="none"/>
              </w:rPr>
              <w:t>注：其它相关尺寸以布置图为准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39" w:type="dxa"/>
            <w:gridSpan w:val="3"/>
            <w:shd w:val="clear" w:color="auto" w:fill="333333"/>
            <w:vAlign w:val="center"/>
          </w:tcPr>
          <w:p>
            <w:pPr>
              <w:widowControl/>
              <w:shd w:val="clear"/>
              <w:jc w:val="left"/>
              <w:rPr>
                <w:rFonts w:ascii="黑体" w:hAnsi="Arial" w:eastAsia="黑体"/>
                <w:b/>
                <w:bCs/>
                <w:color w:val="auto"/>
                <w:kern w:val="0"/>
                <w:sz w:val="21"/>
                <w:szCs w:val="21"/>
                <w:highlight w:val="none"/>
              </w:rPr>
            </w:pPr>
            <w:r>
              <w:rPr>
                <w:rFonts w:hint="eastAsia" w:ascii="宋体" w:hAnsi="宋体" w:eastAsia="宋体" w:cs="宋体"/>
                <w:b/>
                <w:bCs/>
                <w:color w:val="auto"/>
                <w:kern w:val="0"/>
                <w:sz w:val="21"/>
                <w:szCs w:val="21"/>
                <w:highlight w:val="none"/>
              </w:rPr>
              <w:t>标准功能</w:t>
            </w:r>
          </w:p>
        </w:tc>
        <w:tc>
          <w:tcPr>
            <w:tcW w:w="6283" w:type="dxa"/>
            <w:gridSpan w:val="4"/>
            <w:vAlign w:val="center"/>
          </w:tcPr>
          <w:p>
            <w:pPr>
              <w:widowControl/>
              <w:shd w:val="clear"/>
              <w:jc w:val="left"/>
              <w:rPr>
                <w:rFonts w:ascii="Arial" w:hAnsi="Arial" w:eastAsia="宋体" w:cs="Arial"/>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6"/>
          <w:wAfter w:w="7130" w:type="dxa"/>
          <w:trHeight w:val="283" w:hRule="atLeast"/>
          <w:jc w:val="center"/>
        </w:trPr>
        <w:tc>
          <w:tcPr>
            <w:tcW w:w="1392" w:type="dxa"/>
            <w:shd w:val="clear" w:color="auto" w:fill="262626"/>
            <w:vAlign w:val="center"/>
          </w:tcPr>
          <w:p>
            <w:pPr>
              <w:widowControl/>
              <w:shd w:val="clear"/>
              <w:jc w:val="left"/>
              <w:rPr>
                <w:rFonts w:ascii="黑体" w:hAnsi="Arial" w:eastAsia="黑体" w:cs="Arial"/>
                <w:b/>
                <w:bCs/>
                <w:color w:val="auto"/>
                <w:kern w:val="0"/>
                <w:sz w:val="21"/>
                <w:szCs w:val="21"/>
                <w:highlight w:val="none"/>
              </w:rPr>
            </w:pPr>
            <w:r>
              <w:rPr>
                <w:rFonts w:hint="eastAsia" w:ascii="Arial" w:hAnsi="Arial" w:eastAsia="宋体" w:cs="Arial"/>
                <w:b/>
                <w:color w:val="auto"/>
                <w:kern w:val="0"/>
                <w:sz w:val="21"/>
                <w:szCs w:val="21"/>
                <w:highlight w:val="none"/>
              </w:rPr>
              <w:t>选项功能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333333"/>
            <w:vAlign w:val="center"/>
          </w:tcPr>
          <w:p>
            <w:pPr>
              <w:widowControl/>
              <w:shd w:val="clear"/>
              <w:jc w:val="left"/>
              <w:rPr>
                <w:rFonts w:ascii="Arial" w:hAnsi="Arial" w:eastAsia="宋体" w:cs="Arial"/>
                <w:color w:val="auto"/>
                <w:kern w:val="0"/>
                <w:sz w:val="21"/>
                <w:szCs w:val="21"/>
                <w:highlight w:val="none"/>
              </w:rPr>
            </w:pPr>
            <w:r>
              <w:rPr>
                <w:rFonts w:hint="eastAsia" w:ascii="Arial" w:hAnsi="Arial" w:eastAsia="宋体" w:cs="Arial"/>
                <w:b/>
                <w:color w:val="auto"/>
                <w:kern w:val="0"/>
                <w:sz w:val="21"/>
                <w:szCs w:val="21"/>
                <w:highlight w:val="none"/>
              </w:rPr>
              <w:t>CBO非标项：</w:t>
            </w:r>
          </w:p>
        </w:tc>
        <w:tc>
          <w:tcPr>
            <w:tcW w:w="5557" w:type="dxa"/>
            <w:gridSpan w:val="3"/>
            <w:vAlign w:val="center"/>
          </w:tcPr>
          <w:p>
            <w:pPr>
              <w:widowControl/>
              <w:shd w:val="clear"/>
              <w:jc w:val="left"/>
              <w:rPr>
                <w:rFonts w:ascii="Arial" w:hAnsi="Arial" w:eastAsia="宋体" w:cs="Arial"/>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333333"/>
            <w:vAlign w:val="center"/>
          </w:tcPr>
          <w:p>
            <w:pPr>
              <w:widowControl/>
              <w:shd w:val="clear"/>
              <w:jc w:val="left"/>
              <w:rPr>
                <w:rFonts w:ascii="Arial" w:hAnsi="Arial" w:eastAsia="宋体" w:cs="Arial"/>
                <w:color w:val="auto"/>
                <w:kern w:val="0"/>
                <w:sz w:val="21"/>
                <w:szCs w:val="21"/>
                <w:highlight w:val="none"/>
              </w:rPr>
            </w:pPr>
            <w:r>
              <w:rPr>
                <w:rFonts w:hint="eastAsia" w:ascii="Arial" w:hAnsi="Arial" w:eastAsia="宋体" w:cs="Arial"/>
                <w:b/>
                <w:color w:val="auto"/>
                <w:kern w:val="0"/>
                <w:sz w:val="21"/>
                <w:szCs w:val="21"/>
                <w:highlight w:val="none"/>
              </w:rPr>
              <w:t>其它非标说明：</w:t>
            </w:r>
          </w:p>
        </w:tc>
        <w:tc>
          <w:tcPr>
            <w:tcW w:w="5557" w:type="dxa"/>
            <w:gridSpan w:val="3"/>
            <w:vAlign w:val="center"/>
          </w:tcPr>
          <w:p>
            <w:pPr>
              <w:widowControl/>
              <w:shd w:val="clear"/>
              <w:jc w:val="left"/>
              <w:rPr>
                <w:rFonts w:ascii="Arial" w:hAnsi="Arial" w:eastAsia="宋体" w:cs="Arial"/>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333333"/>
            <w:vAlign w:val="center"/>
          </w:tcPr>
          <w:p>
            <w:pPr>
              <w:widowControl/>
              <w:shd w:val="clear"/>
              <w:jc w:val="left"/>
              <w:rPr>
                <w:rFonts w:ascii="Arial" w:hAnsi="Arial" w:eastAsia="宋体" w:cs="Arial"/>
                <w:b/>
                <w:color w:val="auto"/>
                <w:kern w:val="0"/>
                <w:sz w:val="21"/>
                <w:szCs w:val="21"/>
                <w:highlight w:val="none"/>
              </w:rPr>
            </w:pPr>
            <w:r>
              <w:rPr>
                <w:rFonts w:hint="eastAsia" w:ascii="Arial" w:hAnsi="Arial" w:eastAsia="宋体" w:cs="Arial"/>
                <w:b/>
                <w:color w:val="auto"/>
                <w:kern w:val="0"/>
                <w:sz w:val="21"/>
                <w:szCs w:val="21"/>
                <w:highlight w:val="none"/>
              </w:rPr>
              <w:t>钢带及钢带检测装置维保特别说明</w:t>
            </w:r>
          </w:p>
        </w:tc>
        <w:tc>
          <w:tcPr>
            <w:tcW w:w="5557" w:type="dxa"/>
            <w:gridSpan w:val="3"/>
            <w:vAlign w:val="center"/>
          </w:tcPr>
          <w:p>
            <w:pPr>
              <w:widowControl/>
              <w:shd w:val="clear"/>
              <w:jc w:val="left"/>
              <w:rPr>
                <w:rFonts w:ascii="Arial" w:hAnsi="Arial" w:eastAsia="宋体" w:cs="Arial"/>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Arial" w:hAnsi="Arial" w:eastAsia="宋体" w:cs="Arial"/>
                <w:color w:val="auto"/>
                <w:kern w:val="0"/>
                <w:sz w:val="21"/>
                <w:szCs w:val="21"/>
                <w:highlight w:val="none"/>
              </w:rPr>
            </w:pPr>
          </w:p>
        </w:tc>
      </w:tr>
    </w:tbl>
    <w:p>
      <w:pPr>
        <w:shd w:val="clear"/>
        <w:jc w:val="both"/>
        <w:rPr>
          <w:color w:val="auto"/>
          <w:sz w:val="52"/>
          <w:szCs w:val="52"/>
          <w:highlight w:val="none"/>
        </w:rPr>
      </w:pPr>
      <w:r>
        <w:rPr>
          <w:color w:val="auto"/>
          <w:sz w:val="52"/>
          <w:szCs w:val="52"/>
          <w:highlight w:val="none"/>
        </w:rPr>
        <w:br w:type="page"/>
      </w:r>
    </w:p>
    <w:p>
      <w:pPr>
        <w:shd w:val="clear"/>
        <w:spacing w:before="0" w:after="0" w:line="360" w:lineRule="auto"/>
        <w:jc w:val="center"/>
        <w:outlineLvl w:val="9"/>
        <w:rPr>
          <w:rFonts w:hint="eastAsia"/>
          <w:color w:val="auto"/>
          <w:sz w:val="72"/>
          <w:szCs w:val="72"/>
          <w:highlight w:val="none"/>
        </w:rPr>
      </w:pPr>
    </w:p>
    <w:p>
      <w:pPr>
        <w:shd w:val="clear"/>
        <w:spacing w:before="0" w:after="0" w:line="360" w:lineRule="auto"/>
        <w:jc w:val="center"/>
        <w:outlineLvl w:val="9"/>
        <w:rPr>
          <w:rFonts w:hint="eastAsia"/>
          <w:color w:val="auto"/>
          <w:sz w:val="72"/>
          <w:szCs w:val="72"/>
          <w:highlight w:val="none"/>
        </w:rPr>
      </w:pPr>
    </w:p>
    <w:p>
      <w:pPr>
        <w:shd w:val="clear"/>
        <w:spacing w:before="0" w:after="0" w:line="360" w:lineRule="auto"/>
        <w:jc w:val="center"/>
        <w:outlineLvl w:val="9"/>
        <w:rPr>
          <w:rFonts w:hint="eastAsia"/>
          <w:color w:val="auto"/>
          <w:sz w:val="72"/>
          <w:szCs w:val="72"/>
          <w:highlight w:val="none"/>
        </w:rPr>
      </w:pPr>
    </w:p>
    <w:p>
      <w:pPr>
        <w:pStyle w:val="6"/>
        <w:shd w:val="clear"/>
        <w:spacing w:before="0" w:after="0" w:line="360" w:lineRule="auto"/>
        <w:jc w:val="center"/>
        <w:rPr>
          <w:color w:val="auto"/>
          <w:sz w:val="72"/>
          <w:szCs w:val="72"/>
          <w:highlight w:val="none"/>
        </w:rPr>
      </w:pPr>
      <w:bookmarkStart w:id="131" w:name="_Toc1051"/>
      <w:r>
        <w:rPr>
          <w:rFonts w:hint="eastAsia"/>
          <w:color w:val="auto"/>
          <w:sz w:val="72"/>
          <w:szCs w:val="72"/>
          <w:highlight w:val="none"/>
        </w:rPr>
        <w:t>商务文件</w:t>
      </w:r>
      <w:bookmarkEnd w:id="131"/>
    </w:p>
    <w:p>
      <w:pPr>
        <w:shd w:val="clea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shd w:val="clear"/>
        <w:rPr>
          <w:color w:val="auto"/>
          <w:highlight w:val="none"/>
        </w:rPr>
      </w:pPr>
    </w:p>
    <w:p>
      <w:pPr>
        <w:pStyle w:val="2"/>
        <w:shd w:val="clear"/>
        <w:rPr>
          <w:color w:val="auto"/>
          <w:highlight w:val="none"/>
        </w:rPr>
      </w:pPr>
    </w:p>
    <w:p>
      <w:pPr>
        <w:shd w:val="clear"/>
        <w:ind w:firstLine="240"/>
        <w:rPr>
          <w:color w:val="auto"/>
          <w:highlight w:val="none"/>
        </w:rPr>
      </w:pPr>
    </w:p>
    <w:p>
      <w:pPr>
        <w:shd w:val="clear"/>
        <w:rPr>
          <w:rFonts w:hint="eastAsia" w:ascii="宋体" w:hAnsi="宋体" w:cs="宋体"/>
          <w:b/>
          <w:bCs/>
          <w:color w:val="auto"/>
          <w:spacing w:val="106"/>
          <w:kern w:val="0"/>
          <w:sz w:val="32"/>
          <w:szCs w:val="32"/>
          <w:highlight w:val="none"/>
          <w:fitText w:val="1600" w:id="5"/>
        </w:rPr>
      </w:pPr>
      <w:r>
        <w:rPr>
          <w:rFonts w:hint="eastAsia" w:ascii="宋体" w:hAnsi="宋体" w:cs="宋体"/>
          <w:b/>
          <w:bCs/>
          <w:color w:val="auto"/>
          <w:spacing w:val="0"/>
          <w:kern w:val="0"/>
          <w:sz w:val="32"/>
          <w:szCs w:val="32"/>
          <w:highlight w:val="none"/>
          <w:fitText w:val="1600" w:id="5"/>
        </w:rPr>
        <w:t>项目名称：</w:t>
      </w:r>
    </w:p>
    <w:p>
      <w:pPr>
        <w:shd w:val="clear"/>
        <w:rPr>
          <w:rFonts w:hint="eastAsia" w:ascii="宋体" w:hAnsi="宋体" w:cs="宋体"/>
          <w:b/>
          <w:bCs/>
          <w:color w:val="auto"/>
          <w:spacing w:val="106"/>
          <w:kern w:val="0"/>
          <w:sz w:val="32"/>
          <w:szCs w:val="32"/>
          <w:highlight w:val="none"/>
          <w:fitText w:val="1600" w:id="6"/>
        </w:rPr>
      </w:pPr>
      <w:r>
        <w:rPr>
          <w:rFonts w:hint="eastAsia" w:ascii="宋体" w:hAnsi="宋体" w:cs="宋体"/>
          <w:b/>
          <w:bCs/>
          <w:color w:val="auto"/>
          <w:spacing w:val="0"/>
          <w:kern w:val="0"/>
          <w:sz w:val="32"/>
          <w:szCs w:val="32"/>
          <w:highlight w:val="none"/>
          <w:fitText w:val="1600" w:id="6"/>
        </w:rPr>
        <w:t>项目编号：</w:t>
      </w:r>
    </w:p>
    <w:p>
      <w:pPr>
        <w:shd w:val="clear"/>
        <w:rPr>
          <w:rFonts w:hint="eastAsia" w:ascii="宋体" w:hAnsi="宋体" w:cs="宋体"/>
          <w:b/>
          <w:bCs/>
          <w:color w:val="auto"/>
          <w:spacing w:val="106"/>
          <w:kern w:val="0"/>
          <w:sz w:val="32"/>
          <w:szCs w:val="32"/>
          <w:highlight w:val="none"/>
          <w:fitText w:val="1600" w:id="7"/>
        </w:rPr>
      </w:pPr>
      <w:r>
        <w:rPr>
          <w:rFonts w:hint="eastAsia" w:ascii="宋体" w:hAnsi="宋体" w:cs="宋体"/>
          <w:b/>
          <w:bCs/>
          <w:color w:val="auto"/>
          <w:spacing w:val="1"/>
          <w:w w:val="62"/>
          <w:kern w:val="0"/>
          <w:sz w:val="32"/>
          <w:szCs w:val="32"/>
          <w:highlight w:val="none"/>
          <w:fitText w:val="1600" w:id="7"/>
          <w:lang w:val="en-US"/>
        </w:rPr>
        <w:t>包组号（如有）</w:t>
      </w:r>
      <w:r>
        <w:rPr>
          <w:rFonts w:hint="eastAsia" w:ascii="宋体" w:hAnsi="宋体" w:cs="宋体"/>
          <w:b/>
          <w:bCs/>
          <w:color w:val="auto"/>
          <w:spacing w:val="4"/>
          <w:w w:val="62"/>
          <w:kern w:val="0"/>
          <w:sz w:val="32"/>
          <w:szCs w:val="32"/>
          <w:highlight w:val="none"/>
          <w:fitText w:val="1600" w:id="7"/>
          <w:lang w:val="en-US"/>
        </w:rPr>
        <w:t>：</w:t>
      </w:r>
    </w:p>
    <w:p>
      <w:pPr>
        <w:shd w:val="clear"/>
        <w:rPr>
          <w:rFonts w:hint="eastAsia" w:ascii="宋体" w:hAnsi="宋体" w:cs="宋体"/>
          <w:b/>
          <w:bCs/>
          <w:color w:val="auto"/>
          <w:spacing w:val="106"/>
          <w:kern w:val="0"/>
          <w:sz w:val="32"/>
          <w:szCs w:val="32"/>
          <w:highlight w:val="none"/>
          <w:fitText w:val="1600" w:id="8"/>
        </w:rPr>
      </w:pPr>
      <w:r>
        <w:rPr>
          <w:rFonts w:hint="eastAsia" w:ascii="宋体" w:hAnsi="宋体" w:cs="宋体"/>
          <w:b/>
          <w:bCs/>
          <w:color w:val="auto"/>
          <w:spacing w:val="0"/>
          <w:w w:val="83"/>
          <w:kern w:val="0"/>
          <w:sz w:val="32"/>
          <w:szCs w:val="32"/>
          <w:highlight w:val="none"/>
          <w:fitText w:val="1600" w:id="8"/>
        </w:rPr>
        <w:t>投标人名称：</w:t>
      </w:r>
    </w:p>
    <w:p>
      <w:pPr>
        <w:shd w:val="clear"/>
        <w:rPr>
          <w:rFonts w:hint="eastAsia" w:ascii="宋体" w:hAnsi="宋体" w:cs="宋体"/>
          <w:b/>
          <w:bCs/>
          <w:color w:val="auto"/>
          <w:spacing w:val="106"/>
          <w:kern w:val="0"/>
          <w:sz w:val="32"/>
          <w:szCs w:val="32"/>
          <w:highlight w:val="none"/>
          <w:fitText w:val="1600" w:id="9"/>
        </w:rPr>
      </w:pPr>
      <w:r>
        <w:rPr>
          <w:rFonts w:hint="eastAsia" w:ascii="宋体" w:hAnsi="宋体" w:cs="宋体"/>
          <w:b/>
          <w:bCs/>
          <w:color w:val="auto"/>
          <w:spacing w:val="0"/>
          <w:kern w:val="0"/>
          <w:sz w:val="32"/>
          <w:szCs w:val="32"/>
          <w:highlight w:val="none"/>
          <w:fitText w:val="1600" w:id="9"/>
        </w:rPr>
        <w:t>日    期：</w:t>
      </w:r>
    </w:p>
    <w:p>
      <w:pPr>
        <w:pStyle w:val="2"/>
        <w:shd w:val="clear"/>
        <w:rPr>
          <w:b/>
          <w:color w:val="auto"/>
          <w:sz w:val="32"/>
          <w:szCs w:val="32"/>
          <w:highlight w:val="none"/>
        </w:rPr>
      </w:pPr>
    </w:p>
    <w:p>
      <w:pPr>
        <w:shd w:val="clear"/>
        <w:ind w:firstLine="321"/>
        <w:rPr>
          <w:b/>
          <w:color w:val="auto"/>
          <w:sz w:val="32"/>
          <w:szCs w:val="32"/>
          <w:highlight w:val="none"/>
        </w:rPr>
      </w:pPr>
    </w:p>
    <w:p>
      <w:pPr>
        <w:pStyle w:val="25"/>
        <w:shd w:val="clear"/>
        <w:rPr>
          <w:rFonts w:ascii="宋体" w:hAnsi="宋体" w:cs="宋体"/>
          <w:b/>
          <w:color w:val="auto"/>
          <w:sz w:val="32"/>
          <w:szCs w:val="32"/>
          <w:highlight w:val="none"/>
        </w:rPr>
      </w:pPr>
    </w:p>
    <w:p>
      <w:pPr>
        <w:shd w:val="clear"/>
        <w:rPr>
          <w:rFonts w:ascii="宋体" w:hAnsi="宋体"/>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color w:val="auto"/>
          <w:highlight w:val="none"/>
        </w:rPr>
      </w:pPr>
      <w:bookmarkStart w:id="132" w:name="_Toc2112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.投标书格式</w:t>
      </w:r>
      <w:bookmarkEnd w:id="132"/>
    </w:p>
    <w:p>
      <w:pPr>
        <w:shd w:val="clear"/>
        <w:jc w:val="center"/>
        <w:rPr>
          <w:rFonts w:ascii="宋体" w:hAnsi="宋体"/>
          <w:color w:val="auto"/>
          <w:szCs w:val="21"/>
          <w:highlight w:val="none"/>
        </w:rPr>
      </w:pPr>
      <w:r>
        <w:rPr>
          <w:rFonts w:hint="eastAsia" w:ascii="黑体" w:eastAsia="黑体"/>
          <w:color w:val="auto"/>
          <w:sz w:val="32"/>
          <w:szCs w:val="32"/>
          <w:highlight w:val="none"/>
        </w:rPr>
        <w:t>投标书</w:t>
      </w:r>
    </w:p>
    <w:p>
      <w:pPr>
        <w:shd w:val="clea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hd w:val="clear"/>
        <w:rPr>
          <w:rFonts w:ascii="宋体" w:hAnsi="宋体"/>
          <w:color w:val="auto"/>
          <w:szCs w:val="21"/>
          <w:highlight w:val="none"/>
        </w:rPr>
      </w:pPr>
    </w:p>
    <w:p>
      <w:pPr>
        <w:shd w:val="clea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pPr>
        <w:widowControl w:val="0"/>
        <w:numPr>
          <w:ilvl w:val="0"/>
          <w:numId w:val="7"/>
        </w:numPr>
        <w:shd w:val="clea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pPr>
        <w:shd w:val="clear"/>
        <w:rPr>
          <w:rFonts w:ascii="宋体" w:hAnsi="宋体"/>
          <w:color w:val="auto"/>
          <w:szCs w:val="21"/>
          <w:highlight w:val="none"/>
        </w:rPr>
      </w:pPr>
      <w:r>
        <w:rPr>
          <w:rFonts w:hint="eastAsia" w:ascii="宋体" w:hAnsi="宋体"/>
          <w:color w:val="auto"/>
          <w:szCs w:val="21"/>
          <w:highlight w:val="none"/>
        </w:rPr>
        <w:t>地址：　　　　　　　　　　　　　　　电子邮箱：　　　　</w:t>
      </w:r>
    </w:p>
    <w:p>
      <w:pPr>
        <w:shd w:val="clear"/>
        <w:rPr>
          <w:rFonts w:ascii="宋体" w:hAnsi="宋体"/>
          <w:color w:val="auto"/>
          <w:szCs w:val="21"/>
          <w:highlight w:val="none"/>
        </w:rPr>
      </w:pPr>
      <w:r>
        <w:rPr>
          <w:rFonts w:hint="eastAsia" w:ascii="宋体" w:hAnsi="宋体"/>
          <w:color w:val="auto"/>
          <w:szCs w:val="21"/>
          <w:highlight w:val="none"/>
        </w:rPr>
        <w:t>电话/移动电话：</w:t>
      </w:r>
    </w:p>
    <w:p>
      <w:pPr>
        <w:shd w:val="clea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pPr>
        <w:shd w:val="clear"/>
        <w:rPr>
          <w:rFonts w:ascii="宋体" w:hAnsi="宋体"/>
          <w:color w:val="auto"/>
          <w:szCs w:val="21"/>
          <w:highlight w:val="none"/>
        </w:rPr>
      </w:pPr>
      <w:r>
        <w:rPr>
          <w:rFonts w:hint="eastAsia" w:ascii="宋体" w:hAnsi="宋体"/>
          <w:color w:val="auto"/>
          <w:szCs w:val="21"/>
          <w:highlight w:val="none"/>
        </w:rPr>
        <w:t xml:space="preserve">投标人名称（全称）： </w:t>
      </w:r>
    </w:p>
    <w:p>
      <w:pPr>
        <w:shd w:val="clear"/>
        <w:rPr>
          <w:rFonts w:ascii="宋体" w:hAnsi="宋体"/>
          <w:color w:val="auto"/>
          <w:szCs w:val="21"/>
          <w:highlight w:val="none"/>
        </w:rPr>
      </w:pPr>
      <w:r>
        <w:rPr>
          <w:rFonts w:hint="eastAsia" w:ascii="宋体" w:hAnsi="宋体"/>
          <w:color w:val="auto"/>
          <w:szCs w:val="21"/>
          <w:highlight w:val="none"/>
        </w:rPr>
        <w:t xml:space="preserve">投标人盖章： </w:t>
      </w:r>
    </w:p>
    <w:p>
      <w:pPr>
        <w:shd w:val="clear"/>
        <w:rPr>
          <w:color w:val="auto"/>
          <w:highlight w:val="none"/>
        </w:rPr>
      </w:pPr>
      <w:r>
        <w:rPr>
          <w:rFonts w:hint="eastAsia" w:ascii="宋体" w:hAnsi="宋体"/>
          <w:color w:val="auto"/>
          <w:szCs w:val="21"/>
          <w:highlight w:val="none"/>
        </w:rPr>
        <w:t>日期：</w:t>
      </w:r>
      <w:r>
        <w:rPr>
          <w:color w:val="auto"/>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33" w:name="_Toc516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.法定代表人证明书格式</w:t>
      </w:r>
      <w:bookmarkEnd w:id="133"/>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6"/>
        <w:shd w:val="clear"/>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hd w:val="clear"/>
        <w:spacing w:line="420" w:lineRule="atLeast"/>
        <w:ind w:firstLine="433"/>
        <w:rPr>
          <w:rFonts w:ascii="宋体" w:eastAsia="宋体"/>
          <w:color w:val="auto"/>
          <w:sz w:val="21"/>
          <w:szCs w:val="21"/>
          <w:highlight w:val="none"/>
        </w:rPr>
      </w:pPr>
    </w:p>
    <w:p>
      <w:pPr>
        <w:pStyle w:val="46"/>
        <w:shd w:val="clear"/>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46"/>
        <w:shd w:val="clear"/>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6"/>
        <w:shd w:val="clear"/>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日</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职务：</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（投标人名称）的法定代表人。</w:t>
      </w:r>
    </w:p>
    <w:p>
      <w:pPr>
        <w:shd w:val="clea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6"/>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6"/>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shd w:val="clear"/>
        <w:ind w:firstLine="420" w:firstLineChars="200"/>
        <w:rPr>
          <w:rFonts w:ascii="宋体" w:hAnsi="宋体"/>
          <w:color w:val="auto"/>
          <w:szCs w:val="21"/>
          <w:highlight w:val="none"/>
        </w:rPr>
      </w:pPr>
    </w:p>
    <w:p>
      <w:pPr>
        <w:shd w:val="clea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6"/>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PrEx>
        <w:trPr>
          <w:trHeight w:val="2517" w:hRule="atLeast"/>
          <w:jc w:val="center"/>
        </w:trPr>
        <w:tc>
          <w:tcPr>
            <w:tcW w:w="418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shd w:val="clear"/>
        <w:rPr>
          <w:color w:val="auto"/>
          <w:highlight w:val="none"/>
        </w:rPr>
      </w:pPr>
    </w:p>
    <w:p>
      <w:pPr>
        <w:shd w:val="clea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8"/>
        <w:widowControl w:val="0"/>
        <w:shd w:val="clear"/>
        <w:overflowPunct w:val="0"/>
        <w:spacing w:line="240" w:lineRule="auto"/>
        <w:rPr>
          <w:color w:val="auto"/>
          <w:highlight w:val="none"/>
        </w:rPr>
      </w:pPr>
      <w:bookmarkStart w:id="134" w:name="_Toc1995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.法定代表人授权书格式</w:t>
      </w:r>
      <w:bookmarkEnd w:id="134"/>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6"/>
        <w:shd w:val="clear"/>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hd w:val="clear"/>
        <w:spacing w:line="420" w:lineRule="atLeast"/>
        <w:ind w:firstLine="433"/>
        <w:rPr>
          <w:rFonts w:ascii="宋体" w:eastAsia="宋体"/>
          <w:color w:val="auto"/>
          <w:sz w:val="21"/>
          <w:szCs w:val="21"/>
          <w:highlight w:val="none"/>
        </w:rPr>
      </w:pPr>
    </w:p>
    <w:p>
      <w:pPr>
        <w:shd w:val="clea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pPr>
        <w:shd w:val="clea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6"/>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6"/>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6"/>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6"/>
        <w:shd w:val="clear"/>
        <w:spacing w:line="460" w:lineRule="exact"/>
        <w:ind w:firstLine="433"/>
        <w:rPr>
          <w:rFonts w:ascii="宋体" w:eastAsia="宋体"/>
          <w:color w:val="auto"/>
          <w:sz w:val="21"/>
          <w:szCs w:val="21"/>
          <w:highlight w:val="none"/>
        </w:rPr>
      </w:pPr>
    </w:p>
    <w:p>
      <w:pPr>
        <w:shd w:val="clear"/>
        <w:ind w:firstLine="420" w:firstLineChars="200"/>
        <w:rPr>
          <w:color w:val="auto"/>
          <w:highlight w:val="none"/>
        </w:rPr>
      </w:pPr>
      <w:r>
        <w:rPr>
          <w:rFonts w:hint="eastAsia" w:ascii="宋体" w:hAnsi="宋体"/>
          <w:color w:val="auto"/>
          <w:szCs w:val="21"/>
          <w:highlight w:val="none"/>
        </w:rPr>
        <w:t>须附：被授权人身份证复印件。</w:t>
      </w:r>
    </w:p>
    <w:tbl>
      <w:tblPr>
        <w:tblStyle w:val="36"/>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PrEx>
        <w:trPr>
          <w:trHeight w:val="2661" w:hRule="atLeast"/>
          <w:jc w:val="center"/>
        </w:trPr>
        <w:tc>
          <w:tcPr>
            <w:tcW w:w="423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shd w:val="clear"/>
        <w:adjustRightInd/>
        <w:snapToGrid/>
        <w:spacing w:line="276" w:lineRule="auto"/>
        <w:rPr>
          <w:color w:val="auto"/>
          <w:highlight w:val="none"/>
        </w:rPr>
      </w:pPr>
      <w:bookmarkStart w:id="135" w:name="_Toc22486"/>
      <w:r>
        <w:rPr>
          <w:rFonts w:hint="eastAsia" w:ascii="宋体" w:hAnsi="宋体"/>
          <w:color w:val="auto"/>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36" w:name="_Toc2150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.资格申明</w:t>
      </w:r>
      <w:bookmarkEnd w:id="136"/>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6"/>
        <w:shd w:val="clear"/>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广西同泽工程项目管理股份有限公司</w:t>
      </w:r>
      <w:r>
        <w:rPr>
          <w:rFonts w:hint="eastAsia" w:ascii="宋体" w:eastAsia="宋体"/>
          <w:color w:val="auto"/>
          <w:sz w:val="21"/>
          <w:szCs w:val="21"/>
          <w:highlight w:val="none"/>
        </w:rPr>
        <w:t>：</w:t>
      </w:r>
    </w:p>
    <w:p>
      <w:pPr>
        <w:shd w:val="clear"/>
        <w:ind w:firstLine="420" w:firstLineChars="200"/>
        <w:rPr>
          <w:rFonts w:ascii="宋体" w:hAnsi="宋体"/>
          <w:color w:val="auto"/>
          <w:szCs w:val="21"/>
          <w:highlight w:val="none"/>
        </w:rPr>
      </w:pPr>
    </w:p>
    <w:p>
      <w:pPr>
        <w:shd w:val="clea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37" w:name="_Toc2270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.营业执照</w:t>
      </w:r>
      <w:bookmarkEnd w:id="137"/>
    </w:p>
    <w:p>
      <w:pPr>
        <w:shd w:val="clear"/>
        <w:jc w:val="center"/>
        <w:rPr>
          <w:rFonts w:ascii="黑体" w:eastAsia="黑体"/>
          <w:color w:val="auto"/>
          <w:sz w:val="28"/>
          <w:szCs w:val="28"/>
          <w:highlight w:val="none"/>
        </w:rPr>
      </w:pPr>
      <w:bookmarkStart w:id="138" w:name="_Toc5919"/>
      <w:bookmarkStart w:id="139" w:name="_Toc4926"/>
      <w:bookmarkStart w:id="140" w:name="_Toc1511"/>
      <w:bookmarkStart w:id="141" w:name="_Toc24210"/>
      <w:bookmarkStart w:id="142" w:name="_Toc17470"/>
      <w:r>
        <w:rPr>
          <w:rFonts w:hint="eastAsia" w:ascii="黑体" w:eastAsia="黑体"/>
          <w:color w:val="auto"/>
          <w:sz w:val="28"/>
          <w:szCs w:val="28"/>
          <w:highlight w:val="none"/>
        </w:rPr>
        <w:t>营业执照</w:t>
      </w:r>
      <w:bookmarkEnd w:id="138"/>
      <w:bookmarkEnd w:id="139"/>
      <w:bookmarkEnd w:id="140"/>
      <w:bookmarkEnd w:id="141"/>
      <w:bookmarkEnd w:id="142"/>
    </w:p>
    <w:p>
      <w:pPr>
        <w:shd w:val="clea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43" w:name="_Toc1307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.相关资质证明文件</w:t>
      </w:r>
      <w:bookmarkEnd w:id="143"/>
    </w:p>
    <w:p>
      <w:pPr>
        <w:shd w:val="clear"/>
        <w:rPr>
          <w:color w:val="auto"/>
          <w:highlight w:val="none"/>
        </w:rPr>
      </w:pPr>
    </w:p>
    <w:p>
      <w:pPr>
        <w:shd w:val="clear"/>
        <w:jc w:val="center"/>
        <w:rPr>
          <w:rFonts w:ascii="黑体" w:eastAsia="黑体"/>
          <w:color w:val="auto"/>
          <w:sz w:val="28"/>
          <w:szCs w:val="28"/>
          <w:highlight w:val="none"/>
        </w:rPr>
      </w:pPr>
      <w:bookmarkStart w:id="144" w:name="_Toc16698"/>
      <w:bookmarkStart w:id="145" w:name="_Toc30307"/>
      <w:bookmarkStart w:id="146" w:name="_Toc16233"/>
      <w:bookmarkStart w:id="147" w:name="_Toc13458"/>
      <w:bookmarkStart w:id="148" w:name="_Toc9592"/>
      <w:r>
        <w:rPr>
          <w:rFonts w:hint="eastAsia" w:ascii="黑体" w:eastAsia="黑体"/>
          <w:color w:val="auto"/>
          <w:sz w:val="28"/>
          <w:szCs w:val="28"/>
          <w:highlight w:val="none"/>
        </w:rPr>
        <w:t>相关资质证明文件</w:t>
      </w:r>
      <w:bookmarkEnd w:id="135"/>
      <w:bookmarkEnd w:id="144"/>
      <w:bookmarkEnd w:id="145"/>
      <w:bookmarkEnd w:id="146"/>
      <w:bookmarkEnd w:id="147"/>
      <w:bookmarkEnd w:id="148"/>
    </w:p>
    <w:p>
      <w:pPr>
        <w:numPr>
          <w:ilvl w:val="0"/>
          <w:numId w:val="8"/>
        </w:numPr>
        <w:shd w:val="clea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pPr>
        <w:numPr>
          <w:ilvl w:val="0"/>
          <w:numId w:val="8"/>
        </w:numPr>
        <w:shd w:val="clea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pPr>
        <w:pStyle w:val="8"/>
        <w:widowControl w:val="0"/>
        <w:shd w:val="clear"/>
        <w:overflowPunct w:val="0"/>
        <w:spacing w:line="240" w:lineRule="auto"/>
        <w:rPr>
          <w:rFonts w:ascii="楷体_GB2312" w:eastAsia="楷体_GB2312"/>
          <w:color w:val="auto"/>
          <w:highlight w:val="none"/>
        </w:rPr>
      </w:pPr>
      <w:bookmarkStart w:id="149" w:name="_Toc897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.在经营活动中没有重大违法记录的书面声明格式</w:t>
      </w:r>
      <w:bookmarkEnd w:id="149"/>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pPr>
        <w:shd w:val="clear"/>
        <w:ind w:firstLine="420" w:firstLineChars="200"/>
        <w:rPr>
          <w:rFonts w:ascii="宋体" w:hAnsi="宋体" w:cs="宋体"/>
          <w:color w:val="auto"/>
          <w:szCs w:val="21"/>
          <w:highlight w:val="none"/>
        </w:rPr>
      </w:pP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lang w:eastAsia="zh-CN"/>
        </w:rPr>
        <w:t>东莞市安居建设投资有限公司、广西同泽工程项目管理股份有限公司</w:t>
      </w:r>
      <w:r>
        <w:rPr>
          <w:rFonts w:hint="eastAsia" w:ascii="宋体" w:hAnsi="宋体" w:cs="宋体"/>
          <w:color w:val="auto"/>
          <w:szCs w:val="21"/>
          <w:highlight w:val="none"/>
        </w:rPr>
        <w:t>：</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shd w:val="clear"/>
        <w:ind w:firstLine="420" w:firstLineChars="200"/>
        <w:rPr>
          <w:rFonts w:ascii="宋体" w:hAnsi="宋体" w:cs="宋体"/>
          <w:color w:val="auto"/>
          <w:szCs w:val="21"/>
          <w:highlight w:val="none"/>
        </w:rPr>
      </w:pP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shd w:val="clear"/>
        <w:rPr>
          <w:color w:val="auto"/>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color w:val="auto"/>
          <w:highlight w:val="none"/>
        </w:rPr>
      </w:pPr>
    </w:p>
    <w:p>
      <w:pPr>
        <w:pStyle w:val="8"/>
        <w:widowControl w:val="0"/>
        <w:shd w:val="clear"/>
        <w:overflowPunct w:val="0"/>
        <w:spacing w:line="240" w:lineRule="auto"/>
        <w:rPr>
          <w:rFonts w:ascii="楷体_GB2312" w:eastAsia="楷体_GB2312"/>
          <w:color w:val="auto"/>
          <w:highlight w:val="none"/>
        </w:rPr>
      </w:pPr>
      <w:bookmarkStart w:id="150" w:name="_Toc2779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.承诺书格式</w:t>
      </w:r>
      <w:bookmarkEnd w:id="150"/>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6"/>
        <w:shd w:val="clear"/>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广西同泽工程项目管理股份有限公司</w:t>
      </w:r>
      <w:r>
        <w:rPr>
          <w:rFonts w:hint="eastAsia" w:ascii="宋体" w:eastAsia="宋体" w:cs="宋体"/>
          <w:color w:val="auto"/>
          <w:sz w:val="21"/>
          <w:szCs w:val="21"/>
          <w:highlight w:val="none"/>
        </w:rPr>
        <w:t>：</w:t>
      </w:r>
    </w:p>
    <w:p>
      <w:pPr>
        <w:shd w:val="clear"/>
        <w:jc w:val="center"/>
        <w:rPr>
          <w:rFonts w:ascii="宋体" w:hAnsi="宋体" w:cs="宋体"/>
          <w:color w:val="auto"/>
          <w:szCs w:val="21"/>
          <w:highlight w:val="none"/>
        </w:rPr>
      </w:pPr>
    </w:p>
    <w:p>
      <w:pPr>
        <w:pStyle w:val="46"/>
        <w:shd w:val="clear"/>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pPr>
        <w:pStyle w:val="46"/>
        <w:shd w:val="clear"/>
        <w:spacing w:line="420" w:lineRule="exact"/>
        <w:ind w:firstLine="433"/>
        <w:rPr>
          <w:rFonts w:ascii="宋体" w:eastAsia="宋体" w:cs="宋体"/>
          <w:color w:val="auto"/>
          <w:sz w:val="21"/>
          <w:szCs w:val="21"/>
          <w:highlight w:val="none"/>
        </w:rPr>
      </w:pP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shd w:val="clear"/>
        <w:rPr>
          <w:color w:val="auto"/>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rFonts w:ascii="宋体" w:hAnsi="宋体"/>
          <w:color w:val="auto"/>
          <w:szCs w:val="21"/>
          <w:highlight w:val="none"/>
        </w:rPr>
      </w:pPr>
    </w:p>
    <w:p>
      <w:pPr>
        <w:pStyle w:val="2"/>
        <w:shd w:val="clear"/>
        <w:rPr>
          <w:color w:val="auto"/>
          <w:sz w:val="21"/>
          <w:szCs w:val="21"/>
          <w:highlight w:val="none"/>
        </w:rPr>
      </w:pPr>
    </w:p>
    <w:p>
      <w:pPr>
        <w:shd w:val="clear"/>
        <w:rPr>
          <w:color w:val="auto"/>
          <w:highlight w:val="none"/>
        </w:rPr>
      </w:pPr>
    </w:p>
    <w:p>
      <w:pPr>
        <w:pStyle w:val="8"/>
        <w:widowControl w:val="0"/>
        <w:shd w:val="clear"/>
        <w:overflowPunct w:val="0"/>
        <w:spacing w:line="240" w:lineRule="auto"/>
        <w:rPr>
          <w:rFonts w:ascii="宋体" w:hAnsi="宋体"/>
          <w:color w:val="auto"/>
          <w:sz w:val="21"/>
          <w:szCs w:val="21"/>
          <w:highlight w:val="none"/>
        </w:rPr>
      </w:pPr>
      <w:bookmarkStart w:id="151" w:name="_Toc8279"/>
      <w:bookmarkStart w:id="152" w:name="_Toc1629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.商务需求条款偏离表格式</w:t>
      </w:r>
      <w:bookmarkEnd w:id="151"/>
      <w:bookmarkEnd w:id="152"/>
    </w:p>
    <w:p>
      <w:pPr>
        <w:shd w:val="clear"/>
        <w:jc w:val="center"/>
        <w:rPr>
          <w:rFonts w:ascii="黑体" w:eastAsia="黑体"/>
          <w:color w:val="auto"/>
          <w:sz w:val="28"/>
          <w:szCs w:val="28"/>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6"/>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投标人代表签字：</w:t>
      </w:r>
    </w:p>
    <w:p>
      <w:pPr>
        <w:shd w:val="clear"/>
        <w:rPr>
          <w:rFonts w:ascii="宋体" w:hAnsi="宋体"/>
          <w:color w:val="auto"/>
          <w:szCs w:val="21"/>
          <w:highlight w:val="none"/>
        </w:rPr>
      </w:pPr>
      <w:r>
        <w:rPr>
          <w:rFonts w:hint="eastAsia" w:ascii="宋体" w:hAnsi="宋体"/>
          <w:color w:val="auto"/>
          <w:szCs w:val="21"/>
          <w:highlight w:val="none"/>
        </w:rPr>
        <w:t>投标人盖章：</w:t>
      </w:r>
    </w:p>
    <w:p>
      <w:pPr>
        <w:shd w:val="clear"/>
        <w:rPr>
          <w:rFonts w:ascii="宋体" w:hAnsi="宋体"/>
          <w:color w:val="auto"/>
          <w:szCs w:val="21"/>
          <w:highlight w:val="none"/>
        </w:rPr>
      </w:pPr>
    </w:p>
    <w:p>
      <w:pPr>
        <w:shd w:val="clear"/>
        <w:ind w:left="718" w:hanging="718" w:hangingChars="342"/>
        <w:rPr>
          <w:rFonts w:ascii="宋体" w:hAnsi="宋体"/>
          <w:color w:val="auto"/>
          <w:szCs w:val="21"/>
          <w:highlight w:val="none"/>
        </w:rPr>
      </w:pPr>
      <w:r>
        <w:rPr>
          <w:rFonts w:hint="eastAsia" w:ascii="宋体" w:hAnsi="宋体"/>
          <w:color w:val="auto"/>
          <w:szCs w:val="21"/>
          <w:highlight w:val="none"/>
        </w:rPr>
        <w:t>注：</w:t>
      </w:r>
    </w:p>
    <w:p>
      <w:pPr>
        <w:shd w:val="clea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pPr>
        <w:shd w:val="clea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pPr>
        <w:shd w:val="clea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shd w:val="clea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shd w:val="clea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rFonts w:ascii="宋体" w:hAnsi="宋体"/>
          <w:color w:val="auto"/>
          <w:sz w:val="30"/>
          <w:szCs w:val="30"/>
          <w:highlight w:val="none"/>
        </w:rPr>
      </w:pPr>
      <w:bookmarkStart w:id="153" w:name="_Toc92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.业绩表</w:t>
      </w:r>
      <w:bookmarkEnd w:id="153"/>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pPr>
              <w:shd w:val="clear"/>
              <w:adjustRightInd/>
              <w:snapToGrid/>
              <w:jc w:val="center"/>
              <w:rPr>
                <w:rFonts w:hint="eastAsia" w:ascii="宋体" w:hAnsi="宋体"/>
                <w:color w:val="auto"/>
                <w:szCs w:val="21"/>
                <w:highlight w:val="none"/>
              </w:rPr>
            </w:pPr>
            <w:r>
              <w:rPr>
                <w:rFonts w:hint="eastAsia" w:ascii="宋体" w:hAnsi="宋体"/>
                <w:color w:val="auto"/>
                <w:szCs w:val="21"/>
                <w:highlight w:val="none"/>
              </w:rPr>
              <w:t>项目合同</w:t>
            </w:r>
          </w:p>
          <w:p>
            <w:pPr>
              <w:shd w:val="clear"/>
              <w:adjustRightInd/>
              <w:snapToGrid/>
              <w:jc w:val="center"/>
              <w:rPr>
                <w:rFonts w:ascii="宋体" w:hAnsi="宋体"/>
                <w:color w:val="auto"/>
                <w:szCs w:val="21"/>
                <w:highlight w:val="none"/>
              </w:rPr>
            </w:pPr>
            <w:r>
              <w:rPr>
                <w:rFonts w:hint="eastAsia" w:ascii="宋体" w:hAnsi="宋体"/>
                <w:color w:val="auto"/>
                <w:szCs w:val="21"/>
                <w:highlight w:val="none"/>
              </w:rPr>
              <w:t>签订时间</w:t>
            </w:r>
          </w:p>
        </w:tc>
        <w:tc>
          <w:tcPr>
            <w:tcW w:w="1697"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ascii="宋体" w:hAnsi="宋体"/>
                <w:color w:val="auto"/>
                <w:szCs w:val="21"/>
                <w:highlight w:val="none"/>
              </w:rPr>
            </w:pPr>
          </w:p>
        </w:tc>
        <w:tc>
          <w:tcPr>
            <w:tcW w:w="1705" w:type="dxa"/>
            <w:vAlign w:val="center"/>
          </w:tcPr>
          <w:p>
            <w:pPr>
              <w:shd w:val="clear"/>
              <w:adjustRightInd/>
              <w:snapToGrid/>
              <w:jc w:val="center"/>
              <w:rPr>
                <w:rFonts w:ascii="宋体" w:hAnsi="宋体"/>
                <w:color w:val="auto"/>
                <w:szCs w:val="21"/>
                <w:highlight w:val="none"/>
              </w:rPr>
            </w:pPr>
          </w:p>
        </w:tc>
        <w:tc>
          <w:tcPr>
            <w:tcW w:w="1706" w:type="dxa"/>
            <w:vAlign w:val="center"/>
          </w:tcPr>
          <w:p>
            <w:pPr>
              <w:shd w:val="clear"/>
              <w:adjustRightInd/>
              <w:snapToGrid/>
              <w:jc w:val="center"/>
              <w:rPr>
                <w:rFonts w:ascii="宋体" w:hAnsi="宋体"/>
                <w:color w:val="auto"/>
                <w:szCs w:val="21"/>
                <w:highlight w:val="none"/>
              </w:rPr>
            </w:pPr>
          </w:p>
        </w:tc>
        <w:tc>
          <w:tcPr>
            <w:tcW w:w="1705" w:type="dxa"/>
            <w:vAlign w:val="center"/>
          </w:tcPr>
          <w:p>
            <w:pPr>
              <w:shd w:val="clear"/>
              <w:adjustRightInd/>
              <w:snapToGrid/>
              <w:jc w:val="center"/>
              <w:rPr>
                <w:rFonts w:ascii="宋体" w:hAnsi="宋体"/>
                <w:color w:val="auto"/>
                <w:szCs w:val="21"/>
                <w:highlight w:val="none"/>
              </w:rPr>
            </w:pPr>
          </w:p>
        </w:tc>
        <w:tc>
          <w:tcPr>
            <w:tcW w:w="1697" w:type="dxa"/>
            <w:vAlign w:val="center"/>
          </w:tcPr>
          <w:p>
            <w:pPr>
              <w:shd w:val="clea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bl>
    <w:p>
      <w:pPr>
        <w:pStyle w:val="43"/>
        <w:shd w:val="clear"/>
        <w:rPr>
          <w:rFonts w:ascii="宋体" w:hAnsi="宋体"/>
          <w:color w:val="auto"/>
          <w:szCs w:val="21"/>
          <w:highlight w:val="none"/>
        </w:rPr>
      </w:pPr>
    </w:p>
    <w:p>
      <w:pPr>
        <w:pStyle w:val="43"/>
        <w:shd w:val="clear"/>
        <w:rPr>
          <w:rFonts w:ascii="宋体" w:hAnsi="宋体"/>
          <w:color w:val="auto"/>
          <w:szCs w:val="21"/>
          <w:highlight w:val="none"/>
        </w:rPr>
      </w:pPr>
      <w:r>
        <w:rPr>
          <w:rFonts w:hint="eastAsia" w:ascii="宋体" w:hAnsi="宋体"/>
          <w:color w:val="auto"/>
          <w:szCs w:val="21"/>
          <w:highlight w:val="none"/>
        </w:rPr>
        <w:t>注：</w:t>
      </w:r>
    </w:p>
    <w:p>
      <w:pPr>
        <w:pStyle w:val="43"/>
        <w:numPr>
          <w:ilvl w:val="0"/>
          <w:numId w:val="9"/>
        </w:numPr>
        <w:shd w:val="clea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pPr>
        <w:pStyle w:val="43"/>
        <w:numPr>
          <w:ilvl w:val="0"/>
          <w:numId w:val="9"/>
        </w:numPr>
        <w:shd w:val="clea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color w:val="auto"/>
          <w:highlight w:val="none"/>
        </w:rPr>
      </w:pPr>
      <w:bookmarkStart w:id="154" w:name="_Toc1959"/>
      <w:bookmarkStart w:id="155" w:name="_Toc2340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.联合体协议书</w:t>
      </w:r>
      <w:r>
        <w:rPr>
          <w:rFonts w:hint="eastAsia"/>
          <w:color w:val="auto"/>
          <w:highlight w:val="none"/>
        </w:rPr>
        <w:t>（如有）</w:t>
      </w:r>
      <w:bookmarkEnd w:id="154"/>
      <w:bookmarkEnd w:id="155"/>
    </w:p>
    <w:p>
      <w:pPr>
        <w:shd w:val="clear"/>
        <w:rPr>
          <w:color w:val="auto"/>
          <w:highlight w:val="none"/>
        </w:rPr>
      </w:pPr>
    </w:p>
    <w:p>
      <w:pPr>
        <w:shd w:val="clear"/>
        <w:jc w:val="center"/>
        <w:rPr>
          <w:rFonts w:hAnsi="宋体" w:cs="宋体"/>
          <w:color w:val="auto"/>
          <w:highlight w:val="none"/>
        </w:rPr>
      </w:pPr>
      <w:r>
        <w:rPr>
          <w:rFonts w:hint="eastAsia" w:hAnsi="宋体" w:cs="宋体"/>
          <w:b/>
          <w:bCs/>
          <w:color w:val="auto"/>
          <w:highlight w:val="none"/>
        </w:rPr>
        <w:t>联合体共同投标协议书</w:t>
      </w:r>
    </w:p>
    <w:p>
      <w:pPr>
        <w:shd w:val="clear"/>
        <w:jc w:val="center"/>
        <w:rPr>
          <w:rFonts w:hAnsi="宋体" w:cs="宋体"/>
          <w:color w:val="auto"/>
          <w:highlight w:val="none"/>
        </w:rPr>
      </w:pPr>
    </w:p>
    <w:p>
      <w:pPr>
        <w:shd w:val="clear"/>
        <w:rPr>
          <w:rFonts w:hAnsi="宋体" w:cs="宋体"/>
          <w:color w:val="auto"/>
          <w:szCs w:val="21"/>
          <w:highlight w:val="none"/>
        </w:rPr>
      </w:pPr>
      <w:r>
        <w:rPr>
          <w:rFonts w:hint="eastAsia" w:hAnsi="宋体" w:cs="宋体"/>
          <w:color w:val="auto"/>
          <w:szCs w:val="21"/>
          <w:highlight w:val="none"/>
        </w:rPr>
        <w:t>立约方：（甲公司全称）</w:t>
      </w:r>
    </w:p>
    <w:p>
      <w:pPr>
        <w:shd w:val="clear"/>
        <w:rPr>
          <w:rFonts w:hAnsi="宋体" w:cs="宋体"/>
          <w:color w:val="auto"/>
          <w:szCs w:val="21"/>
          <w:highlight w:val="none"/>
        </w:rPr>
      </w:pPr>
      <w:r>
        <w:rPr>
          <w:rFonts w:hint="eastAsia" w:hAnsi="宋体" w:cs="宋体"/>
          <w:color w:val="auto"/>
          <w:szCs w:val="21"/>
          <w:highlight w:val="none"/>
        </w:rPr>
        <w:t>（乙公司全称）</w:t>
      </w:r>
    </w:p>
    <w:p>
      <w:pPr>
        <w:shd w:val="clear"/>
        <w:rPr>
          <w:rFonts w:hAnsi="宋体" w:cs="宋体"/>
          <w:color w:val="auto"/>
          <w:szCs w:val="21"/>
          <w:highlight w:val="none"/>
        </w:rPr>
      </w:pPr>
      <w:r>
        <w:rPr>
          <w:rFonts w:hint="eastAsia" w:hAnsi="宋体" w:cs="宋体"/>
          <w:color w:val="auto"/>
          <w:szCs w:val="21"/>
          <w:highlight w:val="none"/>
        </w:rPr>
        <w:t>（……公司全称）</w:t>
      </w:r>
    </w:p>
    <w:p>
      <w:pPr>
        <w:shd w:val="clea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shd w:val="clear"/>
        <w:rPr>
          <w:rFonts w:hAnsi="宋体" w:cs="宋体"/>
          <w:color w:val="auto"/>
          <w:szCs w:val="21"/>
          <w:highlight w:val="none"/>
        </w:rPr>
      </w:pPr>
      <w:r>
        <w:rPr>
          <w:rFonts w:hint="eastAsia" w:hAnsi="宋体" w:cs="宋体"/>
          <w:color w:val="auto"/>
          <w:szCs w:val="21"/>
          <w:highlight w:val="none"/>
        </w:rPr>
        <w:t>一、联合体各方关系</w:t>
      </w:r>
    </w:p>
    <w:p>
      <w:pPr>
        <w:shd w:val="clea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shd w:val="clea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shd w:val="clear"/>
        <w:rPr>
          <w:rFonts w:hAnsi="宋体" w:cs="宋体"/>
          <w:color w:val="auto"/>
          <w:szCs w:val="21"/>
          <w:highlight w:val="none"/>
        </w:rPr>
      </w:pPr>
      <w:r>
        <w:rPr>
          <w:rFonts w:hint="eastAsia" w:hAnsi="宋体" w:cs="宋体"/>
          <w:color w:val="auto"/>
          <w:szCs w:val="21"/>
          <w:highlight w:val="none"/>
        </w:rPr>
        <w:t>二、联合体内部有关事项约定如下：</w:t>
      </w:r>
    </w:p>
    <w:p>
      <w:pPr>
        <w:shd w:val="clea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shd w:val="clea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shd w:val="clea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pPr>
        <w:shd w:val="clear"/>
        <w:rPr>
          <w:rFonts w:hAnsi="宋体" w:cs="宋体"/>
          <w:color w:val="auto"/>
          <w:szCs w:val="21"/>
          <w:highlight w:val="none"/>
        </w:rPr>
      </w:pPr>
      <w:r>
        <w:rPr>
          <w:rFonts w:hint="eastAsia" w:hAnsi="宋体" w:cs="宋体"/>
          <w:color w:val="auto"/>
          <w:szCs w:val="21"/>
          <w:highlight w:val="none"/>
        </w:rPr>
        <w:t>4.联合体各成员单位内部的职责分工如下：</w:t>
      </w:r>
    </w:p>
    <w:p>
      <w:pPr>
        <w:shd w:val="clear"/>
        <w:rPr>
          <w:rFonts w:hAnsi="宋体" w:cs="宋体"/>
          <w:color w:val="auto"/>
          <w:szCs w:val="21"/>
          <w:highlight w:val="none"/>
        </w:rPr>
      </w:pPr>
      <w:r>
        <w:rPr>
          <w:rFonts w:hint="eastAsia" w:hAnsi="宋体" w:cs="宋体"/>
          <w:color w:val="auto"/>
          <w:szCs w:val="21"/>
          <w:highlight w:val="none"/>
        </w:rPr>
        <w:t>（1）</w:t>
      </w:r>
    </w:p>
    <w:p>
      <w:pPr>
        <w:shd w:val="clear"/>
        <w:rPr>
          <w:color w:val="auto"/>
          <w:highlight w:val="none"/>
        </w:rPr>
      </w:pPr>
      <w:r>
        <w:rPr>
          <w:rFonts w:hint="eastAsia" w:hAnsi="宋体" w:cs="宋体"/>
          <w:color w:val="auto"/>
          <w:szCs w:val="21"/>
          <w:highlight w:val="none"/>
        </w:rPr>
        <w:t>（2）</w:t>
      </w:r>
    </w:p>
    <w:p>
      <w:pPr>
        <w:shd w:val="clea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shd w:val="clea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shd w:val="clea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pPr>
        <w:shd w:val="clea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pPr>
        <w:shd w:val="clea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shd w:val="clear"/>
        <w:rPr>
          <w:rFonts w:hAnsi="宋体" w:cs="宋体"/>
          <w:color w:val="auto"/>
          <w:szCs w:val="21"/>
          <w:highlight w:val="none"/>
        </w:rPr>
      </w:pPr>
    </w:p>
    <w:p>
      <w:pPr>
        <w:pStyle w:val="2"/>
        <w:shd w:val="clear"/>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2"/>
        <w:shd w:val="clear"/>
        <w:rPr>
          <w:color w:val="auto"/>
          <w:sz w:val="21"/>
          <w:szCs w:val="21"/>
          <w:highlight w:val="none"/>
        </w:rPr>
      </w:pPr>
      <w:r>
        <w:rPr>
          <w:rFonts w:hint="eastAsia"/>
          <w:color w:val="auto"/>
          <w:sz w:val="21"/>
          <w:szCs w:val="21"/>
          <w:highlight w:val="none"/>
        </w:rPr>
        <w:t>牵头人名称：_______________________（盖单位公章）</w:t>
      </w:r>
    </w:p>
    <w:p>
      <w:pPr>
        <w:pStyle w:val="2"/>
        <w:shd w:val="clear"/>
        <w:rPr>
          <w:color w:val="auto"/>
          <w:sz w:val="21"/>
          <w:szCs w:val="21"/>
          <w:highlight w:val="none"/>
        </w:rPr>
      </w:pPr>
      <w:r>
        <w:rPr>
          <w:rFonts w:hint="eastAsia"/>
          <w:color w:val="auto"/>
          <w:sz w:val="21"/>
          <w:szCs w:val="21"/>
          <w:highlight w:val="none"/>
        </w:rPr>
        <w:t>法定代表人或其委托代理人：_____________（签字）</w:t>
      </w:r>
    </w:p>
    <w:p>
      <w:pPr>
        <w:pStyle w:val="2"/>
        <w:shd w:val="clear"/>
        <w:rPr>
          <w:color w:val="auto"/>
          <w:sz w:val="21"/>
          <w:szCs w:val="21"/>
          <w:highlight w:val="none"/>
        </w:rPr>
      </w:pPr>
    </w:p>
    <w:p>
      <w:pPr>
        <w:pStyle w:val="2"/>
        <w:shd w:val="clear"/>
        <w:rPr>
          <w:color w:val="auto"/>
          <w:sz w:val="21"/>
          <w:szCs w:val="21"/>
          <w:highlight w:val="none"/>
        </w:rPr>
      </w:pPr>
      <w:r>
        <w:rPr>
          <w:rFonts w:hint="eastAsia"/>
          <w:color w:val="auto"/>
          <w:sz w:val="21"/>
          <w:szCs w:val="21"/>
          <w:highlight w:val="none"/>
        </w:rPr>
        <w:t>成员一名称：_______________________（盖单位公章）</w:t>
      </w:r>
    </w:p>
    <w:p>
      <w:pPr>
        <w:pStyle w:val="2"/>
        <w:shd w:val="clear"/>
        <w:rPr>
          <w:color w:val="auto"/>
          <w:sz w:val="21"/>
          <w:szCs w:val="21"/>
          <w:highlight w:val="none"/>
        </w:rPr>
      </w:pPr>
      <w:r>
        <w:rPr>
          <w:rFonts w:hint="eastAsia"/>
          <w:color w:val="auto"/>
          <w:sz w:val="21"/>
          <w:szCs w:val="21"/>
          <w:highlight w:val="none"/>
        </w:rPr>
        <w:t>法定代表人或其委托代理人：_____________（签字）</w:t>
      </w:r>
    </w:p>
    <w:p>
      <w:pPr>
        <w:pStyle w:val="2"/>
        <w:shd w:val="clear"/>
        <w:rPr>
          <w:color w:val="auto"/>
          <w:sz w:val="21"/>
          <w:szCs w:val="21"/>
          <w:highlight w:val="none"/>
        </w:rPr>
      </w:pPr>
    </w:p>
    <w:p>
      <w:pPr>
        <w:pStyle w:val="2"/>
        <w:shd w:val="clear"/>
        <w:rPr>
          <w:color w:val="auto"/>
          <w:sz w:val="21"/>
          <w:szCs w:val="21"/>
          <w:highlight w:val="none"/>
        </w:rPr>
      </w:pPr>
      <w:r>
        <w:rPr>
          <w:rFonts w:hint="eastAsia"/>
          <w:color w:val="auto"/>
          <w:sz w:val="21"/>
          <w:szCs w:val="21"/>
          <w:highlight w:val="none"/>
        </w:rPr>
        <w:t>成员二名称：_______________________（盖单位公章）</w:t>
      </w:r>
    </w:p>
    <w:p>
      <w:pPr>
        <w:pStyle w:val="2"/>
        <w:shd w:val="clear"/>
        <w:rPr>
          <w:color w:val="auto"/>
          <w:sz w:val="21"/>
          <w:szCs w:val="21"/>
          <w:highlight w:val="none"/>
        </w:rPr>
      </w:pPr>
      <w:r>
        <w:rPr>
          <w:rFonts w:hint="eastAsia"/>
          <w:color w:val="auto"/>
          <w:sz w:val="21"/>
          <w:szCs w:val="21"/>
          <w:highlight w:val="none"/>
        </w:rPr>
        <w:t>法定代表人或其委托代理人：_____________（签字）</w:t>
      </w:r>
    </w:p>
    <w:p>
      <w:pPr>
        <w:pStyle w:val="2"/>
        <w:shd w:val="clear"/>
        <w:ind w:firstLine="210" w:firstLineChars="100"/>
        <w:jc w:val="both"/>
        <w:rPr>
          <w:color w:val="auto"/>
          <w:sz w:val="21"/>
          <w:szCs w:val="21"/>
          <w:highlight w:val="none"/>
        </w:rPr>
      </w:pPr>
      <w:r>
        <w:rPr>
          <w:rFonts w:hint="eastAsia"/>
          <w:color w:val="auto"/>
          <w:sz w:val="21"/>
          <w:szCs w:val="21"/>
          <w:highlight w:val="none"/>
        </w:rPr>
        <w:t>……</w:t>
      </w:r>
    </w:p>
    <w:p>
      <w:pPr>
        <w:pStyle w:val="2"/>
        <w:shd w:val="clear"/>
        <w:rPr>
          <w:color w:val="auto"/>
          <w:highlight w:val="none"/>
          <w:lang w:val="en-US"/>
        </w:rPr>
        <w:sectPr>
          <w:headerReference r:id="rId7" w:type="first"/>
          <w:footerReference r:id="rId9" w:type="first"/>
          <w:headerReference r:id="rId6" w:type="default"/>
          <w:footerReference r:id="rId8" w:type="default"/>
          <w:pgSz w:w="11906" w:h="16838"/>
          <w:pgMar w:top="1440" w:right="1800" w:bottom="1440" w:left="1800" w:header="708" w:footer="708" w:gutter="0"/>
          <w:pgNumType w:fmt="decimal"/>
          <w:cols w:space="708" w:num="1"/>
          <w:titlePg/>
          <w:docGrid w:type="lines" w:linePitch="360" w:charSpace="0"/>
        </w:sectPr>
      </w:pPr>
      <w:r>
        <w:rPr>
          <w:rFonts w:hint="eastAsia"/>
          <w:color w:val="auto"/>
          <w:sz w:val="21"/>
          <w:szCs w:val="21"/>
          <w:highlight w:val="none"/>
        </w:rPr>
        <w:t xml:space="preserve">        年     月     日</w:t>
      </w:r>
    </w:p>
    <w:p>
      <w:pPr>
        <w:pStyle w:val="2"/>
        <w:shd w:val="clear"/>
        <w:rPr>
          <w:color w:val="auto"/>
          <w:highlight w:val="none"/>
        </w:rPr>
      </w:pPr>
    </w:p>
    <w:p>
      <w:pPr>
        <w:pStyle w:val="6"/>
        <w:shd w:val="clear"/>
        <w:spacing w:before="0" w:after="0" w:line="360" w:lineRule="auto"/>
        <w:jc w:val="center"/>
        <w:rPr>
          <w:color w:val="auto"/>
          <w:sz w:val="72"/>
          <w:szCs w:val="72"/>
          <w:highlight w:val="none"/>
        </w:rPr>
      </w:pPr>
      <w:bookmarkStart w:id="156" w:name="_Toc5797"/>
      <w:r>
        <w:rPr>
          <w:rFonts w:hint="eastAsia"/>
          <w:color w:val="auto"/>
          <w:sz w:val="72"/>
          <w:szCs w:val="72"/>
          <w:highlight w:val="none"/>
        </w:rPr>
        <w:t>技术文件</w:t>
      </w:r>
      <w:bookmarkEnd w:id="156"/>
    </w:p>
    <w:p>
      <w:pPr>
        <w:shd w:val="clea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shd w:val="clear"/>
        <w:rPr>
          <w:color w:val="auto"/>
          <w:highlight w:val="none"/>
        </w:rPr>
      </w:pPr>
    </w:p>
    <w:p>
      <w:pPr>
        <w:pStyle w:val="2"/>
        <w:shd w:val="clear"/>
        <w:rPr>
          <w:color w:val="auto"/>
          <w:highlight w:val="none"/>
        </w:rPr>
      </w:pPr>
    </w:p>
    <w:p>
      <w:pPr>
        <w:shd w:val="clear"/>
        <w:ind w:firstLine="240"/>
        <w:rPr>
          <w:color w:val="auto"/>
          <w:highlight w:val="none"/>
        </w:rPr>
      </w:pPr>
    </w:p>
    <w:p>
      <w:pPr>
        <w:shd w:val="clear"/>
        <w:rPr>
          <w:rFonts w:hint="eastAsia" w:ascii="宋体" w:hAnsi="宋体" w:cs="宋体"/>
          <w:b/>
          <w:bCs/>
          <w:color w:val="auto"/>
          <w:spacing w:val="106"/>
          <w:kern w:val="0"/>
          <w:sz w:val="32"/>
          <w:szCs w:val="32"/>
          <w:highlight w:val="none"/>
          <w:fitText w:val="1600" w:id="10"/>
        </w:rPr>
      </w:pPr>
      <w:r>
        <w:rPr>
          <w:rFonts w:hint="eastAsia" w:ascii="宋体" w:hAnsi="宋体" w:cs="宋体"/>
          <w:b/>
          <w:bCs/>
          <w:color w:val="auto"/>
          <w:spacing w:val="0"/>
          <w:kern w:val="0"/>
          <w:sz w:val="32"/>
          <w:szCs w:val="32"/>
          <w:highlight w:val="none"/>
          <w:fitText w:val="1600" w:id="10"/>
        </w:rPr>
        <w:t>项目名称：</w:t>
      </w:r>
    </w:p>
    <w:p>
      <w:pPr>
        <w:shd w:val="clear"/>
        <w:rPr>
          <w:rFonts w:hint="eastAsia" w:ascii="宋体" w:hAnsi="宋体" w:cs="宋体"/>
          <w:b/>
          <w:bCs/>
          <w:color w:val="auto"/>
          <w:spacing w:val="106"/>
          <w:kern w:val="0"/>
          <w:sz w:val="32"/>
          <w:szCs w:val="32"/>
          <w:highlight w:val="none"/>
          <w:fitText w:val="1600" w:id="11"/>
        </w:rPr>
      </w:pPr>
      <w:r>
        <w:rPr>
          <w:rFonts w:hint="eastAsia" w:ascii="宋体" w:hAnsi="宋体" w:cs="宋体"/>
          <w:b/>
          <w:bCs/>
          <w:color w:val="auto"/>
          <w:spacing w:val="0"/>
          <w:kern w:val="0"/>
          <w:sz w:val="32"/>
          <w:szCs w:val="32"/>
          <w:highlight w:val="none"/>
          <w:fitText w:val="1600" w:id="11"/>
        </w:rPr>
        <w:t>项目编号：</w:t>
      </w:r>
    </w:p>
    <w:p>
      <w:pPr>
        <w:shd w:val="clear"/>
        <w:rPr>
          <w:rFonts w:hint="eastAsia" w:ascii="宋体" w:hAnsi="宋体" w:cs="宋体"/>
          <w:b/>
          <w:bCs/>
          <w:color w:val="auto"/>
          <w:spacing w:val="106"/>
          <w:kern w:val="0"/>
          <w:sz w:val="32"/>
          <w:szCs w:val="32"/>
          <w:highlight w:val="none"/>
          <w:fitText w:val="1600" w:id="12"/>
        </w:rPr>
      </w:pPr>
      <w:r>
        <w:rPr>
          <w:rFonts w:hint="eastAsia" w:ascii="宋体" w:hAnsi="宋体" w:cs="宋体"/>
          <w:b/>
          <w:bCs/>
          <w:color w:val="auto"/>
          <w:spacing w:val="1"/>
          <w:w w:val="62"/>
          <w:kern w:val="0"/>
          <w:sz w:val="32"/>
          <w:szCs w:val="32"/>
          <w:highlight w:val="none"/>
          <w:fitText w:val="1600" w:id="12"/>
          <w:lang w:val="en-US"/>
        </w:rPr>
        <w:t>包组号（如有）</w:t>
      </w:r>
      <w:r>
        <w:rPr>
          <w:rFonts w:hint="eastAsia" w:ascii="宋体" w:hAnsi="宋体" w:cs="宋体"/>
          <w:b/>
          <w:bCs/>
          <w:color w:val="auto"/>
          <w:spacing w:val="4"/>
          <w:w w:val="62"/>
          <w:kern w:val="0"/>
          <w:sz w:val="32"/>
          <w:szCs w:val="32"/>
          <w:highlight w:val="none"/>
          <w:fitText w:val="1600" w:id="12"/>
          <w:lang w:val="en-US"/>
        </w:rPr>
        <w:t>：</w:t>
      </w:r>
    </w:p>
    <w:p>
      <w:pPr>
        <w:shd w:val="clear"/>
        <w:rPr>
          <w:rFonts w:hint="eastAsia" w:ascii="宋体" w:hAnsi="宋体" w:cs="宋体"/>
          <w:b/>
          <w:bCs/>
          <w:color w:val="auto"/>
          <w:spacing w:val="106"/>
          <w:kern w:val="0"/>
          <w:sz w:val="32"/>
          <w:szCs w:val="32"/>
          <w:highlight w:val="none"/>
          <w:fitText w:val="1600" w:id="13"/>
        </w:rPr>
      </w:pPr>
      <w:r>
        <w:rPr>
          <w:rFonts w:hint="eastAsia" w:ascii="宋体" w:hAnsi="宋体" w:cs="宋体"/>
          <w:b/>
          <w:bCs/>
          <w:color w:val="auto"/>
          <w:spacing w:val="0"/>
          <w:w w:val="83"/>
          <w:kern w:val="0"/>
          <w:sz w:val="32"/>
          <w:szCs w:val="32"/>
          <w:highlight w:val="none"/>
          <w:fitText w:val="1600" w:id="13"/>
        </w:rPr>
        <w:t>投标人名称：</w:t>
      </w:r>
    </w:p>
    <w:p>
      <w:pPr>
        <w:shd w:val="clear"/>
        <w:rPr>
          <w:rFonts w:hint="eastAsia" w:ascii="宋体" w:hAnsi="宋体" w:cs="宋体"/>
          <w:b/>
          <w:bCs/>
          <w:color w:val="auto"/>
          <w:spacing w:val="106"/>
          <w:kern w:val="0"/>
          <w:sz w:val="32"/>
          <w:szCs w:val="32"/>
          <w:highlight w:val="none"/>
          <w:fitText w:val="1600" w:id="14"/>
        </w:rPr>
      </w:pPr>
      <w:r>
        <w:rPr>
          <w:rFonts w:hint="eastAsia" w:ascii="宋体" w:hAnsi="宋体" w:cs="宋体"/>
          <w:b/>
          <w:bCs/>
          <w:color w:val="auto"/>
          <w:spacing w:val="0"/>
          <w:kern w:val="0"/>
          <w:sz w:val="32"/>
          <w:szCs w:val="32"/>
          <w:highlight w:val="none"/>
          <w:fitText w:val="1600" w:id="14"/>
        </w:rPr>
        <w:t>日    期：</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57" w:name="_Toc215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技术规格偏离表格式</w:t>
      </w:r>
      <w:bookmarkEnd w:id="157"/>
    </w:p>
    <w:p>
      <w:pPr>
        <w:shd w:val="clear"/>
        <w:jc w:val="center"/>
        <w:rPr>
          <w:rFonts w:ascii="黑体" w:eastAsia="黑体"/>
          <w:color w:val="auto"/>
          <w:sz w:val="28"/>
          <w:szCs w:val="28"/>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投标人代表签字：</w:t>
      </w:r>
    </w:p>
    <w:p>
      <w:pPr>
        <w:shd w:val="clear"/>
        <w:rPr>
          <w:rFonts w:ascii="宋体" w:hAnsi="宋体"/>
          <w:color w:val="auto"/>
          <w:szCs w:val="21"/>
          <w:highlight w:val="none"/>
        </w:rPr>
      </w:pPr>
      <w:r>
        <w:rPr>
          <w:rFonts w:hint="eastAsia" w:ascii="宋体" w:hAnsi="宋体"/>
          <w:color w:val="auto"/>
          <w:szCs w:val="21"/>
          <w:highlight w:val="none"/>
        </w:rPr>
        <w:t>投标人盖章：</w:t>
      </w:r>
    </w:p>
    <w:p>
      <w:pPr>
        <w:shd w:val="clear"/>
        <w:ind w:firstLine="178" w:firstLineChars="85"/>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注：</w:t>
      </w:r>
    </w:p>
    <w:p>
      <w:pPr>
        <w:shd w:val="clea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shd w:val="clea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pPr>
        <w:shd w:val="clea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shd w:val="clea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shd w:val="clea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eastAsia="zh-CN"/>
        </w:rPr>
        <w:t>技术</w:t>
      </w:r>
      <w:r>
        <w:rPr>
          <w:rFonts w:hint="eastAsia" w:hAnsi="宋体" w:cs="宋体"/>
          <w:color w:val="auto"/>
          <w:szCs w:val="21"/>
          <w:highlight w:val="none"/>
        </w:rPr>
        <w:t>要求的条款全部响应的，也可以在表格下面用文字总括性的说明。</w:t>
      </w:r>
    </w:p>
    <w:p>
      <w:pPr>
        <w:shd w:val="clear"/>
        <w:rPr>
          <w:rFonts w:ascii="宋体" w:hAnsi="宋体"/>
          <w:color w:val="auto"/>
          <w:szCs w:val="21"/>
          <w:highlight w:val="none"/>
        </w:rPr>
      </w:pPr>
    </w:p>
    <w:p>
      <w:pPr>
        <w:shd w:val="clear"/>
        <w:adjustRightInd/>
        <w:snapToGrid/>
        <w:spacing w:line="276" w:lineRule="auto"/>
        <w:rPr>
          <w:color w:val="auto"/>
          <w:highlight w:val="none"/>
        </w:rPr>
      </w:pPr>
    </w:p>
    <w:p>
      <w:pPr>
        <w:shd w:val="clear"/>
        <w:rPr>
          <w:rFonts w:ascii="宋体" w:hAnsi="宋体"/>
          <w:color w:val="auto"/>
          <w:szCs w:val="21"/>
          <w:highlight w:val="none"/>
        </w:rPr>
      </w:pPr>
      <w:bookmarkStart w:id="158" w:name="_Toc17691"/>
      <w:r>
        <w:rPr>
          <w:rFonts w:hint="eastAsia" w:ascii="宋体" w:hAnsi="宋体"/>
          <w:color w:val="auto"/>
          <w:szCs w:val="21"/>
          <w:highlight w:val="none"/>
        </w:rPr>
        <w:br w:type="page"/>
      </w:r>
    </w:p>
    <w:bookmarkEnd w:id="158"/>
    <w:p>
      <w:pPr>
        <w:pStyle w:val="8"/>
        <w:widowControl w:val="0"/>
        <w:shd w:val="clear"/>
        <w:overflowPunct w:val="0"/>
        <w:spacing w:line="240" w:lineRule="auto"/>
        <w:rPr>
          <w:rFonts w:ascii="宋体" w:hAnsi="宋体"/>
          <w:color w:val="auto"/>
          <w:sz w:val="21"/>
          <w:szCs w:val="21"/>
          <w:highlight w:val="none"/>
        </w:rPr>
      </w:pPr>
      <w:bookmarkStart w:id="159" w:name="_Toc271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.项目实施方案格式</w:t>
      </w:r>
      <w:bookmarkEnd w:id="159"/>
    </w:p>
    <w:p>
      <w:pPr>
        <w:shd w:val="clear"/>
        <w:jc w:val="center"/>
        <w:rPr>
          <w:rFonts w:ascii="黑体" w:eastAsia="黑体"/>
          <w:color w:val="auto"/>
          <w:sz w:val="32"/>
          <w:szCs w:val="32"/>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shd w:val="clear"/>
        <w:jc w:val="center"/>
        <w:rPr>
          <w:rFonts w:ascii="黑体" w:eastAsia="黑体"/>
          <w:color w:val="auto"/>
          <w:sz w:val="32"/>
          <w:szCs w:val="32"/>
          <w:highlight w:val="none"/>
        </w:rPr>
      </w:pP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pPr>
        <w:shd w:val="clea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pPr>
        <w:shd w:val="clear"/>
        <w:ind w:left="718" w:leftChars="200" w:hanging="298" w:hangingChars="142"/>
        <w:rPr>
          <w:rFonts w:ascii="宋体" w:hAnsi="宋体"/>
          <w:color w:val="auto"/>
          <w:szCs w:val="21"/>
          <w:highlight w:val="none"/>
        </w:rPr>
      </w:pPr>
    </w:p>
    <w:p>
      <w:pPr>
        <w:shd w:val="clear"/>
        <w:ind w:left="718" w:leftChars="200" w:hanging="298" w:hangingChars="142"/>
        <w:rPr>
          <w:rFonts w:ascii="宋体" w:hAnsi="宋体"/>
          <w:color w:val="auto"/>
          <w:szCs w:val="21"/>
          <w:highlight w:val="none"/>
        </w:rPr>
      </w:pP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rFonts w:ascii="宋体" w:hAnsi="宋体"/>
          <w:color w:val="auto"/>
          <w:sz w:val="21"/>
          <w:szCs w:val="21"/>
          <w:highlight w:val="none"/>
        </w:rPr>
      </w:pPr>
      <w:bookmarkStart w:id="160" w:name="_Toc114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.实施本项目的有关人员资料表格式</w:t>
      </w:r>
      <w:bookmarkEnd w:id="160"/>
    </w:p>
    <w:p>
      <w:pPr>
        <w:shd w:val="clear"/>
        <w:jc w:val="center"/>
        <w:rPr>
          <w:rFonts w:ascii="宋体" w:hAnsi="宋体"/>
          <w:color w:val="auto"/>
          <w:szCs w:val="21"/>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pPr>
              <w:shd w:val="clea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bl>
    <w:p>
      <w:pPr>
        <w:shd w:val="clear"/>
        <w:ind w:firstLine="178" w:firstLineChars="85"/>
        <w:rPr>
          <w:rFonts w:ascii="宋体" w:hAnsi="宋体"/>
          <w:color w:val="auto"/>
          <w:szCs w:val="21"/>
          <w:highlight w:val="none"/>
        </w:rPr>
      </w:pPr>
    </w:p>
    <w:p>
      <w:pPr>
        <w:shd w:val="clea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shd w:val="clea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pPr>
        <w:shd w:val="clear"/>
        <w:ind w:firstLine="178" w:firstLineChars="85"/>
        <w:rPr>
          <w:rFonts w:ascii="宋体" w:hAnsi="宋体"/>
          <w:color w:val="auto"/>
          <w:szCs w:val="21"/>
          <w:highlight w:val="none"/>
        </w:rPr>
      </w:pPr>
      <w:r>
        <w:rPr>
          <w:rFonts w:hint="eastAsia" w:ascii="宋体" w:hAnsi="宋体"/>
          <w:color w:val="auto"/>
          <w:szCs w:val="21"/>
          <w:highlight w:val="none"/>
        </w:rPr>
        <w:t>投标人盖章：</w:t>
      </w:r>
    </w:p>
    <w:p>
      <w:pPr>
        <w:shd w:val="clear"/>
        <w:rPr>
          <w:rFonts w:ascii="宋体" w:hAnsi="宋体"/>
          <w:color w:val="auto"/>
          <w:szCs w:val="21"/>
          <w:highlight w:val="none"/>
        </w:rPr>
      </w:pPr>
      <w:r>
        <w:rPr>
          <w:rFonts w:hint="eastAsia" w:ascii="宋体" w:hAnsi="宋体"/>
          <w:color w:val="auto"/>
          <w:szCs w:val="21"/>
          <w:highlight w:val="none"/>
        </w:rPr>
        <w:t>注：</w:t>
      </w:r>
    </w:p>
    <w:p>
      <w:pPr>
        <w:pStyle w:val="43"/>
        <w:numPr>
          <w:ilvl w:val="0"/>
          <w:numId w:val="10"/>
        </w:numPr>
        <w:shd w:val="clea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pPr>
        <w:pStyle w:val="43"/>
        <w:numPr>
          <w:ilvl w:val="0"/>
          <w:numId w:val="10"/>
        </w:numPr>
        <w:shd w:val="clea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pPr>
        <w:shd w:val="clea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pPr>
        <w:pStyle w:val="43"/>
        <w:numPr>
          <w:ilvl w:val="0"/>
          <w:numId w:val="10"/>
        </w:numPr>
        <w:shd w:val="clear"/>
        <w:ind w:firstLineChars="0"/>
        <w:rPr>
          <w:rFonts w:ascii="宋体" w:hAnsi="宋体" w:cs="Times New Roman"/>
          <w:color w:val="auto"/>
          <w:szCs w:val="21"/>
          <w:highlight w:val="none"/>
        </w:rPr>
      </w:pPr>
      <w:r>
        <w:rPr>
          <w:rFonts w:hint="eastAsia" w:ascii="宋体" w:hAnsi="宋体"/>
          <w:color w:val="auto"/>
          <w:szCs w:val="21"/>
          <w:highlight w:val="none"/>
        </w:rPr>
        <w:br w:type="page"/>
      </w:r>
    </w:p>
    <w:p>
      <w:pPr>
        <w:pStyle w:val="8"/>
        <w:widowControl w:val="0"/>
        <w:shd w:val="clear"/>
        <w:overflowPunct w:val="0"/>
        <w:spacing w:line="240" w:lineRule="auto"/>
        <w:rPr>
          <w:color w:val="auto"/>
          <w:highlight w:val="none"/>
        </w:rPr>
      </w:pPr>
      <w:bookmarkStart w:id="161" w:name="_Toc1942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.投标保证金汇入情况说明格式</w:t>
      </w:r>
      <w:bookmarkEnd w:id="161"/>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hd w:val="clea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pPr>
        <w:shd w:val="clea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pPr>
        <w:shd w:val="clea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hd w:val="clea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hd w:val="clear"/>
        <w:spacing w:line="480" w:lineRule="auto"/>
        <w:rPr>
          <w:rFonts w:ascii="宋体" w:hAnsi="宋体"/>
          <w:color w:val="auto"/>
          <w:szCs w:val="21"/>
          <w:highlight w:val="none"/>
        </w:rPr>
      </w:pPr>
      <w:r>
        <w:rPr>
          <w:rFonts w:hint="eastAsia" w:ascii="宋体" w:hAnsi="宋体"/>
          <w:color w:val="auto"/>
          <w:szCs w:val="21"/>
          <w:highlight w:val="none"/>
        </w:rPr>
        <w:t>单位名称：</w:t>
      </w:r>
    </w:p>
    <w:p>
      <w:pPr>
        <w:shd w:val="clear"/>
        <w:spacing w:line="480" w:lineRule="auto"/>
        <w:rPr>
          <w:rFonts w:ascii="宋体" w:hAnsi="宋体"/>
          <w:color w:val="auto"/>
          <w:szCs w:val="21"/>
          <w:highlight w:val="none"/>
        </w:rPr>
      </w:pPr>
      <w:r>
        <w:rPr>
          <w:rFonts w:hint="eastAsia" w:ascii="宋体" w:hAnsi="宋体"/>
          <w:color w:val="auto"/>
          <w:szCs w:val="21"/>
          <w:highlight w:val="none"/>
        </w:rPr>
        <w:t>单位地址：</w:t>
      </w:r>
    </w:p>
    <w:p>
      <w:pPr>
        <w:shd w:val="clear"/>
        <w:spacing w:line="480" w:lineRule="auto"/>
        <w:rPr>
          <w:rFonts w:ascii="宋体" w:hAnsi="宋体"/>
          <w:color w:val="auto"/>
          <w:szCs w:val="21"/>
          <w:highlight w:val="none"/>
        </w:rPr>
      </w:pPr>
      <w:r>
        <w:rPr>
          <w:rFonts w:hint="eastAsia" w:ascii="宋体" w:hAnsi="宋体"/>
          <w:color w:val="auto"/>
          <w:szCs w:val="21"/>
          <w:highlight w:val="none"/>
        </w:rPr>
        <w:t>联系人：</w:t>
      </w:r>
    </w:p>
    <w:p>
      <w:pPr>
        <w:shd w:val="clear"/>
        <w:spacing w:line="480" w:lineRule="auto"/>
        <w:rPr>
          <w:rFonts w:hint="eastAsia" w:ascii="宋体" w:hAnsi="宋体"/>
          <w:color w:val="auto"/>
          <w:szCs w:val="21"/>
          <w:highlight w:val="none"/>
        </w:rPr>
      </w:pPr>
      <w:r>
        <w:rPr>
          <w:rFonts w:hint="eastAsia" w:ascii="宋体" w:hAnsi="宋体"/>
          <w:color w:val="auto"/>
          <w:szCs w:val="21"/>
          <w:highlight w:val="none"/>
        </w:rPr>
        <w:t xml:space="preserve">单位电话： </w:t>
      </w:r>
    </w:p>
    <w:p>
      <w:pPr>
        <w:shd w:val="clear"/>
        <w:spacing w:line="480" w:lineRule="auto"/>
        <w:rPr>
          <w:rFonts w:ascii="宋体" w:hAnsi="宋体"/>
          <w:color w:val="auto"/>
          <w:szCs w:val="21"/>
          <w:highlight w:val="none"/>
        </w:rPr>
      </w:pPr>
      <w:r>
        <w:rPr>
          <w:rFonts w:hint="eastAsia" w:ascii="宋体" w:hAnsi="宋体"/>
          <w:color w:val="auto"/>
          <w:szCs w:val="21"/>
          <w:highlight w:val="none"/>
        </w:rPr>
        <w:t>联系人手机：</w:t>
      </w:r>
    </w:p>
    <w:p>
      <w:pPr>
        <w:shd w:val="clear"/>
        <w:rPr>
          <w:rFonts w:ascii="宋体" w:hAnsi="宋体"/>
          <w:color w:val="auto"/>
          <w:szCs w:val="21"/>
          <w:highlight w:val="none"/>
        </w:rPr>
      </w:pPr>
    </w:p>
    <w:p>
      <w:pPr>
        <w:shd w:val="clea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hd w:val="clea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89" w:hRule="atLeast"/>
        </w:trPr>
        <w:tc>
          <w:tcPr>
            <w:tcW w:w="8522" w:type="dxa"/>
            <w:vAlign w:val="center"/>
          </w:tcPr>
          <w:p>
            <w:pPr>
              <w:shd w:val="clea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pStyle w:val="8"/>
        <w:numPr>
          <w:ilvl w:val="255"/>
          <w:numId w:val="0"/>
        </w:numPr>
        <w:shd w:val="clear"/>
        <w:tabs>
          <w:tab w:val="left" w:pos="720"/>
          <w:tab w:val="left" w:pos="3840"/>
        </w:tabs>
        <w:jc w:val="both"/>
        <w:rPr>
          <w:rFonts w:ascii="宋体" w:hAnsi="宋体"/>
          <w:color w:val="auto"/>
          <w:sz w:val="21"/>
          <w:szCs w:val="21"/>
          <w:highlight w:val="none"/>
        </w:rPr>
      </w:pPr>
      <w:bookmarkStart w:id="162" w:name="_Toc6476"/>
      <w:bookmarkStart w:id="163" w:name="_Toc25861"/>
      <w:bookmarkStart w:id="164" w:name="_Toc18296"/>
      <w:bookmarkStart w:id="165" w:name="_Toc1562"/>
      <w:bookmarkStart w:id="166" w:name="_Toc4866"/>
      <w:bookmarkStart w:id="167" w:name="_Toc19947"/>
      <w:bookmarkStart w:id="168" w:name="_Toc17028"/>
      <w:bookmarkStart w:id="169" w:name="_Toc2144"/>
      <w:bookmarkStart w:id="170" w:name="_Toc14605"/>
      <w:bookmarkStart w:id="171" w:name="_Toc28623"/>
      <w:bookmarkStart w:id="172" w:name="_Toc2985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.不可撤销履约保函</w:t>
      </w:r>
      <w:bookmarkEnd w:id="162"/>
      <w:bookmarkEnd w:id="163"/>
      <w:bookmarkEnd w:id="164"/>
      <w:bookmarkEnd w:id="165"/>
      <w:bookmarkEnd w:id="166"/>
      <w:bookmarkEnd w:id="167"/>
      <w:bookmarkEnd w:id="168"/>
      <w:bookmarkEnd w:id="169"/>
      <w:bookmarkEnd w:id="170"/>
      <w:bookmarkEnd w:id="171"/>
      <w:bookmarkEnd w:id="172"/>
    </w:p>
    <w:p>
      <w:pPr>
        <w:shd w:val="clear"/>
        <w:jc w:val="center"/>
        <w:rPr>
          <w:rFonts w:ascii="宋体" w:hAnsi="宋体"/>
          <w:color w:val="auto"/>
          <w:highlight w:val="none"/>
        </w:rPr>
      </w:pPr>
      <w:r>
        <w:rPr>
          <w:rFonts w:hint="eastAsia" w:ascii="宋体" w:hAnsi="宋体"/>
          <w:color w:val="auto"/>
          <w:highlight w:val="none"/>
        </w:rPr>
        <w:t>银行编号：</w:t>
      </w:r>
    </w:p>
    <w:p>
      <w:pPr>
        <w:shd w:val="clea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w:t>
      </w:r>
      <w:r>
        <w:rPr>
          <w:rFonts w:hint="eastAsia" w:ascii="宋体" w:hAnsi="宋体"/>
          <w:color w:val="auto"/>
          <w:highlight w:val="none"/>
        </w:rPr>
        <w:t>（</w:t>
      </w:r>
      <w:r>
        <w:rPr>
          <w:rFonts w:hint="eastAsia"/>
          <w:color w:val="auto"/>
          <w:highlight w:val="none"/>
        </w:rPr>
        <w:t>甲方</w:t>
      </w:r>
      <w:r>
        <w:rPr>
          <w:rFonts w:hint="eastAsia" w:ascii="宋体" w:hAnsi="宋体"/>
          <w:color w:val="auto"/>
          <w:highlight w:val="none"/>
        </w:rPr>
        <w:t>）</w:t>
      </w:r>
    </w:p>
    <w:p>
      <w:pPr>
        <w:shd w:val="clea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pPr>
        <w:shd w:val="clea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color w:val="auto"/>
          <w:highlight w:val="none"/>
        </w:rPr>
        <w:t>甲方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pPr>
        <w:shd w:val="clea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color w:val="auto"/>
          <w:highlight w:val="none"/>
        </w:rPr>
        <w:t>甲方</w:t>
      </w:r>
      <w:r>
        <w:rPr>
          <w:rFonts w:hint="eastAsia" w:ascii="宋体" w:hAnsi="宋体"/>
          <w:color w:val="auto"/>
          <w:highlight w:val="none"/>
        </w:rPr>
        <w:t>提出因乙方没有履行上述合同规定，而要求扣划保证金的书面要求后，7个工作日内为</w:t>
      </w:r>
      <w:r>
        <w:rPr>
          <w:rFonts w:hint="eastAsia"/>
          <w:color w:val="auto"/>
          <w:highlight w:val="none"/>
        </w:rPr>
        <w:t>甲方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pPr>
        <w:shd w:val="clea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方还同意，任何甲方与乙方之间可能对合同条款的修改、规范或其他合同文件的变动补充，都不能免除我方按本保函所承担的责任。因此，有关上述变动、补充和修改无须通知我方。</w:t>
      </w:r>
    </w:p>
    <w:p>
      <w:pPr>
        <w:shd w:val="clear"/>
        <w:ind w:firstLine="420" w:firstLineChars="200"/>
        <w:rPr>
          <w:color w:val="auto"/>
          <w:highlight w:val="none"/>
        </w:rPr>
      </w:pPr>
      <w:r>
        <w:rPr>
          <w:rFonts w:hint="eastAsia"/>
          <w:color w:val="auto"/>
          <w:highlight w:val="none"/>
        </w:rPr>
        <w:t>本保函从上述合同签订之日起至项目服务期结束验收合格并完成结算后，双方签字之日起7天内保持有效。</w:t>
      </w:r>
    </w:p>
    <w:p>
      <w:pPr>
        <w:shd w:val="clear"/>
        <w:ind w:firstLine="2824" w:firstLineChars="1345"/>
        <w:rPr>
          <w:rFonts w:ascii="宋体" w:hAnsi="宋体"/>
          <w:color w:val="auto"/>
          <w:highlight w:val="none"/>
        </w:rPr>
      </w:pPr>
    </w:p>
    <w:p>
      <w:pPr>
        <w:shd w:val="clea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r>
        <w:rPr>
          <w:rFonts w:hint="eastAsia" w:ascii="宋体" w:hAnsi="宋体"/>
          <w:color w:val="auto"/>
          <w:highlight w:val="non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pPr>
        <w:pStyle w:val="14"/>
        <w:shd w:val="clear"/>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pPr>
        <w:shd w:val="clear"/>
        <w:rPr>
          <w:rFonts w:ascii="宋体" w:hAnsi="宋体"/>
          <w:color w:val="auto"/>
          <w:szCs w:val="21"/>
          <w:highlight w:val="none"/>
        </w:rPr>
      </w:pPr>
    </w:p>
    <w:p>
      <w:pPr>
        <w:shd w:val="clea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8"/>
        <w:numPr>
          <w:ilvl w:val="255"/>
          <w:numId w:val="0"/>
        </w:numPr>
        <w:shd w:val="clear"/>
        <w:tabs>
          <w:tab w:val="left" w:pos="720"/>
          <w:tab w:val="left" w:pos="3840"/>
        </w:tabs>
        <w:ind w:left="283"/>
        <w:jc w:val="both"/>
        <w:rPr>
          <w:rFonts w:ascii="宋体" w:hAnsi="宋体"/>
          <w:color w:val="auto"/>
          <w:sz w:val="21"/>
          <w:szCs w:val="21"/>
          <w:highlight w:val="none"/>
        </w:rPr>
      </w:pPr>
      <w:bookmarkStart w:id="173" w:name="_Toc1313"/>
      <w:bookmarkStart w:id="174" w:name="_Toc19092"/>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.预付款保函</w:t>
      </w:r>
      <w:bookmarkEnd w:id="173"/>
      <w:r>
        <w:rPr>
          <w:rFonts w:hint="eastAsia" w:ascii="宋体" w:hAnsi="宋体"/>
          <w:color w:val="auto"/>
          <w:sz w:val="21"/>
          <w:szCs w:val="21"/>
          <w:highlight w:val="none"/>
        </w:rPr>
        <w:t>（适用于预付款支付）</w:t>
      </w:r>
      <w:bookmarkEnd w:id="174"/>
    </w:p>
    <w:p>
      <w:pPr>
        <w:pStyle w:val="14"/>
        <w:shd w:val="clear"/>
        <w:rPr>
          <w:color w:val="auto"/>
          <w:szCs w:val="24"/>
          <w:highlight w:val="none"/>
        </w:rPr>
      </w:pPr>
    </w:p>
    <w:p>
      <w:pPr>
        <w:shd w:val="clear"/>
        <w:jc w:val="center"/>
        <w:rPr>
          <w:rFonts w:ascii="黑体" w:eastAsia="黑体"/>
          <w:color w:val="auto"/>
          <w:sz w:val="28"/>
          <w:szCs w:val="28"/>
          <w:highlight w:val="none"/>
        </w:rPr>
      </w:pPr>
      <w:bookmarkStart w:id="175" w:name="_Toc3295"/>
      <w:bookmarkStart w:id="176" w:name="_Toc29054"/>
      <w:bookmarkStart w:id="177" w:name="_Toc6877"/>
      <w:bookmarkStart w:id="178" w:name="_Toc10719"/>
      <w:bookmarkStart w:id="179" w:name="_Toc29728"/>
      <w:bookmarkStart w:id="180" w:name="_Toc27545"/>
      <w:bookmarkStart w:id="181" w:name="_Toc25494"/>
      <w:bookmarkStart w:id="182" w:name="_Toc31418"/>
      <w:bookmarkStart w:id="183" w:name="_Toc1039"/>
      <w:bookmarkStart w:id="184" w:name="_Toc20669"/>
      <w:bookmarkStart w:id="185" w:name="_Toc10315"/>
      <w:bookmarkStart w:id="186" w:name="_Toc7374"/>
      <w:r>
        <w:rPr>
          <w:rFonts w:hint="eastAsia" w:ascii="黑体" w:eastAsia="黑体"/>
          <w:color w:val="auto"/>
          <w:sz w:val="28"/>
          <w:szCs w:val="28"/>
          <w:highlight w:val="none"/>
        </w:rPr>
        <w:t>不可撤销预付款保函</w:t>
      </w:r>
      <w:bookmarkEnd w:id="175"/>
      <w:bookmarkEnd w:id="176"/>
      <w:bookmarkEnd w:id="177"/>
      <w:bookmarkEnd w:id="178"/>
      <w:bookmarkEnd w:id="179"/>
      <w:bookmarkEnd w:id="180"/>
      <w:bookmarkEnd w:id="181"/>
      <w:bookmarkEnd w:id="182"/>
      <w:bookmarkEnd w:id="183"/>
      <w:bookmarkEnd w:id="184"/>
      <w:bookmarkEnd w:id="185"/>
      <w:bookmarkEnd w:id="186"/>
    </w:p>
    <w:p>
      <w:pPr>
        <w:shd w:val="clea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shd w:val="clear"/>
        <w:ind w:firstLine="6300"/>
        <w:rPr>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shd w:val="clea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shd w:val="clea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shd w:val="clea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shd w:val="clea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shd w:val="clea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shd w:val="clear"/>
        <w:rPr>
          <w:rFonts w:ascii="宋体" w:hAnsi="宋体"/>
          <w:color w:val="auto"/>
          <w:szCs w:val="21"/>
          <w:highlight w:val="none"/>
        </w:rPr>
      </w:pPr>
    </w:p>
    <w:p>
      <w:pPr>
        <w:shd w:val="clear"/>
        <w:ind w:firstLine="437"/>
        <w:rPr>
          <w:rFonts w:ascii="宋体" w:hAnsi="宋体"/>
          <w:color w:val="auto"/>
          <w:szCs w:val="21"/>
          <w:highlight w:val="none"/>
        </w:rPr>
      </w:pPr>
    </w:p>
    <w:p>
      <w:pPr>
        <w:shd w:val="clea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4"/>
        <w:shd w:val="clear"/>
        <w:rPr>
          <w:color w:val="auto"/>
          <w:szCs w:val="21"/>
          <w:highlight w:val="none"/>
        </w:rPr>
      </w:pPr>
    </w:p>
    <w:p>
      <w:pPr>
        <w:pStyle w:val="14"/>
        <w:shd w:val="clear"/>
        <w:rPr>
          <w:color w:val="auto"/>
          <w:szCs w:val="21"/>
          <w:highlight w:val="none"/>
        </w:rPr>
      </w:pPr>
    </w:p>
    <w:p>
      <w:pPr>
        <w:shd w:val="clea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pPr>
        <w:shd w:val="clea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shd w:val="clear"/>
        <w:jc w:val="center"/>
        <w:outlineLvl w:val="1"/>
        <w:rPr>
          <w:rFonts w:eastAsia="黑体"/>
          <w:color w:val="auto"/>
          <w:sz w:val="72"/>
          <w:szCs w:val="72"/>
          <w:highlight w:val="none"/>
        </w:rPr>
      </w:pPr>
      <w:bookmarkStart w:id="187" w:name="_Toc23426"/>
      <w:r>
        <w:rPr>
          <w:rFonts w:hint="eastAsia" w:eastAsia="黑体"/>
          <w:color w:val="auto"/>
          <w:sz w:val="72"/>
          <w:szCs w:val="72"/>
          <w:highlight w:val="none"/>
        </w:rPr>
        <w:t>唱标信封</w:t>
      </w:r>
      <w:bookmarkEnd w:id="187"/>
    </w:p>
    <w:p>
      <w:pPr>
        <w:shd w:val="clea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shd w:val="clear"/>
        <w:rPr>
          <w:color w:val="auto"/>
          <w:highlight w:val="none"/>
        </w:rPr>
      </w:pPr>
    </w:p>
    <w:p>
      <w:pPr>
        <w:pStyle w:val="2"/>
        <w:shd w:val="clear"/>
        <w:rPr>
          <w:color w:val="auto"/>
          <w:highlight w:val="none"/>
        </w:rPr>
      </w:pPr>
    </w:p>
    <w:p>
      <w:pPr>
        <w:shd w:val="clear"/>
        <w:ind w:firstLine="240"/>
        <w:rPr>
          <w:color w:val="auto"/>
          <w:highlight w:val="none"/>
        </w:rPr>
      </w:pPr>
    </w:p>
    <w:p>
      <w:pPr>
        <w:shd w:val="clear"/>
        <w:ind w:firstLine="240"/>
        <w:rPr>
          <w:color w:val="auto"/>
          <w:highlight w:val="none"/>
        </w:rPr>
      </w:pPr>
    </w:p>
    <w:p>
      <w:pPr>
        <w:shd w:val="clea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shd w:val="clea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2"/>
        <w:shd w:val="clear"/>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shd w:val="clea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pPr>
        <w:shd w:val="clea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8"/>
        <w:numPr>
          <w:ilvl w:val="255"/>
          <w:numId w:val="0"/>
        </w:numPr>
        <w:shd w:val="clear"/>
        <w:tabs>
          <w:tab w:val="left" w:pos="720"/>
          <w:tab w:val="left" w:pos="3840"/>
        </w:tabs>
        <w:ind w:left="283"/>
        <w:jc w:val="both"/>
        <w:rPr>
          <w:rFonts w:ascii="宋体" w:hAnsi="宋体"/>
          <w:color w:val="auto"/>
          <w:sz w:val="21"/>
          <w:szCs w:val="21"/>
          <w:highlight w:val="none"/>
        </w:rPr>
      </w:pPr>
      <w:bookmarkStart w:id="188" w:name="_Toc9746"/>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.唱标信封内装（内容务必与投标文件正本一致）</w:t>
      </w:r>
      <w:bookmarkEnd w:id="188"/>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一、</w:t>
      </w:r>
      <w:r>
        <w:rPr>
          <w:rFonts w:hint="eastAsia" w:hAnsi="宋体"/>
          <w:color w:val="auto"/>
          <w:szCs w:val="21"/>
          <w:highlight w:val="none"/>
        </w:rPr>
        <w:t>开标一览表加盖公章；</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二、</w:t>
      </w:r>
      <w:r>
        <w:rPr>
          <w:rFonts w:hint="eastAsia" w:hAnsi="宋体"/>
          <w:color w:val="auto"/>
          <w:szCs w:val="21"/>
          <w:highlight w:val="none"/>
        </w:rPr>
        <w:t>法定代表人证明书加盖公章；</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三、</w:t>
      </w:r>
      <w:r>
        <w:rPr>
          <w:rFonts w:hint="eastAsia" w:hAnsi="宋体"/>
          <w:color w:val="auto"/>
          <w:szCs w:val="21"/>
          <w:highlight w:val="none"/>
        </w:rPr>
        <w:t>法定代表人授权委托书加盖公章（法定代表人投标的除外）；</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四、</w:t>
      </w:r>
      <w:r>
        <w:rPr>
          <w:rFonts w:hint="eastAsia" w:hAnsi="宋体"/>
          <w:color w:val="auto"/>
          <w:szCs w:val="21"/>
          <w:highlight w:val="none"/>
        </w:rPr>
        <w:t>投标保证金汇入情况说明（含银行汇款凭证）或投标保函加盖公章；</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五、</w:t>
      </w:r>
      <w:r>
        <w:rPr>
          <w:rFonts w:hint="eastAsia" w:hAnsi="宋体"/>
          <w:color w:val="auto"/>
          <w:szCs w:val="21"/>
          <w:highlight w:val="none"/>
        </w:rPr>
        <w:t>投标文件电子文件（U盘，须含盖章版PDF投标文件和WORD版投标文件各一版，文字采用WORD文档，计算表格采用 EXCEL文档。）</w:t>
      </w:r>
    </w:p>
    <w:p>
      <w:pPr>
        <w:shd w:val="clear"/>
        <w:rPr>
          <w:rFonts w:ascii="宋体" w:hAnsi="宋体" w:cs="宋体"/>
          <w:color w:val="auto"/>
          <w:szCs w:val="21"/>
          <w:highlight w:val="none"/>
        </w:rPr>
      </w:pPr>
    </w:p>
    <w:sectPr>
      <w:pgSz w:w="11906" w:h="16838"/>
      <w:pgMar w:top="1440" w:right="1800" w:bottom="1440" w:left="1800" w:header="708" w:footer="708" w:gutter="0"/>
      <w:pgNumType w:fmt="decimal"/>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20"/>
                            <w:jc w:val="center"/>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69</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108</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xsfqk0wAAAAUB&#10;AAAPAAAAAAAAAAEAIAAAACIAAABkcnMvZG93bnJldi54bWxQSwECFAAUAAAACACHTuJAwUn3La4B&#10;AABCAwAADgAAAAAAAAABACAAAAAiAQAAZHJzL2Uyb0RvYy54bWxQSwUGAAAAAAYABgBZAQAAQgUA&#10;AAAA&#10;">
              <v:fill on="f" focussize="0,0"/>
              <v:stroke on="f"/>
              <v:imagedata o:title=""/>
              <o:lock v:ext="edit" aspectratio="f"/>
              <v:textbox inset="0mm,0mm,0mm,0mm" style="mso-fit-shape-to-text:t;">
                <w:txbxContent>
                  <w:p>
                    <w:pPr>
                      <w:pStyle w:val="20"/>
                      <w:jc w:val="center"/>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69</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108</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2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ggSLNIAAAAFAQAA&#10;DwAAAAAAAAABACAAAAAiAAAAZHJzL2Rvd25yZXYueG1sUEsBAhQAFAAAAAgAh07iQPzF/Y2tAQAA&#10;QgMAAA4AAAAAAAAAAQAgAAAAIQEAAGRycy9lMm9Eb2MueG1sUEsFBgAAAAAGAAYAWQEAAEAFAAAA&#10;AA==&#10;">
              <v:fill on="f" focussize="0,0"/>
              <v:stroke on="f"/>
              <v:imagedata o:title=""/>
              <o:lock v:ext="edit" aspectratio="f"/>
              <v:textbox inset="0mm,0mm,0mm,0mm" style="mso-fit-shape-to-text:t;">
                <w:txbxContent>
                  <w:p>
                    <w:pPr>
                      <w:pStyle w:val="2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F88662E"/>
    <w:multiLevelType w:val="singleLevel"/>
    <w:tmpl w:val="3F88662E"/>
    <w:lvl w:ilvl="0" w:tentative="0">
      <w:start w:val="1"/>
      <w:numFmt w:val="decimal"/>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0"/>
  </w:num>
  <w:num w:numId="4">
    <w:abstractNumId w:val="7"/>
  </w:num>
  <w:num w:numId="5">
    <w:abstractNumId w:val="4"/>
  </w:num>
  <w:num w:numId="6">
    <w:abstractNumId w:val="1"/>
  </w:num>
  <w:num w:numId="7">
    <w:abstractNumId w:val="3"/>
  </w:num>
  <w:num w:numId="8">
    <w:abstractNumId w:val="5"/>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RmOWQwY2JlNzVlNGZlZDM1ZTI4ZTVmZWUxNTA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E2CB7"/>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56C"/>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0211"/>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51343"/>
    <w:rsid w:val="02D964CF"/>
    <w:rsid w:val="02DE5ECF"/>
    <w:rsid w:val="02E74073"/>
    <w:rsid w:val="02EF6DB1"/>
    <w:rsid w:val="02F713C2"/>
    <w:rsid w:val="03080482"/>
    <w:rsid w:val="0367744E"/>
    <w:rsid w:val="03707410"/>
    <w:rsid w:val="039240A3"/>
    <w:rsid w:val="03A0770F"/>
    <w:rsid w:val="03A448B8"/>
    <w:rsid w:val="03C01631"/>
    <w:rsid w:val="03C656A9"/>
    <w:rsid w:val="03F33148"/>
    <w:rsid w:val="042F3419"/>
    <w:rsid w:val="044566F3"/>
    <w:rsid w:val="044841D6"/>
    <w:rsid w:val="047B4012"/>
    <w:rsid w:val="047F2DDF"/>
    <w:rsid w:val="04815FBF"/>
    <w:rsid w:val="04822497"/>
    <w:rsid w:val="04974587"/>
    <w:rsid w:val="04DF1036"/>
    <w:rsid w:val="0599183C"/>
    <w:rsid w:val="05A97DEC"/>
    <w:rsid w:val="05B23978"/>
    <w:rsid w:val="05C81981"/>
    <w:rsid w:val="060C3203"/>
    <w:rsid w:val="065A6D82"/>
    <w:rsid w:val="069B4E4A"/>
    <w:rsid w:val="06BC41F2"/>
    <w:rsid w:val="06F415CC"/>
    <w:rsid w:val="070E26CD"/>
    <w:rsid w:val="07197D08"/>
    <w:rsid w:val="071E5C55"/>
    <w:rsid w:val="075C1FE5"/>
    <w:rsid w:val="076B4CB0"/>
    <w:rsid w:val="077005AB"/>
    <w:rsid w:val="078270C7"/>
    <w:rsid w:val="078F4581"/>
    <w:rsid w:val="079529C6"/>
    <w:rsid w:val="07BF027F"/>
    <w:rsid w:val="08031A31"/>
    <w:rsid w:val="08307C7E"/>
    <w:rsid w:val="08420CAE"/>
    <w:rsid w:val="08574B3D"/>
    <w:rsid w:val="0858198D"/>
    <w:rsid w:val="08D357C5"/>
    <w:rsid w:val="08E0126D"/>
    <w:rsid w:val="08E352B9"/>
    <w:rsid w:val="09061A75"/>
    <w:rsid w:val="09182241"/>
    <w:rsid w:val="09487C65"/>
    <w:rsid w:val="095908C6"/>
    <w:rsid w:val="095F1030"/>
    <w:rsid w:val="09855177"/>
    <w:rsid w:val="09EE5125"/>
    <w:rsid w:val="0A2522FD"/>
    <w:rsid w:val="0A327478"/>
    <w:rsid w:val="0A462748"/>
    <w:rsid w:val="0A4D0C81"/>
    <w:rsid w:val="0A723E95"/>
    <w:rsid w:val="0A733243"/>
    <w:rsid w:val="0A8376F2"/>
    <w:rsid w:val="0A846743"/>
    <w:rsid w:val="0A873F23"/>
    <w:rsid w:val="0AA534D5"/>
    <w:rsid w:val="0AA650EB"/>
    <w:rsid w:val="0AA7129C"/>
    <w:rsid w:val="0AE26205"/>
    <w:rsid w:val="0AF47339"/>
    <w:rsid w:val="0B22594B"/>
    <w:rsid w:val="0B27506F"/>
    <w:rsid w:val="0B7724E1"/>
    <w:rsid w:val="0B8C04A6"/>
    <w:rsid w:val="0B9610F4"/>
    <w:rsid w:val="0B99757D"/>
    <w:rsid w:val="0BBF77A4"/>
    <w:rsid w:val="0BD16C8D"/>
    <w:rsid w:val="0BDF26F7"/>
    <w:rsid w:val="0C027DB2"/>
    <w:rsid w:val="0C2B4952"/>
    <w:rsid w:val="0C322F8A"/>
    <w:rsid w:val="0C4607E5"/>
    <w:rsid w:val="0C516C55"/>
    <w:rsid w:val="0C560447"/>
    <w:rsid w:val="0C7B2220"/>
    <w:rsid w:val="0C8D493C"/>
    <w:rsid w:val="0CB67D83"/>
    <w:rsid w:val="0CCB3545"/>
    <w:rsid w:val="0CD20599"/>
    <w:rsid w:val="0CE53018"/>
    <w:rsid w:val="0D0B5B12"/>
    <w:rsid w:val="0D133046"/>
    <w:rsid w:val="0D153F28"/>
    <w:rsid w:val="0D1C792E"/>
    <w:rsid w:val="0D3A0F98"/>
    <w:rsid w:val="0D423216"/>
    <w:rsid w:val="0D6A4502"/>
    <w:rsid w:val="0D7415CA"/>
    <w:rsid w:val="0D890E47"/>
    <w:rsid w:val="0DC64A00"/>
    <w:rsid w:val="0DEB5FFA"/>
    <w:rsid w:val="0DF67134"/>
    <w:rsid w:val="0DF75C46"/>
    <w:rsid w:val="0DFC60BA"/>
    <w:rsid w:val="0E1C06B2"/>
    <w:rsid w:val="0E69691B"/>
    <w:rsid w:val="0EBB5484"/>
    <w:rsid w:val="0EBD5AA3"/>
    <w:rsid w:val="0EFB07FA"/>
    <w:rsid w:val="0F407E8F"/>
    <w:rsid w:val="0F5723EF"/>
    <w:rsid w:val="0F5F5360"/>
    <w:rsid w:val="0F7C5FF6"/>
    <w:rsid w:val="0F7D04FC"/>
    <w:rsid w:val="0FC63FBD"/>
    <w:rsid w:val="0FD54DCA"/>
    <w:rsid w:val="0FDD003F"/>
    <w:rsid w:val="0FF87EA4"/>
    <w:rsid w:val="0FFF7484"/>
    <w:rsid w:val="10066939"/>
    <w:rsid w:val="100B77ED"/>
    <w:rsid w:val="101D47AD"/>
    <w:rsid w:val="10305890"/>
    <w:rsid w:val="103D5A1A"/>
    <w:rsid w:val="105847E5"/>
    <w:rsid w:val="106C564D"/>
    <w:rsid w:val="106E0AED"/>
    <w:rsid w:val="107B7B8F"/>
    <w:rsid w:val="107C67CE"/>
    <w:rsid w:val="10912D03"/>
    <w:rsid w:val="1092666B"/>
    <w:rsid w:val="109D68CB"/>
    <w:rsid w:val="10A949B8"/>
    <w:rsid w:val="10AB5D61"/>
    <w:rsid w:val="11144AFE"/>
    <w:rsid w:val="11200D07"/>
    <w:rsid w:val="11410632"/>
    <w:rsid w:val="115E03E3"/>
    <w:rsid w:val="11786AB5"/>
    <w:rsid w:val="118049D4"/>
    <w:rsid w:val="118561F8"/>
    <w:rsid w:val="11942D84"/>
    <w:rsid w:val="11B21219"/>
    <w:rsid w:val="11DA73AF"/>
    <w:rsid w:val="11FC1ECD"/>
    <w:rsid w:val="124D097B"/>
    <w:rsid w:val="12511265"/>
    <w:rsid w:val="126D4818"/>
    <w:rsid w:val="1283614B"/>
    <w:rsid w:val="12856FF3"/>
    <w:rsid w:val="129671FB"/>
    <w:rsid w:val="12A576FF"/>
    <w:rsid w:val="12C60D80"/>
    <w:rsid w:val="130523B3"/>
    <w:rsid w:val="131356D4"/>
    <w:rsid w:val="131F7A3A"/>
    <w:rsid w:val="132645D0"/>
    <w:rsid w:val="133D4061"/>
    <w:rsid w:val="13455ABC"/>
    <w:rsid w:val="1370322B"/>
    <w:rsid w:val="13BA0460"/>
    <w:rsid w:val="13BB41AE"/>
    <w:rsid w:val="13C24F9B"/>
    <w:rsid w:val="13C45A18"/>
    <w:rsid w:val="13C9247B"/>
    <w:rsid w:val="13D6515C"/>
    <w:rsid w:val="13F13CC6"/>
    <w:rsid w:val="143B2E0B"/>
    <w:rsid w:val="14671645"/>
    <w:rsid w:val="14725FF6"/>
    <w:rsid w:val="147C1943"/>
    <w:rsid w:val="148054E9"/>
    <w:rsid w:val="14892735"/>
    <w:rsid w:val="14CC769D"/>
    <w:rsid w:val="14D764D5"/>
    <w:rsid w:val="14EF61BF"/>
    <w:rsid w:val="14F43330"/>
    <w:rsid w:val="15004CB2"/>
    <w:rsid w:val="150F7FEC"/>
    <w:rsid w:val="15436F05"/>
    <w:rsid w:val="15691FE3"/>
    <w:rsid w:val="158B5DDD"/>
    <w:rsid w:val="15B11221"/>
    <w:rsid w:val="15C16EB3"/>
    <w:rsid w:val="15CB76C9"/>
    <w:rsid w:val="15D359D7"/>
    <w:rsid w:val="15E77A4F"/>
    <w:rsid w:val="160E7A2C"/>
    <w:rsid w:val="16276202"/>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C93012"/>
    <w:rsid w:val="17E62B67"/>
    <w:rsid w:val="180F4499"/>
    <w:rsid w:val="182201B4"/>
    <w:rsid w:val="18221ECE"/>
    <w:rsid w:val="183C3D90"/>
    <w:rsid w:val="1859036F"/>
    <w:rsid w:val="18681814"/>
    <w:rsid w:val="18B0649B"/>
    <w:rsid w:val="18D418FC"/>
    <w:rsid w:val="18DA4DC1"/>
    <w:rsid w:val="18E5143F"/>
    <w:rsid w:val="18E83469"/>
    <w:rsid w:val="18FC7745"/>
    <w:rsid w:val="19117D89"/>
    <w:rsid w:val="192F3B7C"/>
    <w:rsid w:val="19353F17"/>
    <w:rsid w:val="19864975"/>
    <w:rsid w:val="19864EEB"/>
    <w:rsid w:val="19961DFC"/>
    <w:rsid w:val="19D1065C"/>
    <w:rsid w:val="19DD405E"/>
    <w:rsid w:val="1A121864"/>
    <w:rsid w:val="1A2D591D"/>
    <w:rsid w:val="1A460CF5"/>
    <w:rsid w:val="1A7F297D"/>
    <w:rsid w:val="1A9D6244"/>
    <w:rsid w:val="1AB16AC1"/>
    <w:rsid w:val="1ABF1CEA"/>
    <w:rsid w:val="1B014DDE"/>
    <w:rsid w:val="1B0320FB"/>
    <w:rsid w:val="1B034A52"/>
    <w:rsid w:val="1B2640F6"/>
    <w:rsid w:val="1B45344E"/>
    <w:rsid w:val="1B5C148D"/>
    <w:rsid w:val="1B5D76FB"/>
    <w:rsid w:val="1B683578"/>
    <w:rsid w:val="1B8C0040"/>
    <w:rsid w:val="1BDE2F66"/>
    <w:rsid w:val="1C750ECE"/>
    <w:rsid w:val="1CA56AF4"/>
    <w:rsid w:val="1CD667CB"/>
    <w:rsid w:val="1CE25AF9"/>
    <w:rsid w:val="1CE33793"/>
    <w:rsid w:val="1D196139"/>
    <w:rsid w:val="1D372585"/>
    <w:rsid w:val="1D4E4D36"/>
    <w:rsid w:val="1D5E02D1"/>
    <w:rsid w:val="1D7F0ED0"/>
    <w:rsid w:val="1D916A7F"/>
    <w:rsid w:val="1D921938"/>
    <w:rsid w:val="1DBB6100"/>
    <w:rsid w:val="1DBE6816"/>
    <w:rsid w:val="1DCB4FF1"/>
    <w:rsid w:val="1DF20D7E"/>
    <w:rsid w:val="1E010AF7"/>
    <w:rsid w:val="1E1C405A"/>
    <w:rsid w:val="1E2E29E0"/>
    <w:rsid w:val="1E301173"/>
    <w:rsid w:val="1E884D18"/>
    <w:rsid w:val="1ED8781E"/>
    <w:rsid w:val="1EDD3235"/>
    <w:rsid w:val="1EE02ACA"/>
    <w:rsid w:val="1EFB2A87"/>
    <w:rsid w:val="1F1102B0"/>
    <w:rsid w:val="1F2F1047"/>
    <w:rsid w:val="1F2F2B69"/>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C799E"/>
    <w:rsid w:val="21101BAA"/>
    <w:rsid w:val="21286DA7"/>
    <w:rsid w:val="2134683B"/>
    <w:rsid w:val="214B7427"/>
    <w:rsid w:val="21545CAE"/>
    <w:rsid w:val="219068BB"/>
    <w:rsid w:val="21C82E72"/>
    <w:rsid w:val="21DE0801"/>
    <w:rsid w:val="21DE339D"/>
    <w:rsid w:val="21E95CDD"/>
    <w:rsid w:val="2203115E"/>
    <w:rsid w:val="22154DDD"/>
    <w:rsid w:val="22336873"/>
    <w:rsid w:val="22396826"/>
    <w:rsid w:val="22412CD8"/>
    <w:rsid w:val="225471A3"/>
    <w:rsid w:val="225E34DC"/>
    <w:rsid w:val="227D1295"/>
    <w:rsid w:val="229412E0"/>
    <w:rsid w:val="22AB3B7D"/>
    <w:rsid w:val="22AF3A08"/>
    <w:rsid w:val="22F92F75"/>
    <w:rsid w:val="23172FFC"/>
    <w:rsid w:val="23551361"/>
    <w:rsid w:val="23BB4E7D"/>
    <w:rsid w:val="23C172D6"/>
    <w:rsid w:val="23D77537"/>
    <w:rsid w:val="23E6195D"/>
    <w:rsid w:val="23F04F64"/>
    <w:rsid w:val="24087BF9"/>
    <w:rsid w:val="24814CBE"/>
    <w:rsid w:val="24AC168B"/>
    <w:rsid w:val="24BB6664"/>
    <w:rsid w:val="24BD406A"/>
    <w:rsid w:val="24D23A61"/>
    <w:rsid w:val="24F73430"/>
    <w:rsid w:val="250E1318"/>
    <w:rsid w:val="25467247"/>
    <w:rsid w:val="254D0389"/>
    <w:rsid w:val="25884C5D"/>
    <w:rsid w:val="258C3BEC"/>
    <w:rsid w:val="25A03144"/>
    <w:rsid w:val="25B2479F"/>
    <w:rsid w:val="25C15C5D"/>
    <w:rsid w:val="25C17928"/>
    <w:rsid w:val="25D329B9"/>
    <w:rsid w:val="25E5427A"/>
    <w:rsid w:val="26276A31"/>
    <w:rsid w:val="26366F9D"/>
    <w:rsid w:val="263B1230"/>
    <w:rsid w:val="263D5C7E"/>
    <w:rsid w:val="2642752B"/>
    <w:rsid w:val="26485508"/>
    <w:rsid w:val="26554808"/>
    <w:rsid w:val="26607D95"/>
    <w:rsid w:val="26700955"/>
    <w:rsid w:val="268166B9"/>
    <w:rsid w:val="26A16AE9"/>
    <w:rsid w:val="26A27AE1"/>
    <w:rsid w:val="26A605D9"/>
    <w:rsid w:val="26AD0500"/>
    <w:rsid w:val="26B121A3"/>
    <w:rsid w:val="26E962CF"/>
    <w:rsid w:val="26F34269"/>
    <w:rsid w:val="272E3097"/>
    <w:rsid w:val="272E6F74"/>
    <w:rsid w:val="27501685"/>
    <w:rsid w:val="277E6655"/>
    <w:rsid w:val="279313E1"/>
    <w:rsid w:val="27933DEA"/>
    <w:rsid w:val="27AF30E6"/>
    <w:rsid w:val="27B36A67"/>
    <w:rsid w:val="27BE6794"/>
    <w:rsid w:val="281E404F"/>
    <w:rsid w:val="28302479"/>
    <w:rsid w:val="2846581F"/>
    <w:rsid w:val="284A5CA4"/>
    <w:rsid w:val="286602C8"/>
    <w:rsid w:val="28665C95"/>
    <w:rsid w:val="28716D1C"/>
    <w:rsid w:val="28736F5F"/>
    <w:rsid w:val="28833BE9"/>
    <w:rsid w:val="28851EB4"/>
    <w:rsid w:val="28B01D1E"/>
    <w:rsid w:val="28C2628C"/>
    <w:rsid w:val="28CC3373"/>
    <w:rsid w:val="28F579BA"/>
    <w:rsid w:val="290B3EB9"/>
    <w:rsid w:val="292728C1"/>
    <w:rsid w:val="292C7FA1"/>
    <w:rsid w:val="2940493E"/>
    <w:rsid w:val="2950768C"/>
    <w:rsid w:val="297A5FC4"/>
    <w:rsid w:val="29B41DA5"/>
    <w:rsid w:val="29E14657"/>
    <w:rsid w:val="29E474B8"/>
    <w:rsid w:val="29ED574B"/>
    <w:rsid w:val="29FA2D3E"/>
    <w:rsid w:val="29FE5CE6"/>
    <w:rsid w:val="2A1E49FE"/>
    <w:rsid w:val="2A323294"/>
    <w:rsid w:val="2A5C784F"/>
    <w:rsid w:val="2A600C13"/>
    <w:rsid w:val="2A633B90"/>
    <w:rsid w:val="2A68500A"/>
    <w:rsid w:val="2A743AE8"/>
    <w:rsid w:val="2A8D4F8F"/>
    <w:rsid w:val="2A901BEE"/>
    <w:rsid w:val="2A917B34"/>
    <w:rsid w:val="2A9308A8"/>
    <w:rsid w:val="2A9475FF"/>
    <w:rsid w:val="2A9F5AB8"/>
    <w:rsid w:val="2AAA0AA2"/>
    <w:rsid w:val="2AD74E8C"/>
    <w:rsid w:val="2AE3766F"/>
    <w:rsid w:val="2AE74CEF"/>
    <w:rsid w:val="2AEC612E"/>
    <w:rsid w:val="2B0E56AB"/>
    <w:rsid w:val="2B276305"/>
    <w:rsid w:val="2B54704F"/>
    <w:rsid w:val="2B590601"/>
    <w:rsid w:val="2B7E4054"/>
    <w:rsid w:val="2B9B5A44"/>
    <w:rsid w:val="2BA45A85"/>
    <w:rsid w:val="2BAF142F"/>
    <w:rsid w:val="2BB12905"/>
    <w:rsid w:val="2BBA6A76"/>
    <w:rsid w:val="2BCC03D1"/>
    <w:rsid w:val="2C035AE6"/>
    <w:rsid w:val="2C0C6D59"/>
    <w:rsid w:val="2C787BAC"/>
    <w:rsid w:val="2C7F037B"/>
    <w:rsid w:val="2C8903AA"/>
    <w:rsid w:val="2C8E776E"/>
    <w:rsid w:val="2C8E7BB8"/>
    <w:rsid w:val="2C987C56"/>
    <w:rsid w:val="2CA156F3"/>
    <w:rsid w:val="2CC11460"/>
    <w:rsid w:val="2CC15BAA"/>
    <w:rsid w:val="2CDC3153"/>
    <w:rsid w:val="2CDF621C"/>
    <w:rsid w:val="2CE136D7"/>
    <w:rsid w:val="2CFE7A11"/>
    <w:rsid w:val="2CFF149A"/>
    <w:rsid w:val="2D1B6577"/>
    <w:rsid w:val="2D201865"/>
    <w:rsid w:val="2D2F67DA"/>
    <w:rsid w:val="2D4B5CEA"/>
    <w:rsid w:val="2D4C5B4C"/>
    <w:rsid w:val="2D4C6B07"/>
    <w:rsid w:val="2D514661"/>
    <w:rsid w:val="2D6273B2"/>
    <w:rsid w:val="2D652658"/>
    <w:rsid w:val="2D964A56"/>
    <w:rsid w:val="2DC16E0A"/>
    <w:rsid w:val="2DC80C49"/>
    <w:rsid w:val="2DCA6355"/>
    <w:rsid w:val="2DD85F0E"/>
    <w:rsid w:val="2E166748"/>
    <w:rsid w:val="2E2054A0"/>
    <w:rsid w:val="2E482374"/>
    <w:rsid w:val="2E556F01"/>
    <w:rsid w:val="2E8345A7"/>
    <w:rsid w:val="2E8E20B4"/>
    <w:rsid w:val="2EAA7BAE"/>
    <w:rsid w:val="2EC0235F"/>
    <w:rsid w:val="2EC1207D"/>
    <w:rsid w:val="2ED06066"/>
    <w:rsid w:val="2ED1223D"/>
    <w:rsid w:val="2F000139"/>
    <w:rsid w:val="2F1B303D"/>
    <w:rsid w:val="2F3925CB"/>
    <w:rsid w:val="2F65799D"/>
    <w:rsid w:val="2F8A2880"/>
    <w:rsid w:val="2F9F42DC"/>
    <w:rsid w:val="2FAC3772"/>
    <w:rsid w:val="2FB401AB"/>
    <w:rsid w:val="2FB62C2F"/>
    <w:rsid w:val="2FBC2844"/>
    <w:rsid w:val="2FBD57BB"/>
    <w:rsid w:val="2FC32F68"/>
    <w:rsid w:val="2FF37AB3"/>
    <w:rsid w:val="30210B8A"/>
    <w:rsid w:val="30224DC7"/>
    <w:rsid w:val="303265F2"/>
    <w:rsid w:val="303B4C3F"/>
    <w:rsid w:val="30476D7A"/>
    <w:rsid w:val="3073310C"/>
    <w:rsid w:val="309D6BE6"/>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F50547"/>
    <w:rsid w:val="330E23C2"/>
    <w:rsid w:val="33247607"/>
    <w:rsid w:val="33487C23"/>
    <w:rsid w:val="335D0AF5"/>
    <w:rsid w:val="3370088C"/>
    <w:rsid w:val="33735C77"/>
    <w:rsid w:val="33807C90"/>
    <w:rsid w:val="339A687B"/>
    <w:rsid w:val="33C14594"/>
    <w:rsid w:val="33DC2F78"/>
    <w:rsid w:val="3428227C"/>
    <w:rsid w:val="343230D5"/>
    <w:rsid w:val="3439428E"/>
    <w:rsid w:val="347918A5"/>
    <w:rsid w:val="349D37D5"/>
    <w:rsid w:val="34A61BDE"/>
    <w:rsid w:val="34BC3BF7"/>
    <w:rsid w:val="3522586C"/>
    <w:rsid w:val="35572473"/>
    <w:rsid w:val="35602226"/>
    <w:rsid w:val="356B72E7"/>
    <w:rsid w:val="356D2AC8"/>
    <w:rsid w:val="3572424F"/>
    <w:rsid w:val="35866014"/>
    <w:rsid w:val="359E5CE0"/>
    <w:rsid w:val="362B215D"/>
    <w:rsid w:val="363E0D05"/>
    <w:rsid w:val="367801A9"/>
    <w:rsid w:val="36AD519D"/>
    <w:rsid w:val="36B57705"/>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B66D0C"/>
    <w:rsid w:val="38EB6119"/>
    <w:rsid w:val="38ED3021"/>
    <w:rsid w:val="392D500E"/>
    <w:rsid w:val="396678D9"/>
    <w:rsid w:val="39736669"/>
    <w:rsid w:val="397A0ADB"/>
    <w:rsid w:val="39954B2B"/>
    <w:rsid w:val="39DA2245"/>
    <w:rsid w:val="39E2719D"/>
    <w:rsid w:val="39E66E3B"/>
    <w:rsid w:val="39FD4CC2"/>
    <w:rsid w:val="3A3137C7"/>
    <w:rsid w:val="3A3A7721"/>
    <w:rsid w:val="3A51228C"/>
    <w:rsid w:val="3A545E48"/>
    <w:rsid w:val="3A552E60"/>
    <w:rsid w:val="3A5D642F"/>
    <w:rsid w:val="3A744447"/>
    <w:rsid w:val="3A78219D"/>
    <w:rsid w:val="3A995C5C"/>
    <w:rsid w:val="3A9A2B1E"/>
    <w:rsid w:val="3AB210FC"/>
    <w:rsid w:val="3B043A1D"/>
    <w:rsid w:val="3B212C76"/>
    <w:rsid w:val="3B793A48"/>
    <w:rsid w:val="3B85393E"/>
    <w:rsid w:val="3BCA4B8A"/>
    <w:rsid w:val="3BCD72F7"/>
    <w:rsid w:val="3BF4153E"/>
    <w:rsid w:val="3C37146A"/>
    <w:rsid w:val="3C3D3625"/>
    <w:rsid w:val="3C414142"/>
    <w:rsid w:val="3C5B725E"/>
    <w:rsid w:val="3C88055A"/>
    <w:rsid w:val="3CAF79B9"/>
    <w:rsid w:val="3CB35097"/>
    <w:rsid w:val="3CF737A2"/>
    <w:rsid w:val="3D10295A"/>
    <w:rsid w:val="3D184041"/>
    <w:rsid w:val="3D370C2A"/>
    <w:rsid w:val="3D414FC0"/>
    <w:rsid w:val="3D7D049C"/>
    <w:rsid w:val="3DC4250E"/>
    <w:rsid w:val="3DE20EAE"/>
    <w:rsid w:val="3DEC2E9F"/>
    <w:rsid w:val="3DEF3701"/>
    <w:rsid w:val="3E0572FD"/>
    <w:rsid w:val="3E0720FE"/>
    <w:rsid w:val="3E2819F6"/>
    <w:rsid w:val="3E287A22"/>
    <w:rsid w:val="3E5A7FE7"/>
    <w:rsid w:val="3E955A6A"/>
    <w:rsid w:val="3E964D81"/>
    <w:rsid w:val="3EBA1F32"/>
    <w:rsid w:val="3EDD0266"/>
    <w:rsid w:val="3EDE741A"/>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10A1661"/>
    <w:rsid w:val="41246142"/>
    <w:rsid w:val="412D5EA0"/>
    <w:rsid w:val="4138359E"/>
    <w:rsid w:val="416D78C7"/>
    <w:rsid w:val="41734CBA"/>
    <w:rsid w:val="417F4E1A"/>
    <w:rsid w:val="41A82190"/>
    <w:rsid w:val="41DE5999"/>
    <w:rsid w:val="41E1181A"/>
    <w:rsid w:val="41E32A20"/>
    <w:rsid w:val="41FA3241"/>
    <w:rsid w:val="420F7A65"/>
    <w:rsid w:val="4216611A"/>
    <w:rsid w:val="423E300F"/>
    <w:rsid w:val="425656C8"/>
    <w:rsid w:val="4257273C"/>
    <w:rsid w:val="42687ACE"/>
    <w:rsid w:val="4285733F"/>
    <w:rsid w:val="429E6041"/>
    <w:rsid w:val="42A0291B"/>
    <w:rsid w:val="42BF4B02"/>
    <w:rsid w:val="42C84B75"/>
    <w:rsid w:val="42FD694D"/>
    <w:rsid w:val="43183383"/>
    <w:rsid w:val="43525542"/>
    <w:rsid w:val="4356036C"/>
    <w:rsid w:val="437D6687"/>
    <w:rsid w:val="438351F5"/>
    <w:rsid w:val="43854B77"/>
    <w:rsid w:val="438D35EA"/>
    <w:rsid w:val="43BC1E57"/>
    <w:rsid w:val="43D23F8D"/>
    <w:rsid w:val="43D43F1D"/>
    <w:rsid w:val="43FA5777"/>
    <w:rsid w:val="44023422"/>
    <w:rsid w:val="44184A2D"/>
    <w:rsid w:val="441A5455"/>
    <w:rsid w:val="441C1611"/>
    <w:rsid w:val="443C440B"/>
    <w:rsid w:val="44506DE3"/>
    <w:rsid w:val="44514F52"/>
    <w:rsid w:val="44761C8F"/>
    <w:rsid w:val="449722E3"/>
    <w:rsid w:val="449D7B09"/>
    <w:rsid w:val="44AE3FD4"/>
    <w:rsid w:val="44D0586F"/>
    <w:rsid w:val="44FA2D53"/>
    <w:rsid w:val="4504751B"/>
    <w:rsid w:val="453C4912"/>
    <w:rsid w:val="45627191"/>
    <w:rsid w:val="45687813"/>
    <w:rsid w:val="456E7B7D"/>
    <w:rsid w:val="4571374F"/>
    <w:rsid w:val="458B1BB0"/>
    <w:rsid w:val="45AD31D6"/>
    <w:rsid w:val="45B93426"/>
    <w:rsid w:val="45E326FD"/>
    <w:rsid w:val="464C6420"/>
    <w:rsid w:val="46552F9B"/>
    <w:rsid w:val="467A0297"/>
    <w:rsid w:val="468B7125"/>
    <w:rsid w:val="46B506EF"/>
    <w:rsid w:val="46BC1F6E"/>
    <w:rsid w:val="46C4691F"/>
    <w:rsid w:val="46CB53EF"/>
    <w:rsid w:val="46CE645F"/>
    <w:rsid w:val="470F5A71"/>
    <w:rsid w:val="472F2690"/>
    <w:rsid w:val="47685427"/>
    <w:rsid w:val="4776193E"/>
    <w:rsid w:val="4779499C"/>
    <w:rsid w:val="479C6284"/>
    <w:rsid w:val="479D1D34"/>
    <w:rsid w:val="47B609C0"/>
    <w:rsid w:val="47EC3B04"/>
    <w:rsid w:val="47EC6277"/>
    <w:rsid w:val="481A219B"/>
    <w:rsid w:val="482D31EA"/>
    <w:rsid w:val="48594C7C"/>
    <w:rsid w:val="485970A0"/>
    <w:rsid w:val="48667F79"/>
    <w:rsid w:val="486A6E89"/>
    <w:rsid w:val="48702E73"/>
    <w:rsid w:val="48823516"/>
    <w:rsid w:val="48877686"/>
    <w:rsid w:val="48B176C2"/>
    <w:rsid w:val="48B65C71"/>
    <w:rsid w:val="48C15387"/>
    <w:rsid w:val="48DD391D"/>
    <w:rsid w:val="48FB1909"/>
    <w:rsid w:val="49140AE3"/>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9FF0043"/>
    <w:rsid w:val="4A0030EE"/>
    <w:rsid w:val="4A0568D6"/>
    <w:rsid w:val="4A0C4F3C"/>
    <w:rsid w:val="4A484D41"/>
    <w:rsid w:val="4A6D15F8"/>
    <w:rsid w:val="4A8C4FB8"/>
    <w:rsid w:val="4A9A25BD"/>
    <w:rsid w:val="4A9E0551"/>
    <w:rsid w:val="4AA03D78"/>
    <w:rsid w:val="4AAB17DF"/>
    <w:rsid w:val="4AB542AE"/>
    <w:rsid w:val="4ABA7AB3"/>
    <w:rsid w:val="4AF573C6"/>
    <w:rsid w:val="4AF72FEA"/>
    <w:rsid w:val="4B243D9D"/>
    <w:rsid w:val="4B2C1752"/>
    <w:rsid w:val="4B5B54F0"/>
    <w:rsid w:val="4B645524"/>
    <w:rsid w:val="4B8C2DEB"/>
    <w:rsid w:val="4BC423D3"/>
    <w:rsid w:val="4BE01954"/>
    <w:rsid w:val="4BFA3C9F"/>
    <w:rsid w:val="4C042674"/>
    <w:rsid w:val="4C107F48"/>
    <w:rsid w:val="4C3277BC"/>
    <w:rsid w:val="4C5C442D"/>
    <w:rsid w:val="4C6D42A9"/>
    <w:rsid w:val="4C716A38"/>
    <w:rsid w:val="4CC0351C"/>
    <w:rsid w:val="4CC353EB"/>
    <w:rsid w:val="4CE64E14"/>
    <w:rsid w:val="4CF36F3C"/>
    <w:rsid w:val="4D00189F"/>
    <w:rsid w:val="4D007BC8"/>
    <w:rsid w:val="4D143EC2"/>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C00DDD"/>
    <w:rsid w:val="4EE334F2"/>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453E7E"/>
    <w:rsid w:val="50485BA4"/>
    <w:rsid w:val="507D2599"/>
    <w:rsid w:val="508F08E7"/>
    <w:rsid w:val="5096229D"/>
    <w:rsid w:val="509E157D"/>
    <w:rsid w:val="50DA3350"/>
    <w:rsid w:val="50DC4184"/>
    <w:rsid w:val="50FB6146"/>
    <w:rsid w:val="512F4CA0"/>
    <w:rsid w:val="51323DB9"/>
    <w:rsid w:val="51361FFF"/>
    <w:rsid w:val="513723D1"/>
    <w:rsid w:val="514C3EA7"/>
    <w:rsid w:val="51551AFE"/>
    <w:rsid w:val="516D33BA"/>
    <w:rsid w:val="51FF3C99"/>
    <w:rsid w:val="52363D4D"/>
    <w:rsid w:val="52521A20"/>
    <w:rsid w:val="525261E1"/>
    <w:rsid w:val="52AC4ABC"/>
    <w:rsid w:val="52C201B9"/>
    <w:rsid w:val="52C3633F"/>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B0405"/>
    <w:rsid w:val="549A6BFA"/>
    <w:rsid w:val="54B36A7C"/>
    <w:rsid w:val="54D933CD"/>
    <w:rsid w:val="55244D7F"/>
    <w:rsid w:val="55362287"/>
    <w:rsid w:val="55432F3C"/>
    <w:rsid w:val="555016D2"/>
    <w:rsid w:val="556D2820"/>
    <w:rsid w:val="55C3227E"/>
    <w:rsid w:val="55C83E39"/>
    <w:rsid w:val="55FA2961"/>
    <w:rsid w:val="5602250F"/>
    <w:rsid w:val="564220BA"/>
    <w:rsid w:val="565E7F4F"/>
    <w:rsid w:val="565F3DA6"/>
    <w:rsid w:val="56914056"/>
    <w:rsid w:val="56C36589"/>
    <w:rsid w:val="570D55B0"/>
    <w:rsid w:val="57293C95"/>
    <w:rsid w:val="572A6381"/>
    <w:rsid w:val="572B41B4"/>
    <w:rsid w:val="572E079D"/>
    <w:rsid w:val="57365868"/>
    <w:rsid w:val="573C1959"/>
    <w:rsid w:val="57552087"/>
    <w:rsid w:val="57A65E71"/>
    <w:rsid w:val="57F12ED6"/>
    <w:rsid w:val="57F65317"/>
    <w:rsid w:val="57FC2169"/>
    <w:rsid w:val="58024015"/>
    <w:rsid w:val="58096275"/>
    <w:rsid w:val="5819544F"/>
    <w:rsid w:val="582E6EF7"/>
    <w:rsid w:val="584E30E6"/>
    <w:rsid w:val="58546EFD"/>
    <w:rsid w:val="58E26731"/>
    <w:rsid w:val="590E4A97"/>
    <w:rsid w:val="591250FF"/>
    <w:rsid w:val="5920012C"/>
    <w:rsid w:val="592B1244"/>
    <w:rsid w:val="594714AD"/>
    <w:rsid w:val="594D06B4"/>
    <w:rsid w:val="595578DE"/>
    <w:rsid w:val="597B384D"/>
    <w:rsid w:val="59996DA8"/>
    <w:rsid w:val="599C05DE"/>
    <w:rsid w:val="59C30F1B"/>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B56E1"/>
    <w:rsid w:val="5C630689"/>
    <w:rsid w:val="5C7146B1"/>
    <w:rsid w:val="5C7C2768"/>
    <w:rsid w:val="5C7E1834"/>
    <w:rsid w:val="5CB23AE6"/>
    <w:rsid w:val="5CDC0A42"/>
    <w:rsid w:val="5CED5863"/>
    <w:rsid w:val="5D0D6DF5"/>
    <w:rsid w:val="5D580A8A"/>
    <w:rsid w:val="5D893B14"/>
    <w:rsid w:val="5DB42C29"/>
    <w:rsid w:val="5DC24941"/>
    <w:rsid w:val="5DD134F6"/>
    <w:rsid w:val="5E190362"/>
    <w:rsid w:val="5E291636"/>
    <w:rsid w:val="5E6F64A1"/>
    <w:rsid w:val="5E7E7421"/>
    <w:rsid w:val="5E8B0770"/>
    <w:rsid w:val="5EA06921"/>
    <w:rsid w:val="5EA902B4"/>
    <w:rsid w:val="5EBA259F"/>
    <w:rsid w:val="5EE97BB4"/>
    <w:rsid w:val="5F085DDA"/>
    <w:rsid w:val="5F2E2D52"/>
    <w:rsid w:val="5F54198B"/>
    <w:rsid w:val="5F546D2C"/>
    <w:rsid w:val="5F9D1350"/>
    <w:rsid w:val="5FBE370A"/>
    <w:rsid w:val="5FC83407"/>
    <w:rsid w:val="5FD56E87"/>
    <w:rsid w:val="5FF0558C"/>
    <w:rsid w:val="601A27F4"/>
    <w:rsid w:val="60292845"/>
    <w:rsid w:val="604D2644"/>
    <w:rsid w:val="605238CF"/>
    <w:rsid w:val="6053694F"/>
    <w:rsid w:val="607921FE"/>
    <w:rsid w:val="608F62AE"/>
    <w:rsid w:val="60B9251B"/>
    <w:rsid w:val="60E236C1"/>
    <w:rsid w:val="611911B1"/>
    <w:rsid w:val="61260B6B"/>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167A4F"/>
    <w:rsid w:val="631D2BD6"/>
    <w:rsid w:val="635356F3"/>
    <w:rsid w:val="635D6064"/>
    <w:rsid w:val="637D5B70"/>
    <w:rsid w:val="63825E77"/>
    <w:rsid w:val="63A10995"/>
    <w:rsid w:val="63AE4FA3"/>
    <w:rsid w:val="63C23EFA"/>
    <w:rsid w:val="63D255DA"/>
    <w:rsid w:val="64076B79"/>
    <w:rsid w:val="640B7654"/>
    <w:rsid w:val="643A070A"/>
    <w:rsid w:val="64402337"/>
    <w:rsid w:val="64410A96"/>
    <w:rsid w:val="644C573D"/>
    <w:rsid w:val="64507EFB"/>
    <w:rsid w:val="647351B7"/>
    <w:rsid w:val="64B97A50"/>
    <w:rsid w:val="65032F85"/>
    <w:rsid w:val="651304A7"/>
    <w:rsid w:val="65136B50"/>
    <w:rsid w:val="657E2A35"/>
    <w:rsid w:val="65A94E9D"/>
    <w:rsid w:val="65B96B3F"/>
    <w:rsid w:val="65BE1071"/>
    <w:rsid w:val="65C60A92"/>
    <w:rsid w:val="65D35142"/>
    <w:rsid w:val="660451CE"/>
    <w:rsid w:val="660B02F6"/>
    <w:rsid w:val="662D2630"/>
    <w:rsid w:val="665346B7"/>
    <w:rsid w:val="66705A4E"/>
    <w:rsid w:val="667C7CCE"/>
    <w:rsid w:val="669C56BF"/>
    <w:rsid w:val="66A12460"/>
    <w:rsid w:val="66A20C1E"/>
    <w:rsid w:val="66B12C54"/>
    <w:rsid w:val="66BE2423"/>
    <w:rsid w:val="66DD6702"/>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3E65A5"/>
    <w:rsid w:val="686A56DD"/>
    <w:rsid w:val="68707071"/>
    <w:rsid w:val="687A4379"/>
    <w:rsid w:val="687B015C"/>
    <w:rsid w:val="687E3889"/>
    <w:rsid w:val="6884222C"/>
    <w:rsid w:val="68AD17BB"/>
    <w:rsid w:val="68D94D22"/>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A23DFF"/>
    <w:rsid w:val="6AC61F6F"/>
    <w:rsid w:val="6AD34E53"/>
    <w:rsid w:val="6AD83EA1"/>
    <w:rsid w:val="6ADE74F0"/>
    <w:rsid w:val="6B1D62E8"/>
    <w:rsid w:val="6B513AF9"/>
    <w:rsid w:val="6B723594"/>
    <w:rsid w:val="6B805156"/>
    <w:rsid w:val="6B945E48"/>
    <w:rsid w:val="6BD50977"/>
    <w:rsid w:val="6BE450D3"/>
    <w:rsid w:val="6BE60C84"/>
    <w:rsid w:val="6C587C0E"/>
    <w:rsid w:val="6C6C32E1"/>
    <w:rsid w:val="6C6E3E15"/>
    <w:rsid w:val="6C8B1F5D"/>
    <w:rsid w:val="6CAA3931"/>
    <w:rsid w:val="6CCF3BFB"/>
    <w:rsid w:val="6D325918"/>
    <w:rsid w:val="6D370B82"/>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E82C9C"/>
    <w:rsid w:val="6FFB146E"/>
    <w:rsid w:val="6FFC3AA6"/>
    <w:rsid w:val="70160742"/>
    <w:rsid w:val="7030610F"/>
    <w:rsid w:val="70612DB4"/>
    <w:rsid w:val="706516C3"/>
    <w:rsid w:val="70896E68"/>
    <w:rsid w:val="708A4844"/>
    <w:rsid w:val="70A060B1"/>
    <w:rsid w:val="70E05E9D"/>
    <w:rsid w:val="71073061"/>
    <w:rsid w:val="711A201F"/>
    <w:rsid w:val="71396ACC"/>
    <w:rsid w:val="715B60E9"/>
    <w:rsid w:val="716F0EE9"/>
    <w:rsid w:val="7196674D"/>
    <w:rsid w:val="71CD6D08"/>
    <w:rsid w:val="71CF2A5A"/>
    <w:rsid w:val="71E950FE"/>
    <w:rsid w:val="71EA1FED"/>
    <w:rsid w:val="72165C6B"/>
    <w:rsid w:val="722021E3"/>
    <w:rsid w:val="722C6DDA"/>
    <w:rsid w:val="72345748"/>
    <w:rsid w:val="72A64192"/>
    <w:rsid w:val="72B37E1B"/>
    <w:rsid w:val="72E661B1"/>
    <w:rsid w:val="72F90C18"/>
    <w:rsid w:val="730313F6"/>
    <w:rsid w:val="730E4732"/>
    <w:rsid w:val="732A6AD8"/>
    <w:rsid w:val="732F4B3B"/>
    <w:rsid w:val="73370D24"/>
    <w:rsid w:val="73472C84"/>
    <w:rsid w:val="7359268C"/>
    <w:rsid w:val="7366631C"/>
    <w:rsid w:val="736C263C"/>
    <w:rsid w:val="73723640"/>
    <w:rsid w:val="737311F5"/>
    <w:rsid w:val="73761585"/>
    <w:rsid w:val="737711C2"/>
    <w:rsid w:val="739503EB"/>
    <w:rsid w:val="73A05B28"/>
    <w:rsid w:val="73C07D69"/>
    <w:rsid w:val="73DC335B"/>
    <w:rsid w:val="73EF4A19"/>
    <w:rsid w:val="740B60EC"/>
    <w:rsid w:val="744C4A5B"/>
    <w:rsid w:val="74705E47"/>
    <w:rsid w:val="74717AE5"/>
    <w:rsid w:val="749E16A8"/>
    <w:rsid w:val="74B42AE4"/>
    <w:rsid w:val="74C54993"/>
    <w:rsid w:val="750A429D"/>
    <w:rsid w:val="75474B47"/>
    <w:rsid w:val="75614792"/>
    <w:rsid w:val="75761866"/>
    <w:rsid w:val="75784473"/>
    <w:rsid w:val="7582466D"/>
    <w:rsid w:val="75B161B3"/>
    <w:rsid w:val="75C055BD"/>
    <w:rsid w:val="75C46B63"/>
    <w:rsid w:val="75DC6C44"/>
    <w:rsid w:val="762770AC"/>
    <w:rsid w:val="762F6A19"/>
    <w:rsid w:val="76341B33"/>
    <w:rsid w:val="763B602A"/>
    <w:rsid w:val="76736B32"/>
    <w:rsid w:val="768811B6"/>
    <w:rsid w:val="76AF35EE"/>
    <w:rsid w:val="76C27A74"/>
    <w:rsid w:val="76E3765E"/>
    <w:rsid w:val="76F302A9"/>
    <w:rsid w:val="76FC2AFA"/>
    <w:rsid w:val="77527424"/>
    <w:rsid w:val="77653671"/>
    <w:rsid w:val="778546CC"/>
    <w:rsid w:val="778B6B46"/>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9008E5"/>
    <w:rsid w:val="79AA0532"/>
    <w:rsid w:val="79AB2CDA"/>
    <w:rsid w:val="79C370A4"/>
    <w:rsid w:val="79D23A3D"/>
    <w:rsid w:val="79FE1DDD"/>
    <w:rsid w:val="7A075767"/>
    <w:rsid w:val="7A0C15B3"/>
    <w:rsid w:val="7A212062"/>
    <w:rsid w:val="7A2522C9"/>
    <w:rsid w:val="7A282A11"/>
    <w:rsid w:val="7A3A59B8"/>
    <w:rsid w:val="7A5752EE"/>
    <w:rsid w:val="7A5D0F75"/>
    <w:rsid w:val="7A715CD2"/>
    <w:rsid w:val="7A921E9A"/>
    <w:rsid w:val="7ABF2475"/>
    <w:rsid w:val="7AC21562"/>
    <w:rsid w:val="7AD474A4"/>
    <w:rsid w:val="7AD91F5A"/>
    <w:rsid w:val="7AF55544"/>
    <w:rsid w:val="7AFC38DE"/>
    <w:rsid w:val="7B165244"/>
    <w:rsid w:val="7B217A1E"/>
    <w:rsid w:val="7B2965AD"/>
    <w:rsid w:val="7B303E8C"/>
    <w:rsid w:val="7B39121D"/>
    <w:rsid w:val="7B865D50"/>
    <w:rsid w:val="7B87547C"/>
    <w:rsid w:val="7B8D34C3"/>
    <w:rsid w:val="7B971D84"/>
    <w:rsid w:val="7BAB0CB7"/>
    <w:rsid w:val="7BB4028F"/>
    <w:rsid w:val="7BE85BAB"/>
    <w:rsid w:val="7BF32F03"/>
    <w:rsid w:val="7BF50D2C"/>
    <w:rsid w:val="7C066F4E"/>
    <w:rsid w:val="7C1724A5"/>
    <w:rsid w:val="7C241E55"/>
    <w:rsid w:val="7C273CFF"/>
    <w:rsid w:val="7C5C0312"/>
    <w:rsid w:val="7CA54112"/>
    <w:rsid w:val="7CA553D9"/>
    <w:rsid w:val="7CAB27F5"/>
    <w:rsid w:val="7CAF438A"/>
    <w:rsid w:val="7CCE726D"/>
    <w:rsid w:val="7CD71EA3"/>
    <w:rsid w:val="7CE50CE4"/>
    <w:rsid w:val="7CF877E9"/>
    <w:rsid w:val="7D134762"/>
    <w:rsid w:val="7D2E5ABF"/>
    <w:rsid w:val="7D4A45B8"/>
    <w:rsid w:val="7D642BD6"/>
    <w:rsid w:val="7D924F14"/>
    <w:rsid w:val="7DFF2241"/>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5">
    <w:name w:val="heading 1"/>
    <w:basedOn w:val="1"/>
    <w:next w:val="1"/>
    <w:link w:val="75"/>
    <w:qFormat/>
    <w:uiPriority w:val="9"/>
    <w:pPr>
      <w:keepNext/>
      <w:keepLines/>
      <w:spacing w:before="340" w:after="330" w:line="576" w:lineRule="auto"/>
      <w:outlineLvl w:val="0"/>
    </w:pPr>
    <w:rPr>
      <w:b/>
      <w:kern w:val="44"/>
      <w:sz w:val="44"/>
    </w:rPr>
  </w:style>
  <w:style w:type="paragraph" w:styleId="6">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44"/>
    <w:unhideWhenUsed/>
    <w:qFormat/>
    <w:uiPriority w:val="9"/>
    <w:pPr>
      <w:keepNext/>
      <w:keepLines/>
      <w:outlineLvl w:val="3"/>
    </w:pPr>
    <w:rPr>
      <w:rFonts w:asciiTheme="majorHAnsi" w:hAnsiTheme="majorHAnsi" w:cstheme="majorBidi"/>
      <w:b/>
      <w:bCs/>
      <w:sz w:val="24"/>
      <w:szCs w:val="28"/>
    </w:rPr>
  </w:style>
  <w:style w:type="paragraph" w:styleId="9">
    <w:name w:val="heading 5"/>
    <w:basedOn w:val="1"/>
    <w:next w:val="1"/>
    <w:link w:val="74"/>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66"/>
    <w:qFormat/>
    <w:uiPriority w:val="1"/>
    <w:pPr>
      <w:spacing w:before="161"/>
      <w:ind w:left="120"/>
    </w:pPr>
    <w:rPr>
      <w:rFonts w:ascii="宋体" w:hAnsi="宋体" w:cs="宋体"/>
      <w:sz w:val="24"/>
      <w:lang w:val="zh-CN" w:bidi="zh-CN"/>
    </w:rPr>
  </w:style>
  <w:style w:type="paragraph" w:styleId="3">
    <w:name w:val="Body Text First Indent"/>
    <w:basedOn w:val="2"/>
    <w:next w:val="4"/>
    <w:qFormat/>
    <w:uiPriority w:val="0"/>
    <w:pPr>
      <w:spacing w:after="120"/>
      <w:ind w:firstLine="420" w:firstLineChars="100"/>
    </w:pPr>
    <w:rPr>
      <w:bCs/>
      <w:szCs w:val="21"/>
    </w:rPr>
  </w:style>
  <w:style w:type="paragraph" w:customStyle="1" w:styleId="4">
    <w:name w:val="样式 正文首行缩进 + 首行缩进:  1 字符"/>
    <w:basedOn w:val="1"/>
    <w:next w:val="1"/>
    <w:qFormat/>
    <w:uiPriority w:val="0"/>
    <w:pPr>
      <w:ind w:firstLine="200" w:firstLineChars="200"/>
    </w:pPr>
    <w:rPr>
      <w:rFonts w:cs="宋体"/>
      <w:szCs w:val="20"/>
    </w:rPr>
  </w:style>
  <w:style w:type="paragraph" w:styleId="10">
    <w:name w:val="annotation subject"/>
    <w:basedOn w:val="11"/>
    <w:next w:val="11"/>
    <w:link w:val="64"/>
    <w:semiHidden/>
    <w:unhideWhenUsed/>
    <w:qFormat/>
    <w:uiPriority w:val="99"/>
    <w:rPr>
      <w:b/>
      <w:bCs/>
    </w:rPr>
  </w:style>
  <w:style w:type="paragraph" w:styleId="11">
    <w:name w:val="annotation text"/>
    <w:basedOn w:val="1"/>
    <w:link w:val="63"/>
    <w:unhideWhenUsed/>
    <w:qFormat/>
    <w:uiPriority w:val="99"/>
  </w:style>
  <w:style w:type="paragraph" w:styleId="12">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3">
    <w:name w:val="toa heading"/>
    <w:basedOn w:val="1"/>
    <w:next w:val="1"/>
    <w:qFormat/>
    <w:uiPriority w:val="0"/>
    <w:pPr>
      <w:widowControl w:val="0"/>
      <w:spacing w:after="0"/>
      <w:jc w:val="both"/>
    </w:pPr>
    <w:rPr>
      <w:rFonts w:ascii="Arial" w:hAnsi="Arial" w:eastAsia="宋体" w:cs="Times New Roman"/>
      <w:b/>
      <w:bCs/>
      <w:kern w:val="2"/>
      <w:sz w:val="21"/>
      <w:szCs w:val="24"/>
      <w:lang w:val="en-US" w:eastAsia="zh-CN" w:bidi="ar-SA"/>
    </w:rPr>
  </w:style>
  <w:style w:type="paragraph" w:styleId="14">
    <w:name w:val="Body Text Indent"/>
    <w:basedOn w:val="1"/>
    <w:qFormat/>
    <w:uiPriority w:val="0"/>
    <w:pPr>
      <w:ind w:left="359" w:leftChars="171" w:firstLine="179" w:firstLineChars="85"/>
    </w:pPr>
    <w:rPr>
      <w:rFonts w:ascii="宋体" w:hAnsi="宋体"/>
      <w:b/>
      <w:bCs/>
      <w:szCs w:val="26"/>
    </w:rPr>
  </w:style>
  <w:style w:type="paragraph" w:styleId="15">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6">
    <w:name w:val="toc 3"/>
    <w:basedOn w:val="1"/>
    <w:next w:val="1"/>
    <w:unhideWhenUsed/>
    <w:qFormat/>
    <w:uiPriority w:val="39"/>
    <w:pPr>
      <w:tabs>
        <w:tab w:val="right" w:leader="dot" w:pos="8296"/>
      </w:tabs>
      <w:ind w:left="838" w:leftChars="381"/>
    </w:pPr>
    <w:rPr>
      <w:szCs w:val="21"/>
    </w:rPr>
  </w:style>
  <w:style w:type="paragraph" w:styleId="17">
    <w:name w:val="Plain Text"/>
    <w:basedOn w:val="1"/>
    <w:link w:val="55"/>
    <w:qFormat/>
    <w:uiPriority w:val="0"/>
    <w:pPr>
      <w:widowControl w:val="0"/>
      <w:adjustRightInd/>
      <w:snapToGrid/>
      <w:jc w:val="both"/>
    </w:pPr>
    <w:rPr>
      <w:rFonts w:ascii="宋体" w:hAnsi="Courier New" w:cs="Times New Roman"/>
      <w:b/>
      <w:kern w:val="2"/>
      <w:szCs w:val="20"/>
    </w:rPr>
  </w:style>
  <w:style w:type="paragraph" w:styleId="18">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9">
    <w:name w:val="Balloon Text"/>
    <w:basedOn w:val="1"/>
    <w:link w:val="58"/>
    <w:semiHidden/>
    <w:unhideWhenUsed/>
    <w:qFormat/>
    <w:uiPriority w:val="99"/>
    <w:rPr>
      <w:sz w:val="18"/>
      <w:szCs w:val="18"/>
    </w:rPr>
  </w:style>
  <w:style w:type="paragraph" w:styleId="20">
    <w:name w:val="footer"/>
    <w:basedOn w:val="1"/>
    <w:link w:val="57"/>
    <w:unhideWhenUsed/>
    <w:qFormat/>
    <w:uiPriority w:val="99"/>
    <w:pPr>
      <w:tabs>
        <w:tab w:val="center" w:pos="4153"/>
        <w:tab w:val="right" w:pos="8306"/>
      </w:tabs>
    </w:pPr>
    <w:rPr>
      <w:sz w:val="18"/>
      <w:szCs w:val="18"/>
    </w:rPr>
  </w:style>
  <w:style w:type="paragraph" w:styleId="21">
    <w:name w:val="header"/>
    <w:basedOn w:val="1"/>
    <w:link w:val="56"/>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tabs>
        <w:tab w:val="right" w:leader="dot" w:pos="8296"/>
      </w:tabs>
      <w:spacing w:after="120"/>
      <w:ind w:left="1320" w:leftChars="600"/>
    </w:pPr>
  </w:style>
  <w:style w:type="paragraph" w:styleId="24">
    <w:name w:val="footnote text"/>
    <w:basedOn w:val="1"/>
    <w:semiHidden/>
    <w:unhideWhenUsed/>
    <w:qFormat/>
    <w:uiPriority w:val="99"/>
    <w:rPr>
      <w:sz w:val="18"/>
    </w:rPr>
  </w:style>
  <w:style w:type="paragraph" w:styleId="25">
    <w:name w:val="toc 6"/>
    <w:basedOn w:val="1"/>
    <w:next w:val="1"/>
    <w:qFormat/>
    <w:uiPriority w:val="39"/>
    <w:pPr>
      <w:ind w:left="1200"/>
    </w:pPr>
    <w:rPr>
      <w:rFonts w:ascii="Calibri" w:cs="Calibri"/>
      <w:sz w:val="18"/>
      <w:szCs w:val="18"/>
    </w:rPr>
  </w:style>
  <w:style w:type="paragraph" w:styleId="26">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7">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8">
    <w:name w:val="Normal (Web)"/>
    <w:basedOn w:val="1"/>
    <w:link w:val="60"/>
    <w:qFormat/>
    <w:uiPriority w:val="0"/>
    <w:pPr>
      <w:widowControl w:val="0"/>
      <w:adjustRightInd/>
      <w:snapToGrid/>
      <w:jc w:val="both"/>
    </w:pPr>
    <w:rPr>
      <w:rFonts w:asciiTheme="minorHAnsi" w:hAnsiTheme="minorHAnsi"/>
      <w:kern w:val="2"/>
      <w:sz w:val="24"/>
      <w:szCs w:val="24"/>
    </w:rPr>
  </w:style>
  <w:style w:type="paragraph" w:styleId="29">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character" w:styleId="31">
    <w:name w:val="page number"/>
    <w:basedOn w:val="30"/>
    <w:qFormat/>
    <w:uiPriority w:val="0"/>
  </w:style>
  <w:style w:type="character" w:styleId="32">
    <w:name w:val="Emphasis"/>
    <w:basedOn w:val="30"/>
    <w:qFormat/>
    <w:uiPriority w:val="20"/>
    <w:rPr>
      <w:i/>
      <w:iCs/>
    </w:rPr>
  </w:style>
  <w:style w:type="character" w:styleId="33">
    <w:name w:val="Hyperlink"/>
    <w:qFormat/>
    <w:uiPriority w:val="99"/>
    <w:rPr>
      <w:rFonts w:hint="eastAsia" w:ascii="宋体" w:hAnsi="宋体" w:eastAsia="宋体" w:cs="宋体"/>
      <w:b/>
      <w:color w:val="0031C1"/>
      <w:kern w:val="0"/>
      <w:sz w:val="18"/>
      <w:szCs w:val="18"/>
      <w:u w:val="none"/>
      <w:lang w:eastAsia="en-US"/>
    </w:rPr>
  </w:style>
  <w:style w:type="character" w:styleId="34">
    <w:name w:val="annotation reference"/>
    <w:basedOn w:val="30"/>
    <w:semiHidden/>
    <w:unhideWhenUsed/>
    <w:qFormat/>
    <w:uiPriority w:val="99"/>
    <w:rPr>
      <w:sz w:val="21"/>
      <w:szCs w:val="21"/>
    </w:rPr>
  </w:style>
  <w:style w:type="character" w:styleId="35">
    <w:name w:val="footnote reference"/>
    <w:basedOn w:val="30"/>
    <w:semiHidden/>
    <w:unhideWhenUsed/>
    <w:qFormat/>
    <w:uiPriority w:val="99"/>
    <w:rPr>
      <w:vertAlign w:val="superscript"/>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8">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9">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40">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1">
    <w:name w:val="标题 2 字符"/>
    <w:basedOn w:val="30"/>
    <w:link w:val="6"/>
    <w:qFormat/>
    <w:uiPriority w:val="9"/>
    <w:rPr>
      <w:rFonts w:asciiTheme="majorHAnsi" w:hAnsiTheme="majorHAnsi" w:eastAsiaTheme="majorEastAsia" w:cstheme="majorBidi"/>
      <w:b/>
      <w:bCs/>
      <w:sz w:val="32"/>
      <w:szCs w:val="32"/>
    </w:rPr>
  </w:style>
  <w:style w:type="character" w:customStyle="1" w:styleId="42">
    <w:name w:val="标题 3 字符"/>
    <w:basedOn w:val="30"/>
    <w:link w:val="7"/>
    <w:qFormat/>
    <w:uiPriority w:val="9"/>
    <w:rPr>
      <w:rFonts w:ascii="Tahoma" w:hAnsi="Tahoma"/>
      <w:b/>
      <w:bCs/>
      <w:sz w:val="32"/>
      <w:szCs w:val="32"/>
    </w:rPr>
  </w:style>
  <w:style w:type="paragraph" w:styleId="43">
    <w:name w:val="List Paragraph"/>
    <w:basedOn w:val="1"/>
    <w:link w:val="65"/>
    <w:qFormat/>
    <w:uiPriority w:val="0"/>
    <w:pPr>
      <w:ind w:firstLine="420" w:firstLineChars="200"/>
    </w:pPr>
  </w:style>
  <w:style w:type="character" w:customStyle="1" w:styleId="44">
    <w:name w:val="标题 4 字符"/>
    <w:basedOn w:val="30"/>
    <w:link w:val="8"/>
    <w:qFormat/>
    <w:uiPriority w:val="9"/>
    <w:rPr>
      <w:rFonts w:eastAsia="宋体" w:asciiTheme="majorHAnsi" w:hAnsiTheme="majorHAnsi" w:cstheme="majorBidi"/>
      <w:b/>
      <w:bCs/>
      <w:sz w:val="24"/>
      <w:szCs w:val="28"/>
    </w:rPr>
  </w:style>
  <w:style w:type="character" w:customStyle="1" w:styleId="45">
    <w:name w:val="正文缩进2格 Char"/>
    <w:link w:val="46"/>
    <w:qFormat/>
    <w:uiPriority w:val="0"/>
    <w:rPr>
      <w:rFonts w:ascii="仿宋_GB2312" w:hAnsi="宋体" w:eastAsia="仿宋_GB2312"/>
      <w:kern w:val="2"/>
      <w:sz w:val="31"/>
    </w:rPr>
  </w:style>
  <w:style w:type="paragraph" w:customStyle="1" w:styleId="46">
    <w:name w:val="正文缩进2格"/>
    <w:basedOn w:val="1"/>
    <w:link w:val="45"/>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7">
    <w:name w:val="正文缩进4格"/>
    <w:basedOn w:val="46"/>
    <w:qFormat/>
    <w:uiPriority w:val="0"/>
    <w:pPr>
      <w:ind w:left="2" w:firstLine="538" w:firstLineChars="192"/>
    </w:pPr>
    <w:rPr>
      <w:color w:val="0000FF"/>
      <w:sz w:val="28"/>
    </w:rPr>
  </w:style>
  <w:style w:type="character" w:customStyle="1" w:styleId="48">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9">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0">
    <w:name w:val="标题1"/>
    <w:qFormat/>
    <w:uiPriority w:val="0"/>
    <w:rPr>
      <w:rFonts w:ascii="Times New Roman" w:hAnsi="Times New Roman" w:eastAsia="宋体" w:cs="Times New Roman"/>
      <w:b/>
      <w:kern w:val="0"/>
      <w:sz w:val="24"/>
      <w:szCs w:val="20"/>
      <w:lang w:eastAsia="en-US"/>
    </w:rPr>
  </w:style>
  <w:style w:type="character" w:customStyle="1" w:styleId="51">
    <w:name w:val="标题 3.1 Char"/>
    <w:link w:val="52"/>
    <w:qFormat/>
    <w:uiPriority w:val="0"/>
    <w:rPr>
      <w:rFonts w:ascii="宋体" w:hAnsi="宋体" w:eastAsia="宋体"/>
      <w:b/>
      <w:color w:val="FF0000"/>
      <w:kern w:val="2"/>
      <w:sz w:val="32"/>
    </w:rPr>
  </w:style>
  <w:style w:type="paragraph" w:customStyle="1" w:styleId="52">
    <w:name w:val="标题 3.1"/>
    <w:basedOn w:val="7"/>
    <w:link w:val="51"/>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3">
    <w:name w:val="样式 楷体_GB2312 小四"/>
    <w:qFormat/>
    <w:uiPriority w:val="0"/>
    <w:rPr>
      <w:rFonts w:ascii="楷体_GB2312" w:hAnsi="楷体_GB2312" w:eastAsia="仿宋_GB2312"/>
      <w:sz w:val="24"/>
    </w:rPr>
  </w:style>
  <w:style w:type="character" w:customStyle="1" w:styleId="54">
    <w:name w:val="纯文本 Char"/>
    <w:qFormat/>
    <w:uiPriority w:val="0"/>
    <w:rPr>
      <w:rFonts w:ascii="宋体" w:hAnsi="Courier New" w:eastAsia="宋体" w:cs="Times New Roman"/>
      <w:b/>
      <w:kern w:val="2"/>
      <w:sz w:val="21"/>
      <w:szCs w:val="20"/>
    </w:rPr>
  </w:style>
  <w:style w:type="character" w:customStyle="1" w:styleId="55">
    <w:name w:val="纯文本 字符"/>
    <w:basedOn w:val="30"/>
    <w:link w:val="17"/>
    <w:semiHidden/>
    <w:qFormat/>
    <w:uiPriority w:val="99"/>
    <w:rPr>
      <w:rFonts w:ascii="宋体" w:hAnsi="Courier New" w:eastAsia="宋体" w:cs="Courier New"/>
      <w:sz w:val="21"/>
      <w:szCs w:val="21"/>
    </w:rPr>
  </w:style>
  <w:style w:type="character" w:customStyle="1" w:styleId="56">
    <w:name w:val="页眉 字符"/>
    <w:basedOn w:val="30"/>
    <w:link w:val="21"/>
    <w:qFormat/>
    <w:uiPriority w:val="99"/>
    <w:rPr>
      <w:rFonts w:ascii="Tahoma" w:hAnsi="Tahoma"/>
      <w:sz w:val="18"/>
      <w:szCs w:val="18"/>
    </w:rPr>
  </w:style>
  <w:style w:type="character" w:customStyle="1" w:styleId="57">
    <w:name w:val="页脚 字符"/>
    <w:basedOn w:val="30"/>
    <w:link w:val="20"/>
    <w:qFormat/>
    <w:uiPriority w:val="99"/>
    <w:rPr>
      <w:rFonts w:ascii="Tahoma" w:hAnsi="Tahoma"/>
      <w:sz w:val="18"/>
      <w:szCs w:val="18"/>
    </w:rPr>
  </w:style>
  <w:style w:type="character" w:customStyle="1" w:styleId="58">
    <w:name w:val="批注框文本 字符"/>
    <w:basedOn w:val="30"/>
    <w:link w:val="19"/>
    <w:semiHidden/>
    <w:qFormat/>
    <w:uiPriority w:val="99"/>
    <w:rPr>
      <w:rFonts w:ascii="Tahoma" w:hAnsi="Tahoma"/>
      <w:sz w:val="18"/>
      <w:szCs w:val="18"/>
    </w:rPr>
  </w:style>
  <w:style w:type="paragraph" w:customStyle="1" w:styleId="59">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0">
    <w:name w:val="普通(网站) 字符"/>
    <w:link w:val="28"/>
    <w:qFormat/>
    <w:uiPriority w:val="0"/>
    <w:rPr>
      <w:rFonts w:eastAsia="宋体"/>
      <w:kern w:val="2"/>
      <w:sz w:val="24"/>
      <w:szCs w:val="24"/>
    </w:rPr>
  </w:style>
  <w:style w:type="paragraph" w:customStyle="1" w:styleId="61">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2">
    <w:name w:val="p141"/>
    <w:qFormat/>
    <w:uiPriority w:val="0"/>
    <w:rPr>
      <w:sz w:val="21"/>
      <w:szCs w:val="21"/>
    </w:rPr>
  </w:style>
  <w:style w:type="character" w:customStyle="1" w:styleId="63">
    <w:name w:val="批注文字 字符"/>
    <w:basedOn w:val="30"/>
    <w:link w:val="11"/>
    <w:qFormat/>
    <w:uiPriority w:val="99"/>
    <w:rPr>
      <w:rFonts w:ascii="Tahoma" w:hAnsi="Tahoma" w:eastAsia="微软雅黑" w:cstheme="minorBidi"/>
      <w:sz w:val="22"/>
      <w:szCs w:val="22"/>
    </w:rPr>
  </w:style>
  <w:style w:type="character" w:customStyle="1" w:styleId="64">
    <w:name w:val="批注主题 字符"/>
    <w:basedOn w:val="63"/>
    <w:link w:val="10"/>
    <w:semiHidden/>
    <w:qFormat/>
    <w:uiPriority w:val="99"/>
    <w:rPr>
      <w:rFonts w:ascii="Tahoma" w:hAnsi="Tahoma" w:eastAsia="微软雅黑" w:cstheme="minorBidi"/>
      <w:b/>
      <w:bCs/>
      <w:sz w:val="22"/>
      <w:szCs w:val="22"/>
    </w:rPr>
  </w:style>
  <w:style w:type="character" w:customStyle="1" w:styleId="65">
    <w:name w:val="列表段落 字符"/>
    <w:link w:val="43"/>
    <w:qFormat/>
    <w:uiPriority w:val="0"/>
    <w:rPr>
      <w:rFonts w:ascii="Tahoma" w:hAnsi="Tahoma" w:eastAsia="微软雅黑" w:cstheme="minorBidi"/>
      <w:sz w:val="22"/>
      <w:szCs w:val="22"/>
    </w:rPr>
  </w:style>
  <w:style w:type="character" w:customStyle="1" w:styleId="66">
    <w:name w:val="正文文本 字符"/>
    <w:basedOn w:val="30"/>
    <w:link w:val="2"/>
    <w:qFormat/>
    <w:uiPriority w:val="1"/>
    <w:rPr>
      <w:rFonts w:ascii="宋体" w:hAnsi="宋体" w:cs="宋体"/>
      <w:sz w:val="24"/>
      <w:szCs w:val="22"/>
      <w:lang w:val="zh-CN" w:bidi="zh-CN"/>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_Style 1"/>
    <w:basedOn w:val="1"/>
    <w:qFormat/>
    <w:uiPriority w:val="0"/>
    <w:pPr>
      <w:ind w:firstLine="420" w:firstLineChars="200"/>
    </w:pPr>
  </w:style>
  <w:style w:type="paragraph" w:customStyle="1" w:styleId="69">
    <w:name w:val="列出段落2"/>
    <w:basedOn w:val="1"/>
    <w:qFormat/>
    <w:uiPriority w:val="0"/>
    <w:pPr>
      <w:ind w:firstLine="420" w:firstLineChars="200"/>
    </w:pPr>
  </w:style>
  <w:style w:type="paragraph" w:customStyle="1" w:styleId="70">
    <w:name w:val="p0"/>
    <w:basedOn w:val="1"/>
    <w:qFormat/>
    <w:uiPriority w:val="0"/>
    <w:rPr>
      <w:szCs w:val="21"/>
    </w:rPr>
  </w:style>
  <w:style w:type="paragraph" w:customStyle="1" w:styleId="71">
    <w:name w:val="正文文本缩进 21"/>
    <w:basedOn w:val="1"/>
    <w:qFormat/>
    <w:uiPriority w:val="0"/>
    <w:pPr>
      <w:spacing w:line="480" w:lineRule="auto"/>
      <w:ind w:firstLine="540"/>
    </w:pPr>
    <w:rPr>
      <w:rFonts w:ascii="Calibri" w:hAnsi="Calibri"/>
      <w:sz w:val="20"/>
      <w:szCs w:val="20"/>
    </w:rPr>
  </w:style>
  <w:style w:type="paragraph" w:customStyle="1" w:styleId="72">
    <w:name w:val="_Style 2"/>
    <w:basedOn w:val="1"/>
    <w:qFormat/>
    <w:uiPriority w:val="0"/>
    <w:pPr>
      <w:ind w:firstLine="420" w:firstLineChars="200"/>
    </w:pPr>
  </w:style>
  <w:style w:type="paragraph" w:customStyle="1" w:styleId="73">
    <w:name w:val="msolistparagraph"/>
    <w:basedOn w:val="1"/>
    <w:qFormat/>
    <w:uiPriority w:val="0"/>
    <w:pPr>
      <w:ind w:firstLine="420" w:firstLineChars="200"/>
    </w:pPr>
    <w:rPr>
      <w:rFonts w:hint="eastAsia" w:hAnsi="宋体"/>
    </w:rPr>
  </w:style>
  <w:style w:type="character" w:customStyle="1" w:styleId="74">
    <w:name w:val="标题 5 字符"/>
    <w:link w:val="9"/>
    <w:qFormat/>
    <w:uiPriority w:val="0"/>
    <w:rPr>
      <w:b/>
      <w:sz w:val="28"/>
    </w:rPr>
  </w:style>
  <w:style w:type="character" w:customStyle="1" w:styleId="75">
    <w:name w:val="标题 1 字符"/>
    <w:link w:val="5"/>
    <w:qFormat/>
    <w:uiPriority w:val="9"/>
    <w:rPr>
      <w:b/>
      <w:kern w:val="44"/>
      <w:sz w:val="44"/>
    </w:rPr>
  </w:style>
  <w:style w:type="paragraph" w:customStyle="1" w:styleId="76">
    <w:name w:val="修订1"/>
    <w:hidden/>
    <w:semiHidden/>
    <w:qFormat/>
    <w:uiPriority w:val="99"/>
    <w:rPr>
      <w:rFonts w:ascii="Tahoma" w:hAnsi="Tahoma" w:eastAsia="宋体" w:cstheme="minorBidi"/>
      <w:sz w:val="21"/>
      <w:szCs w:val="22"/>
      <w:lang w:val="en-US" w:eastAsia="zh-CN" w:bidi="ar-SA"/>
    </w:rPr>
  </w:style>
  <w:style w:type="paragraph" w:customStyle="1" w:styleId="77">
    <w:name w:val="表格文字"/>
    <w:basedOn w:val="1"/>
    <w:qFormat/>
    <w:uiPriority w:val="0"/>
    <w:pPr>
      <w:adjustRightInd/>
      <w:spacing w:before="25" w:after="25"/>
    </w:pPr>
    <w:rPr>
      <w:rFonts w:ascii="Times New Roman"/>
      <w:bCs/>
      <w:spacing w:val="10"/>
      <w:szCs w:val="20"/>
    </w:rPr>
  </w:style>
  <w:style w:type="paragraph" w:customStyle="1" w:styleId="78">
    <w:name w:val="纯文本1"/>
    <w:basedOn w:val="79"/>
    <w:qFormat/>
    <w:uiPriority w:val="0"/>
    <w:rPr>
      <w:rFonts w:ascii="宋体" w:hAnsi="Courier New"/>
      <w:szCs w:val="20"/>
    </w:rPr>
  </w:style>
  <w:style w:type="paragraph" w:customStyle="1" w:styleId="79">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0">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1">
    <w:name w:val="Table Normal"/>
    <w:semiHidden/>
    <w:unhideWhenUsed/>
    <w:qFormat/>
    <w:uiPriority w:val="2"/>
    <w:tblPr>
      <w:tblLayout w:type="fixed"/>
      <w:tblCellMar>
        <w:top w:w="0" w:type="dxa"/>
        <w:left w:w="0" w:type="dxa"/>
        <w:bottom w:w="0" w:type="dxa"/>
        <w:right w:w="0" w:type="dxa"/>
      </w:tblCellMar>
    </w:tblPr>
  </w:style>
  <w:style w:type="paragraph" w:customStyle="1" w:styleId="82">
    <w:name w:val="Table Paragraph"/>
    <w:basedOn w:val="1"/>
    <w:qFormat/>
    <w:uiPriority w:val="1"/>
  </w:style>
  <w:style w:type="paragraph" w:customStyle="1" w:styleId="83">
    <w:name w:val="正文文本缩进1"/>
    <w:basedOn w:val="79"/>
    <w:qFormat/>
    <w:uiPriority w:val="0"/>
    <w:pPr>
      <w:spacing w:after="120"/>
      <w:ind w:left="420" w:leftChars="200"/>
    </w:pPr>
  </w:style>
  <w:style w:type="paragraph" w:customStyle="1" w:styleId="84">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5">
    <w:name w:val="纯文本2"/>
    <w:basedOn w:val="79"/>
    <w:qFormat/>
    <w:uiPriority w:val="0"/>
    <w:rPr>
      <w:rFonts w:ascii="宋体" w:hAnsi="Courier New"/>
      <w:szCs w:val="20"/>
    </w:rPr>
  </w:style>
  <w:style w:type="character" w:customStyle="1" w:styleId="86">
    <w:name w:val="font141"/>
    <w:qFormat/>
    <w:uiPriority w:val="0"/>
    <w:rPr>
      <w:rFonts w:hint="default" w:ascii="Times New Roman" w:hAnsi="Times New Roman" w:cs="Times New Roman"/>
      <w:color w:val="000000"/>
      <w:sz w:val="18"/>
      <w:szCs w:val="18"/>
      <w:u w:val="none"/>
    </w:rPr>
  </w:style>
  <w:style w:type="character" w:customStyle="1" w:styleId="87">
    <w:name w:val="font71"/>
    <w:qFormat/>
    <w:uiPriority w:val="0"/>
    <w:rPr>
      <w:rFonts w:hint="eastAsia" w:ascii="宋体" w:hAnsi="宋体" w:eastAsia="宋体" w:cs="宋体"/>
      <w:color w:val="000000"/>
      <w:sz w:val="18"/>
      <w:szCs w:val="18"/>
      <w:u w:val="none"/>
    </w:rPr>
  </w:style>
  <w:style w:type="paragraph" w:customStyle="1" w:styleId="88">
    <w:name w:val="正文文本首行缩进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9">
    <w:name w:val="table"/>
    <w:qFormat/>
    <w:uiPriority w:val="0"/>
    <w:pPr>
      <w:adjustRightInd w:val="0"/>
      <w:snapToGrid w:val="0"/>
    </w:pPr>
    <w:rPr>
      <w:rFonts w:hint="default" w:ascii="宋体" w:hAnsi="Calibri" w:eastAsia="宋体" w:cs="Times New Roman"/>
      <w:kern w:val="2"/>
      <w:sz w:val="24"/>
      <w:szCs w:val="22"/>
      <w:lang w:val="en-US" w:eastAsia="zh-CN" w:bidi="ar-SA"/>
    </w:rPr>
  </w:style>
  <w:style w:type="paragraph" w:customStyle="1" w:styleId="9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36366</Words>
  <Characters>37871</Characters>
  <Lines>67</Lines>
  <Paragraphs>66</Paragraphs>
  <TotalTime>1</TotalTime>
  <ScaleCrop>false</ScaleCrop>
  <LinksUpToDate>false</LinksUpToDate>
  <CharactersWithSpaces>41048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彬</cp:lastModifiedBy>
  <cp:lastPrinted>2022-12-01T06:09:00Z</cp:lastPrinted>
  <dcterms:modified xsi:type="dcterms:W3CDTF">2025-04-22T01:35:26Z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AC60154F674741D6833D181B1A462136_13</vt:lpwstr>
  </property>
  <property fmtid="{D5CDD505-2E9C-101B-9397-08002B2CF9AE}" pid="4" name="KSOTemplateDocerSaveRecord">
    <vt:lpwstr>eyJoZGlkIjoiNTI0ZjNiMzRmN2RjZGEyYzAwYTkzYTcwOGYxMGJjODkiLCJ1c2VySWQiOiIyNjA3ODQ4MzIifQ==</vt:lpwstr>
  </property>
</Properties>
</file>