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黑体" w:eastAsia="黑体"/>
          <w:color w:val="auto"/>
          <w:szCs w:val="21"/>
          <w:highlight w:val="none"/>
        </w:rPr>
      </w:pPr>
    </w:p>
    <w:p>
      <w:pPr>
        <w:pStyle w:val="68"/>
        <w:ind w:firstLine="400"/>
        <w:rPr>
          <w:color w:val="auto"/>
          <w:highlight w:val="none"/>
        </w:rPr>
      </w:pPr>
    </w:p>
    <w:p>
      <w:pPr>
        <w:rPr>
          <w:color w:val="auto"/>
          <w:highlight w:val="none"/>
        </w:rPr>
      </w:pPr>
    </w:p>
    <w:p>
      <w:pPr>
        <w:rPr>
          <w:color w:val="auto"/>
          <w:highlight w:val="none"/>
        </w:rPr>
      </w:pPr>
    </w:p>
    <w:p>
      <w:pPr>
        <w:rPr>
          <w:color w:val="auto"/>
          <w:highlight w:val="none"/>
        </w:rPr>
      </w:pPr>
    </w:p>
    <w:p>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竞争性磋商文件</w:t>
      </w:r>
    </w:p>
    <w:p>
      <w:pPr>
        <w:rPr>
          <w:color w:val="auto"/>
          <w:highlight w:val="none"/>
        </w:rPr>
      </w:pPr>
    </w:p>
    <w:p>
      <w:pPr>
        <w:pStyle w:val="11"/>
        <w:rPr>
          <w:color w:val="auto"/>
          <w:highlight w:val="none"/>
        </w:rPr>
      </w:pPr>
    </w:p>
    <w:p>
      <w:pPr>
        <w:pStyle w:val="10"/>
        <w:rPr>
          <w:color w:val="auto"/>
          <w:highlight w:val="none"/>
        </w:rPr>
      </w:pPr>
    </w:p>
    <w:p>
      <w:pPr>
        <w:pStyle w:val="12"/>
        <w:rPr>
          <w:color w:val="auto"/>
          <w:highlight w:val="none"/>
        </w:rPr>
      </w:pPr>
    </w:p>
    <w:tbl>
      <w:tblPr>
        <w:tblStyle w:val="36"/>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7"/>
        <w:gridCol w:w="6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7" w:hRule="atLeast"/>
          <w:jc w:val="center"/>
        </w:trPr>
        <w:tc>
          <w:tcPr>
            <w:tcW w:w="2467"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055"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single"/>
                <w:lang w:eastAsia="zh-CN"/>
              </w:rPr>
              <w:t>企石镇霞朗-新南现代化产业园区（“城中村”改造项目）权籍调查审查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jc w:val="center"/>
        </w:trPr>
        <w:tc>
          <w:tcPr>
            <w:tcW w:w="2467"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055"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 w:val="0"/>
                <w:bCs/>
                <w:color w:val="auto"/>
                <w:sz w:val="32"/>
                <w:szCs w:val="24"/>
                <w:highlight w:val="none"/>
                <w:u w:val="single"/>
                <w:lang w:eastAsia="zh-CN"/>
              </w:rPr>
              <w:t>DGQS-LX-03-002-002(2024)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jc w:val="center"/>
        </w:trPr>
        <w:tc>
          <w:tcPr>
            <w:tcW w:w="2467"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055"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single"/>
                <w:lang w:eastAsia="zh-CN"/>
              </w:rPr>
              <w:t>东莞市东实城市开发有限公司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jc w:val="center"/>
        </w:trPr>
        <w:tc>
          <w:tcPr>
            <w:tcW w:w="2467"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055"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single"/>
                <w:lang w:eastAsia="zh-CN"/>
              </w:rPr>
              <w:t>广西同泽工程项目管理股份有限公司</w:t>
            </w:r>
          </w:p>
        </w:tc>
      </w:tr>
    </w:tbl>
    <w:p>
      <w:pPr>
        <w:jc w:val="center"/>
        <w:rPr>
          <w:rFonts w:ascii="黑体" w:eastAsia="黑体"/>
          <w:color w:val="auto"/>
          <w:szCs w:val="21"/>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pStyle w:val="68"/>
        <w:ind w:firstLine="400"/>
        <w:rPr>
          <w:color w:val="auto"/>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20</w:t>
      </w:r>
      <w:r>
        <w:rPr>
          <w:rFonts w:ascii="黑体" w:hAnsi="黑体" w:eastAsia="黑体" w:cs="黑体"/>
          <w:bCs/>
          <w:color w:val="auto"/>
          <w:sz w:val="32"/>
          <w:szCs w:val="24"/>
          <w:highlight w:val="none"/>
        </w:rPr>
        <w:t>2</w:t>
      </w:r>
      <w:r>
        <w:rPr>
          <w:rFonts w:hint="eastAsia" w:ascii="黑体" w:hAnsi="黑体" w:eastAsia="黑体" w:cs="黑体"/>
          <w:bCs/>
          <w:color w:val="auto"/>
          <w:sz w:val="32"/>
          <w:szCs w:val="24"/>
          <w:highlight w:val="none"/>
          <w:lang w:val="en-US" w:eastAsia="zh-CN"/>
        </w:rPr>
        <w:t>4</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10</w:t>
      </w:r>
      <w:r>
        <w:rPr>
          <w:rFonts w:hint="eastAsia" w:ascii="黑体" w:hAnsi="黑体" w:eastAsia="黑体" w:cs="黑体"/>
          <w:bCs/>
          <w:color w:val="auto"/>
          <w:sz w:val="32"/>
          <w:szCs w:val="24"/>
          <w:highlight w:val="none"/>
        </w:rPr>
        <w:t>月</w:t>
      </w:r>
    </w:p>
    <w:p>
      <w:pPr>
        <w:rPr>
          <w:color w:val="auto"/>
          <w:highlight w:val="none"/>
        </w:rPr>
        <w:sectPr>
          <w:footerReference r:id="rId4" w:type="first"/>
          <w:footerReference r:id="rId3" w:type="default"/>
          <w:pgSz w:w="11906" w:h="16838"/>
          <w:pgMar w:top="1440" w:right="1800" w:bottom="1440" w:left="1800" w:header="708" w:footer="708" w:gutter="0"/>
          <w:pgNumType w:start="1"/>
          <w:cols w:space="720" w:num="1"/>
          <w:titlePg/>
          <w:docGrid w:type="lines" w:linePitch="360" w:charSpace="0"/>
        </w:sectPr>
      </w:pPr>
    </w:p>
    <w:p>
      <w:pPr>
        <w:pStyle w:val="26"/>
        <w:ind w:left="0" w:leftChars="0"/>
        <w:rPr>
          <w:color w:val="auto"/>
          <w:sz w:val="40"/>
          <w:szCs w:val="40"/>
          <w:highlight w:val="none"/>
        </w:rPr>
      </w:pPr>
      <w:r>
        <w:rPr>
          <w:rFonts w:hint="eastAsia"/>
          <w:color w:val="auto"/>
          <w:sz w:val="40"/>
          <w:szCs w:val="40"/>
          <w:highlight w:val="none"/>
        </w:rPr>
        <w:t>目录</w:t>
      </w:r>
    </w:p>
    <w:p>
      <w:pPr>
        <w:pStyle w:val="2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
          <w:bCs/>
          <w:color w:val="auto"/>
          <w:sz w:val="20"/>
          <w:szCs w:val="20"/>
          <w:highlight w:val="none"/>
        </w:rPr>
        <w:fldChar w:fldCharType="begin"/>
      </w:r>
      <w:r>
        <w:rPr>
          <w:rFonts w:hint="eastAsia" w:ascii="宋体" w:hAnsi="宋体" w:eastAsia="宋体" w:cs="宋体"/>
          <w:b/>
          <w:bCs/>
          <w:color w:val="auto"/>
          <w:sz w:val="20"/>
          <w:szCs w:val="20"/>
          <w:highlight w:val="none"/>
        </w:rPr>
        <w:instrText xml:space="preserve"> TOC \o "1-4" \h \z \u </w:instrText>
      </w:r>
      <w:r>
        <w:rPr>
          <w:rFonts w:hint="eastAsia" w:ascii="宋体" w:hAnsi="宋体" w:eastAsia="宋体" w:cs="宋体"/>
          <w:b/>
          <w:bCs/>
          <w:color w:val="auto"/>
          <w:sz w:val="20"/>
          <w:szCs w:val="20"/>
          <w:highlight w:val="none"/>
        </w:rPr>
        <w:fldChar w:fldCharType="separate"/>
      </w: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_Toc15771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第一部分</w:t>
      </w:r>
      <w:r>
        <w:rPr>
          <w:rFonts w:hint="eastAsia" w:ascii="宋体" w:hAnsi="宋体" w:eastAsia="宋体" w:cs="宋体"/>
          <w:sz w:val="20"/>
          <w:szCs w:val="20"/>
          <w:highlight w:val="none"/>
          <w:lang w:val="en-US" w:eastAsia="zh-CN"/>
        </w:rPr>
        <w:t xml:space="preserve"> </w:t>
      </w:r>
      <w:r>
        <w:rPr>
          <w:rFonts w:hint="eastAsia" w:ascii="宋体" w:hAnsi="宋体" w:eastAsia="宋体" w:cs="宋体"/>
          <w:sz w:val="20"/>
          <w:szCs w:val="20"/>
          <w:highlight w:val="none"/>
        </w:rPr>
        <w:t>磋商邀请</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_Toc15771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_Toc17229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磋商邀请书</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_Toc17229 </w:instrText>
      </w:r>
      <w:r>
        <w:rPr>
          <w:rFonts w:hint="eastAsia" w:ascii="宋体" w:hAnsi="宋体" w:eastAsia="宋体" w:cs="宋体"/>
          <w:sz w:val="20"/>
          <w:szCs w:val="20"/>
        </w:rPr>
        <w:fldChar w:fldCharType="separate"/>
      </w:r>
      <w:r>
        <w:rPr>
          <w:rFonts w:hint="eastAsia" w:ascii="宋体" w:hAnsi="宋体" w:eastAsia="宋体" w:cs="宋体"/>
          <w:sz w:val="20"/>
          <w:szCs w:val="20"/>
        </w:rPr>
        <w:t>4</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_Toc2567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第二部分</w:t>
      </w:r>
      <w:r>
        <w:rPr>
          <w:rFonts w:hint="eastAsia" w:ascii="宋体" w:hAnsi="宋体" w:eastAsia="宋体" w:cs="宋体"/>
          <w:sz w:val="20"/>
          <w:szCs w:val="20"/>
          <w:highlight w:val="none"/>
          <w:lang w:val="en-US" w:eastAsia="zh-CN"/>
        </w:rPr>
        <w:t xml:space="preserve"> </w:t>
      </w:r>
      <w:r>
        <w:rPr>
          <w:rFonts w:hint="eastAsia" w:ascii="宋体" w:hAnsi="宋体" w:eastAsia="宋体" w:cs="宋体"/>
          <w:sz w:val="20"/>
          <w:szCs w:val="20"/>
          <w:highlight w:val="none"/>
        </w:rPr>
        <w:t>相关资料表格</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_Toc2567 </w:instrText>
      </w:r>
      <w:r>
        <w:rPr>
          <w:rFonts w:hint="eastAsia" w:ascii="宋体" w:hAnsi="宋体" w:eastAsia="宋体" w:cs="宋体"/>
          <w:sz w:val="20"/>
          <w:szCs w:val="20"/>
        </w:rPr>
        <w:fldChar w:fldCharType="separate"/>
      </w:r>
      <w:r>
        <w:rPr>
          <w:rFonts w:hint="eastAsia" w:ascii="宋体" w:hAnsi="宋体" w:eastAsia="宋体" w:cs="宋体"/>
          <w:sz w:val="20"/>
          <w:szCs w:val="20"/>
        </w:rPr>
        <w:t>7</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_Toc29593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附表一：响应资料表</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_Toc29593 </w:instrText>
      </w:r>
      <w:r>
        <w:rPr>
          <w:rFonts w:hint="eastAsia" w:ascii="宋体" w:hAnsi="宋体" w:eastAsia="宋体" w:cs="宋体"/>
          <w:sz w:val="20"/>
          <w:szCs w:val="20"/>
        </w:rPr>
        <w:fldChar w:fldCharType="separate"/>
      </w:r>
      <w:r>
        <w:rPr>
          <w:rFonts w:hint="eastAsia" w:ascii="宋体" w:hAnsi="宋体" w:eastAsia="宋体" w:cs="宋体"/>
          <w:sz w:val="20"/>
          <w:szCs w:val="20"/>
        </w:rPr>
        <w:t>7</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_Toc28175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附表二：商务技术评分及价格权重表（满分100分）</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_Toc28175 </w:instrText>
      </w:r>
      <w:r>
        <w:rPr>
          <w:rFonts w:hint="eastAsia" w:ascii="宋体" w:hAnsi="宋体" w:eastAsia="宋体" w:cs="宋体"/>
          <w:sz w:val="20"/>
          <w:szCs w:val="20"/>
        </w:rPr>
        <w:fldChar w:fldCharType="separate"/>
      </w:r>
      <w:r>
        <w:rPr>
          <w:rFonts w:hint="eastAsia" w:ascii="宋体" w:hAnsi="宋体" w:eastAsia="宋体" w:cs="宋体"/>
          <w:sz w:val="20"/>
          <w:szCs w:val="20"/>
        </w:rPr>
        <w:t>11</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_Toc18394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第三部分</w:t>
      </w:r>
      <w:r>
        <w:rPr>
          <w:rFonts w:hint="eastAsia" w:ascii="宋体" w:hAnsi="宋体" w:eastAsia="宋体" w:cs="宋体"/>
          <w:sz w:val="20"/>
          <w:szCs w:val="20"/>
          <w:highlight w:val="none"/>
          <w:lang w:val="en-US" w:eastAsia="zh-CN"/>
        </w:rPr>
        <w:t xml:space="preserve"> </w:t>
      </w:r>
      <w:r>
        <w:rPr>
          <w:rFonts w:hint="eastAsia" w:ascii="宋体" w:hAnsi="宋体" w:eastAsia="宋体" w:cs="宋体"/>
          <w:sz w:val="20"/>
          <w:szCs w:val="20"/>
          <w:highlight w:val="none"/>
        </w:rPr>
        <w:t>用户需求书</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_Toc18394 </w:instrText>
      </w:r>
      <w:r>
        <w:rPr>
          <w:rFonts w:hint="eastAsia" w:ascii="宋体" w:hAnsi="宋体" w:eastAsia="宋体" w:cs="宋体"/>
          <w:sz w:val="20"/>
          <w:szCs w:val="20"/>
        </w:rPr>
        <w:fldChar w:fldCharType="separate"/>
      </w:r>
      <w:r>
        <w:rPr>
          <w:rFonts w:hint="eastAsia" w:ascii="宋体" w:hAnsi="宋体" w:eastAsia="宋体" w:cs="宋体"/>
          <w:sz w:val="20"/>
          <w:szCs w:val="20"/>
        </w:rPr>
        <w:t>15</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_Toc21219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第一章 商务需求书</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_Toc21219 </w:instrText>
      </w:r>
      <w:r>
        <w:rPr>
          <w:rFonts w:hint="eastAsia" w:ascii="宋体" w:hAnsi="宋体" w:eastAsia="宋体" w:cs="宋体"/>
          <w:sz w:val="20"/>
          <w:szCs w:val="20"/>
        </w:rPr>
        <w:fldChar w:fldCharType="separate"/>
      </w:r>
      <w:r>
        <w:rPr>
          <w:rFonts w:hint="eastAsia" w:ascii="宋体" w:hAnsi="宋体" w:eastAsia="宋体" w:cs="宋体"/>
          <w:sz w:val="20"/>
          <w:szCs w:val="20"/>
        </w:rPr>
        <w:t>15</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_Toc19640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第二章 技术需求书</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_Toc19640 </w:instrText>
      </w:r>
      <w:r>
        <w:rPr>
          <w:rFonts w:hint="eastAsia" w:ascii="宋体" w:hAnsi="宋体" w:eastAsia="宋体" w:cs="宋体"/>
          <w:sz w:val="20"/>
          <w:szCs w:val="20"/>
        </w:rPr>
        <w:fldChar w:fldCharType="separate"/>
      </w:r>
      <w:r>
        <w:rPr>
          <w:rFonts w:hint="eastAsia" w:ascii="宋体" w:hAnsi="宋体" w:eastAsia="宋体" w:cs="宋体"/>
          <w:sz w:val="20"/>
          <w:szCs w:val="20"/>
        </w:rPr>
        <w:t>17</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_Toc8670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第四部分</w:t>
      </w:r>
      <w:r>
        <w:rPr>
          <w:rFonts w:hint="eastAsia" w:ascii="宋体" w:hAnsi="宋体" w:eastAsia="宋体" w:cs="宋体"/>
          <w:sz w:val="20"/>
          <w:szCs w:val="20"/>
          <w:highlight w:val="none"/>
          <w:lang w:val="en-US" w:eastAsia="zh-CN"/>
        </w:rPr>
        <w:t xml:space="preserve"> </w:t>
      </w:r>
      <w:r>
        <w:rPr>
          <w:rFonts w:hint="eastAsia" w:ascii="宋体" w:hAnsi="宋体" w:eastAsia="宋体" w:cs="宋体"/>
          <w:sz w:val="20"/>
          <w:szCs w:val="20"/>
          <w:highlight w:val="none"/>
        </w:rPr>
        <w:t>供应商须知</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_Toc8670 </w:instrText>
      </w:r>
      <w:r>
        <w:rPr>
          <w:rFonts w:hint="eastAsia" w:ascii="宋体" w:hAnsi="宋体" w:eastAsia="宋体" w:cs="宋体"/>
          <w:sz w:val="20"/>
          <w:szCs w:val="20"/>
        </w:rPr>
        <w:fldChar w:fldCharType="separate"/>
      </w:r>
      <w:r>
        <w:rPr>
          <w:rFonts w:hint="eastAsia" w:ascii="宋体" w:hAnsi="宋体" w:eastAsia="宋体" w:cs="宋体"/>
          <w:sz w:val="20"/>
          <w:szCs w:val="20"/>
        </w:rPr>
        <w:t>21</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_Toc24619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一、 </w:t>
      </w:r>
      <w:r>
        <w:rPr>
          <w:rFonts w:hint="eastAsia" w:ascii="宋体" w:hAnsi="宋体" w:eastAsia="宋体" w:cs="宋体"/>
          <w:sz w:val="20"/>
          <w:szCs w:val="20"/>
          <w:highlight w:val="none"/>
        </w:rPr>
        <w:t>说明</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_Toc24619 </w:instrText>
      </w:r>
      <w:r>
        <w:rPr>
          <w:rFonts w:hint="eastAsia" w:ascii="宋体" w:hAnsi="宋体" w:eastAsia="宋体" w:cs="宋体"/>
          <w:sz w:val="20"/>
          <w:szCs w:val="20"/>
        </w:rPr>
        <w:fldChar w:fldCharType="separate"/>
      </w:r>
      <w:r>
        <w:rPr>
          <w:rFonts w:hint="eastAsia" w:ascii="宋体" w:hAnsi="宋体" w:eastAsia="宋体" w:cs="宋体"/>
          <w:sz w:val="20"/>
          <w:szCs w:val="20"/>
        </w:rPr>
        <w:t>21</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_Toc6903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1. </w:t>
      </w:r>
      <w:r>
        <w:rPr>
          <w:rFonts w:hint="eastAsia" w:ascii="宋体" w:hAnsi="宋体" w:eastAsia="宋体" w:cs="宋体"/>
          <w:sz w:val="20"/>
          <w:szCs w:val="20"/>
          <w:highlight w:val="none"/>
        </w:rPr>
        <w:t>适用范围</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_Toc6903 </w:instrText>
      </w:r>
      <w:r>
        <w:rPr>
          <w:rFonts w:hint="eastAsia" w:ascii="宋体" w:hAnsi="宋体" w:eastAsia="宋体" w:cs="宋体"/>
          <w:sz w:val="20"/>
          <w:szCs w:val="20"/>
        </w:rPr>
        <w:fldChar w:fldCharType="separate"/>
      </w:r>
      <w:r>
        <w:rPr>
          <w:rFonts w:hint="eastAsia" w:ascii="宋体" w:hAnsi="宋体" w:eastAsia="宋体" w:cs="宋体"/>
          <w:sz w:val="20"/>
          <w:szCs w:val="20"/>
        </w:rPr>
        <w:t>21</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_Toc15529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2. </w:t>
      </w:r>
      <w:r>
        <w:rPr>
          <w:rFonts w:hint="eastAsia" w:ascii="宋体" w:hAnsi="宋体" w:eastAsia="宋体" w:cs="宋体"/>
          <w:sz w:val="20"/>
          <w:szCs w:val="20"/>
          <w:highlight w:val="none"/>
        </w:rPr>
        <w:t>定义</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_Toc15529 </w:instrText>
      </w:r>
      <w:r>
        <w:rPr>
          <w:rFonts w:hint="eastAsia" w:ascii="宋体" w:hAnsi="宋体" w:eastAsia="宋体" w:cs="宋体"/>
          <w:sz w:val="20"/>
          <w:szCs w:val="20"/>
        </w:rPr>
        <w:fldChar w:fldCharType="separate"/>
      </w:r>
      <w:r>
        <w:rPr>
          <w:rFonts w:hint="eastAsia" w:ascii="宋体" w:hAnsi="宋体" w:eastAsia="宋体" w:cs="宋体"/>
          <w:sz w:val="20"/>
          <w:szCs w:val="20"/>
        </w:rPr>
        <w:t>21</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_Toc1984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3. </w:t>
      </w:r>
      <w:r>
        <w:rPr>
          <w:rFonts w:hint="eastAsia" w:ascii="宋体" w:hAnsi="宋体" w:eastAsia="宋体" w:cs="宋体"/>
          <w:sz w:val="20"/>
          <w:szCs w:val="20"/>
          <w:highlight w:val="none"/>
        </w:rPr>
        <w:t>货物和服务</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_Toc1984 </w:instrText>
      </w:r>
      <w:r>
        <w:rPr>
          <w:rFonts w:hint="eastAsia" w:ascii="宋体" w:hAnsi="宋体" w:eastAsia="宋体" w:cs="宋体"/>
          <w:sz w:val="20"/>
          <w:szCs w:val="20"/>
        </w:rPr>
        <w:fldChar w:fldCharType="separate"/>
      </w:r>
      <w:r>
        <w:rPr>
          <w:rFonts w:hint="eastAsia" w:ascii="宋体" w:hAnsi="宋体" w:eastAsia="宋体" w:cs="宋体"/>
          <w:sz w:val="20"/>
          <w:szCs w:val="20"/>
        </w:rPr>
        <w:t>21</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_Toc25256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4. </w:t>
      </w:r>
      <w:r>
        <w:rPr>
          <w:rFonts w:hint="eastAsia" w:ascii="宋体" w:hAnsi="宋体" w:eastAsia="宋体" w:cs="宋体"/>
          <w:sz w:val="20"/>
          <w:szCs w:val="20"/>
          <w:highlight w:val="none"/>
        </w:rPr>
        <w:t>磋商费用</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_Toc25256 </w:instrText>
      </w:r>
      <w:r>
        <w:rPr>
          <w:rFonts w:hint="eastAsia" w:ascii="宋体" w:hAnsi="宋体" w:eastAsia="宋体" w:cs="宋体"/>
          <w:sz w:val="20"/>
          <w:szCs w:val="20"/>
        </w:rPr>
        <w:fldChar w:fldCharType="separate"/>
      </w:r>
      <w:r>
        <w:rPr>
          <w:rFonts w:hint="eastAsia" w:ascii="宋体" w:hAnsi="宋体" w:eastAsia="宋体" w:cs="宋体"/>
          <w:sz w:val="20"/>
          <w:szCs w:val="20"/>
        </w:rPr>
        <w:t>21</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_Toc30552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5. </w:t>
      </w:r>
      <w:r>
        <w:rPr>
          <w:rFonts w:hint="eastAsia" w:ascii="宋体" w:hAnsi="宋体" w:eastAsia="宋体" w:cs="宋体"/>
          <w:sz w:val="20"/>
          <w:szCs w:val="20"/>
          <w:highlight w:val="none"/>
        </w:rPr>
        <w:t>知识产权</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_Toc30552 </w:instrText>
      </w:r>
      <w:r>
        <w:rPr>
          <w:rFonts w:hint="eastAsia" w:ascii="宋体" w:hAnsi="宋体" w:eastAsia="宋体" w:cs="宋体"/>
          <w:sz w:val="20"/>
          <w:szCs w:val="20"/>
        </w:rPr>
        <w:fldChar w:fldCharType="separate"/>
      </w:r>
      <w:r>
        <w:rPr>
          <w:rFonts w:hint="eastAsia" w:ascii="宋体" w:hAnsi="宋体" w:eastAsia="宋体" w:cs="宋体"/>
          <w:sz w:val="20"/>
          <w:szCs w:val="20"/>
        </w:rPr>
        <w:t>22</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_Toc31556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6. </w:t>
      </w:r>
      <w:r>
        <w:rPr>
          <w:rFonts w:hint="eastAsia" w:ascii="宋体" w:hAnsi="宋体" w:eastAsia="宋体" w:cs="宋体"/>
          <w:sz w:val="20"/>
          <w:szCs w:val="20"/>
          <w:highlight w:val="none"/>
        </w:rPr>
        <w:t>关于联合体投标</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_Toc31556 </w:instrText>
      </w:r>
      <w:r>
        <w:rPr>
          <w:rFonts w:hint="eastAsia" w:ascii="宋体" w:hAnsi="宋体" w:eastAsia="宋体" w:cs="宋体"/>
          <w:sz w:val="20"/>
          <w:szCs w:val="20"/>
        </w:rPr>
        <w:fldChar w:fldCharType="separate"/>
      </w:r>
      <w:r>
        <w:rPr>
          <w:rFonts w:hint="eastAsia" w:ascii="宋体" w:hAnsi="宋体" w:eastAsia="宋体" w:cs="宋体"/>
          <w:sz w:val="20"/>
          <w:szCs w:val="20"/>
        </w:rPr>
        <w:t>22</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_Toc21244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7. </w:t>
      </w:r>
      <w:r>
        <w:rPr>
          <w:rFonts w:hint="eastAsia" w:ascii="宋体" w:hAnsi="宋体" w:eastAsia="宋体" w:cs="宋体"/>
          <w:sz w:val="20"/>
          <w:szCs w:val="20"/>
          <w:highlight w:val="none"/>
        </w:rPr>
        <w:t>关于分支机构投标</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_Toc21244 </w:instrText>
      </w:r>
      <w:r>
        <w:rPr>
          <w:rFonts w:hint="eastAsia" w:ascii="宋体" w:hAnsi="宋体" w:eastAsia="宋体" w:cs="宋体"/>
          <w:sz w:val="20"/>
          <w:szCs w:val="20"/>
        </w:rPr>
        <w:fldChar w:fldCharType="separate"/>
      </w:r>
      <w:r>
        <w:rPr>
          <w:rFonts w:hint="eastAsia" w:ascii="宋体" w:hAnsi="宋体" w:eastAsia="宋体" w:cs="宋体"/>
          <w:sz w:val="20"/>
          <w:szCs w:val="20"/>
        </w:rPr>
        <w:t>23</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_Toc25869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8. </w:t>
      </w:r>
      <w:r>
        <w:rPr>
          <w:rFonts w:hint="eastAsia" w:ascii="宋体" w:hAnsi="宋体" w:eastAsia="宋体" w:cs="宋体"/>
          <w:sz w:val="20"/>
          <w:szCs w:val="20"/>
          <w:highlight w:val="none"/>
        </w:rPr>
        <w:t>踏勘现场</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_Toc25869 </w:instrText>
      </w:r>
      <w:r>
        <w:rPr>
          <w:rFonts w:hint="eastAsia" w:ascii="宋体" w:hAnsi="宋体" w:eastAsia="宋体" w:cs="宋体"/>
          <w:sz w:val="20"/>
          <w:szCs w:val="20"/>
        </w:rPr>
        <w:fldChar w:fldCharType="separate"/>
      </w:r>
      <w:r>
        <w:rPr>
          <w:rFonts w:hint="eastAsia" w:ascii="宋体" w:hAnsi="宋体" w:eastAsia="宋体" w:cs="宋体"/>
          <w:sz w:val="20"/>
          <w:szCs w:val="20"/>
        </w:rPr>
        <w:t>23</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_Toc22559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二、 </w:t>
      </w:r>
      <w:r>
        <w:rPr>
          <w:rFonts w:hint="eastAsia" w:ascii="宋体" w:hAnsi="宋体" w:eastAsia="宋体" w:cs="宋体"/>
          <w:sz w:val="20"/>
          <w:szCs w:val="20"/>
          <w:highlight w:val="none"/>
        </w:rPr>
        <w:t>磋商文件</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_Toc22559 </w:instrText>
      </w:r>
      <w:r>
        <w:rPr>
          <w:rFonts w:hint="eastAsia" w:ascii="宋体" w:hAnsi="宋体" w:eastAsia="宋体" w:cs="宋体"/>
          <w:sz w:val="20"/>
          <w:szCs w:val="20"/>
        </w:rPr>
        <w:fldChar w:fldCharType="separate"/>
      </w:r>
      <w:r>
        <w:rPr>
          <w:rFonts w:hint="eastAsia" w:ascii="宋体" w:hAnsi="宋体" w:eastAsia="宋体" w:cs="宋体"/>
          <w:sz w:val="20"/>
          <w:szCs w:val="20"/>
        </w:rPr>
        <w:t>23</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_Toc25670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9. </w:t>
      </w:r>
      <w:r>
        <w:rPr>
          <w:rFonts w:hint="eastAsia" w:ascii="宋体" w:hAnsi="宋体" w:eastAsia="宋体" w:cs="宋体"/>
          <w:sz w:val="20"/>
          <w:szCs w:val="20"/>
          <w:highlight w:val="none"/>
        </w:rPr>
        <w:t>磋商文件的组成</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_Toc25670 </w:instrText>
      </w:r>
      <w:r>
        <w:rPr>
          <w:rFonts w:hint="eastAsia" w:ascii="宋体" w:hAnsi="宋体" w:eastAsia="宋体" w:cs="宋体"/>
          <w:sz w:val="20"/>
          <w:szCs w:val="20"/>
        </w:rPr>
        <w:fldChar w:fldCharType="separate"/>
      </w:r>
      <w:r>
        <w:rPr>
          <w:rFonts w:hint="eastAsia" w:ascii="宋体" w:hAnsi="宋体" w:eastAsia="宋体" w:cs="宋体"/>
          <w:sz w:val="20"/>
          <w:szCs w:val="20"/>
        </w:rPr>
        <w:t>23</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_Toc11307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10. </w:t>
      </w:r>
      <w:r>
        <w:rPr>
          <w:rFonts w:hint="eastAsia" w:ascii="宋体" w:hAnsi="宋体" w:eastAsia="宋体" w:cs="宋体"/>
          <w:sz w:val="20"/>
          <w:szCs w:val="20"/>
          <w:highlight w:val="none"/>
        </w:rPr>
        <w:t>磋商文件的澄清或修改</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_Toc11307 </w:instrText>
      </w:r>
      <w:r>
        <w:rPr>
          <w:rFonts w:hint="eastAsia" w:ascii="宋体" w:hAnsi="宋体" w:eastAsia="宋体" w:cs="宋体"/>
          <w:sz w:val="20"/>
          <w:szCs w:val="20"/>
        </w:rPr>
        <w:fldChar w:fldCharType="separate"/>
      </w:r>
      <w:r>
        <w:rPr>
          <w:rFonts w:hint="eastAsia" w:ascii="宋体" w:hAnsi="宋体" w:eastAsia="宋体" w:cs="宋体"/>
          <w:sz w:val="20"/>
          <w:szCs w:val="20"/>
        </w:rPr>
        <w:t>23</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_Toc31262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三、 </w:t>
      </w:r>
      <w:r>
        <w:rPr>
          <w:rFonts w:hint="eastAsia" w:ascii="宋体" w:hAnsi="宋体" w:eastAsia="宋体" w:cs="宋体"/>
          <w:sz w:val="20"/>
          <w:szCs w:val="20"/>
          <w:highlight w:val="none"/>
        </w:rPr>
        <w:t>响应文件的编制</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_Toc31262 </w:instrText>
      </w:r>
      <w:r>
        <w:rPr>
          <w:rFonts w:hint="eastAsia" w:ascii="宋体" w:hAnsi="宋体" w:eastAsia="宋体" w:cs="宋体"/>
          <w:sz w:val="20"/>
          <w:szCs w:val="20"/>
        </w:rPr>
        <w:fldChar w:fldCharType="separate"/>
      </w:r>
      <w:r>
        <w:rPr>
          <w:rFonts w:hint="eastAsia" w:ascii="宋体" w:hAnsi="宋体" w:eastAsia="宋体" w:cs="宋体"/>
          <w:sz w:val="20"/>
          <w:szCs w:val="20"/>
        </w:rPr>
        <w:t>24</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_Toc8023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11. </w:t>
      </w:r>
      <w:r>
        <w:rPr>
          <w:rFonts w:hint="eastAsia" w:ascii="宋体" w:hAnsi="宋体" w:eastAsia="宋体" w:cs="宋体"/>
          <w:sz w:val="20"/>
          <w:szCs w:val="20"/>
          <w:highlight w:val="none"/>
        </w:rPr>
        <w:t>响应文件的语言及度量衡单位</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_Toc8023 </w:instrText>
      </w:r>
      <w:r>
        <w:rPr>
          <w:rFonts w:hint="eastAsia" w:ascii="宋体" w:hAnsi="宋体" w:eastAsia="宋体" w:cs="宋体"/>
          <w:sz w:val="20"/>
          <w:szCs w:val="20"/>
        </w:rPr>
        <w:fldChar w:fldCharType="separate"/>
      </w:r>
      <w:r>
        <w:rPr>
          <w:rFonts w:hint="eastAsia" w:ascii="宋体" w:hAnsi="宋体" w:eastAsia="宋体" w:cs="宋体"/>
          <w:sz w:val="20"/>
          <w:szCs w:val="20"/>
        </w:rPr>
        <w:t>24</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_Toc17061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12. </w:t>
      </w:r>
      <w:r>
        <w:rPr>
          <w:rFonts w:hint="eastAsia" w:ascii="宋体" w:hAnsi="宋体" w:eastAsia="宋体" w:cs="宋体"/>
          <w:sz w:val="20"/>
          <w:szCs w:val="20"/>
          <w:highlight w:val="none"/>
        </w:rPr>
        <w:t>响应文件的组成</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_Toc17061 </w:instrText>
      </w:r>
      <w:r>
        <w:rPr>
          <w:rFonts w:hint="eastAsia" w:ascii="宋体" w:hAnsi="宋体" w:eastAsia="宋体" w:cs="宋体"/>
          <w:sz w:val="20"/>
          <w:szCs w:val="20"/>
        </w:rPr>
        <w:fldChar w:fldCharType="separate"/>
      </w:r>
      <w:r>
        <w:rPr>
          <w:rFonts w:hint="eastAsia" w:ascii="宋体" w:hAnsi="宋体" w:eastAsia="宋体" w:cs="宋体"/>
          <w:sz w:val="20"/>
          <w:szCs w:val="20"/>
        </w:rPr>
        <w:t>24</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_Toc7998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13. </w:t>
      </w:r>
      <w:r>
        <w:rPr>
          <w:rFonts w:hint="eastAsia" w:ascii="宋体" w:hAnsi="宋体" w:eastAsia="宋体" w:cs="宋体"/>
          <w:sz w:val="20"/>
          <w:szCs w:val="20"/>
          <w:highlight w:val="none"/>
        </w:rPr>
        <w:t>响应文件编制</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_Toc7998 </w:instrText>
      </w:r>
      <w:r>
        <w:rPr>
          <w:rFonts w:hint="eastAsia" w:ascii="宋体" w:hAnsi="宋体" w:eastAsia="宋体" w:cs="宋体"/>
          <w:sz w:val="20"/>
          <w:szCs w:val="20"/>
        </w:rPr>
        <w:fldChar w:fldCharType="separate"/>
      </w:r>
      <w:r>
        <w:rPr>
          <w:rFonts w:hint="eastAsia" w:ascii="宋体" w:hAnsi="宋体" w:eastAsia="宋体" w:cs="宋体"/>
          <w:sz w:val="20"/>
          <w:szCs w:val="20"/>
        </w:rPr>
        <w:t>24</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_Toc30614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14. </w:t>
      </w:r>
      <w:r>
        <w:rPr>
          <w:rFonts w:hint="eastAsia" w:ascii="宋体" w:hAnsi="宋体" w:eastAsia="宋体" w:cs="宋体"/>
          <w:sz w:val="20"/>
          <w:szCs w:val="20"/>
          <w:highlight w:val="none"/>
        </w:rPr>
        <w:t>磋商报价说明</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_Toc30614 </w:instrText>
      </w:r>
      <w:r>
        <w:rPr>
          <w:rFonts w:hint="eastAsia" w:ascii="宋体" w:hAnsi="宋体" w:eastAsia="宋体" w:cs="宋体"/>
          <w:sz w:val="20"/>
          <w:szCs w:val="20"/>
        </w:rPr>
        <w:fldChar w:fldCharType="separate"/>
      </w:r>
      <w:r>
        <w:rPr>
          <w:rFonts w:hint="eastAsia" w:ascii="宋体" w:hAnsi="宋体" w:eastAsia="宋体" w:cs="宋体"/>
          <w:sz w:val="20"/>
          <w:szCs w:val="20"/>
        </w:rPr>
        <w:t>25</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_Toc7961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15. </w:t>
      </w:r>
      <w:r>
        <w:rPr>
          <w:rFonts w:hint="eastAsia" w:ascii="宋体" w:hAnsi="宋体" w:eastAsia="宋体" w:cs="宋体"/>
          <w:sz w:val="20"/>
          <w:szCs w:val="20"/>
          <w:highlight w:val="none"/>
        </w:rPr>
        <w:t>供应商所提供的服务或货物的证明文件</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_Toc7961 </w:instrText>
      </w:r>
      <w:r>
        <w:rPr>
          <w:rFonts w:hint="eastAsia" w:ascii="宋体" w:hAnsi="宋体" w:eastAsia="宋体" w:cs="宋体"/>
          <w:sz w:val="20"/>
          <w:szCs w:val="20"/>
        </w:rPr>
        <w:fldChar w:fldCharType="separate"/>
      </w:r>
      <w:r>
        <w:rPr>
          <w:rFonts w:hint="eastAsia" w:ascii="宋体" w:hAnsi="宋体" w:eastAsia="宋体" w:cs="宋体"/>
          <w:sz w:val="20"/>
          <w:szCs w:val="20"/>
        </w:rPr>
        <w:t>25</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_Toc26145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16. </w:t>
      </w:r>
      <w:r>
        <w:rPr>
          <w:rFonts w:hint="eastAsia" w:ascii="宋体" w:hAnsi="宋体" w:eastAsia="宋体" w:cs="宋体"/>
          <w:sz w:val="20"/>
          <w:szCs w:val="20"/>
          <w:highlight w:val="none"/>
        </w:rPr>
        <w:t>磋商有效期</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_Toc26145 </w:instrText>
      </w:r>
      <w:r>
        <w:rPr>
          <w:rFonts w:hint="eastAsia" w:ascii="宋体" w:hAnsi="宋体" w:eastAsia="宋体" w:cs="宋体"/>
          <w:sz w:val="20"/>
          <w:szCs w:val="20"/>
        </w:rPr>
        <w:fldChar w:fldCharType="separate"/>
      </w:r>
      <w:r>
        <w:rPr>
          <w:rFonts w:hint="eastAsia" w:ascii="宋体" w:hAnsi="宋体" w:eastAsia="宋体" w:cs="宋体"/>
          <w:sz w:val="20"/>
          <w:szCs w:val="20"/>
        </w:rPr>
        <w:t>25</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_Toc10946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17. </w:t>
      </w:r>
      <w:r>
        <w:rPr>
          <w:rFonts w:hint="eastAsia" w:ascii="宋体" w:hAnsi="宋体" w:eastAsia="宋体" w:cs="宋体"/>
          <w:sz w:val="20"/>
          <w:szCs w:val="20"/>
          <w:highlight w:val="none"/>
        </w:rPr>
        <w:t>磋商保证金</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_Toc10946 </w:instrText>
      </w:r>
      <w:r>
        <w:rPr>
          <w:rFonts w:hint="eastAsia" w:ascii="宋体" w:hAnsi="宋体" w:eastAsia="宋体" w:cs="宋体"/>
          <w:sz w:val="20"/>
          <w:szCs w:val="20"/>
        </w:rPr>
        <w:fldChar w:fldCharType="separate"/>
      </w:r>
      <w:r>
        <w:rPr>
          <w:rFonts w:hint="eastAsia" w:ascii="宋体" w:hAnsi="宋体" w:eastAsia="宋体" w:cs="宋体"/>
          <w:sz w:val="20"/>
          <w:szCs w:val="20"/>
        </w:rPr>
        <w:t>25</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_Toc22624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四、 </w:t>
      </w:r>
      <w:r>
        <w:rPr>
          <w:rFonts w:hint="eastAsia" w:ascii="宋体" w:hAnsi="宋体" w:eastAsia="宋体" w:cs="宋体"/>
          <w:sz w:val="20"/>
          <w:szCs w:val="20"/>
          <w:highlight w:val="none"/>
        </w:rPr>
        <w:t>响应文件的递交</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_Toc22624 </w:instrText>
      </w:r>
      <w:r>
        <w:rPr>
          <w:rFonts w:hint="eastAsia" w:ascii="宋体" w:hAnsi="宋体" w:eastAsia="宋体" w:cs="宋体"/>
          <w:sz w:val="20"/>
          <w:szCs w:val="20"/>
        </w:rPr>
        <w:fldChar w:fldCharType="separate"/>
      </w:r>
      <w:r>
        <w:rPr>
          <w:rFonts w:hint="eastAsia" w:ascii="宋体" w:hAnsi="宋体" w:eastAsia="宋体" w:cs="宋体"/>
          <w:sz w:val="20"/>
          <w:szCs w:val="20"/>
        </w:rPr>
        <w:t>26</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_Toc17141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18. </w:t>
      </w:r>
      <w:r>
        <w:rPr>
          <w:rFonts w:hint="eastAsia" w:ascii="宋体" w:hAnsi="宋体" w:eastAsia="宋体" w:cs="宋体"/>
          <w:sz w:val="20"/>
          <w:szCs w:val="20"/>
          <w:highlight w:val="none"/>
        </w:rPr>
        <w:t>响应文件的装订，签署，密封和标记</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_Toc17141 </w:instrText>
      </w:r>
      <w:r>
        <w:rPr>
          <w:rFonts w:hint="eastAsia" w:ascii="宋体" w:hAnsi="宋体" w:eastAsia="宋体" w:cs="宋体"/>
          <w:sz w:val="20"/>
          <w:szCs w:val="20"/>
        </w:rPr>
        <w:fldChar w:fldCharType="separate"/>
      </w:r>
      <w:r>
        <w:rPr>
          <w:rFonts w:hint="eastAsia" w:ascii="宋体" w:hAnsi="宋体" w:eastAsia="宋体" w:cs="宋体"/>
          <w:sz w:val="20"/>
          <w:szCs w:val="20"/>
        </w:rPr>
        <w:t>26</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_Toc14108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19. </w:t>
      </w:r>
      <w:r>
        <w:rPr>
          <w:rFonts w:hint="eastAsia" w:ascii="宋体" w:hAnsi="宋体" w:eastAsia="宋体" w:cs="宋体"/>
          <w:sz w:val="20"/>
          <w:szCs w:val="20"/>
          <w:highlight w:val="none"/>
        </w:rPr>
        <w:t>迟交的响应文件</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_Toc14108 </w:instrText>
      </w:r>
      <w:r>
        <w:rPr>
          <w:rFonts w:hint="eastAsia" w:ascii="宋体" w:hAnsi="宋体" w:eastAsia="宋体" w:cs="宋体"/>
          <w:sz w:val="20"/>
          <w:szCs w:val="20"/>
        </w:rPr>
        <w:fldChar w:fldCharType="separate"/>
      </w:r>
      <w:r>
        <w:rPr>
          <w:rFonts w:hint="eastAsia" w:ascii="宋体" w:hAnsi="宋体" w:eastAsia="宋体" w:cs="宋体"/>
          <w:sz w:val="20"/>
          <w:szCs w:val="20"/>
        </w:rPr>
        <w:t>28</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_Toc21603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20. </w:t>
      </w:r>
      <w:r>
        <w:rPr>
          <w:rFonts w:hint="eastAsia" w:ascii="宋体" w:hAnsi="宋体" w:eastAsia="宋体" w:cs="宋体"/>
          <w:sz w:val="20"/>
          <w:szCs w:val="20"/>
          <w:highlight w:val="none"/>
        </w:rPr>
        <w:t>投标样品（如需提交）</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_Toc21603 </w:instrText>
      </w:r>
      <w:r>
        <w:rPr>
          <w:rFonts w:hint="eastAsia" w:ascii="宋体" w:hAnsi="宋体" w:eastAsia="宋体" w:cs="宋体"/>
          <w:sz w:val="20"/>
          <w:szCs w:val="20"/>
        </w:rPr>
        <w:fldChar w:fldCharType="separate"/>
      </w:r>
      <w:r>
        <w:rPr>
          <w:rFonts w:hint="eastAsia" w:ascii="宋体" w:hAnsi="宋体" w:eastAsia="宋体" w:cs="宋体"/>
          <w:sz w:val="20"/>
          <w:szCs w:val="20"/>
        </w:rPr>
        <w:t>28</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_Toc3849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21. </w:t>
      </w:r>
      <w:r>
        <w:rPr>
          <w:rFonts w:hint="eastAsia" w:ascii="宋体" w:hAnsi="宋体" w:eastAsia="宋体" w:cs="宋体"/>
          <w:sz w:val="20"/>
          <w:szCs w:val="20"/>
          <w:highlight w:val="none"/>
        </w:rPr>
        <w:t>磋商截止期</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_Toc3849 </w:instrText>
      </w:r>
      <w:r>
        <w:rPr>
          <w:rFonts w:hint="eastAsia" w:ascii="宋体" w:hAnsi="宋体" w:eastAsia="宋体" w:cs="宋体"/>
          <w:sz w:val="20"/>
          <w:szCs w:val="20"/>
        </w:rPr>
        <w:fldChar w:fldCharType="separate"/>
      </w:r>
      <w:r>
        <w:rPr>
          <w:rFonts w:hint="eastAsia" w:ascii="宋体" w:hAnsi="宋体" w:eastAsia="宋体" w:cs="宋体"/>
          <w:sz w:val="20"/>
          <w:szCs w:val="20"/>
        </w:rPr>
        <w:t>28</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_Toc26772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22. </w:t>
      </w:r>
      <w:r>
        <w:rPr>
          <w:rFonts w:hint="eastAsia" w:ascii="宋体" w:hAnsi="宋体" w:eastAsia="宋体" w:cs="宋体"/>
          <w:sz w:val="20"/>
          <w:szCs w:val="20"/>
          <w:highlight w:val="none"/>
        </w:rPr>
        <w:t>响应文件的补充、修改与撤回</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_Toc26772 </w:instrText>
      </w:r>
      <w:r>
        <w:rPr>
          <w:rFonts w:hint="eastAsia" w:ascii="宋体" w:hAnsi="宋体" w:eastAsia="宋体" w:cs="宋体"/>
          <w:sz w:val="20"/>
          <w:szCs w:val="20"/>
        </w:rPr>
        <w:fldChar w:fldCharType="separate"/>
      </w:r>
      <w:r>
        <w:rPr>
          <w:rFonts w:hint="eastAsia" w:ascii="宋体" w:hAnsi="宋体" w:eastAsia="宋体" w:cs="宋体"/>
          <w:sz w:val="20"/>
          <w:szCs w:val="20"/>
        </w:rPr>
        <w:t>28</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_Toc15531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五、 </w:t>
      </w:r>
      <w:r>
        <w:rPr>
          <w:rFonts w:hint="eastAsia" w:ascii="宋体" w:hAnsi="宋体" w:eastAsia="宋体" w:cs="宋体"/>
          <w:sz w:val="20"/>
          <w:szCs w:val="20"/>
          <w:highlight w:val="none"/>
        </w:rPr>
        <w:t>开标与评标</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_Toc15531 </w:instrText>
      </w:r>
      <w:r>
        <w:rPr>
          <w:rFonts w:hint="eastAsia" w:ascii="宋体" w:hAnsi="宋体" w:eastAsia="宋体" w:cs="宋体"/>
          <w:sz w:val="20"/>
          <w:szCs w:val="20"/>
        </w:rPr>
        <w:fldChar w:fldCharType="separate"/>
      </w:r>
      <w:r>
        <w:rPr>
          <w:rFonts w:hint="eastAsia" w:ascii="宋体" w:hAnsi="宋体" w:eastAsia="宋体" w:cs="宋体"/>
          <w:sz w:val="20"/>
          <w:szCs w:val="20"/>
        </w:rPr>
        <w:t>29</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_Toc26287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23. </w:t>
      </w:r>
      <w:r>
        <w:rPr>
          <w:rFonts w:hint="eastAsia" w:ascii="宋体" w:hAnsi="宋体" w:eastAsia="宋体" w:cs="宋体"/>
          <w:sz w:val="20"/>
          <w:szCs w:val="20"/>
          <w:highlight w:val="none"/>
        </w:rPr>
        <w:t>开标</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_Toc26287 </w:instrText>
      </w:r>
      <w:r>
        <w:rPr>
          <w:rFonts w:hint="eastAsia" w:ascii="宋体" w:hAnsi="宋体" w:eastAsia="宋体" w:cs="宋体"/>
          <w:sz w:val="20"/>
          <w:szCs w:val="20"/>
        </w:rPr>
        <w:fldChar w:fldCharType="separate"/>
      </w:r>
      <w:r>
        <w:rPr>
          <w:rFonts w:hint="eastAsia" w:ascii="宋体" w:hAnsi="宋体" w:eastAsia="宋体" w:cs="宋体"/>
          <w:sz w:val="20"/>
          <w:szCs w:val="20"/>
        </w:rPr>
        <w:t>29</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_Toc23670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24. </w:t>
      </w:r>
      <w:r>
        <w:rPr>
          <w:rFonts w:hint="eastAsia" w:ascii="宋体" w:hAnsi="宋体" w:eastAsia="宋体" w:cs="宋体"/>
          <w:sz w:val="20"/>
          <w:szCs w:val="20"/>
          <w:highlight w:val="none"/>
        </w:rPr>
        <w:t>评标委员会及评标方法</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_Toc23670 </w:instrText>
      </w:r>
      <w:r>
        <w:rPr>
          <w:rFonts w:hint="eastAsia" w:ascii="宋体" w:hAnsi="宋体" w:eastAsia="宋体" w:cs="宋体"/>
          <w:sz w:val="20"/>
          <w:szCs w:val="20"/>
        </w:rPr>
        <w:fldChar w:fldCharType="separate"/>
      </w:r>
      <w:r>
        <w:rPr>
          <w:rFonts w:hint="eastAsia" w:ascii="宋体" w:hAnsi="宋体" w:eastAsia="宋体" w:cs="宋体"/>
          <w:sz w:val="20"/>
          <w:szCs w:val="20"/>
        </w:rPr>
        <w:t>29</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_Toc11164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25. </w:t>
      </w:r>
      <w:r>
        <w:rPr>
          <w:rFonts w:hint="eastAsia" w:ascii="宋体" w:hAnsi="宋体" w:eastAsia="宋体" w:cs="宋体"/>
          <w:sz w:val="20"/>
          <w:szCs w:val="20"/>
          <w:highlight w:val="none"/>
        </w:rPr>
        <w:t>评审原则及评标过程的保密</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_Toc11164 </w:instrText>
      </w:r>
      <w:r>
        <w:rPr>
          <w:rFonts w:hint="eastAsia" w:ascii="宋体" w:hAnsi="宋体" w:eastAsia="宋体" w:cs="宋体"/>
          <w:sz w:val="20"/>
          <w:szCs w:val="20"/>
        </w:rPr>
        <w:fldChar w:fldCharType="separate"/>
      </w:r>
      <w:r>
        <w:rPr>
          <w:rFonts w:hint="eastAsia" w:ascii="宋体" w:hAnsi="宋体" w:eastAsia="宋体" w:cs="宋体"/>
          <w:sz w:val="20"/>
          <w:szCs w:val="20"/>
        </w:rPr>
        <w:t>30</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_Toc18669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26. </w:t>
      </w:r>
      <w:r>
        <w:rPr>
          <w:rFonts w:hint="eastAsia" w:ascii="宋体" w:hAnsi="宋体" w:eastAsia="宋体" w:cs="宋体"/>
          <w:sz w:val="20"/>
          <w:szCs w:val="20"/>
          <w:highlight w:val="none"/>
        </w:rPr>
        <w:t>评标程序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_Toc18669 </w:instrText>
      </w:r>
      <w:r>
        <w:rPr>
          <w:rFonts w:hint="eastAsia" w:ascii="宋体" w:hAnsi="宋体" w:eastAsia="宋体" w:cs="宋体"/>
          <w:sz w:val="20"/>
          <w:szCs w:val="20"/>
        </w:rPr>
        <w:fldChar w:fldCharType="separate"/>
      </w:r>
      <w:r>
        <w:rPr>
          <w:rFonts w:hint="eastAsia" w:ascii="宋体" w:hAnsi="宋体" w:eastAsia="宋体" w:cs="宋体"/>
          <w:sz w:val="20"/>
          <w:szCs w:val="20"/>
        </w:rPr>
        <w:t>30</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_Toc15389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27. </w:t>
      </w:r>
      <w:r>
        <w:rPr>
          <w:rFonts w:hint="eastAsia" w:ascii="宋体" w:hAnsi="宋体" w:eastAsia="宋体" w:cs="宋体"/>
          <w:sz w:val="20"/>
          <w:szCs w:val="20"/>
          <w:highlight w:val="none"/>
        </w:rPr>
        <w:t>商务、技术、价格评审（具体评审项目详见响应资料表）</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_Toc15389 </w:instrText>
      </w:r>
      <w:r>
        <w:rPr>
          <w:rFonts w:hint="eastAsia" w:ascii="宋体" w:hAnsi="宋体" w:eastAsia="宋体" w:cs="宋体"/>
          <w:sz w:val="20"/>
          <w:szCs w:val="20"/>
        </w:rPr>
        <w:fldChar w:fldCharType="separate"/>
      </w:r>
      <w:r>
        <w:rPr>
          <w:rFonts w:hint="eastAsia" w:ascii="宋体" w:hAnsi="宋体" w:eastAsia="宋体" w:cs="宋体"/>
          <w:sz w:val="20"/>
          <w:szCs w:val="20"/>
        </w:rPr>
        <w:t>32</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_Toc32466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28. </w:t>
      </w:r>
      <w:r>
        <w:rPr>
          <w:rFonts w:hint="eastAsia" w:ascii="宋体" w:hAnsi="宋体" w:eastAsia="宋体" w:cs="宋体"/>
          <w:sz w:val="20"/>
          <w:szCs w:val="20"/>
          <w:highlight w:val="none"/>
        </w:rPr>
        <w:t>纪律和保密事项</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_Toc32466 </w:instrText>
      </w:r>
      <w:r>
        <w:rPr>
          <w:rFonts w:hint="eastAsia" w:ascii="宋体" w:hAnsi="宋体" w:eastAsia="宋体" w:cs="宋体"/>
          <w:sz w:val="20"/>
          <w:szCs w:val="20"/>
        </w:rPr>
        <w:fldChar w:fldCharType="separate"/>
      </w:r>
      <w:r>
        <w:rPr>
          <w:rFonts w:hint="eastAsia" w:ascii="宋体" w:hAnsi="宋体" w:eastAsia="宋体" w:cs="宋体"/>
          <w:sz w:val="20"/>
          <w:szCs w:val="20"/>
        </w:rPr>
        <w:t>32</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_Toc10452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六、 </w:t>
      </w:r>
      <w:r>
        <w:rPr>
          <w:rFonts w:hint="eastAsia" w:ascii="宋体" w:hAnsi="宋体" w:eastAsia="宋体" w:cs="宋体"/>
          <w:sz w:val="20"/>
          <w:szCs w:val="20"/>
          <w:highlight w:val="none"/>
        </w:rPr>
        <w:t>授予合同</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_Toc10452 </w:instrText>
      </w:r>
      <w:r>
        <w:rPr>
          <w:rFonts w:hint="eastAsia" w:ascii="宋体" w:hAnsi="宋体" w:eastAsia="宋体" w:cs="宋体"/>
          <w:sz w:val="20"/>
          <w:szCs w:val="20"/>
        </w:rPr>
        <w:fldChar w:fldCharType="separate"/>
      </w:r>
      <w:r>
        <w:rPr>
          <w:rFonts w:hint="eastAsia" w:ascii="宋体" w:hAnsi="宋体" w:eastAsia="宋体" w:cs="宋体"/>
          <w:sz w:val="20"/>
          <w:szCs w:val="20"/>
        </w:rPr>
        <w:t>33</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_Toc16284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29. </w:t>
      </w:r>
      <w:r>
        <w:rPr>
          <w:rFonts w:hint="eastAsia" w:ascii="宋体" w:hAnsi="宋体" w:eastAsia="宋体" w:cs="宋体"/>
          <w:sz w:val="20"/>
          <w:szCs w:val="20"/>
          <w:highlight w:val="none"/>
        </w:rPr>
        <w:t>合同授予标准</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_Toc16284 </w:instrText>
      </w:r>
      <w:r>
        <w:rPr>
          <w:rFonts w:hint="eastAsia" w:ascii="宋体" w:hAnsi="宋体" w:eastAsia="宋体" w:cs="宋体"/>
          <w:sz w:val="20"/>
          <w:szCs w:val="20"/>
        </w:rPr>
        <w:fldChar w:fldCharType="separate"/>
      </w:r>
      <w:r>
        <w:rPr>
          <w:rFonts w:hint="eastAsia" w:ascii="宋体" w:hAnsi="宋体" w:eastAsia="宋体" w:cs="宋体"/>
          <w:sz w:val="20"/>
          <w:szCs w:val="20"/>
        </w:rPr>
        <w:t>33</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_Toc15182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30. </w:t>
      </w:r>
      <w:r>
        <w:rPr>
          <w:rFonts w:hint="eastAsia" w:ascii="宋体" w:hAnsi="宋体" w:eastAsia="宋体" w:cs="宋体"/>
          <w:sz w:val="20"/>
          <w:szCs w:val="20"/>
          <w:highlight w:val="none"/>
        </w:rPr>
        <w:t>发布成交结果</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_Toc15182 </w:instrText>
      </w:r>
      <w:r>
        <w:rPr>
          <w:rFonts w:hint="eastAsia" w:ascii="宋体" w:hAnsi="宋体" w:eastAsia="宋体" w:cs="宋体"/>
          <w:sz w:val="20"/>
          <w:szCs w:val="20"/>
        </w:rPr>
        <w:fldChar w:fldCharType="separate"/>
      </w:r>
      <w:r>
        <w:rPr>
          <w:rFonts w:hint="eastAsia" w:ascii="宋体" w:hAnsi="宋体" w:eastAsia="宋体" w:cs="宋体"/>
          <w:sz w:val="20"/>
          <w:szCs w:val="20"/>
        </w:rPr>
        <w:t>33</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_Toc19659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31. </w:t>
      </w:r>
      <w:r>
        <w:rPr>
          <w:rFonts w:hint="eastAsia" w:ascii="宋体" w:hAnsi="宋体" w:eastAsia="宋体" w:cs="宋体"/>
          <w:sz w:val="20"/>
          <w:szCs w:val="20"/>
          <w:highlight w:val="none"/>
        </w:rPr>
        <w:t>资格后审</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_Toc19659 </w:instrText>
      </w:r>
      <w:r>
        <w:rPr>
          <w:rFonts w:hint="eastAsia" w:ascii="宋体" w:hAnsi="宋体" w:eastAsia="宋体" w:cs="宋体"/>
          <w:sz w:val="20"/>
          <w:szCs w:val="20"/>
        </w:rPr>
        <w:fldChar w:fldCharType="separate"/>
      </w:r>
      <w:r>
        <w:rPr>
          <w:rFonts w:hint="eastAsia" w:ascii="宋体" w:hAnsi="宋体" w:eastAsia="宋体" w:cs="宋体"/>
          <w:sz w:val="20"/>
          <w:szCs w:val="20"/>
        </w:rPr>
        <w:t>33</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_Toc31881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32. </w:t>
      </w:r>
      <w:r>
        <w:rPr>
          <w:rFonts w:hint="eastAsia" w:ascii="宋体" w:hAnsi="宋体" w:eastAsia="宋体" w:cs="宋体"/>
          <w:sz w:val="20"/>
          <w:szCs w:val="20"/>
          <w:highlight w:val="none"/>
        </w:rPr>
        <w:t>合同的签订与履行</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_Toc31881 </w:instrText>
      </w:r>
      <w:r>
        <w:rPr>
          <w:rFonts w:hint="eastAsia" w:ascii="宋体" w:hAnsi="宋体" w:eastAsia="宋体" w:cs="宋体"/>
          <w:sz w:val="20"/>
          <w:szCs w:val="20"/>
        </w:rPr>
        <w:fldChar w:fldCharType="separate"/>
      </w:r>
      <w:r>
        <w:rPr>
          <w:rFonts w:hint="eastAsia" w:ascii="宋体" w:hAnsi="宋体" w:eastAsia="宋体" w:cs="宋体"/>
          <w:sz w:val="20"/>
          <w:szCs w:val="20"/>
        </w:rPr>
        <w:t>34</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_Toc10977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33. </w:t>
      </w:r>
      <w:r>
        <w:rPr>
          <w:rFonts w:hint="eastAsia" w:ascii="宋体" w:hAnsi="宋体" w:eastAsia="宋体" w:cs="宋体"/>
          <w:sz w:val="20"/>
          <w:szCs w:val="20"/>
          <w:highlight w:val="none"/>
        </w:rPr>
        <w:t>履约担保</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_Toc10977 </w:instrText>
      </w:r>
      <w:r>
        <w:rPr>
          <w:rFonts w:hint="eastAsia" w:ascii="宋体" w:hAnsi="宋体" w:eastAsia="宋体" w:cs="宋体"/>
          <w:sz w:val="20"/>
          <w:szCs w:val="20"/>
        </w:rPr>
        <w:fldChar w:fldCharType="separate"/>
      </w:r>
      <w:r>
        <w:rPr>
          <w:rFonts w:hint="eastAsia" w:ascii="宋体" w:hAnsi="宋体" w:eastAsia="宋体" w:cs="宋体"/>
          <w:sz w:val="20"/>
          <w:szCs w:val="20"/>
        </w:rPr>
        <w:t>34</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_Toc26770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七、 </w:t>
      </w:r>
      <w:r>
        <w:rPr>
          <w:rFonts w:hint="eastAsia" w:ascii="宋体" w:hAnsi="宋体" w:eastAsia="宋体" w:cs="宋体"/>
          <w:sz w:val="20"/>
          <w:szCs w:val="20"/>
          <w:highlight w:val="none"/>
        </w:rPr>
        <w:t>异议</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_Toc26770 </w:instrText>
      </w:r>
      <w:r>
        <w:rPr>
          <w:rFonts w:hint="eastAsia" w:ascii="宋体" w:hAnsi="宋体" w:eastAsia="宋体" w:cs="宋体"/>
          <w:sz w:val="20"/>
          <w:szCs w:val="20"/>
        </w:rPr>
        <w:fldChar w:fldCharType="separate"/>
      </w:r>
      <w:r>
        <w:rPr>
          <w:rFonts w:hint="eastAsia" w:ascii="宋体" w:hAnsi="宋体" w:eastAsia="宋体" w:cs="宋体"/>
          <w:sz w:val="20"/>
          <w:szCs w:val="20"/>
        </w:rPr>
        <w:t>35</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_Toc4350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34. </w:t>
      </w:r>
      <w:r>
        <w:rPr>
          <w:rFonts w:hint="eastAsia" w:ascii="宋体" w:hAnsi="宋体" w:eastAsia="宋体" w:cs="宋体"/>
          <w:sz w:val="20"/>
          <w:szCs w:val="20"/>
          <w:highlight w:val="none"/>
        </w:rPr>
        <w:t>异议</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_Toc4350 </w:instrText>
      </w:r>
      <w:r>
        <w:rPr>
          <w:rFonts w:hint="eastAsia" w:ascii="宋体" w:hAnsi="宋体" w:eastAsia="宋体" w:cs="宋体"/>
          <w:sz w:val="20"/>
          <w:szCs w:val="20"/>
        </w:rPr>
        <w:fldChar w:fldCharType="separate"/>
      </w:r>
      <w:r>
        <w:rPr>
          <w:rFonts w:hint="eastAsia" w:ascii="宋体" w:hAnsi="宋体" w:eastAsia="宋体" w:cs="宋体"/>
          <w:sz w:val="20"/>
          <w:szCs w:val="20"/>
        </w:rPr>
        <w:t>35</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1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_Toc48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八、 </w:t>
      </w:r>
      <w:r>
        <w:rPr>
          <w:rFonts w:hint="eastAsia" w:ascii="宋体" w:hAnsi="宋体" w:eastAsia="宋体" w:cs="宋体"/>
          <w:sz w:val="20"/>
          <w:szCs w:val="20"/>
          <w:highlight w:val="none"/>
        </w:rPr>
        <w:t>其他</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_Toc48 </w:instrText>
      </w:r>
      <w:r>
        <w:rPr>
          <w:rFonts w:hint="eastAsia" w:ascii="宋体" w:hAnsi="宋体" w:eastAsia="宋体" w:cs="宋体"/>
          <w:sz w:val="20"/>
          <w:szCs w:val="20"/>
        </w:rPr>
        <w:fldChar w:fldCharType="separate"/>
      </w:r>
      <w:r>
        <w:rPr>
          <w:rFonts w:hint="eastAsia" w:ascii="宋体" w:hAnsi="宋体" w:eastAsia="宋体" w:cs="宋体"/>
          <w:sz w:val="20"/>
          <w:szCs w:val="20"/>
        </w:rPr>
        <w:t>36</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_Toc4717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rPr>
        <w:t xml:space="preserve">35. </w:t>
      </w:r>
      <w:r>
        <w:rPr>
          <w:rFonts w:hint="eastAsia" w:ascii="宋体" w:hAnsi="宋体" w:eastAsia="宋体" w:cs="宋体"/>
          <w:sz w:val="20"/>
          <w:szCs w:val="20"/>
          <w:highlight w:val="none"/>
        </w:rPr>
        <w:t>磋商文件的解释权</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_Toc4717 </w:instrText>
      </w:r>
      <w:r>
        <w:rPr>
          <w:rFonts w:hint="eastAsia" w:ascii="宋体" w:hAnsi="宋体" w:eastAsia="宋体" w:cs="宋体"/>
          <w:sz w:val="20"/>
          <w:szCs w:val="20"/>
        </w:rPr>
        <w:fldChar w:fldCharType="separate"/>
      </w:r>
      <w:r>
        <w:rPr>
          <w:rFonts w:hint="eastAsia" w:ascii="宋体" w:hAnsi="宋体" w:eastAsia="宋体" w:cs="宋体"/>
          <w:sz w:val="20"/>
          <w:szCs w:val="20"/>
        </w:rPr>
        <w:t>36</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_Toc12462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第五部分 合同条款格式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_Toc12462 </w:instrText>
      </w:r>
      <w:r>
        <w:rPr>
          <w:rFonts w:hint="eastAsia" w:ascii="宋体" w:hAnsi="宋体" w:eastAsia="宋体" w:cs="宋体"/>
          <w:sz w:val="20"/>
          <w:szCs w:val="20"/>
        </w:rPr>
        <w:fldChar w:fldCharType="separate"/>
      </w:r>
      <w:r>
        <w:rPr>
          <w:rFonts w:hint="eastAsia" w:ascii="宋体" w:hAnsi="宋体" w:eastAsia="宋体" w:cs="宋体"/>
          <w:sz w:val="20"/>
          <w:szCs w:val="20"/>
        </w:rPr>
        <w:t>37</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_Toc14767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第六部分</w:t>
      </w:r>
      <w:r>
        <w:rPr>
          <w:rFonts w:hint="eastAsia" w:ascii="宋体" w:hAnsi="宋体" w:eastAsia="宋体" w:cs="宋体"/>
          <w:sz w:val="20"/>
          <w:szCs w:val="20"/>
          <w:highlight w:val="none"/>
          <w:lang w:val="en-US" w:eastAsia="zh-CN"/>
        </w:rPr>
        <w:t xml:space="preserve"> </w:t>
      </w:r>
      <w:r>
        <w:rPr>
          <w:rFonts w:hint="eastAsia" w:ascii="宋体" w:hAnsi="宋体" w:eastAsia="宋体" w:cs="宋体"/>
          <w:sz w:val="20"/>
          <w:szCs w:val="20"/>
          <w:highlight w:val="none"/>
        </w:rPr>
        <w:t>附件－响应文件格式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_Toc14767 </w:instrText>
      </w:r>
      <w:r>
        <w:rPr>
          <w:rFonts w:hint="eastAsia" w:ascii="宋体" w:hAnsi="宋体" w:eastAsia="宋体" w:cs="宋体"/>
          <w:sz w:val="20"/>
          <w:szCs w:val="20"/>
        </w:rPr>
        <w:fldChar w:fldCharType="separate"/>
      </w:r>
      <w:r>
        <w:rPr>
          <w:rFonts w:hint="eastAsia" w:ascii="宋体" w:hAnsi="宋体" w:eastAsia="宋体" w:cs="宋体"/>
          <w:sz w:val="20"/>
          <w:szCs w:val="20"/>
        </w:rPr>
        <w:t>47</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_Toc2892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响应文件目录</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_Toc2892 </w:instrText>
      </w:r>
      <w:r>
        <w:rPr>
          <w:rFonts w:hint="eastAsia" w:ascii="宋体" w:hAnsi="宋体" w:eastAsia="宋体" w:cs="宋体"/>
          <w:sz w:val="20"/>
          <w:szCs w:val="20"/>
        </w:rPr>
        <w:fldChar w:fldCharType="separate"/>
      </w:r>
      <w:r>
        <w:rPr>
          <w:rFonts w:hint="eastAsia" w:ascii="宋体" w:hAnsi="宋体" w:eastAsia="宋体" w:cs="宋体"/>
          <w:sz w:val="20"/>
          <w:szCs w:val="20"/>
        </w:rPr>
        <w:t>47</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_Toc18629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附件1.评分标准索引表</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_Toc18629 </w:instrText>
      </w:r>
      <w:r>
        <w:rPr>
          <w:rFonts w:hint="eastAsia" w:ascii="宋体" w:hAnsi="宋体" w:eastAsia="宋体" w:cs="宋体"/>
          <w:sz w:val="20"/>
          <w:szCs w:val="20"/>
        </w:rPr>
        <w:fldChar w:fldCharType="separate"/>
      </w:r>
      <w:r>
        <w:rPr>
          <w:rFonts w:hint="eastAsia" w:ascii="宋体" w:hAnsi="宋体" w:eastAsia="宋体" w:cs="宋体"/>
          <w:sz w:val="20"/>
          <w:szCs w:val="20"/>
        </w:rPr>
        <w:t>48</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_Toc20701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价格文件</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_Toc20701 </w:instrText>
      </w:r>
      <w:r>
        <w:rPr>
          <w:rFonts w:hint="eastAsia" w:ascii="宋体" w:hAnsi="宋体" w:eastAsia="宋体" w:cs="宋体"/>
          <w:sz w:val="20"/>
          <w:szCs w:val="20"/>
        </w:rPr>
        <w:fldChar w:fldCharType="separate"/>
      </w:r>
      <w:r>
        <w:rPr>
          <w:rFonts w:hint="eastAsia" w:ascii="宋体" w:hAnsi="宋体" w:eastAsia="宋体" w:cs="宋体"/>
          <w:sz w:val="20"/>
          <w:szCs w:val="20"/>
        </w:rPr>
        <w:t>49</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_Toc12478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附件2.首次报价一览表格式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_Toc12478 </w:instrText>
      </w:r>
      <w:r>
        <w:rPr>
          <w:rFonts w:hint="eastAsia" w:ascii="宋体" w:hAnsi="宋体" w:eastAsia="宋体" w:cs="宋体"/>
          <w:sz w:val="20"/>
          <w:szCs w:val="20"/>
        </w:rPr>
        <w:fldChar w:fldCharType="separate"/>
      </w:r>
      <w:r>
        <w:rPr>
          <w:rFonts w:hint="eastAsia" w:ascii="宋体" w:hAnsi="宋体" w:eastAsia="宋体" w:cs="宋体"/>
          <w:sz w:val="20"/>
          <w:szCs w:val="20"/>
        </w:rPr>
        <w:t>50</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_Toc15250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.报价明细表格式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_Toc15250 </w:instrText>
      </w:r>
      <w:r>
        <w:rPr>
          <w:rFonts w:hint="eastAsia" w:ascii="宋体" w:hAnsi="宋体" w:eastAsia="宋体" w:cs="宋体"/>
          <w:sz w:val="20"/>
          <w:szCs w:val="20"/>
        </w:rPr>
        <w:fldChar w:fldCharType="separate"/>
      </w:r>
      <w:r>
        <w:rPr>
          <w:rFonts w:hint="eastAsia" w:ascii="宋体" w:hAnsi="宋体" w:eastAsia="宋体" w:cs="宋体"/>
          <w:sz w:val="20"/>
          <w:szCs w:val="20"/>
        </w:rPr>
        <w:t>51</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_Toc8925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商务文件</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_Toc8925 </w:instrText>
      </w:r>
      <w:r>
        <w:rPr>
          <w:rFonts w:hint="eastAsia" w:ascii="宋体" w:hAnsi="宋体" w:eastAsia="宋体" w:cs="宋体"/>
          <w:sz w:val="20"/>
          <w:szCs w:val="20"/>
        </w:rPr>
        <w:fldChar w:fldCharType="separate"/>
      </w:r>
      <w:r>
        <w:rPr>
          <w:rFonts w:hint="eastAsia" w:ascii="宋体" w:hAnsi="宋体" w:eastAsia="宋体" w:cs="宋体"/>
          <w:sz w:val="20"/>
          <w:szCs w:val="20"/>
        </w:rPr>
        <w:t>52</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_Toc20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w:t>
      </w: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rPr>
        <w:t>.响应书格式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_Toc20 </w:instrText>
      </w:r>
      <w:r>
        <w:rPr>
          <w:rFonts w:hint="eastAsia" w:ascii="宋体" w:hAnsi="宋体" w:eastAsia="宋体" w:cs="宋体"/>
          <w:sz w:val="20"/>
          <w:szCs w:val="20"/>
        </w:rPr>
        <w:fldChar w:fldCharType="separate"/>
      </w:r>
      <w:r>
        <w:rPr>
          <w:rFonts w:hint="eastAsia" w:ascii="宋体" w:hAnsi="宋体" w:eastAsia="宋体" w:cs="宋体"/>
          <w:sz w:val="20"/>
          <w:szCs w:val="20"/>
        </w:rPr>
        <w:t>53</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_Toc28630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rPr>
        <w:t>.法定代表人证明书格式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_Toc28630 </w:instrText>
      </w:r>
      <w:r>
        <w:rPr>
          <w:rFonts w:hint="eastAsia" w:ascii="宋体" w:hAnsi="宋体" w:eastAsia="宋体" w:cs="宋体"/>
          <w:sz w:val="20"/>
          <w:szCs w:val="20"/>
        </w:rPr>
        <w:fldChar w:fldCharType="separate"/>
      </w:r>
      <w:r>
        <w:rPr>
          <w:rFonts w:hint="eastAsia" w:ascii="宋体" w:hAnsi="宋体" w:eastAsia="宋体" w:cs="宋体"/>
          <w:sz w:val="20"/>
          <w:szCs w:val="20"/>
        </w:rPr>
        <w:t>54</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_Toc2123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w:t>
      </w:r>
      <w:r>
        <w:rPr>
          <w:rFonts w:hint="eastAsia" w:ascii="宋体" w:hAnsi="宋体" w:eastAsia="宋体" w:cs="宋体"/>
          <w:sz w:val="20"/>
          <w:szCs w:val="20"/>
          <w:highlight w:val="none"/>
          <w:lang w:val="en-US" w:eastAsia="zh-CN"/>
        </w:rPr>
        <w:t>6</w:t>
      </w:r>
      <w:r>
        <w:rPr>
          <w:rFonts w:hint="eastAsia" w:ascii="宋体" w:hAnsi="宋体" w:eastAsia="宋体" w:cs="宋体"/>
          <w:sz w:val="20"/>
          <w:szCs w:val="20"/>
          <w:highlight w:val="none"/>
        </w:rPr>
        <w:t>.法定代表人授权书格式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_Toc2123 </w:instrText>
      </w:r>
      <w:r>
        <w:rPr>
          <w:rFonts w:hint="eastAsia" w:ascii="宋体" w:hAnsi="宋体" w:eastAsia="宋体" w:cs="宋体"/>
          <w:sz w:val="20"/>
          <w:szCs w:val="20"/>
        </w:rPr>
        <w:fldChar w:fldCharType="separate"/>
      </w:r>
      <w:r>
        <w:rPr>
          <w:rFonts w:hint="eastAsia" w:ascii="宋体" w:hAnsi="宋体" w:eastAsia="宋体" w:cs="宋体"/>
          <w:sz w:val="20"/>
          <w:szCs w:val="20"/>
        </w:rPr>
        <w:t>55</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_Toc19945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rPr>
        <w:t>.资格申明</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_Toc19945 </w:instrText>
      </w:r>
      <w:r>
        <w:rPr>
          <w:rFonts w:hint="eastAsia" w:ascii="宋体" w:hAnsi="宋体" w:eastAsia="宋体" w:cs="宋体"/>
          <w:sz w:val="20"/>
          <w:szCs w:val="20"/>
        </w:rPr>
        <w:fldChar w:fldCharType="separate"/>
      </w:r>
      <w:r>
        <w:rPr>
          <w:rFonts w:hint="eastAsia" w:ascii="宋体" w:hAnsi="宋体" w:eastAsia="宋体" w:cs="宋体"/>
          <w:sz w:val="20"/>
          <w:szCs w:val="20"/>
        </w:rPr>
        <w:t>56</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_Toc15754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.营业执照</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_Toc15754 </w:instrText>
      </w:r>
      <w:r>
        <w:rPr>
          <w:rFonts w:hint="eastAsia" w:ascii="宋体" w:hAnsi="宋体" w:eastAsia="宋体" w:cs="宋体"/>
          <w:sz w:val="20"/>
          <w:szCs w:val="20"/>
        </w:rPr>
        <w:fldChar w:fldCharType="separate"/>
      </w:r>
      <w:r>
        <w:rPr>
          <w:rFonts w:hint="eastAsia" w:ascii="宋体" w:hAnsi="宋体" w:eastAsia="宋体" w:cs="宋体"/>
          <w:sz w:val="20"/>
          <w:szCs w:val="20"/>
        </w:rPr>
        <w:t>57</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_Toc9448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w:t>
      </w:r>
      <w:r>
        <w:rPr>
          <w:rFonts w:hint="eastAsia" w:ascii="宋体" w:hAnsi="宋体" w:eastAsia="宋体" w:cs="宋体"/>
          <w:sz w:val="20"/>
          <w:szCs w:val="20"/>
          <w:highlight w:val="none"/>
          <w:lang w:val="en-US" w:eastAsia="zh-CN"/>
        </w:rPr>
        <w:t>9</w:t>
      </w:r>
      <w:r>
        <w:rPr>
          <w:rFonts w:hint="eastAsia" w:ascii="宋体" w:hAnsi="宋体" w:eastAsia="宋体" w:cs="宋体"/>
          <w:sz w:val="20"/>
          <w:szCs w:val="20"/>
          <w:highlight w:val="none"/>
        </w:rPr>
        <w:t>.相关资质证明文件</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_Toc9448 </w:instrText>
      </w:r>
      <w:r>
        <w:rPr>
          <w:rFonts w:hint="eastAsia" w:ascii="宋体" w:hAnsi="宋体" w:eastAsia="宋体" w:cs="宋体"/>
          <w:sz w:val="20"/>
          <w:szCs w:val="20"/>
        </w:rPr>
        <w:fldChar w:fldCharType="separate"/>
      </w:r>
      <w:r>
        <w:rPr>
          <w:rFonts w:hint="eastAsia" w:ascii="宋体" w:hAnsi="宋体" w:eastAsia="宋体" w:cs="宋体"/>
          <w:sz w:val="20"/>
          <w:szCs w:val="20"/>
        </w:rPr>
        <w:t>58</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_Toc9467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w:t>
      </w:r>
      <w:r>
        <w:rPr>
          <w:rFonts w:hint="eastAsia" w:ascii="宋体" w:hAnsi="宋体" w:eastAsia="宋体" w:cs="宋体"/>
          <w:sz w:val="20"/>
          <w:szCs w:val="20"/>
          <w:highlight w:val="none"/>
          <w:lang w:val="en-US" w:eastAsia="zh-CN"/>
        </w:rPr>
        <w:t>10</w:t>
      </w:r>
      <w:r>
        <w:rPr>
          <w:rFonts w:hint="eastAsia" w:ascii="宋体" w:hAnsi="宋体" w:eastAsia="宋体" w:cs="宋体"/>
          <w:sz w:val="20"/>
          <w:szCs w:val="20"/>
          <w:highlight w:val="none"/>
        </w:rPr>
        <w:t>.在经营活动中没有重大违法记录的书面声明格式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_Toc9467 </w:instrText>
      </w:r>
      <w:r>
        <w:rPr>
          <w:rFonts w:hint="eastAsia" w:ascii="宋体" w:hAnsi="宋体" w:eastAsia="宋体" w:cs="宋体"/>
          <w:sz w:val="20"/>
          <w:szCs w:val="20"/>
        </w:rPr>
        <w:fldChar w:fldCharType="separate"/>
      </w:r>
      <w:r>
        <w:rPr>
          <w:rFonts w:hint="eastAsia" w:ascii="宋体" w:hAnsi="宋体" w:eastAsia="宋体" w:cs="宋体"/>
          <w:sz w:val="20"/>
          <w:szCs w:val="20"/>
        </w:rPr>
        <w:t>59</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_Toc14192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附件1</w:t>
      </w: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rPr>
        <w:t>.承诺书格式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_Toc14192 </w:instrText>
      </w:r>
      <w:r>
        <w:rPr>
          <w:rFonts w:hint="eastAsia" w:ascii="宋体" w:hAnsi="宋体" w:eastAsia="宋体" w:cs="宋体"/>
          <w:sz w:val="20"/>
          <w:szCs w:val="20"/>
        </w:rPr>
        <w:fldChar w:fldCharType="separate"/>
      </w:r>
      <w:r>
        <w:rPr>
          <w:rFonts w:hint="eastAsia" w:ascii="宋体" w:hAnsi="宋体" w:eastAsia="宋体" w:cs="宋体"/>
          <w:sz w:val="20"/>
          <w:szCs w:val="20"/>
        </w:rPr>
        <w:t>60</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_Toc26744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附件1</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.商务需求条款偏离表格式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_Toc26744 </w:instrText>
      </w:r>
      <w:r>
        <w:rPr>
          <w:rFonts w:hint="eastAsia" w:ascii="宋体" w:hAnsi="宋体" w:eastAsia="宋体" w:cs="宋体"/>
          <w:sz w:val="20"/>
          <w:szCs w:val="20"/>
        </w:rPr>
        <w:fldChar w:fldCharType="separate"/>
      </w:r>
      <w:r>
        <w:rPr>
          <w:rFonts w:hint="eastAsia" w:ascii="宋体" w:hAnsi="宋体" w:eastAsia="宋体" w:cs="宋体"/>
          <w:sz w:val="20"/>
          <w:szCs w:val="20"/>
        </w:rPr>
        <w:t>61</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_Toc31448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附件1</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rPr>
        <w:t>.业绩表</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_Toc31448 </w:instrText>
      </w:r>
      <w:r>
        <w:rPr>
          <w:rFonts w:hint="eastAsia" w:ascii="宋体" w:hAnsi="宋体" w:eastAsia="宋体" w:cs="宋体"/>
          <w:sz w:val="20"/>
          <w:szCs w:val="20"/>
        </w:rPr>
        <w:fldChar w:fldCharType="separate"/>
      </w:r>
      <w:r>
        <w:rPr>
          <w:rFonts w:hint="eastAsia" w:ascii="宋体" w:hAnsi="宋体" w:eastAsia="宋体" w:cs="宋体"/>
          <w:sz w:val="20"/>
          <w:szCs w:val="20"/>
        </w:rPr>
        <w:t>62</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_Toc30528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附件1</w:t>
      </w:r>
      <w:r>
        <w:rPr>
          <w:rFonts w:hint="eastAsia" w:ascii="宋体" w:hAnsi="宋体" w:eastAsia="宋体" w:cs="宋体"/>
          <w:sz w:val="20"/>
          <w:szCs w:val="20"/>
          <w:highlight w:val="none"/>
          <w:lang w:val="en-US" w:eastAsia="zh-CN"/>
        </w:rPr>
        <w:t>4</w:t>
      </w:r>
      <w:r>
        <w:rPr>
          <w:rFonts w:hint="eastAsia" w:ascii="宋体" w:hAnsi="宋体" w:eastAsia="宋体" w:cs="宋体"/>
          <w:sz w:val="20"/>
          <w:szCs w:val="20"/>
          <w:highlight w:val="none"/>
        </w:rPr>
        <w:t>.联合体协议书（如有）</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_Toc30528 </w:instrText>
      </w:r>
      <w:r>
        <w:rPr>
          <w:rFonts w:hint="eastAsia" w:ascii="宋体" w:hAnsi="宋体" w:eastAsia="宋体" w:cs="宋体"/>
          <w:sz w:val="20"/>
          <w:szCs w:val="20"/>
        </w:rPr>
        <w:fldChar w:fldCharType="separate"/>
      </w:r>
      <w:r>
        <w:rPr>
          <w:rFonts w:hint="eastAsia" w:ascii="宋体" w:hAnsi="宋体" w:eastAsia="宋体" w:cs="宋体"/>
          <w:sz w:val="20"/>
          <w:szCs w:val="20"/>
        </w:rPr>
        <w:t>63</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_Toc15266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技术文件</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_Toc15266 </w:instrText>
      </w:r>
      <w:r>
        <w:rPr>
          <w:rFonts w:hint="eastAsia" w:ascii="宋体" w:hAnsi="宋体" w:eastAsia="宋体" w:cs="宋体"/>
          <w:sz w:val="20"/>
          <w:szCs w:val="20"/>
        </w:rPr>
        <w:fldChar w:fldCharType="separate"/>
      </w:r>
      <w:r>
        <w:rPr>
          <w:rFonts w:hint="eastAsia" w:ascii="宋体" w:hAnsi="宋体" w:eastAsia="宋体" w:cs="宋体"/>
          <w:sz w:val="20"/>
          <w:szCs w:val="20"/>
        </w:rPr>
        <w:t>65</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_Toc1309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附件1</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rPr>
        <w:t>.技术规格偏离表格式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_Toc1309 </w:instrText>
      </w:r>
      <w:r>
        <w:rPr>
          <w:rFonts w:hint="eastAsia" w:ascii="宋体" w:hAnsi="宋体" w:eastAsia="宋体" w:cs="宋体"/>
          <w:sz w:val="20"/>
          <w:szCs w:val="20"/>
        </w:rPr>
        <w:fldChar w:fldCharType="separate"/>
      </w:r>
      <w:r>
        <w:rPr>
          <w:rFonts w:hint="eastAsia" w:ascii="宋体" w:hAnsi="宋体" w:eastAsia="宋体" w:cs="宋体"/>
          <w:sz w:val="20"/>
          <w:szCs w:val="20"/>
        </w:rPr>
        <w:t>66</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_Toc23158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附件1</w:t>
      </w:r>
      <w:r>
        <w:rPr>
          <w:rFonts w:hint="eastAsia" w:ascii="宋体" w:hAnsi="宋体" w:eastAsia="宋体" w:cs="宋体"/>
          <w:sz w:val="20"/>
          <w:szCs w:val="20"/>
          <w:highlight w:val="none"/>
          <w:lang w:val="en-US" w:eastAsia="zh-CN"/>
        </w:rPr>
        <w:t>6</w:t>
      </w:r>
      <w:r>
        <w:rPr>
          <w:rFonts w:hint="eastAsia" w:ascii="宋体" w:hAnsi="宋体" w:eastAsia="宋体" w:cs="宋体"/>
          <w:sz w:val="20"/>
          <w:szCs w:val="20"/>
          <w:highlight w:val="none"/>
        </w:rPr>
        <w:t>.项目实施方案格式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_Toc23158 </w:instrText>
      </w:r>
      <w:r>
        <w:rPr>
          <w:rFonts w:hint="eastAsia" w:ascii="宋体" w:hAnsi="宋体" w:eastAsia="宋体" w:cs="宋体"/>
          <w:sz w:val="20"/>
          <w:szCs w:val="20"/>
        </w:rPr>
        <w:fldChar w:fldCharType="separate"/>
      </w:r>
      <w:r>
        <w:rPr>
          <w:rFonts w:hint="eastAsia" w:ascii="宋体" w:hAnsi="宋体" w:eastAsia="宋体" w:cs="宋体"/>
          <w:sz w:val="20"/>
          <w:szCs w:val="20"/>
        </w:rPr>
        <w:t>67</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_Toc9212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附件1</w:t>
      </w:r>
      <w:r>
        <w:rPr>
          <w:rFonts w:hint="eastAsia" w:ascii="宋体" w:hAnsi="宋体" w:eastAsia="宋体" w:cs="宋体"/>
          <w:sz w:val="20"/>
          <w:szCs w:val="20"/>
          <w:highlight w:val="none"/>
          <w:lang w:val="en-US" w:eastAsia="zh-CN"/>
        </w:rPr>
        <w:t>7</w:t>
      </w:r>
      <w:r>
        <w:rPr>
          <w:rFonts w:hint="eastAsia" w:ascii="宋体" w:hAnsi="宋体" w:eastAsia="宋体" w:cs="宋体"/>
          <w:sz w:val="20"/>
          <w:szCs w:val="20"/>
          <w:highlight w:val="none"/>
        </w:rPr>
        <w:t>.实施本项目的有关人员资料表格式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_Toc9212 </w:instrText>
      </w:r>
      <w:r>
        <w:rPr>
          <w:rFonts w:hint="eastAsia" w:ascii="宋体" w:hAnsi="宋体" w:eastAsia="宋体" w:cs="宋体"/>
          <w:sz w:val="20"/>
          <w:szCs w:val="20"/>
        </w:rPr>
        <w:fldChar w:fldCharType="separate"/>
      </w:r>
      <w:r>
        <w:rPr>
          <w:rFonts w:hint="eastAsia" w:ascii="宋体" w:hAnsi="宋体" w:eastAsia="宋体" w:cs="宋体"/>
          <w:sz w:val="20"/>
          <w:szCs w:val="20"/>
        </w:rPr>
        <w:t>68</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_Toc3563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附件1</w:t>
      </w:r>
      <w:r>
        <w:rPr>
          <w:rFonts w:hint="eastAsia" w:ascii="宋体" w:hAnsi="宋体" w:eastAsia="宋体" w:cs="宋体"/>
          <w:sz w:val="20"/>
          <w:szCs w:val="20"/>
          <w:highlight w:val="none"/>
          <w:lang w:val="en-US" w:eastAsia="zh-CN"/>
        </w:rPr>
        <w:t>8</w:t>
      </w:r>
      <w:r>
        <w:rPr>
          <w:rFonts w:hint="eastAsia" w:ascii="宋体" w:hAnsi="宋体" w:eastAsia="宋体" w:cs="宋体"/>
          <w:sz w:val="20"/>
          <w:szCs w:val="20"/>
          <w:highlight w:val="none"/>
        </w:rPr>
        <w:t>.磋商保证金汇入情况说明格式</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_Toc3563 </w:instrText>
      </w:r>
      <w:r>
        <w:rPr>
          <w:rFonts w:hint="eastAsia" w:ascii="宋体" w:hAnsi="宋体" w:eastAsia="宋体" w:cs="宋体"/>
          <w:sz w:val="20"/>
          <w:szCs w:val="20"/>
        </w:rPr>
        <w:fldChar w:fldCharType="separate"/>
      </w:r>
      <w:r>
        <w:rPr>
          <w:rFonts w:hint="eastAsia" w:ascii="宋体" w:hAnsi="宋体" w:eastAsia="宋体" w:cs="宋体"/>
          <w:sz w:val="20"/>
          <w:szCs w:val="20"/>
        </w:rPr>
        <w:t>69</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_Toc21254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附件1</w:t>
      </w:r>
      <w:r>
        <w:rPr>
          <w:rFonts w:hint="eastAsia" w:ascii="宋体" w:hAnsi="宋体" w:eastAsia="宋体" w:cs="宋体"/>
          <w:sz w:val="20"/>
          <w:szCs w:val="20"/>
          <w:highlight w:val="none"/>
          <w:lang w:val="en-US" w:eastAsia="zh-CN"/>
        </w:rPr>
        <w:t>9</w:t>
      </w:r>
      <w:r>
        <w:rPr>
          <w:rFonts w:hint="eastAsia" w:ascii="宋体" w:hAnsi="宋体" w:eastAsia="宋体" w:cs="宋体"/>
          <w:sz w:val="20"/>
          <w:szCs w:val="20"/>
          <w:highlight w:val="none"/>
        </w:rPr>
        <w:t>.不可撤销履约保函</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_Toc21254 </w:instrText>
      </w:r>
      <w:r>
        <w:rPr>
          <w:rFonts w:hint="eastAsia" w:ascii="宋体" w:hAnsi="宋体" w:eastAsia="宋体" w:cs="宋体"/>
          <w:sz w:val="20"/>
          <w:szCs w:val="20"/>
        </w:rPr>
        <w:fldChar w:fldCharType="separate"/>
      </w:r>
      <w:r>
        <w:rPr>
          <w:rFonts w:hint="eastAsia" w:ascii="宋体" w:hAnsi="宋体" w:eastAsia="宋体" w:cs="宋体"/>
          <w:sz w:val="20"/>
          <w:szCs w:val="20"/>
        </w:rPr>
        <w:t>71</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_Toc14255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w:t>
      </w:r>
      <w:r>
        <w:rPr>
          <w:rFonts w:hint="eastAsia" w:ascii="宋体" w:hAnsi="宋体" w:eastAsia="宋体" w:cs="宋体"/>
          <w:sz w:val="20"/>
          <w:szCs w:val="20"/>
          <w:highlight w:val="none"/>
          <w:lang w:val="en-US" w:eastAsia="zh-CN"/>
        </w:rPr>
        <w:t>20</w:t>
      </w:r>
      <w:r>
        <w:rPr>
          <w:rFonts w:hint="eastAsia" w:ascii="宋体" w:hAnsi="宋体" w:eastAsia="宋体" w:cs="宋体"/>
          <w:sz w:val="20"/>
          <w:szCs w:val="20"/>
          <w:highlight w:val="none"/>
        </w:rPr>
        <w:t>.预付款保函（</w:t>
      </w:r>
      <w:r>
        <w:rPr>
          <w:rFonts w:hint="eastAsia" w:ascii="宋体" w:hAnsi="宋体" w:eastAsia="宋体" w:cs="宋体"/>
          <w:sz w:val="20"/>
          <w:szCs w:val="20"/>
          <w:highlight w:val="none"/>
          <w:lang w:eastAsia="zh-CN"/>
        </w:rPr>
        <w:t>本项目不</w:t>
      </w:r>
      <w:r>
        <w:rPr>
          <w:rFonts w:hint="eastAsia" w:ascii="宋体" w:hAnsi="宋体" w:eastAsia="宋体" w:cs="宋体"/>
          <w:sz w:val="20"/>
          <w:szCs w:val="20"/>
          <w:highlight w:val="none"/>
        </w:rPr>
        <w:t>适用）</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_Toc14255 </w:instrText>
      </w:r>
      <w:r>
        <w:rPr>
          <w:rFonts w:hint="eastAsia" w:ascii="宋体" w:hAnsi="宋体" w:eastAsia="宋体" w:cs="宋体"/>
          <w:sz w:val="20"/>
          <w:szCs w:val="20"/>
        </w:rPr>
        <w:fldChar w:fldCharType="separate"/>
      </w:r>
      <w:r>
        <w:rPr>
          <w:rFonts w:hint="eastAsia" w:ascii="宋体" w:hAnsi="宋体" w:eastAsia="宋体" w:cs="宋体"/>
          <w:sz w:val="20"/>
          <w:szCs w:val="20"/>
        </w:rPr>
        <w:t>72</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_Toc30646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唱标信封</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_Toc30646 </w:instrText>
      </w:r>
      <w:r>
        <w:rPr>
          <w:rFonts w:hint="eastAsia" w:ascii="宋体" w:hAnsi="宋体" w:eastAsia="宋体" w:cs="宋体"/>
          <w:sz w:val="20"/>
          <w:szCs w:val="20"/>
        </w:rPr>
        <w:fldChar w:fldCharType="separate"/>
      </w:r>
      <w:r>
        <w:rPr>
          <w:rFonts w:hint="eastAsia" w:ascii="宋体" w:hAnsi="宋体" w:eastAsia="宋体" w:cs="宋体"/>
          <w:sz w:val="20"/>
          <w:szCs w:val="20"/>
        </w:rPr>
        <w:t>73</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0"/>
          <w:szCs w:val="20"/>
        </w:rPr>
      </w:pPr>
      <w:r>
        <w:rPr>
          <w:rFonts w:hint="eastAsia" w:ascii="宋体" w:hAnsi="宋体" w:eastAsia="宋体" w:cs="宋体"/>
          <w:bCs/>
          <w:color w:val="auto"/>
          <w:sz w:val="20"/>
          <w:szCs w:val="20"/>
          <w:highlight w:val="none"/>
        </w:rPr>
        <w:fldChar w:fldCharType="begin"/>
      </w:r>
      <w:r>
        <w:rPr>
          <w:rFonts w:hint="eastAsia" w:ascii="宋体" w:hAnsi="宋体" w:eastAsia="宋体" w:cs="宋体"/>
          <w:bCs/>
          <w:sz w:val="20"/>
          <w:szCs w:val="20"/>
          <w:highlight w:val="none"/>
        </w:rPr>
        <w:instrText xml:space="preserve"> HYPERLINK \l _Toc4040 </w:instrText>
      </w:r>
      <w:r>
        <w:rPr>
          <w:rFonts w:hint="eastAsia" w:ascii="宋体" w:hAnsi="宋体" w:eastAsia="宋体" w:cs="宋体"/>
          <w:bCs/>
          <w:sz w:val="20"/>
          <w:szCs w:val="20"/>
          <w:highlight w:val="none"/>
        </w:rPr>
        <w:fldChar w:fldCharType="separate"/>
      </w:r>
      <w:r>
        <w:rPr>
          <w:rFonts w:hint="eastAsia" w:ascii="宋体" w:hAnsi="宋体" w:eastAsia="宋体" w:cs="宋体"/>
          <w:sz w:val="20"/>
          <w:szCs w:val="20"/>
          <w:highlight w:val="none"/>
        </w:rPr>
        <w:t>附件2</w:t>
      </w: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rPr>
        <w:t>.唱标信封内装（内容务必与响应文件正本一致）</w:t>
      </w:r>
      <w:r>
        <w:rPr>
          <w:rFonts w:hint="eastAsia" w:ascii="宋体" w:hAnsi="宋体" w:eastAsia="宋体" w:cs="宋体"/>
          <w:sz w:val="20"/>
          <w:szCs w:val="20"/>
        </w:rPr>
        <w:tab/>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PAGEREF _Toc4040 </w:instrText>
      </w:r>
      <w:r>
        <w:rPr>
          <w:rFonts w:hint="eastAsia" w:ascii="宋体" w:hAnsi="宋体" w:eastAsia="宋体" w:cs="宋体"/>
          <w:sz w:val="20"/>
          <w:szCs w:val="20"/>
        </w:rPr>
        <w:fldChar w:fldCharType="separate"/>
      </w:r>
      <w:r>
        <w:rPr>
          <w:rFonts w:hint="eastAsia" w:ascii="宋体" w:hAnsi="宋体" w:eastAsia="宋体" w:cs="宋体"/>
          <w:sz w:val="20"/>
          <w:szCs w:val="20"/>
        </w:rPr>
        <w:t>74</w:t>
      </w:r>
      <w:r>
        <w:rPr>
          <w:rFonts w:hint="eastAsia" w:ascii="宋体" w:hAnsi="宋体" w:eastAsia="宋体" w:cs="宋体"/>
          <w:sz w:val="20"/>
          <w:szCs w:val="20"/>
        </w:rPr>
        <w:fldChar w:fldCharType="end"/>
      </w:r>
      <w:r>
        <w:rPr>
          <w:rFonts w:hint="eastAsia" w:ascii="宋体" w:hAnsi="宋体" w:eastAsia="宋体" w:cs="宋体"/>
          <w:bCs/>
          <w:color w:val="auto"/>
          <w:sz w:val="20"/>
          <w:szCs w:val="20"/>
          <w:highlight w:val="none"/>
        </w:rPr>
        <w:fldChar w:fldCharType="end"/>
      </w:r>
    </w:p>
    <w:p>
      <w:pPr>
        <w:pStyle w:val="26"/>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ind w:left="0" w:leftChars="0"/>
        <w:textAlignment w:val="auto"/>
        <w:rPr>
          <w:rFonts w:cs="宋体"/>
          <w:color w:val="auto"/>
          <w:sz w:val="21"/>
          <w:szCs w:val="21"/>
          <w:highlight w:val="none"/>
        </w:rPr>
      </w:pPr>
      <w:r>
        <w:rPr>
          <w:rFonts w:hint="eastAsia" w:ascii="宋体" w:hAnsi="宋体" w:eastAsia="宋体" w:cs="宋体"/>
          <w:bCs/>
          <w:color w:val="auto"/>
          <w:sz w:val="20"/>
          <w:szCs w:val="20"/>
          <w:highlight w:val="none"/>
        </w:rPr>
        <w:fldChar w:fldCharType="end"/>
      </w:r>
    </w:p>
    <w:p>
      <w:pPr>
        <w:rPr>
          <w:rFonts w:ascii="宋体" w:hAnsi="宋体" w:cs="宋体"/>
          <w:color w:val="auto"/>
          <w:szCs w:val="21"/>
          <w:highlight w:val="none"/>
        </w:rPr>
      </w:pPr>
      <w:r>
        <w:rPr>
          <w:rFonts w:hint="eastAsia" w:ascii="宋体" w:hAnsi="宋体" w:cs="宋体"/>
          <w:color w:val="auto"/>
          <w:szCs w:val="21"/>
          <w:highlight w:val="none"/>
        </w:rPr>
        <w:br w:type="page"/>
      </w:r>
      <w:bookmarkStart w:id="299" w:name="_GoBack"/>
      <w:bookmarkEnd w:id="299"/>
    </w:p>
    <w:p>
      <w:pPr>
        <w:pStyle w:val="2"/>
        <w:spacing w:before="0" w:after="0" w:line="240" w:lineRule="auto"/>
        <w:rPr>
          <w:color w:val="auto"/>
          <w:sz w:val="28"/>
          <w:szCs w:val="28"/>
          <w:highlight w:val="none"/>
        </w:rPr>
      </w:pPr>
      <w:bookmarkStart w:id="0" w:name="_Toc13339"/>
      <w:bookmarkStart w:id="1" w:name="_Toc15771"/>
      <w:r>
        <w:rPr>
          <w:rFonts w:hint="eastAsia"/>
          <w:color w:val="auto"/>
          <w:sz w:val="28"/>
          <w:szCs w:val="28"/>
          <w:highlight w:val="none"/>
        </w:rPr>
        <w:t>第一部分</w:t>
      </w:r>
      <w:r>
        <w:rPr>
          <w:rFonts w:hint="eastAsia"/>
          <w:color w:val="auto"/>
          <w:sz w:val="28"/>
          <w:szCs w:val="28"/>
          <w:highlight w:val="none"/>
          <w:lang w:val="en-US" w:eastAsia="zh-CN"/>
        </w:rPr>
        <w:t xml:space="preserve"> </w:t>
      </w:r>
      <w:r>
        <w:rPr>
          <w:rFonts w:hint="eastAsia"/>
          <w:color w:val="auto"/>
          <w:sz w:val="28"/>
          <w:szCs w:val="28"/>
          <w:highlight w:val="none"/>
        </w:rPr>
        <w:t>磋商邀请</w:t>
      </w:r>
      <w:bookmarkEnd w:id="0"/>
      <w:bookmarkEnd w:id="1"/>
    </w:p>
    <w:p>
      <w:pPr>
        <w:pStyle w:val="4"/>
        <w:spacing w:before="0" w:after="0" w:line="360" w:lineRule="auto"/>
        <w:jc w:val="center"/>
        <w:rPr>
          <w:rFonts w:ascii="宋体" w:hAnsi="宋体" w:cs="宋体"/>
          <w:color w:val="auto"/>
          <w:highlight w:val="none"/>
        </w:rPr>
      </w:pPr>
      <w:bookmarkStart w:id="2" w:name="_Toc24991"/>
      <w:bookmarkStart w:id="3" w:name="_Toc17229"/>
      <w:r>
        <w:rPr>
          <w:rFonts w:hint="eastAsia" w:ascii="宋体" w:hAnsi="宋体" w:cs="宋体"/>
          <w:color w:val="auto"/>
          <w:highlight w:val="none"/>
        </w:rPr>
        <w:t>磋商邀请书</w:t>
      </w:r>
      <w:bookmarkEnd w:id="2"/>
      <w:bookmarkEnd w:id="3"/>
    </w:p>
    <w:p>
      <w:pPr>
        <w:ind w:firstLine="422" w:firstLineChars="200"/>
        <w:rPr>
          <w:rFonts w:ascii="宋体" w:hAnsi="宋体"/>
          <w:color w:val="auto"/>
          <w:szCs w:val="21"/>
          <w:highlight w:val="none"/>
        </w:rPr>
      </w:pPr>
      <w:r>
        <w:rPr>
          <w:rFonts w:hint="eastAsia" w:ascii="宋体" w:hAnsi="宋体"/>
          <w:b/>
          <w:bCs/>
          <w:color w:val="auto"/>
          <w:szCs w:val="21"/>
          <w:highlight w:val="none"/>
          <w:u w:val="single"/>
          <w:lang w:eastAsia="zh-CN"/>
        </w:rPr>
        <w:t>广西同泽工程项目管理股份有限公司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hint="eastAsia" w:ascii="宋体" w:hAnsi="宋体"/>
          <w:b/>
          <w:color w:val="auto"/>
          <w:szCs w:val="21"/>
          <w:highlight w:val="none"/>
          <w:u w:val="single"/>
          <w:lang w:eastAsia="zh-CN"/>
        </w:rPr>
        <w:t>东莞市东实城市开发有限公司</w:t>
      </w:r>
      <w:r>
        <w:rPr>
          <w:rFonts w:ascii="宋体" w:hAnsi="宋体"/>
          <w:color w:val="auto"/>
          <w:szCs w:val="21"/>
          <w:highlight w:val="none"/>
        </w:rPr>
        <w:t>（以下简称</w:t>
      </w:r>
      <w:r>
        <w:rPr>
          <w:rFonts w:hint="eastAsia" w:ascii="宋体" w:hAnsi="宋体"/>
          <w:color w:val="auto"/>
          <w:szCs w:val="21"/>
          <w:highlight w:val="none"/>
        </w:rPr>
        <w:t>“采购人”</w:t>
      </w:r>
      <w:r>
        <w:rPr>
          <w:rFonts w:ascii="宋体" w:hAnsi="宋体"/>
          <w:color w:val="auto"/>
          <w:szCs w:val="21"/>
          <w:highlight w:val="none"/>
        </w:rPr>
        <w:t>）委托，</w:t>
      </w:r>
      <w:r>
        <w:rPr>
          <w:rFonts w:hint="eastAsia" w:ascii="宋体" w:hAnsi="宋体"/>
          <w:color w:val="auto"/>
          <w:szCs w:val="21"/>
          <w:highlight w:val="none"/>
        </w:rPr>
        <w:t>现</w:t>
      </w:r>
      <w:r>
        <w:rPr>
          <w:rFonts w:ascii="宋体" w:hAnsi="宋体"/>
          <w:color w:val="auto"/>
          <w:szCs w:val="21"/>
          <w:highlight w:val="none"/>
        </w:rPr>
        <w:t>就</w:t>
      </w:r>
      <w:r>
        <w:rPr>
          <w:rFonts w:hint="eastAsia" w:ascii="宋体" w:hAnsi="宋体"/>
          <w:b/>
          <w:color w:val="auto"/>
          <w:szCs w:val="21"/>
          <w:highlight w:val="none"/>
          <w:u w:val="single"/>
          <w:lang w:eastAsia="zh-CN"/>
        </w:rPr>
        <w:t>企石镇霞朗-新南现代化产业园区（“城中村”改造项目）权籍调查审查</w:t>
      </w:r>
      <w:r>
        <w:rPr>
          <w:rFonts w:hint="eastAsia" w:ascii="宋体" w:hAnsi="宋体"/>
          <w:color w:val="auto"/>
          <w:szCs w:val="21"/>
          <w:highlight w:val="none"/>
        </w:rPr>
        <w:t>（项目编号：</w:t>
      </w:r>
      <w:r>
        <w:rPr>
          <w:rFonts w:hint="eastAsia" w:ascii="宋体" w:hAnsi="宋体"/>
          <w:b/>
          <w:bCs/>
          <w:color w:val="auto"/>
          <w:szCs w:val="21"/>
          <w:highlight w:val="none"/>
          <w:lang w:eastAsia="zh-CN"/>
        </w:rPr>
        <w:t>DGQS-LX-03-002-002(2024)</w:t>
      </w:r>
      <w:r>
        <w:rPr>
          <w:rFonts w:hint="eastAsia" w:ascii="宋体" w:hAnsi="宋体"/>
          <w:color w:val="auto"/>
          <w:szCs w:val="21"/>
          <w:highlight w:val="none"/>
        </w:rPr>
        <w:t>）</w:t>
      </w:r>
      <w:r>
        <w:rPr>
          <w:rFonts w:hint="eastAsia" w:ascii="宋体" w:hAnsi="宋体" w:cs="Times New Roman"/>
          <w:color w:val="auto"/>
          <w:szCs w:val="21"/>
          <w:highlight w:val="none"/>
        </w:rPr>
        <w:t>进行竞争性磋商采购</w:t>
      </w:r>
      <w:r>
        <w:rPr>
          <w:rFonts w:hint="eastAsia" w:ascii="宋体" w:hAnsi="宋体"/>
          <w:color w:val="auto"/>
          <w:szCs w:val="21"/>
          <w:highlight w:val="none"/>
        </w:rPr>
        <w:t>，欢迎符合磋商文件要求的国内供应商参加响应</w:t>
      </w:r>
      <w:r>
        <w:rPr>
          <w:rFonts w:ascii="宋体" w:hAnsi="宋体"/>
          <w:color w:val="auto"/>
          <w:szCs w:val="21"/>
          <w:highlight w:val="none"/>
        </w:rPr>
        <w:t>。有关事项如下：</w:t>
      </w:r>
    </w:p>
    <w:p>
      <w:pPr>
        <w:ind w:firstLine="413" w:firstLineChars="196"/>
        <w:rPr>
          <w:rFonts w:ascii="宋体" w:hAnsi="宋体"/>
          <w:b/>
          <w:color w:val="auto"/>
          <w:szCs w:val="21"/>
          <w:highlight w:val="none"/>
        </w:rPr>
      </w:pPr>
    </w:p>
    <w:p>
      <w:pPr>
        <w:ind w:firstLine="413"/>
        <w:rPr>
          <w:rFonts w:ascii="宋体" w:hAnsi="宋体"/>
          <w:b/>
          <w:color w:val="auto"/>
          <w:szCs w:val="21"/>
          <w:highlight w:val="none"/>
        </w:rPr>
      </w:pPr>
      <w:r>
        <w:rPr>
          <w:rFonts w:hint="eastAsia" w:ascii="宋体" w:hAnsi="宋体"/>
          <w:b/>
          <w:color w:val="auto"/>
          <w:szCs w:val="21"/>
          <w:highlight w:val="none"/>
        </w:rPr>
        <w:t>一、采购项目概况</w:t>
      </w:r>
    </w:p>
    <w:p>
      <w:pPr>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rPr>
        <w:t>、采购</w:t>
      </w:r>
      <w:r>
        <w:rPr>
          <w:rFonts w:ascii="宋体" w:hAnsi="宋体"/>
          <w:color w:val="auto"/>
          <w:szCs w:val="21"/>
          <w:highlight w:val="none"/>
        </w:rPr>
        <w:t>项目名称</w:t>
      </w:r>
      <w:r>
        <w:rPr>
          <w:rFonts w:hint="eastAsia" w:ascii="宋体" w:hAnsi="宋体"/>
          <w:color w:val="auto"/>
          <w:szCs w:val="21"/>
          <w:highlight w:val="none"/>
        </w:rPr>
        <w:t>：</w:t>
      </w:r>
      <w:r>
        <w:rPr>
          <w:rFonts w:hint="eastAsia" w:ascii="宋体" w:hAnsi="宋体"/>
          <w:color w:val="auto"/>
          <w:szCs w:val="21"/>
          <w:highlight w:val="none"/>
          <w:u w:val="single"/>
          <w:lang w:eastAsia="zh-CN"/>
        </w:rPr>
        <w:t>企石镇霞朗-新南现代化产业园区（“城中村”改造项目）权籍调查审查</w:t>
      </w:r>
    </w:p>
    <w:p>
      <w:pPr>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预算金额（</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¥730,742.95元</w:t>
      </w:r>
    </w:p>
    <w:p>
      <w:pPr>
        <w:ind w:firstLine="420" w:firstLineChars="200"/>
        <w:rPr>
          <w:rFonts w:ascii="宋体" w:hAnsi="宋体"/>
          <w:color w:val="auto"/>
          <w:szCs w:val="21"/>
          <w:highlight w:val="none"/>
        </w:rPr>
      </w:pPr>
      <w:r>
        <w:rPr>
          <w:rFonts w:hint="eastAsia" w:ascii="宋体" w:hAnsi="宋体"/>
          <w:color w:val="auto"/>
          <w:szCs w:val="21"/>
          <w:highlight w:val="none"/>
        </w:rPr>
        <w:t>3、最高</w:t>
      </w:r>
      <w:r>
        <w:rPr>
          <w:rFonts w:ascii="宋体" w:hAnsi="宋体"/>
          <w:color w:val="auto"/>
          <w:szCs w:val="21"/>
          <w:highlight w:val="none"/>
        </w:rPr>
        <w:t>限价</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730,742.95</w:t>
      </w:r>
      <w:r>
        <w:rPr>
          <w:rFonts w:hint="eastAsia" w:ascii="宋体" w:hAnsi="宋体"/>
          <w:color w:val="auto"/>
          <w:szCs w:val="21"/>
          <w:highlight w:val="none"/>
          <w:u w:val="single"/>
        </w:rPr>
        <w:t>元</w:t>
      </w:r>
    </w:p>
    <w:p>
      <w:pPr>
        <w:ind w:firstLine="420" w:firstLineChars="200"/>
        <w:rPr>
          <w:rFonts w:ascii="宋体" w:hAnsi="宋体"/>
          <w:color w:val="auto"/>
          <w:szCs w:val="21"/>
          <w:highlight w:val="none"/>
        </w:rPr>
      </w:pPr>
      <w:r>
        <w:rPr>
          <w:rFonts w:hint="eastAsia" w:ascii="宋体" w:hAnsi="宋体"/>
          <w:color w:val="auto"/>
          <w:szCs w:val="21"/>
          <w:highlight w:val="none"/>
        </w:rPr>
        <w:t>4、项目内容</w:t>
      </w:r>
    </w:p>
    <w:tbl>
      <w:tblPr>
        <w:tblStyle w:val="35"/>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284"/>
        <w:gridCol w:w="1116"/>
        <w:gridCol w:w="4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668" w:type="dxa"/>
            <w:noWrap w:val="0"/>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采购包号</w:t>
            </w:r>
          </w:p>
        </w:tc>
        <w:tc>
          <w:tcPr>
            <w:tcW w:w="2284" w:type="dxa"/>
            <w:noWrap w:val="0"/>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项目内容</w:t>
            </w:r>
          </w:p>
        </w:tc>
        <w:tc>
          <w:tcPr>
            <w:tcW w:w="1116" w:type="dxa"/>
            <w:noWrap w:val="0"/>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采购服务单位数量</w:t>
            </w:r>
          </w:p>
        </w:tc>
        <w:tc>
          <w:tcPr>
            <w:tcW w:w="4451" w:type="dxa"/>
            <w:noWrap w:val="0"/>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668" w:type="dxa"/>
            <w:noWrap w:val="0"/>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w:t>
            </w:r>
          </w:p>
        </w:tc>
        <w:tc>
          <w:tcPr>
            <w:tcW w:w="2284"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u w:val="single"/>
                <w:lang w:eastAsia="zh-CN"/>
              </w:rPr>
              <w:t>企石镇霞朗-新南现代化产业园区（“城中村”改造项目）权籍调查审查</w:t>
            </w:r>
          </w:p>
        </w:tc>
        <w:tc>
          <w:tcPr>
            <w:tcW w:w="1116"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4451"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签订合同后2个月内完成权籍调查详查复核工作，并提交项目最终成果。</w:t>
            </w:r>
          </w:p>
        </w:tc>
      </w:tr>
    </w:tbl>
    <w:p>
      <w:pPr>
        <w:ind w:firstLine="420" w:firstLineChars="200"/>
        <w:rPr>
          <w:rFonts w:ascii="宋体" w:hAnsi="宋体"/>
          <w:color w:val="auto"/>
          <w:szCs w:val="21"/>
          <w:highlight w:val="none"/>
        </w:rPr>
      </w:pPr>
      <w:r>
        <w:rPr>
          <w:rFonts w:hint="eastAsia" w:ascii="宋体" w:hAnsi="宋体"/>
          <w:color w:val="auto"/>
          <w:szCs w:val="21"/>
          <w:highlight w:val="none"/>
        </w:rPr>
        <w:t>（注：本表格根据项目实际情况补充修改）</w:t>
      </w:r>
    </w:p>
    <w:p>
      <w:pPr>
        <w:ind w:firstLine="420" w:firstLineChars="200"/>
        <w:rPr>
          <w:rFonts w:ascii="宋体" w:hAnsi="宋体"/>
          <w:color w:val="auto"/>
          <w:szCs w:val="21"/>
          <w:highlight w:val="none"/>
        </w:rPr>
      </w:pPr>
      <w:r>
        <w:rPr>
          <w:rFonts w:hint="eastAsia" w:ascii="宋体" w:hAnsi="宋体"/>
          <w:color w:val="auto"/>
          <w:szCs w:val="21"/>
          <w:highlight w:val="none"/>
        </w:rPr>
        <w:t>5、项目需求</w:t>
      </w:r>
    </w:p>
    <w:p>
      <w:pPr>
        <w:ind w:firstLine="420" w:firstLineChars="200"/>
        <w:rPr>
          <w:rFonts w:ascii="宋体" w:hAnsi="宋体"/>
          <w:color w:val="auto"/>
          <w:szCs w:val="21"/>
          <w:highlight w:val="none"/>
        </w:rPr>
      </w:pPr>
      <w:r>
        <w:rPr>
          <w:rFonts w:hint="eastAsia" w:ascii="宋体" w:hAnsi="宋体"/>
          <w:color w:val="auto"/>
          <w:szCs w:val="21"/>
          <w:highlight w:val="none"/>
        </w:rPr>
        <w:t>详细内容请参阅磋商文件第三部分《用户需求书》。</w:t>
      </w:r>
    </w:p>
    <w:p>
      <w:pPr>
        <w:ind w:firstLine="413" w:firstLineChars="196"/>
        <w:rPr>
          <w:rFonts w:ascii="宋体" w:hAnsi="宋体"/>
          <w:b/>
          <w:color w:val="auto"/>
          <w:szCs w:val="21"/>
          <w:highlight w:val="none"/>
        </w:rPr>
      </w:pPr>
    </w:p>
    <w:p>
      <w:pPr>
        <w:ind w:firstLine="413" w:firstLineChars="196"/>
        <w:rPr>
          <w:rFonts w:ascii="宋体" w:hAnsi="宋体"/>
          <w:b/>
          <w:color w:val="auto"/>
          <w:szCs w:val="21"/>
          <w:highlight w:val="none"/>
        </w:rPr>
      </w:pPr>
      <w:r>
        <w:rPr>
          <w:rFonts w:hint="eastAsia" w:ascii="宋体" w:hAnsi="宋体"/>
          <w:b/>
          <w:color w:val="auto"/>
          <w:szCs w:val="21"/>
          <w:highlight w:val="none"/>
        </w:rPr>
        <w:t>二、供应商资格要求</w:t>
      </w:r>
    </w:p>
    <w:p>
      <w:pPr>
        <w:ind w:firstLine="411" w:firstLineChars="196"/>
        <w:rPr>
          <w:rFonts w:ascii="宋体" w:hAnsi="宋体"/>
          <w:color w:val="auto"/>
          <w:szCs w:val="21"/>
          <w:highlight w:val="none"/>
        </w:rPr>
      </w:pPr>
      <w:r>
        <w:rPr>
          <w:rFonts w:hint="eastAsia" w:ascii="宋体" w:hAnsi="宋体"/>
          <w:color w:val="auto"/>
          <w:szCs w:val="21"/>
          <w:highlight w:val="none"/>
        </w:rPr>
        <w:t>1、一般要求：</w:t>
      </w:r>
    </w:p>
    <w:p>
      <w:pPr>
        <w:ind w:firstLine="420" w:firstLineChars="200"/>
        <w:rPr>
          <w:rFonts w:ascii="宋体" w:hAnsi="宋体"/>
          <w:color w:val="auto"/>
          <w:szCs w:val="21"/>
          <w:highlight w:val="none"/>
        </w:rPr>
      </w:pPr>
      <w:r>
        <w:rPr>
          <w:rFonts w:hint="eastAsia" w:ascii="宋体" w:hAnsi="宋体"/>
          <w:color w:val="auto"/>
          <w:szCs w:val="21"/>
          <w:highlight w:val="none"/>
        </w:rPr>
        <w:t>（1）供应商须为在中华人民共和国境内登记注册的具有独立承担民事责任能力的法人或其他组织【提供《营业执照》复印件（加盖公章）或《事业单位法人证书》复印件（加盖公章）或其他主体证书复印件（加盖公章）】。</w:t>
      </w:r>
    </w:p>
    <w:p>
      <w:pPr>
        <w:ind w:firstLine="420" w:firstLineChars="200"/>
        <w:rPr>
          <w:rFonts w:ascii="宋体" w:hAnsi="宋体"/>
          <w:color w:val="auto"/>
          <w:szCs w:val="21"/>
          <w:highlight w:val="none"/>
        </w:rPr>
      </w:pPr>
      <w:r>
        <w:rPr>
          <w:rFonts w:hint="eastAsia" w:ascii="宋体" w:hAnsi="宋体"/>
          <w:color w:val="auto"/>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ind w:firstLine="420" w:firstLineChars="200"/>
        <w:rPr>
          <w:rFonts w:ascii="宋体" w:hAnsi="宋体"/>
          <w:color w:val="auto"/>
          <w:szCs w:val="21"/>
          <w:highlight w:val="none"/>
        </w:rPr>
      </w:pPr>
      <w:r>
        <w:rPr>
          <w:rFonts w:hint="eastAsia" w:ascii="宋体" w:hAnsi="宋体"/>
          <w:color w:val="auto"/>
          <w:szCs w:val="21"/>
          <w:highlight w:val="none"/>
        </w:rPr>
        <w:t>（3）供应商的单位负责人为同一人或者存在直接控股、管理关系的不同供应商，不得参加同一合同项下的采购活动。</w:t>
      </w:r>
    </w:p>
    <w:p>
      <w:pPr>
        <w:ind w:firstLine="420" w:firstLineChars="200"/>
        <w:rPr>
          <w:rFonts w:ascii="宋体" w:hAnsi="宋体"/>
          <w:color w:val="auto"/>
          <w:szCs w:val="21"/>
          <w:highlight w:val="none"/>
        </w:rPr>
      </w:pPr>
      <w:r>
        <w:rPr>
          <w:rFonts w:hint="eastAsia" w:ascii="宋体" w:hAnsi="宋体"/>
          <w:color w:val="auto"/>
          <w:szCs w:val="21"/>
          <w:highlight w:val="none"/>
        </w:rPr>
        <w:t>（4）未被列入“信用中国”网站(www.creditchina.gov.cn )“记录失信被执行人或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或政府采购严重违法失信行为”记录名单。以代理机构于投标截止日当天在“信用中国”网站查询结果为准，如相关失信记录已失效，供应商需提供相关证明资料。</w:t>
      </w:r>
    </w:p>
    <w:p>
      <w:pPr>
        <w:ind w:firstLine="420" w:firstLineChars="200"/>
        <w:rPr>
          <w:rFonts w:hint="eastAsia" w:ascii="宋体" w:hAnsi="宋体"/>
          <w:color w:val="auto"/>
          <w:szCs w:val="21"/>
          <w:highlight w:val="none"/>
        </w:rPr>
      </w:pPr>
      <w:r>
        <w:rPr>
          <w:rFonts w:hint="eastAsia" w:ascii="宋体" w:hAnsi="宋体"/>
          <w:color w:val="auto"/>
          <w:szCs w:val="21"/>
          <w:highlight w:val="none"/>
        </w:rPr>
        <w:t>（5）未被列入东实集团及下属企业相关领域黑名单。【以</w:t>
      </w:r>
      <w:r>
        <w:rPr>
          <w:rFonts w:hint="eastAsia" w:hAnsi="宋体" w:cs="宋体"/>
          <w:color w:val="auto"/>
          <w:kern w:val="2"/>
          <w:szCs w:val="21"/>
          <w:highlight w:val="none"/>
          <w:lang w:val="zh-CN"/>
        </w:rPr>
        <w:t>东莞实业投资控股集团有限公司</w:t>
      </w:r>
      <w:r>
        <w:rPr>
          <w:rFonts w:hint="eastAsia" w:ascii="宋体" w:hAnsi="宋体"/>
          <w:color w:val="auto"/>
          <w:szCs w:val="21"/>
          <w:highlight w:val="none"/>
        </w:rPr>
        <w:t>发文（东实通〔2021〕44号）、（东实通〔2021〕98号）、</w:t>
      </w:r>
      <w:r>
        <w:rPr>
          <w:rFonts w:ascii="宋体" w:hAnsi="宋体"/>
          <w:color w:val="auto"/>
          <w:szCs w:val="21"/>
          <w:highlight w:val="none"/>
        </w:rPr>
        <w:t>（东实通〔2022〕75号）</w:t>
      </w:r>
      <w:r>
        <w:rPr>
          <w:rFonts w:hint="eastAsia" w:ascii="宋体" w:hAnsi="宋体"/>
          <w:color w:val="auto"/>
          <w:szCs w:val="21"/>
          <w:highlight w:val="none"/>
        </w:rPr>
        <w:t>、（东实通〔2023〕37号）为准，如有最新发文通知，按最新文件执行。】</w:t>
      </w:r>
    </w:p>
    <w:p>
      <w:pPr>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本项目不接受分公司投标。</w:t>
      </w:r>
    </w:p>
    <w:p>
      <w:pPr>
        <w:ind w:firstLine="420" w:firstLineChars="200"/>
        <w:rPr>
          <w:rFonts w:ascii="宋体" w:hAnsi="宋体"/>
          <w:color w:val="auto"/>
          <w:szCs w:val="21"/>
          <w:highlight w:val="none"/>
        </w:rPr>
      </w:pPr>
      <w:r>
        <w:rPr>
          <w:rFonts w:hint="eastAsia" w:ascii="宋体" w:hAnsi="宋体"/>
          <w:color w:val="auto"/>
          <w:szCs w:val="21"/>
          <w:highlight w:val="none"/>
        </w:rPr>
        <w:t>2、其他要求</w:t>
      </w:r>
    </w:p>
    <w:p>
      <w:pPr>
        <w:ind w:firstLine="420" w:firstLineChars="200"/>
        <w:rPr>
          <w:color w:val="auto"/>
          <w:highlight w:val="none"/>
        </w:rPr>
      </w:pPr>
      <w:r>
        <w:rPr>
          <w:rFonts w:hint="eastAsia" w:ascii="宋体" w:hAnsi="宋体" w:eastAsia="宋体" w:cs="宋体"/>
          <w:color w:val="auto"/>
          <w:highlight w:val="none"/>
          <w:u w:val="single"/>
        </w:rPr>
        <w:t>供应商须具备行政主管部门颁发</w:t>
      </w:r>
      <w:r>
        <w:rPr>
          <w:rFonts w:hint="eastAsia" w:ascii="宋体" w:hAnsi="宋体" w:cs="宋体"/>
          <w:color w:val="auto"/>
          <w:highlight w:val="none"/>
          <w:u w:val="single"/>
          <w:lang w:val="en-US" w:eastAsia="zh-CN"/>
        </w:rPr>
        <w:t>并在有效期内</w:t>
      </w:r>
      <w:r>
        <w:rPr>
          <w:rFonts w:hint="eastAsia" w:ascii="宋体" w:hAnsi="宋体" w:eastAsia="宋体" w:cs="宋体"/>
          <w:color w:val="auto"/>
          <w:highlight w:val="none"/>
          <w:u w:val="single"/>
        </w:rPr>
        <w:t>的测绘</w:t>
      </w:r>
      <w:r>
        <w:rPr>
          <w:rFonts w:hint="eastAsia" w:ascii="宋体" w:hAnsi="宋体" w:cs="宋体"/>
          <w:color w:val="auto"/>
          <w:highlight w:val="none"/>
          <w:u w:val="single"/>
          <w:lang w:val="en-US" w:eastAsia="zh-CN"/>
        </w:rPr>
        <w:t>甲级</w:t>
      </w:r>
      <w:r>
        <w:rPr>
          <w:rFonts w:hint="eastAsia" w:ascii="宋体" w:hAnsi="宋体" w:eastAsia="宋体" w:cs="宋体"/>
          <w:color w:val="auto"/>
          <w:highlight w:val="none"/>
          <w:u w:val="single"/>
        </w:rPr>
        <w:t>资质证书(专业范围包含工程测量、界线与不动产测绘)。</w:t>
      </w:r>
      <w:r>
        <w:rPr>
          <w:rFonts w:hint="eastAsia" w:ascii="宋体" w:hAnsi="宋体" w:cs="宋体"/>
          <w:color w:val="auto"/>
          <w:highlight w:val="none"/>
          <w:u w:val="single"/>
          <w:lang w:eastAsia="zh-CN"/>
        </w:rPr>
        <w:t>【提供资质证书复印件，加盖公章】</w:t>
      </w:r>
      <w:r>
        <w:rPr>
          <w:rFonts w:hint="eastAsia"/>
          <w:color w:val="auto"/>
          <w:highlight w:val="none"/>
        </w:rPr>
        <w:t xml:space="preserve"> </w:t>
      </w:r>
    </w:p>
    <w:p>
      <w:pPr>
        <w:ind w:firstLine="413" w:firstLineChars="196"/>
        <w:rPr>
          <w:rFonts w:ascii="宋体" w:hAnsi="宋体"/>
          <w:b/>
          <w:color w:val="auto"/>
          <w:szCs w:val="21"/>
          <w:highlight w:val="none"/>
        </w:rPr>
      </w:pPr>
      <w:r>
        <w:rPr>
          <w:rFonts w:hint="eastAsia" w:ascii="宋体" w:hAnsi="宋体"/>
          <w:b/>
          <w:color w:val="auto"/>
          <w:szCs w:val="21"/>
          <w:highlight w:val="none"/>
        </w:rPr>
        <w:t>三、获取磋商文件方式及要求：</w:t>
      </w:r>
    </w:p>
    <w:p>
      <w:pPr>
        <w:wordWrap w:val="0"/>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本项目不进行实名登记报名，拟参加投标的供应商可于磋商截止时间前自行网上下载磋商文件。</w:t>
      </w:r>
      <w:r>
        <w:rPr>
          <w:rFonts w:ascii="宋体" w:hAnsi="宋体" w:cs="宋体"/>
          <w:color w:val="auto"/>
          <w:szCs w:val="21"/>
          <w:highlight w:val="none"/>
        </w:rPr>
        <w:t>磋商文件下载地址：</w:t>
      </w:r>
      <w:r>
        <w:rPr>
          <w:rFonts w:hint="eastAsia" w:ascii="宋体" w:hAnsi="宋体" w:cs="宋体"/>
          <w:color w:val="auto"/>
          <w:szCs w:val="21"/>
          <w:highlight w:val="none"/>
          <w:u w:val="single"/>
        </w:rPr>
        <w:t>中国招标投标公共服务平台（http://www.cebpubservice.com/）、东莞实业投资控股集团有限公司-招标采购栏目（http://www.dgsy.com.cn/）</w:t>
      </w:r>
      <w:r>
        <w:rPr>
          <w:rFonts w:hint="eastAsia" w:ascii="宋体" w:hAnsi="宋体" w:cs="宋体"/>
          <w:color w:val="auto"/>
          <w:szCs w:val="21"/>
          <w:highlight w:val="none"/>
          <w:u w:val="single"/>
          <w:lang w:eastAsia="zh-CN"/>
        </w:rPr>
        <w:t>、广西同泽工程项目管理股份有限公司</w:t>
      </w:r>
      <w:r>
        <w:rPr>
          <w:rFonts w:hint="eastAsia" w:ascii="宋体" w:hAnsi="宋体" w:cs="宋体"/>
          <w:color w:val="auto"/>
          <w:szCs w:val="21"/>
          <w:highlight w:val="none"/>
          <w:u w:val="single"/>
        </w:rPr>
        <w:t>网站（http://www.gxtzfz.cn/）</w:t>
      </w:r>
      <w:r>
        <w:rPr>
          <w:rFonts w:hint="eastAsia" w:ascii="宋体" w:hAnsi="宋体" w:cs="宋体"/>
          <w:color w:val="auto"/>
          <w:szCs w:val="21"/>
          <w:highlight w:val="none"/>
        </w:rPr>
        <w:t>。</w:t>
      </w:r>
    </w:p>
    <w:p>
      <w:pPr>
        <w:rPr>
          <w:color w:val="auto"/>
          <w:highlight w:val="none"/>
        </w:rPr>
      </w:pPr>
    </w:p>
    <w:p>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四、响应文件的递交</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1、递交响应文件时间：</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11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08 </w:t>
      </w:r>
      <w:r>
        <w:rPr>
          <w:rFonts w:hint="eastAsia" w:ascii="宋体" w:hAnsi="宋体" w:eastAsia="宋体" w:cs="宋体"/>
          <w:color w:val="auto"/>
          <w:szCs w:val="21"/>
          <w:highlight w:val="none"/>
        </w:rPr>
        <w:t>日（北京时间）</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w:t>
      </w:r>
    </w:p>
    <w:p>
      <w:pPr>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2、递交响应文件截止及开标时间：202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11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08 </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（北京时间），所有响应文件应于截止时间之前递交，迟交或以电报、传真形式的响应文件将拒绝接收。</w:t>
      </w:r>
    </w:p>
    <w:p>
      <w:pPr>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3、开标地点：</w:t>
      </w:r>
      <w:r>
        <w:rPr>
          <w:rFonts w:hint="eastAsia" w:ascii="宋体" w:hAnsi="宋体" w:eastAsia="宋体" w:cs="宋体"/>
          <w:color w:val="auto"/>
          <w:szCs w:val="21"/>
          <w:highlight w:val="none"/>
          <w:u w:val="single"/>
        </w:rPr>
        <w:t>广东省东莞市南城街道胜和路3号胜和广场2栋100</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室。</w:t>
      </w:r>
    </w:p>
    <w:p>
      <w:pPr>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4、开标事宜：</w:t>
      </w:r>
      <w:r>
        <w:rPr>
          <w:rFonts w:hint="eastAsia" w:ascii="宋体" w:hAnsi="宋体" w:eastAsia="宋体" w:cs="宋体"/>
          <w:b/>
          <w:bCs/>
          <w:color w:val="auto"/>
          <w:szCs w:val="21"/>
          <w:highlight w:val="none"/>
        </w:rPr>
        <w:t>届时请供应商的法定代表人或其授权代表务必携带有效身份证明出席开标会</w:t>
      </w:r>
      <w:r>
        <w:rPr>
          <w:rFonts w:hint="eastAsia" w:ascii="宋体" w:hAnsi="宋体" w:eastAsia="宋体" w:cs="宋体"/>
          <w:bCs/>
          <w:color w:val="auto"/>
          <w:szCs w:val="21"/>
          <w:highlight w:val="none"/>
        </w:rPr>
        <w:t>。</w:t>
      </w:r>
    </w:p>
    <w:p>
      <w:pPr>
        <w:pStyle w:val="6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pPr>
        <w:pStyle w:val="6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pPr>
        <w:pStyle w:val="6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（2）未按磋商文件要求密封的。</w:t>
      </w:r>
    </w:p>
    <w:p>
      <w:pPr>
        <w:pStyle w:val="68"/>
        <w:ind w:firstLine="400"/>
        <w:rPr>
          <w:color w:val="auto"/>
          <w:highlight w:val="none"/>
        </w:rPr>
      </w:pPr>
    </w:p>
    <w:p>
      <w:pPr>
        <w:pStyle w:val="68"/>
        <w:ind w:firstLine="422"/>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五</w:t>
      </w:r>
      <w:r>
        <w:rPr>
          <w:rFonts w:ascii="宋体" w:hAnsi="宋体" w:eastAsia="宋体" w:cs="Times New Roman"/>
          <w:b/>
          <w:color w:val="auto"/>
          <w:sz w:val="21"/>
          <w:szCs w:val="21"/>
          <w:highlight w:val="none"/>
        </w:rPr>
        <w:t>、发布公告的媒介</w:t>
      </w:r>
    </w:p>
    <w:p>
      <w:pPr>
        <w:pStyle w:val="6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pPr>
        <w:pStyle w:val="6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eastAsia="宋体" w:cs="宋体"/>
          <w:color w:val="auto"/>
          <w:sz w:val="21"/>
          <w:szCs w:val="21"/>
          <w:highlight w:val="none"/>
          <w:u w:val="single"/>
          <w:lang w:eastAsia="zh-CN"/>
        </w:rPr>
        <w:t>、广西同泽工程项目管理股份有限公司</w:t>
      </w:r>
      <w:r>
        <w:rPr>
          <w:rFonts w:hint="eastAsia" w:ascii="宋体" w:hAnsi="宋体" w:eastAsia="宋体" w:cs="宋体"/>
          <w:color w:val="auto"/>
          <w:sz w:val="21"/>
          <w:szCs w:val="21"/>
          <w:highlight w:val="none"/>
          <w:u w:val="single"/>
        </w:rPr>
        <w:t>网站（http://www.gxtzfz.cn/）</w:t>
      </w:r>
      <w:r>
        <w:rPr>
          <w:rFonts w:hint="eastAsia" w:ascii="宋体" w:hAnsi="宋体" w:eastAsia="宋体" w:cs="宋体"/>
          <w:color w:val="auto"/>
          <w:sz w:val="21"/>
          <w:szCs w:val="21"/>
          <w:highlight w:val="none"/>
        </w:rPr>
        <w:t>。</w:t>
      </w:r>
    </w:p>
    <w:p>
      <w:pPr>
        <w:pStyle w:val="68"/>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pPr>
        <w:pStyle w:val="68"/>
        <w:spacing w:line="360" w:lineRule="auto"/>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pPr>
        <w:ind w:firstLine="413" w:firstLineChars="196"/>
        <w:rPr>
          <w:rFonts w:hint="eastAsia" w:ascii="宋体" w:hAnsi="宋体"/>
          <w:b/>
          <w:color w:val="auto"/>
          <w:szCs w:val="21"/>
          <w:highlight w:val="none"/>
        </w:rPr>
      </w:pPr>
    </w:p>
    <w:p>
      <w:pPr>
        <w:ind w:firstLine="413" w:firstLineChars="196"/>
        <w:rPr>
          <w:rFonts w:ascii="宋体" w:hAnsi="宋体"/>
          <w:bCs/>
          <w:color w:val="auto"/>
          <w:szCs w:val="21"/>
          <w:highlight w:val="none"/>
        </w:rPr>
      </w:pPr>
      <w:r>
        <w:rPr>
          <w:rFonts w:hint="eastAsia" w:ascii="宋体" w:hAnsi="宋体"/>
          <w:b/>
          <w:color w:val="auto"/>
          <w:szCs w:val="21"/>
          <w:highlight w:val="none"/>
        </w:rPr>
        <w:t>六、采购人及采购代理机构的名称、地址和联系方法：</w:t>
      </w:r>
    </w:p>
    <w:p>
      <w:pPr>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采购人</w:t>
      </w:r>
      <w:r>
        <w:rPr>
          <w:rFonts w:ascii="宋体" w:hAnsi="宋体"/>
          <w:bCs/>
          <w:color w:val="auto"/>
          <w:szCs w:val="21"/>
          <w:highlight w:val="none"/>
        </w:rPr>
        <w:t>名称</w:t>
      </w:r>
      <w:r>
        <w:rPr>
          <w:rFonts w:hint="eastAsia" w:ascii="宋体" w:hAnsi="宋体"/>
          <w:bCs/>
          <w:color w:val="auto"/>
          <w:szCs w:val="21"/>
          <w:highlight w:val="none"/>
        </w:rPr>
        <w:t>：</w:t>
      </w:r>
      <w:r>
        <w:rPr>
          <w:rFonts w:hint="eastAsia" w:ascii="宋体" w:hAnsi="宋体"/>
          <w:bCs/>
          <w:color w:val="auto"/>
          <w:szCs w:val="21"/>
          <w:highlight w:val="none"/>
          <w:lang w:eastAsia="zh-CN"/>
        </w:rPr>
        <w:t>东莞市东实城市开发有限公司</w:t>
      </w:r>
    </w:p>
    <w:p>
      <w:pPr>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采购人联系人：</w:t>
      </w:r>
      <w:r>
        <w:rPr>
          <w:rFonts w:hint="eastAsia" w:ascii="宋体" w:hAnsi="宋体"/>
          <w:bCs/>
          <w:color w:val="auto"/>
          <w:szCs w:val="21"/>
          <w:highlight w:val="none"/>
          <w:lang w:val="en-US" w:eastAsia="zh-CN"/>
        </w:rPr>
        <w:t>曾小姐</w:t>
      </w:r>
    </w:p>
    <w:p>
      <w:pPr>
        <w:ind w:firstLine="420" w:firstLineChars="200"/>
        <w:rPr>
          <w:rFonts w:ascii="宋体" w:hAnsi="宋体"/>
          <w:bCs/>
          <w:color w:val="auto"/>
          <w:szCs w:val="21"/>
          <w:highlight w:val="none"/>
        </w:rPr>
      </w:pPr>
      <w:r>
        <w:rPr>
          <w:rFonts w:hint="eastAsia" w:ascii="宋体" w:hAnsi="宋体"/>
          <w:bCs/>
          <w:color w:val="auto"/>
          <w:szCs w:val="21"/>
          <w:highlight w:val="none"/>
        </w:rPr>
        <w:t>采购人地址：广东省东莞市南城街道中天商业街28号1栋308室</w:t>
      </w:r>
    </w:p>
    <w:p>
      <w:pPr>
        <w:ind w:firstLine="420" w:firstLineChars="200"/>
        <w:rPr>
          <w:rFonts w:ascii="宋体" w:hAnsi="宋体"/>
          <w:bCs/>
          <w:color w:val="auto"/>
          <w:szCs w:val="21"/>
          <w:highlight w:val="none"/>
        </w:rPr>
      </w:pPr>
      <w:r>
        <w:rPr>
          <w:rFonts w:hint="eastAsia" w:ascii="宋体" w:hAnsi="宋体"/>
          <w:bCs/>
          <w:color w:val="auto"/>
          <w:szCs w:val="21"/>
          <w:highlight w:val="none"/>
        </w:rPr>
        <w:t>采购人联系电话：</w:t>
      </w:r>
      <w:r>
        <w:rPr>
          <w:rFonts w:hint="eastAsia" w:ascii="宋体" w:hAnsi="宋体" w:cs="宋体"/>
          <w:bCs/>
          <w:color w:val="auto"/>
          <w:szCs w:val="21"/>
          <w:highlight w:val="none"/>
        </w:rPr>
        <w:t>0769-28681293</w:t>
      </w:r>
    </w:p>
    <w:p>
      <w:pPr>
        <w:ind w:firstLine="420" w:firstLineChars="200"/>
        <w:rPr>
          <w:rFonts w:ascii="宋体" w:hAnsi="宋体"/>
          <w:color w:val="auto"/>
          <w:szCs w:val="21"/>
          <w:highlight w:val="none"/>
        </w:rPr>
      </w:pPr>
    </w:p>
    <w:p>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采购代理机构名称：</w:t>
      </w:r>
      <w:r>
        <w:rPr>
          <w:rFonts w:hint="eastAsia" w:ascii="宋体" w:hAnsi="宋体" w:cs="宋体"/>
          <w:bCs/>
          <w:color w:val="auto"/>
          <w:szCs w:val="21"/>
          <w:highlight w:val="none"/>
          <w:lang w:eastAsia="zh-CN"/>
        </w:rPr>
        <w:t>广西同泽工程项目管理股份有限公司</w:t>
      </w:r>
    </w:p>
    <w:p>
      <w:pPr>
        <w:ind w:firstLine="420" w:firstLineChars="200"/>
        <w:rPr>
          <w:rFonts w:ascii="宋体" w:hAnsi="宋体"/>
          <w:color w:val="auto"/>
          <w:szCs w:val="21"/>
          <w:highlight w:val="none"/>
        </w:rPr>
      </w:pPr>
      <w:r>
        <w:rPr>
          <w:rFonts w:hint="eastAsia" w:ascii="宋体" w:hAnsi="宋体"/>
          <w:color w:val="auto"/>
          <w:szCs w:val="21"/>
          <w:highlight w:val="none"/>
        </w:rPr>
        <w:t>采购代理机构地址：</w:t>
      </w:r>
      <w:r>
        <w:rPr>
          <w:rFonts w:hint="eastAsia" w:ascii="宋体" w:hAnsi="宋体"/>
          <w:color w:val="auto"/>
          <w:szCs w:val="21"/>
          <w:highlight w:val="none"/>
          <w:u w:val="none"/>
        </w:rPr>
        <w:t>广东省东莞市南城街道胜和路3号胜和广场2栋1006室</w:t>
      </w:r>
    </w:p>
    <w:p>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采购代理机构联系人：</w:t>
      </w:r>
      <w:r>
        <w:rPr>
          <w:rFonts w:hint="eastAsia" w:ascii="宋体" w:hAnsi="宋体" w:cs="宋体"/>
          <w:bCs/>
          <w:color w:val="auto"/>
          <w:szCs w:val="21"/>
          <w:highlight w:val="none"/>
          <w:lang w:val="en-US" w:eastAsia="zh-CN"/>
        </w:rPr>
        <w:t>张先生</w:t>
      </w:r>
    </w:p>
    <w:p>
      <w:pPr>
        <w:ind w:firstLine="420" w:firstLineChars="200"/>
        <w:rPr>
          <w:rFonts w:hint="default" w:ascii="宋体" w:hAnsi="宋体"/>
          <w:color w:val="auto"/>
          <w:szCs w:val="21"/>
          <w:highlight w:val="none"/>
          <w:lang w:val="en-US"/>
        </w:rPr>
      </w:pPr>
      <w:r>
        <w:rPr>
          <w:rFonts w:hint="eastAsia" w:ascii="宋体" w:hAnsi="宋体"/>
          <w:color w:val="auto"/>
          <w:szCs w:val="21"/>
          <w:highlight w:val="none"/>
        </w:rPr>
        <w:t>采购代理机构联系电话：</w:t>
      </w:r>
      <w:r>
        <w:rPr>
          <w:rFonts w:hint="eastAsia" w:ascii="宋体" w:hAnsi="宋体" w:cs="宋体"/>
          <w:bCs/>
          <w:color w:val="auto"/>
          <w:szCs w:val="21"/>
          <w:highlight w:val="none"/>
        </w:rPr>
        <w:t>0769-</w:t>
      </w:r>
      <w:r>
        <w:rPr>
          <w:rFonts w:hint="eastAsia" w:ascii="宋体" w:hAnsi="宋体" w:cs="宋体"/>
          <w:bCs/>
          <w:color w:val="auto"/>
          <w:szCs w:val="21"/>
          <w:highlight w:val="none"/>
          <w:lang w:val="en-US" w:eastAsia="zh-CN"/>
        </w:rPr>
        <w:t>21688191</w:t>
      </w:r>
    </w:p>
    <w:p>
      <w:pPr>
        <w:ind w:firstLine="420" w:firstLineChars="200"/>
        <w:rPr>
          <w:rFonts w:hint="default" w:eastAsia="宋体"/>
          <w:color w:val="auto"/>
          <w:highlight w:val="none"/>
          <w:lang w:val="en-US" w:eastAsia="zh-CN"/>
        </w:rPr>
      </w:pPr>
      <w:r>
        <w:rPr>
          <w:rFonts w:hint="eastAsia" w:ascii="宋体" w:hAnsi="宋体"/>
          <w:color w:val="auto"/>
          <w:szCs w:val="21"/>
          <w:highlight w:val="none"/>
        </w:rPr>
        <w:t>采购代理机构邮箱：</w:t>
      </w:r>
      <w:r>
        <w:rPr>
          <w:rFonts w:hint="eastAsia" w:ascii="宋体" w:hAnsi="宋体" w:cs="宋体"/>
          <w:bCs/>
          <w:color w:val="auto"/>
          <w:szCs w:val="21"/>
          <w:highlight w:val="none"/>
        </w:rPr>
        <w:t>2195953904</w:t>
      </w:r>
      <w:r>
        <w:rPr>
          <w:rFonts w:hint="eastAsia" w:ascii="宋体" w:hAnsi="宋体" w:cs="宋体"/>
          <w:bCs/>
          <w:color w:val="auto"/>
          <w:szCs w:val="21"/>
          <w:highlight w:val="none"/>
          <w:lang w:val="en-US" w:eastAsia="zh-CN"/>
        </w:rPr>
        <w:t>@qq.com</w:t>
      </w:r>
    </w:p>
    <w:p>
      <w:pPr>
        <w:ind w:firstLine="420" w:firstLineChars="200"/>
        <w:rPr>
          <w:color w:val="auto"/>
          <w:highlight w:val="none"/>
        </w:rPr>
      </w:pPr>
    </w:p>
    <w:p>
      <w:pPr>
        <w:ind w:right="752" w:rightChars="358"/>
        <w:jc w:val="right"/>
        <w:rPr>
          <w:color w:val="auto"/>
          <w:highlight w:val="none"/>
        </w:rPr>
      </w:pPr>
    </w:p>
    <w:p>
      <w:pPr>
        <w:ind w:right="752" w:rightChars="358"/>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广西同泽工程项目管理股份有限公司</w:t>
      </w:r>
    </w:p>
    <w:p>
      <w:pPr>
        <w:ind w:right="752" w:rightChars="358"/>
        <w:jc w:val="right"/>
        <w:rPr>
          <w:rFonts w:ascii="宋体" w:hAnsi="宋体" w:cs="宋体"/>
          <w:color w:val="auto"/>
          <w:szCs w:val="21"/>
          <w:highlight w:val="none"/>
        </w:rPr>
      </w:pPr>
      <w:r>
        <w:rPr>
          <w:rFonts w:hint="eastAsia" w:ascii="宋体" w:hAnsi="宋体" w:cs="宋体"/>
          <w:color w:val="auto"/>
          <w:szCs w:val="21"/>
          <w:highlight w:val="none"/>
          <w:lang w:eastAsia="zh-CN"/>
        </w:rPr>
        <w:t>2024年</w:t>
      </w:r>
      <w:r>
        <w:rPr>
          <w:rFonts w:hint="eastAsia" w:ascii="宋体" w:hAnsi="宋体" w:cs="宋体"/>
          <w:color w:val="auto"/>
          <w:szCs w:val="21"/>
          <w:highlight w:val="none"/>
          <w:lang w:val="en-US" w:eastAsia="zh-CN"/>
        </w:rPr>
        <w:t xml:space="preserve"> 10 </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 xml:space="preserve"> 28 </w:t>
      </w:r>
      <w:r>
        <w:rPr>
          <w:rFonts w:hint="eastAsia" w:ascii="宋体" w:hAnsi="宋体" w:cs="宋体"/>
          <w:color w:val="auto"/>
          <w:szCs w:val="21"/>
          <w:highlight w:val="none"/>
          <w:lang w:eastAsia="zh-CN"/>
        </w:rPr>
        <w:t>日</w:t>
      </w:r>
      <w:r>
        <w:rPr>
          <w:rFonts w:hint="eastAsia" w:ascii="宋体" w:hAnsi="宋体" w:cs="宋体"/>
          <w:color w:val="auto"/>
          <w:szCs w:val="21"/>
          <w:highlight w:val="none"/>
        </w:rPr>
        <w:t xml:space="preserve"> </w:t>
      </w:r>
    </w:p>
    <w:p>
      <w:pP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p>
    <w:p>
      <w:pPr>
        <w:pStyle w:val="2"/>
        <w:spacing w:before="0" w:after="0" w:line="240" w:lineRule="auto"/>
        <w:rPr>
          <w:color w:val="auto"/>
          <w:sz w:val="28"/>
          <w:szCs w:val="28"/>
          <w:highlight w:val="none"/>
        </w:rPr>
      </w:pPr>
      <w:bookmarkStart w:id="4" w:name="_Toc12350"/>
      <w:bookmarkStart w:id="5" w:name="_Toc2567"/>
      <w:r>
        <w:rPr>
          <w:rFonts w:hint="eastAsia"/>
          <w:color w:val="auto"/>
          <w:sz w:val="28"/>
          <w:szCs w:val="28"/>
          <w:highlight w:val="none"/>
        </w:rPr>
        <w:t>第二部分</w:t>
      </w:r>
      <w:r>
        <w:rPr>
          <w:rFonts w:hint="eastAsia"/>
          <w:color w:val="auto"/>
          <w:sz w:val="28"/>
          <w:szCs w:val="28"/>
          <w:highlight w:val="none"/>
          <w:lang w:val="en-US" w:eastAsia="zh-CN"/>
        </w:rPr>
        <w:t xml:space="preserve"> </w:t>
      </w:r>
      <w:r>
        <w:rPr>
          <w:rFonts w:hint="eastAsia"/>
          <w:color w:val="auto"/>
          <w:sz w:val="28"/>
          <w:szCs w:val="28"/>
          <w:highlight w:val="none"/>
        </w:rPr>
        <w:t>相关资料表格</w:t>
      </w:r>
      <w:bookmarkEnd w:id="4"/>
      <w:bookmarkEnd w:id="5"/>
    </w:p>
    <w:p>
      <w:pPr>
        <w:pStyle w:val="4"/>
        <w:spacing w:before="0" w:after="0" w:line="240" w:lineRule="auto"/>
        <w:jc w:val="center"/>
        <w:rPr>
          <w:rFonts w:ascii="宋体" w:hAnsi="宋体" w:cs="宋体"/>
          <w:color w:val="auto"/>
          <w:sz w:val="24"/>
          <w:szCs w:val="24"/>
          <w:highlight w:val="none"/>
        </w:rPr>
      </w:pPr>
      <w:bookmarkStart w:id="6" w:name="_Toc27025"/>
      <w:bookmarkStart w:id="7" w:name="_Toc29593"/>
      <w:r>
        <w:rPr>
          <w:rFonts w:hint="eastAsia" w:ascii="宋体" w:hAnsi="宋体" w:cs="宋体"/>
          <w:color w:val="auto"/>
          <w:sz w:val="24"/>
          <w:szCs w:val="24"/>
          <w:highlight w:val="none"/>
        </w:rPr>
        <w:t>附表一：响应资料表</w:t>
      </w:r>
      <w:bookmarkEnd w:id="6"/>
      <w:bookmarkEnd w:id="7"/>
    </w:p>
    <w:tbl>
      <w:tblPr>
        <w:tblStyle w:val="35"/>
        <w:tblW w:w="867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51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1" w:hRule="atLeast"/>
          <w:jc w:val="center"/>
        </w:trPr>
        <w:tc>
          <w:tcPr>
            <w:tcW w:w="878" w:type="dxa"/>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794" w:type="dxa"/>
            <w:gridSpan w:val="2"/>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6" w:hRule="atLeast"/>
          <w:jc w:val="center"/>
        </w:trPr>
        <w:tc>
          <w:tcPr>
            <w:tcW w:w="8672" w:type="dxa"/>
            <w:gridSpan w:val="3"/>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794" w:type="dxa"/>
            <w:gridSpan w:val="2"/>
            <w:tcBorders>
              <w:tl2br w:val="nil"/>
              <w:tr2bl w:val="nil"/>
            </w:tcBorders>
            <w:noWrap w:val="0"/>
            <w:vAlign w:val="center"/>
          </w:tcPr>
          <w:p>
            <w:pPr>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rPr>
              <w:t>项目最高限价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b/>
                <w:bCs/>
                <w:color w:val="auto"/>
                <w:szCs w:val="21"/>
                <w:highlight w:val="none"/>
              </w:rPr>
              <w:t>¥730,742.95元</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含税</w:t>
            </w:r>
            <w:r>
              <w:rPr>
                <w:rFonts w:hint="eastAsia" w:ascii="宋体" w:hAnsi="宋体"/>
                <w:b/>
                <w:bCs/>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b/>
                <w:bCs/>
                <w:color w:val="auto"/>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color w:val="auto"/>
                <w:szCs w:val="21"/>
                <w:highlight w:val="none"/>
              </w:rPr>
              <w:sym w:font="Wingdings 2" w:char="F0A2"/>
            </w:r>
            <w:r>
              <w:rPr>
                <w:rFonts w:hint="eastAsia" w:ascii="宋体" w:hAnsi="宋体"/>
                <w:b/>
                <w:bCs/>
                <w:color w:val="auto"/>
                <w:szCs w:val="21"/>
                <w:highlight w:val="none"/>
              </w:rPr>
              <w:t>固定总价包干；</w:t>
            </w:r>
          </w:p>
          <w:p>
            <w:pPr>
              <w:rPr>
                <w:rFonts w:ascii="宋体" w:hAnsi="宋体"/>
                <w:b/>
                <w:bCs/>
                <w:color w:val="auto"/>
                <w:szCs w:val="21"/>
                <w:highlight w:val="none"/>
              </w:rPr>
            </w:pPr>
            <w:r>
              <w:rPr>
                <w:rFonts w:hint="eastAsia" w:ascii="宋体" w:hAnsi="宋体"/>
                <w:color w:val="auto"/>
                <w:szCs w:val="21"/>
                <w:highlight w:val="none"/>
              </w:rPr>
              <w:sym w:font="Wingdings 2" w:char="00A3"/>
            </w:r>
            <w:r>
              <w:rPr>
                <w:rFonts w:hint="eastAsia" w:ascii="宋体" w:hAnsi="宋体"/>
                <w:b/>
                <w:bCs/>
                <w:color w:val="auto"/>
                <w:szCs w:val="21"/>
                <w:highlight w:val="none"/>
              </w:rPr>
              <w:t>固定单价暂定总价包干；</w:t>
            </w:r>
          </w:p>
          <w:p>
            <w:pPr>
              <w:rPr>
                <w:rFonts w:ascii="宋体" w:hAnsi="宋体"/>
                <w:b/>
                <w:bCs/>
                <w:color w:val="auto"/>
                <w:szCs w:val="21"/>
                <w:highlight w:val="none"/>
                <w:u w:val="single"/>
              </w:rPr>
            </w:pPr>
            <w:r>
              <w:rPr>
                <w:rFonts w:hint="eastAsia" w:ascii="宋体" w:hAnsi="宋体"/>
                <w:color w:val="auto"/>
                <w:szCs w:val="21"/>
                <w:highlight w:val="none"/>
              </w:rPr>
              <w:sym w:font="Wingdings 2" w:char="00A3"/>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p>
          <w:p>
            <w:pPr>
              <w:rPr>
                <w:rFonts w:ascii="宋体" w:hAnsi="宋体"/>
                <w:b/>
                <w:bCs/>
                <w:color w:val="auto"/>
                <w:szCs w:val="21"/>
                <w:highlight w:val="none"/>
              </w:rPr>
            </w:pPr>
            <w:r>
              <w:rPr>
                <w:rFonts w:hint="eastAsia" w:ascii="宋体" w:hAnsi="宋体"/>
                <w:color w:val="auto"/>
                <w:szCs w:val="21"/>
                <w:highlight w:val="none"/>
              </w:rPr>
              <w:sym w:font="Wingdings 2" w:char="00A3"/>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b/>
                <w:bCs/>
                <w:color w:val="auto"/>
                <w:szCs w:val="21"/>
                <w:highlight w:val="none"/>
              </w:rPr>
              <w:t>是否接受联合体投标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pStyle w:val="57"/>
              <w:ind w:firstLine="0" w:firstLineChars="0"/>
              <w:rPr>
                <w:rFonts w:ascii="宋体" w:hAnsi="宋体" w:cs="宋体"/>
                <w:color w:val="auto"/>
                <w:szCs w:val="21"/>
                <w:highlight w:val="none"/>
              </w:rPr>
            </w:pPr>
            <w:r>
              <w:rPr>
                <w:rFonts w:hint="eastAsia" w:ascii="宋体" w:hAnsi="宋体"/>
                <w:color w:val="auto"/>
                <w:szCs w:val="21"/>
                <w:highlight w:val="none"/>
              </w:rPr>
              <w:sym w:font="Wingdings 2" w:char="00A3"/>
            </w:r>
            <w:r>
              <w:rPr>
                <w:rFonts w:hint="eastAsia" w:ascii="宋体" w:hAnsi="宋体" w:cs="宋体"/>
                <w:color w:val="auto"/>
                <w:szCs w:val="21"/>
                <w:highlight w:val="none"/>
              </w:rPr>
              <w:t>是，</w:t>
            </w:r>
            <w:r>
              <w:rPr>
                <w:rFonts w:hint="eastAsia" w:ascii="宋体" w:hAnsi="宋体"/>
                <w:color w:val="auto"/>
                <w:szCs w:val="21"/>
                <w:highlight w:val="none"/>
              </w:rPr>
              <w:t>联合体投标的，应满足下列要求：</w:t>
            </w:r>
            <w:r>
              <w:rPr>
                <w:rFonts w:ascii="宋体" w:hAnsi="宋体"/>
                <w:color w:val="auto"/>
                <w:szCs w:val="21"/>
                <w:highlight w:val="none"/>
                <w:u w:val="single"/>
              </w:rPr>
              <w:t xml:space="preserve">         </w:t>
            </w:r>
            <w:r>
              <w:rPr>
                <w:rFonts w:hint="eastAsia" w:ascii="宋体" w:hAnsi="宋体" w:cs="宋体"/>
                <w:color w:val="auto"/>
                <w:szCs w:val="21"/>
                <w:highlight w:val="none"/>
              </w:rPr>
              <w:t>；</w:t>
            </w:r>
          </w:p>
          <w:p>
            <w:pPr>
              <w:rPr>
                <w:rFonts w:ascii="宋体" w:hAnsi="宋体"/>
                <w:b/>
                <w:bCs/>
                <w:color w:val="auto"/>
                <w:szCs w:val="21"/>
                <w:highlight w:val="none"/>
              </w:rPr>
            </w:pPr>
            <w:r>
              <w:rPr>
                <w:rFonts w:hint="eastAsia" w:ascii="宋体" w:hAnsi="宋体"/>
                <w:color w:val="auto"/>
                <w:szCs w:val="21"/>
                <w:highlight w:val="none"/>
              </w:rPr>
              <w:sym w:font="Wingdings 2" w:char="F0A2"/>
            </w:r>
            <w:r>
              <w:rPr>
                <w:rFonts w:hint="eastAsia" w:ascii="宋体" w:hAnsi="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b/>
                <w:bCs/>
                <w:color w:val="auto"/>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color w:val="auto"/>
                <w:szCs w:val="21"/>
                <w:highlight w:val="none"/>
                <w:u w:val="non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794" w:type="dxa"/>
            <w:gridSpan w:val="2"/>
            <w:tcBorders>
              <w:tl2br w:val="nil"/>
              <w:tr2bl w:val="nil"/>
            </w:tcBorders>
            <w:noWrap w:val="0"/>
            <w:vAlign w:val="center"/>
          </w:tcPr>
          <w:p>
            <w:pPr>
              <w:rPr>
                <w:rFonts w:ascii="宋体" w:hAnsi="宋体"/>
                <w:b/>
                <w:color w:val="auto"/>
                <w:szCs w:val="21"/>
                <w:highlight w:val="none"/>
              </w:rPr>
            </w:pPr>
            <w:r>
              <w:rPr>
                <w:rFonts w:hint="eastAsia" w:ascii="宋体" w:hAnsi="宋体"/>
                <w:b/>
                <w:color w:val="auto"/>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Cs/>
                <w:color w:val="auto"/>
                <w:szCs w:val="21"/>
                <w:highlight w:val="none"/>
              </w:rPr>
            </w:pPr>
            <w:r>
              <w:rPr>
                <w:rFonts w:hint="eastAsia" w:ascii="宋体" w:hAnsi="宋体"/>
                <w:color w:val="auto"/>
                <w:szCs w:val="21"/>
                <w:highlight w:val="none"/>
              </w:rPr>
              <w:sym w:font="Wingdings 2" w:char="F0A2"/>
            </w:r>
            <w:r>
              <w:rPr>
                <w:rFonts w:hint="eastAsia" w:ascii="宋体" w:hAnsi="宋体"/>
                <w:bCs/>
                <w:color w:val="auto"/>
                <w:szCs w:val="21"/>
                <w:highlight w:val="none"/>
              </w:rPr>
              <w:t>不组织。</w:t>
            </w:r>
          </w:p>
          <w:p>
            <w:pPr>
              <w:rPr>
                <w:rFonts w:ascii="宋体" w:hAnsi="宋体"/>
                <w:bCs/>
                <w:color w:val="auto"/>
                <w:szCs w:val="21"/>
                <w:highlight w:val="none"/>
              </w:rPr>
            </w:pP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9" w:hRule="atLeast"/>
          <w:jc w:val="center"/>
        </w:trPr>
        <w:tc>
          <w:tcPr>
            <w:tcW w:w="8672" w:type="dxa"/>
            <w:gridSpan w:val="3"/>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二、响应文件的编制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794" w:type="dxa"/>
            <w:gridSpan w:val="2"/>
            <w:tcBorders>
              <w:tl2br w:val="nil"/>
              <w:tr2bl w:val="nil"/>
            </w:tcBorders>
            <w:noWrap w:val="0"/>
            <w:vAlign w:val="center"/>
          </w:tcPr>
          <w:p>
            <w:pPr>
              <w:rPr>
                <w:rFonts w:ascii="宋体" w:hAnsi="宋体"/>
                <w:b/>
                <w:color w:val="auto"/>
                <w:szCs w:val="21"/>
                <w:highlight w:val="none"/>
              </w:rPr>
            </w:pPr>
            <w:r>
              <w:rPr>
                <w:rFonts w:hint="eastAsia" w:ascii="宋体" w:hAnsi="宋体"/>
                <w:b/>
                <w:color w:val="auto"/>
                <w:szCs w:val="21"/>
                <w:highlight w:val="none"/>
              </w:rPr>
              <w:t>磋商</w:t>
            </w:r>
            <w:r>
              <w:rPr>
                <w:rFonts w:ascii="宋体" w:hAnsi="宋体"/>
                <w:b/>
                <w:color w:val="auto"/>
                <w:szCs w:val="21"/>
                <w:highlight w:val="none"/>
              </w:rPr>
              <w:t>的</w:t>
            </w:r>
            <w:r>
              <w:rPr>
                <w:rFonts w:hint="eastAsia" w:ascii="宋体" w:hAnsi="宋体"/>
                <w:b/>
                <w:color w:val="auto"/>
                <w:szCs w:val="21"/>
                <w:highlight w:val="none"/>
              </w:rPr>
              <w:t>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
                <w:color w:val="auto"/>
                <w:szCs w:val="21"/>
                <w:highlight w:val="none"/>
              </w:rPr>
            </w:pPr>
            <w:r>
              <w:rPr>
                <w:rFonts w:hint="eastAsia" w:ascii="宋体" w:hAnsi="宋体"/>
                <w:color w:val="auto"/>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磋商报价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color w:val="auto"/>
                <w:szCs w:val="21"/>
                <w:highlight w:val="none"/>
              </w:rPr>
              <w:t>详见供应商须知。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磋商保证金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color w:val="auto"/>
                <w:szCs w:val="21"/>
                <w:highlight w:val="none"/>
              </w:rPr>
              <w:t>（1）磋商保证金金额：人民币</w:t>
            </w:r>
            <w:r>
              <w:rPr>
                <w:rFonts w:hint="eastAsia" w:ascii="宋体" w:hAnsi="宋体"/>
                <w:b/>
                <w:color w:val="auto"/>
                <w:szCs w:val="21"/>
                <w:highlight w:val="none"/>
              </w:rPr>
              <w:t>（大写）</w:t>
            </w:r>
            <w:r>
              <w:rPr>
                <w:rFonts w:hint="eastAsia" w:ascii="宋体" w:hAnsi="宋体"/>
                <w:b/>
                <w:color w:val="auto"/>
                <w:szCs w:val="21"/>
                <w:highlight w:val="none"/>
                <w:u w:val="single"/>
                <w:lang w:val="en-US" w:eastAsia="zh-CN"/>
              </w:rPr>
              <w:t>14</w:t>
            </w:r>
            <w:r>
              <w:rPr>
                <w:rFonts w:ascii="宋体" w:hAnsi="宋体"/>
                <w:b/>
                <w:color w:val="auto"/>
                <w:szCs w:val="21"/>
                <w:highlight w:val="none"/>
                <w:u w:val="single"/>
              </w:rPr>
              <w:t>,</w:t>
            </w:r>
            <w:r>
              <w:rPr>
                <w:rFonts w:hint="eastAsia" w:ascii="宋体" w:hAnsi="宋体"/>
                <w:b/>
                <w:color w:val="auto"/>
                <w:szCs w:val="21"/>
                <w:highlight w:val="none"/>
                <w:u w:val="single"/>
                <w:lang w:val="en-US" w:eastAsia="zh-CN"/>
              </w:rPr>
              <w:t>600</w:t>
            </w:r>
            <w:r>
              <w:rPr>
                <w:rFonts w:ascii="宋体" w:hAnsi="宋体"/>
                <w:b/>
                <w:color w:val="auto"/>
                <w:szCs w:val="21"/>
                <w:highlight w:val="none"/>
                <w:u w:val="single"/>
              </w:rPr>
              <w:t>.00</w:t>
            </w:r>
            <w:r>
              <w:rPr>
                <w:rFonts w:hint="eastAsia" w:ascii="宋体" w:hAnsi="宋体"/>
                <w:color w:val="auto"/>
                <w:szCs w:val="21"/>
                <w:highlight w:val="none"/>
              </w:rPr>
              <w:t>元（</w:t>
            </w:r>
            <w:r>
              <w:rPr>
                <w:rFonts w:hint="eastAsia" w:ascii="宋体" w:hAnsi="宋体"/>
                <w:b/>
                <w:bCs/>
                <w:color w:val="auto"/>
                <w:szCs w:val="21"/>
                <w:highlight w:val="none"/>
              </w:rPr>
              <w:t>￥</w:t>
            </w:r>
            <w:r>
              <w:rPr>
                <w:rFonts w:hint="eastAsia" w:ascii="宋体" w:hAnsi="宋体"/>
                <w:b/>
                <w:bCs/>
                <w:color w:val="auto"/>
                <w:szCs w:val="21"/>
                <w:highlight w:val="none"/>
                <w:u w:val="single"/>
                <w:lang w:val="en-US" w:eastAsia="zh-CN"/>
              </w:rPr>
              <w:t>壹万肆仟陆佰</w:t>
            </w:r>
            <w:r>
              <w:rPr>
                <w:rFonts w:hint="eastAsia" w:ascii="宋体" w:hAnsi="宋体"/>
                <w:b/>
                <w:color w:val="auto"/>
                <w:szCs w:val="21"/>
                <w:highlight w:val="none"/>
                <w:u w:val="single"/>
              </w:rPr>
              <w:t>整</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3"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磋商保证金采用转帐、电汇方式提交，应符合以下要求：采用银行转账、电汇方式提交的，保证金汇入以下磋商保证金专用账户，不接收由以供应商分支机构、私人帐户和其他单位转入的保证金。磋商保证金必须在响应文件递交截止前到账，磋商保证金未按规定时间到达指定账户或提交金额不足的，将被视为无效响应。且在备注或用途中注明本项目的项目编号。</w:t>
            </w:r>
          </w:p>
          <w:p>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磋商保证金专用账户如下：</w:t>
            </w:r>
          </w:p>
          <w:p>
            <w:pPr>
              <w:spacing w:line="360" w:lineRule="auto"/>
              <w:ind w:firstLine="422" w:firstLineChars="200"/>
              <w:rPr>
                <w:rFonts w:hint="eastAsia" w:ascii="宋体" w:eastAsia="宋体" w:cs="宋体"/>
                <w:b/>
                <w:bCs/>
                <w:color w:val="auto"/>
                <w:sz w:val="21"/>
                <w:szCs w:val="20"/>
                <w:highlight w:val="none"/>
                <w:u w:val="single"/>
                <w:lang w:eastAsia="zh-CN"/>
              </w:rPr>
            </w:pPr>
            <w:r>
              <w:rPr>
                <w:rFonts w:hint="eastAsia" w:ascii="宋体" w:cs="宋体"/>
                <w:b/>
                <w:bCs/>
                <w:color w:val="auto"/>
                <w:sz w:val="21"/>
                <w:szCs w:val="20"/>
                <w:highlight w:val="none"/>
                <w:u w:val="single"/>
              </w:rPr>
              <w:t>公司名称：</w:t>
            </w:r>
            <w:r>
              <w:rPr>
                <w:rFonts w:hint="eastAsia" w:ascii="宋体" w:cs="宋体"/>
                <w:b/>
                <w:bCs/>
                <w:color w:val="auto"/>
                <w:sz w:val="21"/>
                <w:szCs w:val="20"/>
                <w:highlight w:val="none"/>
                <w:u w:val="single"/>
                <w:lang w:eastAsia="zh-CN"/>
              </w:rPr>
              <w:t>广西同泽工程项目管理股份有限公司</w:t>
            </w:r>
            <w:r>
              <w:rPr>
                <w:rFonts w:hint="eastAsia" w:ascii="宋体" w:cs="宋体"/>
                <w:b/>
                <w:bCs/>
                <w:color w:val="auto"/>
                <w:sz w:val="21"/>
                <w:szCs w:val="20"/>
                <w:highlight w:val="none"/>
                <w:u w:val="single"/>
                <w:lang w:val="en-US" w:eastAsia="zh-CN"/>
              </w:rPr>
              <w:t>东莞分公司</w:t>
            </w:r>
          </w:p>
          <w:p>
            <w:pPr>
              <w:spacing w:line="360" w:lineRule="auto"/>
              <w:ind w:firstLine="422" w:firstLineChars="200"/>
              <w:rPr>
                <w:rFonts w:hint="eastAsia" w:ascii="宋体" w:cs="宋体"/>
                <w:b/>
                <w:bCs/>
                <w:color w:val="auto"/>
                <w:sz w:val="21"/>
                <w:szCs w:val="20"/>
                <w:highlight w:val="none"/>
                <w:u w:val="single"/>
              </w:rPr>
            </w:pPr>
            <w:r>
              <w:rPr>
                <w:rFonts w:hint="eastAsia" w:ascii="宋体" w:cs="宋体"/>
                <w:b/>
                <w:bCs/>
                <w:color w:val="auto"/>
                <w:sz w:val="21"/>
                <w:szCs w:val="20"/>
                <w:highlight w:val="none"/>
                <w:u w:val="single"/>
              </w:rPr>
              <w:t>开 户 行：中国民生银行东莞松山湖支行</w:t>
            </w:r>
          </w:p>
          <w:p>
            <w:pPr>
              <w:tabs>
                <w:tab w:val="left" w:pos="567"/>
              </w:tabs>
              <w:ind w:firstLine="422" w:firstLineChars="200"/>
              <w:jc w:val="both"/>
              <w:rPr>
                <w:rFonts w:hint="eastAsia" w:ascii="宋体" w:cs="宋体"/>
                <w:b/>
                <w:bCs/>
                <w:color w:val="auto"/>
                <w:sz w:val="21"/>
                <w:szCs w:val="20"/>
                <w:highlight w:val="none"/>
                <w:u w:val="single"/>
              </w:rPr>
            </w:pPr>
            <w:r>
              <w:rPr>
                <w:rFonts w:hint="eastAsia" w:ascii="宋体" w:cs="宋体"/>
                <w:b/>
                <w:bCs/>
                <w:color w:val="auto"/>
                <w:sz w:val="21"/>
                <w:szCs w:val="20"/>
                <w:highlight w:val="none"/>
                <w:u w:val="single"/>
              </w:rPr>
              <w:t xml:space="preserve">帐    号：641169654 </w:t>
            </w:r>
          </w:p>
          <w:p>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（注：各供应商在转帐或电汇时须在用途栏上备注项目编号，及项目名称，如有字数限制项目名称可简写。）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794" w:type="dxa"/>
            <w:gridSpan w:val="2"/>
            <w:tcBorders>
              <w:tl2br w:val="nil"/>
              <w:tr2bl w:val="nil"/>
            </w:tcBorders>
            <w:noWrap w:val="0"/>
            <w:vAlign w:val="center"/>
          </w:tcPr>
          <w:p>
            <w:pPr>
              <w:jc w:val="both"/>
              <w:rPr>
                <w:rFonts w:ascii="宋体" w:hAnsi="宋体"/>
                <w:b/>
                <w:bCs/>
                <w:color w:val="auto"/>
                <w:szCs w:val="21"/>
                <w:highlight w:val="none"/>
                <w:lang w:val="zh-CN"/>
              </w:rPr>
            </w:pPr>
            <w:r>
              <w:rPr>
                <w:rFonts w:hint="eastAsia" w:ascii="宋体" w:hAnsi="宋体"/>
                <w:b/>
                <w:bCs/>
                <w:color w:val="auto"/>
                <w:szCs w:val="21"/>
                <w:highlight w:val="none"/>
                <w:lang w:val="zh-CN"/>
              </w:rPr>
              <w:t>磋商保证金退还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35"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）未成交的供应商的保证金应当在成交通知书发出后退还，成交</w:t>
            </w:r>
            <w:r>
              <w:rPr>
                <w:rFonts w:hint="eastAsia" w:ascii="宋体" w:hAnsi="宋体"/>
                <w:color w:val="auto"/>
                <w:szCs w:val="21"/>
                <w:highlight w:val="none"/>
              </w:rPr>
              <w:t>的</w:t>
            </w:r>
            <w:r>
              <w:rPr>
                <w:rFonts w:hint="eastAsia" w:ascii="宋体" w:hAnsi="宋体"/>
                <w:color w:val="auto"/>
                <w:szCs w:val="21"/>
                <w:highlight w:val="none"/>
                <w:lang w:val="zh-CN"/>
              </w:rPr>
              <w:t>供应商的保证金应当在采购合同签订</w:t>
            </w:r>
            <w:r>
              <w:rPr>
                <w:rFonts w:hint="eastAsia" w:ascii="宋体" w:hAnsi="宋体"/>
                <w:color w:val="auto"/>
                <w:szCs w:val="21"/>
                <w:highlight w:val="none"/>
              </w:rPr>
              <w:t>并缴纳履约保证金</w:t>
            </w:r>
            <w:r>
              <w:rPr>
                <w:rFonts w:hint="eastAsia" w:ascii="宋体" w:hAnsi="宋体"/>
                <w:color w:val="auto"/>
                <w:szCs w:val="21"/>
                <w:highlight w:val="none"/>
                <w:lang w:val="zh-CN"/>
              </w:rPr>
              <w:t>后退还。</w:t>
            </w:r>
          </w:p>
          <w:p>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）为方便退还未成交的供应商的保证金，供应商应制作《磋商保证金汇入情况说明》随唱标信封一并递交。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磋商有效期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color w:val="auto"/>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7794" w:type="dxa"/>
            <w:gridSpan w:val="2"/>
            <w:tcBorders>
              <w:tl2br w:val="nil"/>
              <w:tr2bl w:val="nil"/>
            </w:tcBorders>
            <w:noWrap w:val="0"/>
            <w:vAlign w:val="center"/>
          </w:tcPr>
          <w:p>
            <w:pPr>
              <w:jc w:val="left"/>
              <w:rPr>
                <w:rFonts w:ascii="宋体" w:hAnsi="宋体"/>
                <w:b/>
                <w:color w:val="auto"/>
                <w:szCs w:val="21"/>
                <w:highlight w:val="none"/>
              </w:rPr>
            </w:pPr>
            <w:r>
              <w:rPr>
                <w:rFonts w:hint="eastAsia" w:ascii="宋体" w:hAnsi="宋体"/>
                <w:b/>
                <w:color w:val="auto"/>
                <w:szCs w:val="21"/>
                <w:highlight w:val="none"/>
              </w:rPr>
              <w:t>供应商应提交以下响应文件（响应文件由唱标信封、价格文件、商务文件、技术文件、电子文档五部分组成；价格文件、商务文件、技术文件分别单独装订成册，电子文档装入唱标信封一同封装；具体编制和封装要求详见第四部分供应商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响应文件类型</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唱标信封</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响应文件正本</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7"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响应文件副本</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sym w:font="Wingdings 2" w:char="F0A2"/>
            </w:r>
            <w:r>
              <w:rPr>
                <w:rFonts w:ascii="宋体" w:hAnsi="宋体"/>
                <w:b/>
                <w:color w:val="auto"/>
                <w:szCs w:val="21"/>
                <w:highlight w:val="none"/>
              </w:rPr>
              <w:t>3</w:t>
            </w:r>
            <w:r>
              <w:rPr>
                <w:rFonts w:hint="eastAsia" w:ascii="宋体" w:hAnsi="宋体"/>
                <w:b/>
                <w:color w:val="auto"/>
                <w:szCs w:val="21"/>
                <w:highlight w:val="none"/>
              </w:rPr>
              <w:t xml:space="preserve">  </w:t>
            </w:r>
            <w:r>
              <w:rPr>
                <w:rFonts w:hint="eastAsia" w:ascii="宋体" w:hAnsi="宋体"/>
                <w:b/>
                <w:color w:val="auto"/>
                <w:szCs w:val="21"/>
                <w:highlight w:val="none"/>
              </w:rPr>
              <w:sym w:font="Wingdings 2" w:char="00A3"/>
            </w:r>
            <w:r>
              <w:rPr>
                <w:rFonts w:ascii="宋体" w:hAnsi="宋体"/>
                <w:b/>
                <w:color w:val="auto"/>
                <w:szCs w:val="21"/>
                <w:highlight w:val="none"/>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vMerge w:val="restart"/>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电子文档</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vMerge w:val="continue"/>
            <w:tcBorders>
              <w:tl2br w:val="nil"/>
              <w:tr2bl w:val="nil"/>
            </w:tcBorders>
            <w:noWrap w:val="0"/>
            <w:vAlign w:val="center"/>
          </w:tcPr>
          <w:p>
            <w:pPr>
              <w:jc w:val="center"/>
              <w:rPr>
                <w:rFonts w:ascii="宋体" w:hAnsi="宋体"/>
                <w:b/>
                <w:color w:val="auto"/>
                <w:szCs w:val="21"/>
                <w:highlight w:val="none"/>
              </w:rPr>
            </w:pP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cs="Times New Roman"/>
                <w:b/>
                <w:color w:val="auto"/>
                <w:szCs w:val="21"/>
                <w:highlight w:val="none"/>
              </w:rPr>
              <w:t>U盘，须含盖章版PDF响应文件和WORD版响应文件各一版，文字采用WORD文档，计算表格采用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4" w:hRule="atLeast"/>
          <w:jc w:val="center"/>
        </w:trPr>
        <w:tc>
          <w:tcPr>
            <w:tcW w:w="8672" w:type="dxa"/>
            <w:gridSpan w:val="3"/>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b/>
                <w:color w:val="auto"/>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color w:val="auto"/>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color w:val="auto"/>
                <w:szCs w:val="21"/>
                <w:highlight w:val="none"/>
              </w:rPr>
              <w:t>见附表二。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b/>
                <w:color w:val="auto"/>
                <w:szCs w:val="21"/>
                <w:highlight w:val="none"/>
              </w:rPr>
              <w:t>评标委员会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color w:val="auto"/>
                <w:szCs w:val="21"/>
                <w:highlight w:val="none"/>
              </w:rPr>
              <w:t>评标委员会成员共</w:t>
            </w:r>
            <w:r>
              <w:rPr>
                <w:rFonts w:ascii="宋体" w:hAnsi="宋体"/>
                <w:color w:val="auto"/>
                <w:szCs w:val="21"/>
                <w:highlight w:val="none"/>
                <w:u w:val="single"/>
              </w:rPr>
              <w:t>3</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成员人数为三人或三人以上单数</w:t>
            </w:r>
            <w:r>
              <w:rPr>
                <w:rFonts w:hint="eastAsia" w:ascii="宋体" w:hAnsi="宋体"/>
                <w:color w:val="auto"/>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3" w:hRule="atLeast"/>
          <w:jc w:val="center"/>
        </w:trPr>
        <w:tc>
          <w:tcPr>
            <w:tcW w:w="8672" w:type="dxa"/>
            <w:gridSpan w:val="3"/>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u w:val="single"/>
              </w:rPr>
            </w:pPr>
            <w:r>
              <w:rPr>
                <w:rFonts w:hint="eastAsia" w:ascii="宋体" w:hAnsi="宋体"/>
                <w:color w:val="auto"/>
                <w:szCs w:val="21"/>
                <w:highlight w:val="none"/>
              </w:rPr>
              <w:t>履约担保金额为：</w:t>
            </w:r>
            <w:r>
              <w:rPr>
                <w:rFonts w:hint="eastAsia" w:ascii="宋体" w:hAnsi="宋体"/>
                <w:color w:val="auto"/>
                <w:szCs w:val="21"/>
                <w:highlight w:val="none"/>
                <w:u w:val="single"/>
              </w:rPr>
              <w:t>合同金额的</w:t>
            </w:r>
            <w:r>
              <w:rPr>
                <w:rFonts w:ascii="宋体" w:hAnsi="宋体"/>
                <w:color w:val="auto"/>
                <w:szCs w:val="21"/>
                <w:highlight w:val="none"/>
                <w:u w:val="single"/>
              </w:rPr>
              <w:t>10%</w:t>
            </w:r>
            <w:r>
              <w:rPr>
                <w:rFonts w:hint="eastAsia" w:ascii="宋体" w:hAnsi="宋体"/>
                <w:color w:val="auto"/>
                <w:szCs w:val="21"/>
                <w:highlight w:val="none"/>
                <w:u w:val="single"/>
              </w:rPr>
              <w:t>。</w:t>
            </w:r>
          </w:p>
          <w:p>
            <w:pPr>
              <w:jc w:val="both"/>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履约保证金账户信息：</w:t>
            </w:r>
          </w:p>
          <w:p>
            <w:pPr>
              <w:ind w:firstLine="420" w:firstLineChars="200"/>
              <w:jc w:val="both"/>
              <w:rPr>
                <w:rFonts w:hint="eastAsia" w:ascii="宋体" w:hAnsi="宋体"/>
                <w:color w:val="auto"/>
                <w:szCs w:val="21"/>
                <w:highlight w:val="none"/>
              </w:rPr>
            </w:pPr>
            <w:r>
              <w:rPr>
                <w:rFonts w:hint="eastAsia" w:ascii="宋体" w:hAnsi="宋体"/>
                <w:color w:val="auto"/>
                <w:szCs w:val="21"/>
                <w:highlight w:val="none"/>
              </w:rPr>
              <w:t>账户名称：</w:t>
            </w:r>
            <w:r>
              <w:rPr>
                <w:rFonts w:hint="eastAsia" w:ascii="宋体" w:hAnsi="宋体"/>
                <w:color w:val="auto"/>
                <w:szCs w:val="21"/>
                <w:highlight w:val="none"/>
                <w:u w:val="single"/>
                <w:lang w:eastAsia="zh-CN"/>
              </w:rPr>
              <w:t>东莞市东实城市开发有限公司</w:t>
            </w:r>
            <w:r>
              <w:rPr>
                <w:rFonts w:hint="eastAsia" w:hAnsi="宋体" w:cs="宋体"/>
                <w:color w:val="auto"/>
                <w:kern w:val="2"/>
                <w:szCs w:val="21"/>
                <w:highlight w:val="none"/>
                <w:lang w:val="zh-CN"/>
              </w:rPr>
              <w:t>；</w:t>
            </w:r>
          </w:p>
          <w:p>
            <w:pPr>
              <w:ind w:firstLine="420" w:firstLineChars="200"/>
              <w:jc w:val="both"/>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none"/>
              </w:rPr>
              <w:t>：</w:t>
            </w:r>
            <w:r>
              <w:rPr>
                <w:rFonts w:hint="eastAsia" w:ascii="宋体" w:hAnsi="宋体"/>
                <w:color w:val="auto"/>
                <w:szCs w:val="21"/>
                <w:highlight w:val="none"/>
                <w:u w:val="single"/>
              </w:rPr>
              <w:t>中国建设银行股份有限公司东莞宏图路支行</w:t>
            </w:r>
            <w:r>
              <w:rPr>
                <w:rFonts w:hint="eastAsia" w:ascii="宋体" w:hAnsi="宋体" w:cs="Times New Roman"/>
                <w:color w:val="auto"/>
                <w:kern w:val="0"/>
                <w:szCs w:val="21"/>
                <w:highlight w:val="none"/>
                <w:u w:val="single"/>
                <w:lang w:val="zh-CN"/>
              </w:rPr>
              <w:t>；</w:t>
            </w:r>
          </w:p>
          <w:p>
            <w:pPr>
              <w:ind w:firstLine="420" w:firstLineChars="200"/>
              <w:jc w:val="both"/>
              <w:rPr>
                <w:rFonts w:ascii="宋体" w:hAnsi="宋体"/>
                <w:color w:val="auto"/>
                <w:szCs w:val="21"/>
                <w:highlight w:val="none"/>
                <w:u w:val="single"/>
              </w:rPr>
            </w:pPr>
            <w:r>
              <w:rPr>
                <w:rFonts w:hint="eastAsia" w:ascii="宋体" w:hAnsi="宋体"/>
                <w:color w:val="auto"/>
                <w:szCs w:val="21"/>
                <w:highlight w:val="none"/>
              </w:rPr>
              <w:t>银行账号：</w:t>
            </w:r>
            <w:r>
              <w:rPr>
                <w:rFonts w:hint="eastAsia" w:ascii="宋体" w:hAnsi="宋体"/>
                <w:color w:val="auto"/>
                <w:szCs w:val="21"/>
                <w:highlight w:val="none"/>
                <w:u w:val="single"/>
              </w:rPr>
              <w:t>4405 0177 0055 0000 2109</w:t>
            </w:r>
            <w:r>
              <w:rPr>
                <w:rFonts w:hint="eastAsia" w:ascii="宋体" w:hAnsi="宋体"/>
                <w:color w:val="auto"/>
                <w:szCs w:val="21"/>
                <w:highlight w:val="none"/>
                <w:u w:val="single"/>
                <w:lang w:val="en-US" w:eastAsia="zh-CN"/>
              </w:rPr>
              <w:t xml:space="preserve"> </w:t>
            </w:r>
            <w:r>
              <w:rPr>
                <w:rFonts w:hint="eastAsia" w:ascii="宋体" w:hAnsi="宋体" w:cs="Times New Roman"/>
                <w:color w:val="auto"/>
                <w:kern w:val="0"/>
                <w:szCs w:val="21"/>
                <w:highlight w:val="none"/>
                <w:u w:val="single"/>
                <w:lang w:val="zh-CN"/>
              </w:rPr>
              <w:t>；</w:t>
            </w:r>
          </w:p>
          <w:p>
            <w:pPr>
              <w:jc w:val="both"/>
              <w:rPr>
                <w:rFonts w:ascii="宋体" w:hAnsi="宋体"/>
                <w:color w:val="auto"/>
                <w:szCs w:val="21"/>
                <w:highlight w:val="none"/>
              </w:rPr>
            </w:pPr>
            <w:r>
              <w:rPr>
                <w:rFonts w:hint="eastAsia" w:ascii="宋体" w:hAnsi="宋体"/>
                <w:color w:val="auto"/>
                <w:szCs w:val="21"/>
                <w:highlight w:val="none"/>
              </w:rPr>
              <w:t>3.成交人在采购（合同签署）时提交履约担保，履约担保金额不超过成交合同金额的10%，如果成交人提交的履约保函的有效期先于合同要求的履约保函有效期到达，成交人应在原提交的履约保函有效期满前15天，无条件办理保函延期手续。否则，视为成交人违约，采购人可在保函到期前将保函金额转为现金存入履约保证金帐户。</w:t>
            </w:r>
          </w:p>
          <w:p>
            <w:pPr>
              <w:jc w:val="both"/>
              <w:rPr>
                <w:rFonts w:ascii="宋体" w:hAnsi="宋体"/>
                <w:color w:val="auto"/>
                <w:szCs w:val="21"/>
                <w:highlight w:val="none"/>
              </w:rPr>
            </w:pPr>
            <w:r>
              <w:rPr>
                <w:rFonts w:hint="eastAsia" w:ascii="宋体" w:hAnsi="宋体"/>
                <w:color w:val="auto"/>
                <w:szCs w:val="21"/>
                <w:highlight w:val="none"/>
              </w:rPr>
              <w:t>4.履约担保期限从合同签订之日起至项目</w:t>
            </w:r>
            <w:r>
              <w:rPr>
                <w:rFonts w:hint="eastAsia"/>
                <w:color w:val="auto"/>
                <w:highlight w:val="none"/>
              </w:rPr>
              <w:t>服务期结束</w:t>
            </w:r>
            <w:r>
              <w:rPr>
                <w:rFonts w:hint="eastAsia" w:ascii="宋体" w:hAnsi="宋体"/>
                <w:color w:val="auto"/>
                <w:szCs w:val="21"/>
                <w:highlight w:val="none"/>
              </w:rPr>
              <w:t>验收合格并结算完毕后，经各方签字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w:t>
            </w:r>
            <w:r>
              <w:rPr>
                <w:rFonts w:hint="eastAsia" w:ascii="宋体" w:hAnsi="宋体"/>
                <w:color w:val="auto"/>
                <w:szCs w:val="21"/>
                <w:highlight w:val="none"/>
              </w:rPr>
              <w:t>天内保持有效。</w:t>
            </w:r>
          </w:p>
          <w:p>
            <w:pPr>
              <w:jc w:val="both"/>
              <w:rPr>
                <w:rFonts w:ascii="宋体" w:hAnsi="宋体"/>
                <w:color w:val="auto"/>
                <w:szCs w:val="21"/>
                <w:highlight w:val="none"/>
              </w:rPr>
            </w:pPr>
            <w:r>
              <w:rPr>
                <w:rFonts w:hint="eastAsia" w:ascii="宋体" w:hAnsi="宋体"/>
                <w:color w:val="auto"/>
                <w:szCs w:val="21"/>
                <w:highlight w:val="none"/>
              </w:rPr>
              <w:t>5、履约担保要求：</w:t>
            </w:r>
          </w:p>
          <w:p>
            <w:pPr>
              <w:jc w:val="both"/>
              <w:rPr>
                <w:rFonts w:ascii="宋体" w:hAnsi="宋体"/>
                <w:color w:val="auto"/>
                <w:szCs w:val="21"/>
                <w:highlight w:val="none"/>
              </w:rPr>
            </w:pPr>
            <w:r>
              <w:rPr>
                <w:rFonts w:hint="eastAsia" w:ascii="宋体" w:hAnsi="宋体"/>
                <w:color w:val="auto"/>
                <w:szCs w:val="21"/>
                <w:highlight w:val="none"/>
              </w:rPr>
              <w:t>（1）履约保函。如果成交人的履约担保是以银行保函形式提供的，则该银行保函应：</w:t>
            </w:r>
          </w:p>
          <w:p>
            <w:pPr>
              <w:jc w:val="both"/>
              <w:rPr>
                <w:rFonts w:ascii="宋体" w:hAnsi="宋体"/>
                <w:color w:val="auto"/>
                <w:szCs w:val="21"/>
                <w:highlight w:val="none"/>
              </w:rPr>
            </w:pPr>
            <w:r>
              <w:rPr>
                <w:rFonts w:hint="eastAsia" w:ascii="宋体" w:hAnsi="宋体"/>
                <w:color w:val="auto"/>
                <w:szCs w:val="21"/>
                <w:highlight w:val="none"/>
              </w:rPr>
              <w:t>①保函应由银行支行或以上银行机构开具。</w:t>
            </w:r>
          </w:p>
          <w:p>
            <w:pPr>
              <w:jc w:val="both"/>
              <w:rPr>
                <w:rFonts w:ascii="宋体" w:hAnsi="宋体"/>
                <w:color w:val="auto"/>
                <w:szCs w:val="21"/>
                <w:highlight w:val="none"/>
              </w:rPr>
            </w:pPr>
            <w:r>
              <w:rPr>
                <w:rFonts w:hint="eastAsia" w:ascii="宋体" w:hAnsi="宋体"/>
                <w:color w:val="auto"/>
                <w:szCs w:val="21"/>
                <w:highlight w:val="none"/>
              </w:rPr>
              <w:t>②保函的格式参考磋商文件附件中提供的无条件不可撤销履约保函格式，保函担保期内若项目未能按期竣工，保函必须延期，办理延期手续时在银行方面所产生费用由成交人负责。</w:t>
            </w:r>
          </w:p>
          <w:p>
            <w:pPr>
              <w:jc w:val="both"/>
              <w:rPr>
                <w:rFonts w:ascii="宋体" w:hAnsi="宋体"/>
                <w:color w:val="auto"/>
                <w:szCs w:val="21"/>
                <w:highlight w:val="none"/>
              </w:rPr>
            </w:pPr>
            <w:r>
              <w:rPr>
                <w:rFonts w:hint="eastAsia" w:ascii="宋体" w:hAnsi="宋体"/>
                <w:color w:val="auto"/>
                <w:szCs w:val="21"/>
                <w:highlight w:val="none"/>
              </w:rPr>
              <w:t>③履约保函必须打印，手写、涂改无效。</w:t>
            </w:r>
          </w:p>
          <w:p>
            <w:pPr>
              <w:jc w:val="both"/>
              <w:rPr>
                <w:rFonts w:ascii="宋体" w:hAnsi="宋体"/>
                <w:color w:val="auto"/>
                <w:szCs w:val="21"/>
                <w:highlight w:val="none"/>
              </w:rPr>
            </w:pPr>
            <w:r>
              <w:rPr>
                <w:rFonts w:hint="eastAsia" w:ascii="宋体" w:hAnsi="宋体"/>
                <w:color w:val="auto"/>
                <w:szCs w:val="21"/>
                <w:highlight w:val="none"/>
              </w:rPr>
              <w:t>（2）履约保证金。可采用电汇、银行汇票等银行转帐方式提交，但不可以采用现金方式提交。成交人必须保证履约保证金以成交人名称在签订合同前提交至采购人指定账户。</w:t>
            </w:r>
          </w:p>
          <w:p>
            <w:pPr>
              <w:jc w:val="both"/>
              <w:rPr>
                <w:rFonts w:ascii="宋体" w:hAnsi="宋体"/>
                <w:color w:val="auto"/>
                <w:szCs w:val="21"/>
                <w:highlight w:val="none"/>
              </w:rPr>
            </w:pPr>
            <w:r>
              <w:rPr>
                <w:rFonts w:hint="eastAsia" w:ascii="宋体" w:hAnsi="宋体"/>
                <w:color w:val="auto"/>
                <w:szCs w:val="21"/>
                <w:highlight w:val="none"/>
              </w:rPr>
              <w:t>（3）若成交人不能按本采购文件的规定提交履约保证金的，采购人将有权取消成交人的成交资格（采购人可以按照评标委员会提出的成交候选人名单排序依次确定其他成交候选人为成交人，也可以重新采购），磋商保证金不予退还，给采购人造成的损失如果超过磋商保证金数额的，还应当对超过部分予以赔偿。</w:t>
            </w:r>
          </w:p>
          <w:p>
            <w:pPr>
              <w:jc w:val="both"/>
              <w:rPr>
                <w:rFonts w:ascii="宋体" w:hAnsi="宋体"/>
                <w:color w:val="auto"/>
                <w:szCs w:val="21"/>
                <w:highlight w:val="none"/>
              </w:rPr>
            </w:pPr>
            <w:r>
              <w:rPr>
                <w:rFonts w:hint="eastAsia" w:ascii="宋体" w:hAnsi="宋体"/>
                <w:color w:val="auto"/>
                <w:szCs w:val="21"/>
                <w:highlight w:val="none"/>
              </w:rPr>
              <w:t>（4）为取得履约担保所需的费用，由成交人承担；若工期延误，履约担保时间延长，延长费用由成交人承担。</w:t>
            </w:r>
          </w:p>
          <w:p>
            <w:pPr>
              <w:jc w:val="both"/>
              <w:rPr>
                <w:rFonts w:ascii="宋体" w:hAnsi="宋体"/>
                <w:color w:val="auto"/>
                <w:szCs w:val="21"/>
                <w:highlight w:val="none"/>
              </w:rPr>
            </w:pPr>
            <w:r>
              <w:rPr>
                <w:rFonts w:hint="eastAsia" w:ascii="宋体" w:hAnsi="宋体"/>
                <w:color w:val="auto"/>
                <w:szCs w:val="21"/>
                <w:highlight w:val="none"/>
              </w:rPr>
              <w:t>（5）若成交人在合同履行过程中出现项目质量事故、工期拖延、欠付工人工资、欠付材料款等情况，采购人在经核查属实后，有权将履约保函金额转为现金存入履约保证金账户；成交人造成采购人损失的，采购人有权立即没收其履约担保，若造成损失超过履约担保的，还应当对超过部分予以赔偿。</w:t>
            </w:r>
          </w:p>
          <w:p>
            <w:pPr>
              <w:jc w:val="both"/>
              <w:rPr>
                <w:rFonts w:ascii="宋体" w:hAnsi="宋体"/>
                <w:color w:val="auto"/>
                <w:szCs w:val="21"/>
                <w:highlight w:val="none"/>
              </w:rPr>
            </w:pPr>
            <w:r>
              <w:rPr>
                <w:rFonts w:hint="eastAsia" w:ascii="宋体" w:hAnsi="宋体"/>
                <w:color w:val="auto"/>
                <w:szCs w:val="21"/>
                <w:highlight w:val="none"/>
              </w:rPr>
              <w:t>（6）下列任何情况发生时，采购人有权行使享有的担保权利：</w:t>
            </w:r>
          </w:p>
          <w:p>
            <w:pPr>
              <w:jc w:val="both"/>
              <w:rPr>
                <w:rFonts w:ascii="宋体" w:hAnsi="宋体"/>
                <w:color w:val="auto"/>
                <w:szCs w:val="21"/>
                <w:highlight w:val="none"/>
              </w:rPr>
            </w:pPr>
            <w:r>
              <w:rPr>
                <w:rFonts w:hint="eastAsia" w:ascii="宋体" w:hAnsi="宋体"/>
                <w:color w:val="auto"/>
                <w:szCs w:val="21"/>
                <w:highlight w:val="none"/>
              </w:rPr>
              <w:t>①成交人将本项目转让给他人，或者在响应文件中未说明，且未经采购人同意，将成交项目分包给他人的；</w:t>
            </w:r>
          </w:p>
          <w:p>
            <w:pPr>
              <w:jc w:val="both"/>
              <w:rPr>
                <w:rFonts w:ascii="宋体" w:hAnsi="宋体"/>
                <w:color w:val="auto"/>
                <w:szCs w:val="21"/>
                <w:highlight w:val="none"/>
              </w:rPr>
            </w:pPr>
            <w:r>
              <w:rPr>
                <w:rFonts w:hint="eastAsia" w:ascii="宋体" w:hAnsi="宋体"/>
                <w:color w:val="auto"/>
                <w:szCs w:val="21"/>
                <w:highlight w:val="none"/>
              </w:rPr>
              <w:t>②成交人在履行采购合同期间，违反有关法律法规的规定及合同约定的条款，损害了采购人的利益。</w:t>
            </w:r>
          </w:p>
          <w:p>
            <w:pPr>
              <w:jc w:val="both"/>
              <w:rPr>
                <w:rFonts w:ascii="宋体" w:hAnsi="宋体"/>
                <w:color w:val="auto"/>
                <w:szCs w:val="21"/>
                <w:highlight w:val="none"/>
              </w:rPr>
            </w:pPr>
            <w:r>
              <w:rPr>
                <w:rFonts w:hint="eastAsia" w:ascii="宋体" w:hAnsi="宋体"/>
                <w:color w:val="auto"/>
                <w:szCs w:val="21"/>
                <w:highlight w:val="none"/>
              </w:rPr>
              <w:t>（7）在整个项目验收合格后，成交人向采购人提交退回履约担保的申请，采购人办理履约担保退还手续。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2"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成交服务费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t>本项目成交服务费由项目</w:t>
            </w:r>
            <w:r>
              <w:rPr>
                <w:rFonts w:hint="eastAsia" w:ascii="宋体" w:hAnsi="宋体"/>
                <w:color w:val="auto"/>
                <w:szCs w:val="21"/>
                <w:highlight w:val="none"/>
                <w:lang w:val="en-US" w:eastAsia="zh-CN"/>
              </w:rPr>
              <w:t>采购人</w:t>
            </w:r>
            <w:r>
              <w:rPr>
                <w:rFonts w:hint="eastAsia" w:ascii="宋体" w:hAnsi="宋体"/>
                <w:color w:val="auto"/>
                <w:szCs w:val="21"/>
                <w:highlight w:val="none"/>
              </w:rPr>
              <w:t>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20" w:hRule="atLeast"/>
          <w:jc w:val="center"/>
        </w:trPr>
        <w:tc>
          <w:tcPr>
            <w:tcW w:w="8672" w:type="dxa"/>
            <w:gridSpan w:val="3"/>
            <w:tcBorders>
              <w:tl2br w:val="nil"/>
              <w:tr2bl w:val="nil"/>
            </w:tcBorders>
            <w:noWrap w:val="0"/>
            <w:vAlign w:val="center"/>
          </w:tcPr>
          <w:p>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注：本表关于要采购项目的具体资料，是对供应商须知的具体补充和修改，如有矛盾，应以本资料表为准。不满足磋商文件中 “★”条款的响应文件将作无效响应处理。</w:t>
            </w:r>
          </w:p>
        </w:tc>
      </w:tr>
    </w:tbl>
    <w:p>
      <w:pPr>
        <w:jc w:val="center"/>
        <w:rPr>
          <w:color w:val="auto"/>
          <w:highlight w:val="none"/>
        </w:rPr>
      </w:pPr>
      <w:r>
        <w:rPr>
          <w:rFonts w:hint="eastAsia"/>
          <w:color w:val="auto"/>
          <w:highlight w:val="none"/>
        </w:rPr>
        <w:br w:type="page"/>
      </w:r>
    </w:p>
    <w:p>
      <w:pPr>
        <w:pStyle w:val="4"/>
        <w:spacing w:before="0" w:after="0" w:line="240" w:lineRule="auto"/>
        <w:jc w:val="center"/>
        <w:rPr>
          <w:rFonts w:hAnsi="宋体" w:cs="宋体"/>
          <w:color w:val="auto"/>
          <w:sz w:val="21"/>
          <w:szCs w:val="21"/>
          <w:highlight w:val="none"/>
        </w:rPr>
      </w:pPr>
      <w:bookmarkStart w:id="8" w:name="_Toc3577"/>
      <w:bookmarkStart w:id="9" w:name="_Toc28175"/>
      <w:r>
        <w:rPr>
          <w:rFonts w:hint="eastAsia" w:ascii="宋体" w:hAnsi="宋体" w:cs="宋体"/>
          <w:color w:val="auto"/>
          <w:sz w:val="24"/>
          <w:szCs w:val="24"/>
          <w:highlight w:val="none"/>
        </w:rPr>
        <w:t>附表二：商务技术评分及价格权重表（满分100分）</w:t>
      </w:r>
      <w:bookmarkEnd w:id="8"/>
      <w:bookmarkEnd w:id="9"/>
    </w:p>
    <w:tbl>
      <w:tblPr>
        <w:tblStyle w:val="3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
      <w:tblGrid>
        <w:gridCol w:w="674"/>
        <w:gridCol w:w="1157"/>
        <w:gridCol w:w="777"/>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4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77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91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464"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2022" w:hRule="atLeast"/>
          <w:jc w:val="center"/>
        </w:trPr>
        <w:tc>
          <w:tcPr>
            <w:tcW w:w="674" w:type="dxa"/>
            <w:tcBorders>
              <w:top w:val="single" w:color="auto" w:sz="4" w:space="0"/>
              <w:left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1</w:t>
            </w:r>
          </w:p>
        </w:tc>
        <w:tc>
          <w:tcPr>
            <w:tcW w:w="1157" w:type="dxa"/>
            <w:tcBorders>
              <w:top w:val="single" w:color="auto" w:sz="4" w:space="0"/>
              <w:left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企业业绩</w:t>
            </w:r>
          </w:p>
        </w:tc>
        <w:tc>
          <w:tcPr>
            <w:tcW w:w="77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val="zh-CN"/>
              </w:rPr>
            </w:pPr>
            <w:r>
              <w:rPr>
                <w:rFonts w:hint="eastAsia" w:asci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lang w:val="zh-CN"/>
              </w:rPr>
              <w:t>分</w:t>
            </w:r>
          </w:p>
        </w:tc>
        <w:tc>
          <w:tcPr>
            <w:tcW w:w="5914" w:type="dxa"/>
            <w:tcBorders>
              <w:top w:val="single" w:color="auto" w:sz="4" w:space="0"/>
              <w:left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供应商自2019年1</w:t>
            </w:r>
            <w:r>
              <w:rPr>
                <w:rFonts w:hint="eastAsia" w:ascii="宋体" w:eastAsia="宋体" w:cs="宋体"/>
                <w:b w:val="0"/>
                <w:bCs/>
                <w:color w:val="auto"/>
                <w:sz w:val="21"/>
                <w:szCs w:val="21"/>
                <w:highlight w:val="none"/>
                <w:u w:val="single"/>
                <w:lang w:val="en-US" w:eastAsia="zh-CN"/>
              </w:rPr>
              <w:t>0</w:t>
            </w:r>
            <w:r>
              <w:rPr>
                <w:rFonts w:hint="eastAsia" w:ascii="宋体" w:hAnsi="宋体" w:eastAsia="宋体" w:cs="宋体"/>
                <w:b w:val="0"/>
                <w:bCs/>
                <w:color w:val="auto"/>
                <w:sz w:val="21"/>
                <w:szCs w:val="21"/>
                <w:highlight w:val="none"/>
                <w:u w:val="single"/>
              </w:rPr>
              <w:t>月1日至投标截止日前（以签订合同时间为准）具有城市更新或“三旧改造”等类似权籍调查</w:t>
            </w:r>
            <w:r>
              <w:rPr>
                <w:rFonts w:hint="eastAsia" w:ascii="宋体" w:eastAsia="宋体" w:cs="宋体"/>
                <w:b w:val="0"/>
                <w:bCs/>
                <w:color w:val="auto"/>
                <w:sz w:val="21"/>
                <w:szCs w:val="21"/>
                <w:highlight w:val="none"/>
                <w:u w:val="single"/>
                <w:lang w:val="en-US" w:eastAsia="zh-CN"/>
              </w:rPr>
              <w:t>审查</w:t>
            </w:r>
            <w:r>
              <w:rPr>
                <w:rFonts w:hint="eastAsia" w:ascii="宋体" w:hAnsi="宋体" w:eastAsia="宋体" w:cs="宋体"/>
                <w:b w:val="0"/>
                <w:bCs/>
                <w:color w:val="auto"/>
                <w:sz w:val="21"/>
                <w:szCs w:val="21"/>
                <w:highlight w:val="none"/>
                <w:u w:val="single"/>
              </w:rPr>
              <w:t>项目占地面积≥65</w:t>
            </w:r>
            <w:r>
              <w:rPr>
                <w:rFonts w:hint="eastAsia" w:ascii="宋体" w:eastAsia="宋体" w:cs="宋体"/>
                <w:b w:val="0"/>
                <w:bCs/>
                <w:color w:val="auto"/>
                <w:sz w:val="21"/>
                <w:szCs w:val="21"/>
                <w:highlight w:val="none"/>
                <w:u w:val="single"/>
                <w:lang w:val="en-US" w:eastAsia="zh-CN"/>
              </w:rPr>
              <w:t>公顷（约975亩）</w:t>
            </w:r>
            <w:r>
              <w:rPr>
                <w:rFonts w:hint="eastAsia" w:ascii="宋体" w:hAnsi="宋体" w:eastAsia="宋体" w:cs="宋体"/>
                <w:b w:val="0"/>
                <w:bCs/>
                <w:color w:val="auto"/>
                <w:sz w:val="21"/>
                <w:szCs w:val="21"/>
                <w:highlight w:val="none"/>
                <w:u w:val="single"/>
              </w:rPr>
              <w:t>或建筑面积≥2</w:t>
            </w:r>
            <w:r>
              <w:rPr>
                <w:rFonts w:hint="eastAsia" w:ascii="宋体" w:eastAsia="宋体" w:cs="宋体"/>
                <w:b w:val="0"/>
                <w:bCs/>
                <w:color w:val="auto"/>
                <w:sz w:val="21"/>
                <w:szCs w:val="21"/>
                <w:highlight w:val="none"/>
                <w:u w:val="single"/>
                <w:lang w:val="en-US" w:eastAsia="zh-CN"/>
              </w:rPr>
              <w:t>0</w:t>
            </w:r>
            <w:r>
              <w:rPr>
                <w:rFonts w:hint="eastAsia" w:ascii="宋体" w:hAnsi="宋体" w:eastAsia="宋体" w:cs="宋体"/>
                <w:b w:val="0"/>
                <w:bCs/>
                <w:color w:val="auto"/>
                <w:sz w:val="21"/>
                <w:szCs w:val="21"/>
                <w:highlight w:val="none"/>
                <w:u w:val="single"/>
              </w:rPr>
              <w:t>万㎡，每个得</w:t>
            </w:r>
            <w:r>
              <w:rPr>
                <w:rFonts w:hint="eastAsia" w:asci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分，最高得</w:t>
            </w:r>
            <w:r>
              <w:rPr>
                <w:rFonts w:hint="eastAsia" w:ascii="宋体" w:eastAsia="宋体" w:cs="宋体"/>
                <w:b w:val="0"/>
                <w:bCs/>
                <w:color w:val="auto"/>
                <w:sz w:val="21"/>
                <w:szCs w:val="21"/>
                <w:highlight w:val="none"/>
                <w:u w:val="single"/>
                <w:lang w:val="en-US" w:eastAsia="zh-CN"/>
              </w:rPr>
              <w:t>9</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注：须同时提供以下证明材料加盖供应商公章：1)合同主要页复印件；2）与项目相关的任意一期发票材料（张数不限）；3）如提供的合同（或协议书）无法体现面积等主要内容的，可提供供应商另行出具的有效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539" w:hRule="atLeast"/>
          <w:jc w:val="center"/>
        </w:trPr>
        <w:tc>
          <w:tcPr>
            <w:tcW w:w="674" w:type="dxa"/>
            <w:tcBorders>
              <w:top w:val="single" w:color="auto" w:sz="4" w:space="0"/>
              <w:left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eastAsia="宋体" w:cs="宋体"/>
                <w:color w:val="auto"/>
                <w:sz w:val="21"/>
                <w:szCs w:val="21"/>
                <w:highlight w:val="none"/>
                <w:lang w:val="en-US" w:eastAsia="zh-CN"/>
              </w:rPr>
              <w:t>2</w:t>
            </w:r>
          </w:p>
        </w:tc>
        <w:tc>
          <w:tcPr>
            <w:tcW w:w="1157" w:type="dxa"/>
            <w:tcBorders>
              <w:top w:val="single" w:color="auto" w:sz="4" w:space="0"/>
              <w:left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拟投入本项目人员情况</w:t>
            </w:r>
          </w:p>
        </w:tc>
        <w:tc>
          <w:tcPr>
            <w:tcW w:w="77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val="zh-CN" w:eastAsia="zh-CN"/>
              </w:rPr>
            </w:pPr>
            <w:r>
              <w:rPr>
                <w:rFonts w:hint="eastAsia" w:asci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lang w:val="zh-CN"/>
              </w:rPr>
              <w:t>分</w:t>
            </w:r>
          </w:p>
        </w:tc>
        <w:tc>
          <w:tcPr>
            <w:tcW w:w="591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供应商拟投入本项目的项目负责人（仅指1人）：</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1、具有注册测绘师资格证及测绘相关专业中级或以上职称证书的，得</w:t>
            </w:r>
            <w:r>
              <w:rPr>
                <w:rFonts w:hint="eastAsia" w:asci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分，本项最高得</w:t>
            </w:r>
            <w:r>
              <w:rPr>
                <w:rFonts w:hint="eastAsia" w:asci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2、自2019年1</w:t>
            </w:r>
            <w:r>
              <w:rPr>
                <w:rFonts w:hint="eastAsia" w:ascii="宋体" w:eastAsia="宋体" w:cs="宋体"/>
                <w:b w:val="0"/>
                <w:bCs/>
                <w:color w:val="auto"/>
                <w:sz w:val="21"/>
                <w:szCs w:val="21"/>
                <w:highlight w:val="none"/>
                <w:u w:val="single"/>
                <w:lang w:val="en-US" w:eastAsia="zh-CN"/>
              </w:rPr>
              <w:t>0</w:t>
            </w:r>
            <w:r>
              <w:rPr>
                <w:rFonts w:hint="eastAsia" w:ascii="宋体" w:hAnsi="宋体" w:eastAsia="宋体" w:cs="宋体"/>
                <w:b w:val="0"/>
                <w:bCs/>
                <w:color w:val="auto"/>
                <w:sz w:val="21"/>
                <w:szCs w:val="21"/>
                <w:highlight w:val="none"/>
                <w:u w:val="single"/>
              </w:rPr>
              <w:t>月1日至投标截止日前（以签订合同时间为准），在本供应商单位以项目负责人岗位承担过城市更新或“三旧改造”等类似权籍调查</w:t>
            </w:r>
            <w:r>
              <w:rPr>
                <w:rFonts w:hint="eastAsia" w:ascii="宋体" w:eastAsia="宋体" w:cs="宋体"/>
                <w:b w:val="0"/>
                <w:bCs/>
                <w:color w:val="auto"/>
                <w:sz w:val="21"/>
                <w:szCs w:val="21"/>
                <w:highlight w:val="none"/>
                <w:u w:val="single"/>
                <w:lang w:val="en-US" w:eastAsia="zh-CN"/>
              </w:rPr>
              <w:t>审查</w:t>
            </w:r>
            <w:r>
              <w:rPr>
                <w:rFonts w:hint="eastAsia" w:ascii="宋体" w:hAnsi="宋体" w:eastAsia="宋体" w:cs="宋体"/>
                <w:b w:val="0"/>
                <w:bCs/>
                <w:color w:val="auto"/>
                <w:sz w:val="21"/>
                <w:szCs w:val="21"/>
                <w:highlight w:val="none"/>
                <w:u w:val="single"/>
              </w:rPr>
              <w:t>项目占地面积≥65</w:t>
            </w:r>
            <w:r>
              <w:rPr>
                <w:rFonts w:hint="eastAsia" w:ascii="宋体" w:eastAsia="宋体" w:cs="宋体"/>
                <w:b w:val="0"/>
                <w:bCs/>
                <w:color w:val="auto"/>
                <w:sz w:val="21"/>
                <w:szCs w:val="21"/>
                <w:highlight w:val="none"/>
                <w:u w:val="single"/>
                <w:lang w:val="en-US" w:eastAsia="zh-CN"/>
              </w:rPr>
              <w:t>公顷（约975亩）</w:t>
            </w:r>
            <w:r>
              <w:rPr>
                <w:rFonts w:hint="eastAsia" w:ascii="宋体" w:hAnsi="宋体" w:eastAsia="宋体" w:cs="宋体"/>
                <w:b w:val="0"/>
                <w:bCs/>
                <w:color w:val="auto"/>
                <w:sz w:val="21"/>
                <w:szCs w:val="21"/>
                <w:highlight w:val="none"/>
                <w:u w:val="single"/>
              </w:rPr>
              <w:t>或建筑面积≥2</w:t>
            </w:r>
            <w:r>
              <w:rPr>
                <w:rFonts w:hint="eastAsia" w:ascii="宋体" w:eastAsia="宋体" w:cs="宋体"/>
                <w:b w:val="0"/>
                <w:bCs/>
                <w:color w:val="auto"/>
                <w:sz w:val="21"/>
                <w:szCs w:val="21"/>
                <w:highlight w:val="none"/>
                <w:u w:val="single"/>
                <w:lang w:val="en-US" w:eastAsia="zh-CN"/>
              </w:rPr>
              <w:t>0</w:t>
            </w:r>
            <w:r>
              <w:rPr>
                <w:rFonts w:hint="eastAsia" w:ascii="宋体" w:hAnsi="宋体" w:eastAsia="宋体" w:cs="宋体"/>
                <w:b w:val="0"/>
                <w:bCs/>
                <w:color w:val="auto"/>
                <w:sz w:val="21"/>
                <w:szCs w:val="21"/>
                <w:highlight w:val="none"/>
                <w:u w:val="single"/>
              </w:rPr>
              <w:t>万㎡的，每个得</w:t>
            </w:r>
            <w:r>
              <w:rPr>
                <w:rFonts w:hint="eastAsia" w:asci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分，本项最高得</w:t>
            </w:r>
            <w:r>
              <w:rPr>
                <w:rFonts w:hint="eastAsia" w:ascii="宋体" w:eastAsia="宋体" w:cs="宋体"/>
                <w:b w:val="0"/>
                <w:bCs/>
                <w:color w:val="auto"/>
                <w:sz w:val="21"/>
                <w:szCs w:val="21"/>
                <w:highlight w:val="none"/>
                <w:u w:val="single"/>
                <w:lang w:val="en-US" w:eastAsia="zh-CN"/>
              </w:rPr>
              <w:t>4</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注：①以上人员需提供供应商（近半年不少于三个月）为其购买的社保证明、注册证书等复印件加盖供应商公章。②本项中提供的业绩，均须附有合同复印件及提供与合同对应的任意一期发票加盖公章。如提供的合同（或协议书）无法体现面积</w:t>
            </w:r>
            <w:r>
              <w:rPr>
                <w:rFonts w:hint="eastAsia" w:ascii="宋体" w:eastAsia="宋体" w:cs="宋体"/>
                <w:b w:val="0"/>
                <w:bCs/>
                <w:color w:val="auto"/>
                <w:sz w:val="21"/>
                <w:szCs w:val="21"/>
                <w:highlight w:val="none"/>
                <w:u w:val="single"/>
                <w:lang w:val="en-US" w:eastAsia="zh-CN"/>
              </w:rPr>
              <w:t>和项目负责人</w:t>
            </w:r>
            <w:r>
              <w:rPr>
                <w:rFonts w:hint="eastAsia" w:ascii="宋体" w:hAnsi="宋体" w:eastAsia="宋体" w:cs="宋体"/>
                <w:b w:val="0"/>
                <w:bCs/>
                <w:color w:val="auto"/>
                <w:sz w:val="21"/>
                <w:szCs w:val="21"/>
                <w:highlight w:val="none"/>
                <w:u w:val="single"/>
              </w:rPr>
              <w:t>等主要内容的，可提供另行出具的有效证明材料复印件。③一个合同为1个业绩，不可重复计分； ④项目负责人岗位以合同或成果审查文件证明或完工证明为准。）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539" w:hRule="atLeast"/>
          <w:jc w:val="center"/>
        </w:trPr>
        <w:tc>
          <w:tcPr>
            <w:tcW w:w="674" w:type="dxa"/>
            <w:tcBorders>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157" w:type="dxa"/>
            <w:tcBorders>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拟投入本项目人员（技术人员）</w:t>
            </w:r>
          </w:p>
        </w:tc>
        <w:tc>
          <w:tcPr>
            <w:tcW w:w="77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val="zh-CN" w:eastAsia="zh-CN"/>
              </w:rPr>
            </w:pPr>
            <w:r>
              <w:rPr>
                <w:rFonts w:hint="eastAsia" w:asci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val="zh-CN"/>
              </w:rPr>
              <w:t>分</w:t>
            </w:r>
          </w:p>
        </w:tc>
        <w:tc>
          <w:tcPr>
            <w:tcW w:w="591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供应商拟投入本项目技术人员（项目负责人除外）具有测绘或测量类专业证书的每人得1分；本项最高得</w:t>
            </w:r>
            <w:r>
              <w:rPr>
                <w:rFonts w:hint="eastAsia" w:ascii="宋体" w:eastAsia="宋体" w:cs="宋体"/>
                <w:b w:val="0"/>
                <w:bCs/>
                <w:color w:val="auto"/>
                <w:sz w:val="21"/>
                <w:szCs w:val="21"/>
                <w:highlight w:val="none"/>
                <w:u w:val="single"/>
                <w:lang w:val="en-US" w:eastAsia="zh-CN"/>
              </w:rPr>
              <w:t>4</w:t>
            </w:r>
            <w:r>
              <w:rPr>
                <w:rFonts w:hint="eastAsia" w:ascii="宋体" w:hAnsi="宋体" w:eastAsia="宋体" w:cs="宋体"/>
                <w:b w:val="0"/>
                <w:bCs/>
                <w:color w:val="auto"/>
                <w:sz w:val="21"/>
                <w:szCs w:val="21"/>
                <w:highlight w:val="none"/>
                <w:u w:val="single"/>
              </w:rPr>
              <w:t xml:space="preserve">分。    </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（注：以上人员需提供供应商（近半年不少于三个月）为其购买的社保证明、职称证等复印件加盖供应商公章。）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技术评审（</w:t>
            </w:r>
            <w:r>
              <w:rPr>
                <w:rFonts w:hint="eastAsia" w:ascii="宋体" w:eastAsia="宋体" w:cs="宋体"/>
                <w:b/>
                <w:bCs/>
                <w:color w:val="auto"/>
                <w:sz w:val="21"/>
                <w:szCs w:val="21"/>
                <w:highlight w:val="none"/>
                <w:lang w:val="en-US" w:eastAsia="zh-CN"/>
              </w:rPr>
              <w:t>40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71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对本项目的理解</w:t>
            </w:r>
          </w:p>
        </w:tc>
        <w:tc>
          <w:tcPr>
            <w:tcW w:w="77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rPr>
            </w:pPr>
            <w:r>
              <w:rPr>
                <w:rFonts w:hint="eastAsia" w:asci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分</w:t>
            </w:r>
          </w:p>
        </w:tc>
        <w:tc>
          <w:tcPr>
            <w:tcW w:w="591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优：对本项目理解透彻，工作要点理解清晰准确，具有系统性及可操作性得</w:t>
            </w:r>
            <w:r>
              <w:rPr>
                <w:rFonts w:hint="eastAsia" w:asci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良：对本项目理解较为透彻，工作要求理解较为清晰准确，可操作性行较强得</w:t>
            </w:r>
            <w:r>
              <w:rPr>
                <w:rFonts w:hint="eastAsia" w:asci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差：对本项目理解不够透彻，工作要求理解不够清晰准确，操作性不强得</w:t>
            </w:r>
            <w:r>
              <w:rPr>
                <w:rFonts w:hint="eastAsia" w:asci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71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技术服务方案</w:t>
            </w:r>
          </w:p>
        </w:tc>
        <w:tc>
          <w:tcPr>
            <w:tcW w:w="77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8分</w:t>
            </w:r>
          </w:p>
        </w:tc>
        <w:tc>
          <w:tcPr>
            <w:tcW w:w="591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优：实施技术方案完善，工作流程科学、可操作性强得8分；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良：实施技术方案较为完善，工作流程较为科学、可操作性较强得5分；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中：实施技术方案一般，工作流程一般、可操作性基本可行得3分；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差：实施技术方案不够完善，工作流程不够科学，可操作性不强得1分；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71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对本项目设计重点、难点分析及相应的对策措施</w:t>
            </w:r>
          </w:p>
        </w:tc>
        <w:tc>
          <w:tcPr>
            <w:tcW w:w="77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val="en-US" w:eastAsia="zh-CN"/>
              </w:rPr>
            </w:pPr>
            <w:r>
              <w:rPr>
                <w:rFonts w:hint="eastAsia" w:asci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分</w:t>
            </w:r>
          </w:p>
        </w:tc>
        <w:tc>
          <w:tcPr>
            <w:tcW w:w="591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优：对本项目的重点和难点的分析全面，条理清晰；对关键问题的建议合理，解决方案完整、经济、安全且措施得力得</w:t>
            </w:r>
            <w:r>
              <w:rPr>
                <w:rFonts w:hint="eastAsia" w:ascii="宋体" w:eastAsia="宋体" w:cs="宋体"/>
                <w:b w:val="0"/>
                <w:bCs/>
                <w:color w:val="auto"/>
                <w:sz w:val="21"/>
                <w:szCs w:val="21"/>
                <w:highlight w:val="none"/>
                <w:u w:val="single"/>
                <w:lang w:val="en-US" w:eastAsia="zh-CN"/>
              </w:rPr>
              <w:t>6</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良：对本项目的重点和难点的分析较好；对关键问题的建议较合理，解决方案完整、安全且措施可行得</w:t>
            </w:r>
            <w:r>
              <w:rPr>
                <w:rFonts w:hint="eastAsia" w:ascii="宋体" w:eastAsia="宋体" w:cs="宋体"/>
                <w:b w:val="0"/>
                <w:bCs/>
                <w:color w:val="auto"/>
                <w:sz w:val="21"/>
                <w:szCs w:val="21"/>
                <w:highlight w:val="none"/>
                <w:u w:val="single"/>
                <w:lang w:val="en-US" w:eastAsia="zh-CN"/>
              </w:rPr>
              <w:t>4</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中：对本项目的重点和难点的分析一般；对关键问题的建议基本可行得</w:t>
            </w:r>
            <w:r>
              <w:rPr>
                <w:rFonts w:hint="eastAsia" w:asci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差：对本项目的重点和难点的分析不足；对关键问题的建议不可行得</w:t>
            </w:r>
            <w:r>
              <w:rPr>
                <w:rFonts w:hint="eastAsia" w:asci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71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质量保证措施</w:t>
            </w:r>
          </w:p>
        </w:tc>
        <w:tc>
          <w:tcPr>
            <w:tcW w:w="77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8分</w:t>
            </w:r>
          </w:p>
        </w:tc>
        <w:tc>
          <w:tcPr>
            <w:tcW w:w="591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优：质量保证体系完备周全，针对性强，措施完善得8分；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良：质量保证体系较为完备周全，针对性较强，措施较为完善得5分；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中：质量保证体系一般，针对性一般，措施较基本可行得3分；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差：质量保证体系不够完备，针对性不强，措施一般得1分；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71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进度计划</w:t>
            </w:r>
          </w:p>
        </w:tc>
        <w:tc>
          <w:tcPr>
            <w:tcW w:w="77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8分</w:t>
            </w:r>
          </w:p>
        </w:tc>
        <w:tc>
          <w:tcPr>
            <w:tcW w:w="591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优：对本项目进度计划详细可行、合理，进度保证措施完善得8分；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良：对本项目进度计划较为详细，进度保证措施较为完善得5分；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中：对本项目进度计划一般，进度保证措施基本可行得3分；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差：对本项目进度计划不够详细，进度保证措施不够完善得1分；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71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6</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后续服务承诺</w:t>
            </w:r>
          </w:p>
        </w:tc>
        <w:tc>
          <w:tcPr>
            <w:tcW w:w="777"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val="en-US" w:eastAsia="zh-CN"/>
              </w:rPr>
            </w:pPr>
            <w:r>
              <w:rPr>
                <w:rFonts w:hint="eastAsia" w:asci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分</w:t>
            </w:r>
          </w:p>
        </w:tc>
        <w:tc>
          <w:tcPr>
            <w:tcW w:w="591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优：后续服务人员配备齐全、经验丰富，配合上会汇报等后续服务工作的措施合理、具体可行、可操作性强得</w:t>
            </w:r>
            <w:r>
              <w:rPr>
                <w:rFonts w:hint="eastAsia" w:asci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良：后续服务人员配备齐全，配合上会汇报等后续服务工作的措施较合理可行得</w:t>
            </w:r>
            <w:r>
              <w:rPr>
                <w:rFonts w:hint="eastAsia" w:asci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差：后续服务人员配备不足，配合上会汇报等后续服务工作的措施合理性和可行性不足得</w:t>
            </w:r>
            <w:r>
              <w:rPr>
                <w:rFonts w:hint="eastAsia" w:asci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分；</w:t>
            </w:r>
          </w:p>
          <w:p>
            <w:pPr>
              <w:pStyle w:val="43"/>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u w:val="singl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403"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907"/>
              </w:tabs>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pPr>
              <w:keepNext w:val="0"/>
              <w:keepLines w:val="0"/>
              <w:pageBreakBefore w:val="0"/>
              <w:widowControl w:val="0"/>
              <w:tabs>
                <w:tab w:val="left" w:pos="907"/>
              </w:tabs>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（1）无特殊说明外，以上评审项，同一证明文件不重复计分。</w:t>
            </w:r>
          </w:p>
          <w:p>
            <w:pPr>
              <w:keepNext w:val="0"/>
              <w:keepLines w:val="0"/>
              <w:pageBreakBefore w:val="0"/>
              <w:widowControl w:val="0"/>
              <w:tabs>
                <w:tab w:val="left" w:pos="907"/>
              </w:tabs>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（2）供应商根据以上评分要求提供的响应材料因模糊不清导致评标委员会无法清晰辨认进行评审的，视为无效材料。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u w:val="single"/>
              </w:rPr>
              <w:t>价格评审（</w:t>
            </w:r>
            <w:r>
              <w:rPr>
                <w:rFonts w:hint="eastAsia" w:ascii="宋体" w:hAnsi="宋体" w:eastAsia="宋体" w:cs="宋体"/>
                <w:b/>
                <w:bCs/>
                <w:color w:val="auto"/>
                <w:sz w:val="21"/>
                <w:szCs w:val="21"/>
                <w:highlight w:val="none"/>
                <w:u w:val="single"/>
                <w:lang w:val="en-US" w:eastAsia="zh-CN"/>
              </w:rPr>
              <w:t>40</w:t>
            </w:r>
            <w:r>
              <w:rPr>
                <w:rFonts w:hint="eastAsia" w:ascii="宋体" w:hAnsi="宋体" w:eastAsia="宋体" w:cs="宋体"/>
                <w:b/>
                <w:bCs/>
                <w:color w:val="auto"/>
                <w:sz w:val="21"/>
                <w:szCs w:val="21"/>
                <w:highlight w:val="none"/>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0" w:type="dxa"/>
            <w:right w:w="108" w:type="dxa"/>
          </w:tblCellMar>
        </w:tblPrEx>
        <w:trPr>
          <w:trHeight w:val="62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磋商总价</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5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价格分计算方法：满足磋商文件要求且响应价格最低的</w:t>
            </w:r>
            <w:r>
              <w:rPr>
                <w:rFonts w:hint="eastAsia" w:ascii="宋体" w:hAnsi="宋体" w:eastAsia="宋体" w:cs="宋体"/>
                <w:color w:val="auto"/>
                <w:kern w:val="2"/>
                <w:szCs w:val="21"/>
                <w:highlight w:val="none"/>
                <w:lang w:val="en-US" w:eastAsia="zh-CN"/>
              </w:rPr>
              <w:t>含税</w:t>
            </w:r>
            <w:r>
              <w:rPr>
                <w:rFonts w:hint="eastAsia" w:ascii="宋体" w:hAnsi="宋体" w:eastAsia="宋体" w:cs="宋体"/>
                <w:color w:val="auto"/>
                <w:kern w:val="2"/>
                <w:szCs w:val="21"/>
                <w:highlight w:val="none"/>
                <w:lang w:val="zh-CN"/>
              </w:rPr>
              <w:t>磋商报价为评标基准价，其价格分为满分。其他供应商的价格分统一按照下列公式计算：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zh-CN"/>
              </w:rPr>
              <w:t>磋商报价得分=(磋商基准价／最后磋商报价)×价格权</w:t>
            </w:r>
            <w:r>
              <w:rPr>
                <w:rFonts w:hint="eastAsia" w:ascii="宋体" w:hAnsi="宋体" w:eastAsia="宋体" w:cs="宋体"/>
                <w:color w:val="auto"/>
                <w:kern w:val="2"/>
                <w:szCs w:val="21"/>
                <w:highlight w:val="none"/>
              </w:rPr>
              <w:t>重</w:t>
            </w:r>
          </w:p>
        </w:tc>
      </w:tr>
    </w:tbl>
    <w:p>
      <w:pPr>
        <w:ind w:firstLine="420" w:firstLineChars="200"/>
        <w:rPr>
          <w:color w:val="auto"/>
          <w:highlight w:val="none"/>
        </w:rPr>
      </w:pPr>
      <w:r>
        <w:rPr>
          <w:rFonts w:hint="eastAsia"/>
          <w:color w:val="auto"/>
          <w:highlight w:val="none"/>
        </w:rPr>
        <w:t>注：评标委员会评委按评标标准独立对技术标进行评审，得出技术标评分。当评标委员会为五人时，在所有评委对同一份响应文件技术标评审的总评分中，去掉一个最高分和一个最低分，计算剩余总评分的算术平均值即为该供应商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响应文件技术部分评审的总评分中，去掉一个最高分和一个最低分，计算剩余总评分的算术平均值即为该供应商技术部分的最终综合得分。</w:t>
      </w:r>
      <w:r>
        <w:rPr>
          <w:rFonts w:hint="eastAsia"/>
          <w:color w:val="auto"/>
          <w:highlight w:val="none"/>
        </w:rPr>
        <w:br w:type="page"/>
      </w:r>
    </w:p>
    <w:p>
      <w:pPr>
        <w:pStyle w:val="2"/>
        <w:spacing w:before="0" w:after="0" w:line="240" w:lineRule="auto"/>
        <w:rPr>
          <w:color w:val="auto"/>
          <w:sz w:val="36"/>
          <w:szCs w:val="36"/>
          <w:highlight w:val="none"/>
        </w:rPr>
      </w:pPr>
      <w:bookmarkStart w:id="10" w:name="_Toc12233"/>
      <w:bookmarkStart w:id="11" w:name="_Toc18394"/>
      <w:r>
        <w:rPr>
          <w:rFonts w:hint="eastAsia"/>
          <w:color w:val="auto"/>
          <w:sz w:val="28"/>
          <w:szCs w:val="28"/>
          <w:highlight w:val="none"/>
        </w:rPr>
        <w:t>第三部分</w:t>
      </w:r>
      <w:r>
        <w:rPr>
          <w:rFonts w:hint="eastAsia"/>
          <w:color w:val="auto"/>
          <w:sz w:val="28"/>
          <w:szCs w:val="28"/>
          <w:highlight w:val="none"/>
          <w:lang w:val="en-US" w:eastAsia="zh-CN"/>
        </w:rPr>
        <w:t xml:space="preserve"> </w:t>
      </w:r>
      <w:r>
        <w:rPr>
          <w:rFonts w:hint="eastAsia"/>
          <w:color w:val="auto"/>
          <w:sz w:val="28"/>
          <w:szCs w:val="28"/>
          <w:highlight w:val="none"/>
        </w:rPr>
        <w:t>用户需求书</w:t>
      </w:r>
      <w:bookmarkEnd w:id="10"/>
      <w:bookmarkEnd w:id="11"/>
    </w:p>
    <w:p>
      <w:pPr>
        <w:pStyle w:val="4"/>
        <w:spacing w:before="0" w:after="0" w:line="360" w:lineRule="auto"/>
        <w:jc w:val="center"/>
        <w:rPr>
          <w:rFonts w:ascii="宋体" w:hAnsi="宋体"/>
          <w:color w:val="auto"/>
          <w:highlight w:val="none"/>
        </w:rPr>
      </w:pPr>
      <w:bookmarkStart w:id="12" w:name="_Toc1593"/>
      <w:bookmarkStart w:id="13" w:name="_Toc23727"/>
      <w:bookmarkStart w:id="14" w:name="_Toc21219"/>
      <w:bookmarkStart w:id="15" w:name="_Toc308786492"/>
      <w:bookmarkStart w:id="16" w:name="_Toc24679"/>
      <w:bookmarkStart w:id="17" w:name="_Toc13112"/>
      <w:bookmarkStart w:id="18" w:name="_Toc14462"/>
      <w:bookmarkStart w:id="19" w:name="_Toc31278"/>
      <w:r>
        <w:rPr>
          <w:rFonts w:hint="eastAsia" w:ascii="宋体" w:hAnsi="宋体"/>
          <w:color w:val="auto"/>
          <w:highlight w:val="none"/>
        </w:rPr>
        <w:t>第一章 商务需求书</w:t>
      </w:r>
      <w:bookmarkEnd w:id="12"/>
      <w:bookmarkEnd w:id="13"/>
      <w:bookmarkEnd w:id="14"/>
    </w:p>
    <w:tbl>
      <w:tblPr>
        <w:tblStyle w:val="35"/>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352"/>
        <w:gridCol w:w="6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1"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条款名称</w:t>
            </w:r>
          </w:p>
        </w:tc>
        <w:tc>
          <w:tcPr>
            <w:tcW w:w="6453" w:type="dxa"/>
            <w:noWrap w:val="0"/>
            <w:vAlign w:val="center"/>
          </w:tcPr>
          <w:p>
            <w:pPr>
              <w:widowControl w:val="0"/>
              <w:adjustRightInd/>
              <w:snapToGrid/>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合格供应商</w:t>
            </w:r>
          </w:p>
        </w:tc>
        <w:tc>
          <w:tcPr>
            <w:tcW w:w="6453" w:type="dxa"/>
            <w:noWrap w:val="0"/>
            <w:vAlign w:val="center"/>
          </w:tcPr>
          <w:p>
            <w:pPr>
              <w:widowControl w:val="0"/>
              <w:adjustRightInd/>
              <w:snapToGrid/>
              <w:spacing w:line="360" w:lineRule="auto"/>
              <w:jc w:val="left"/>
              <w:rPr>
                <w:rFonts w:ascii="宋体" w:hAnsi="宋体" w:cs="宋体"/>
                <w:bCs/>
                <w:color w:val="auto"/>
                <w:kern w:val="44"/>
                <w:szCs w:val="21"/>
                <w:highlight w:val="none"/>
              </w:rPr>
            </w:pPr>
            <w:r>
              <w:rPr>
                <w:rFonts w:hint="eastAsia" w:ascii="宋体" w:hAnsi="宋体" w:cs="宋体"/>
                <w:color w:val="auto"/>
                <w:szCs w:val="21"/>
                <w:highlight w:val="none"/>
              </w:rPr>
              <w:t>详见“第一部分 磋商邀请”中“二、供应商资格要求”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服务期</w:t>
            </w:r>
          </w:p>
        </w:tc>
        <w:tc>
          <w:tcPr>
            <w:tcW w:w="6453" w:type="dxa"/>
            <w:noWrap w:val="0"/>
            <w:vAlign w:val="center"/>
          </w:tcPr>
          <w:p>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rPr>
              <w:t>签订合同后2个月内完成权籍调查详查复核工作，并提交项目最终成果。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付款方式</w:t>
            </w:r>
          </w:p>
        </w:tc>
        <w:tc>
          <w:tcPr>
            <w:tcW w:w="6453" w:type="dxa"/>
            <w:noWrap w:val="0"/>
            <w:vAlign w:val="center"/>
          </w:tcPr>
          <w:p>
            <w:pPr>
              <w:widowControl w:val="0"/>
              <w:adjustRightInd/>
              <w:snapToGrid/>
              <w:spacing w:line="360" w:lineRule="auto"/>
              <w:jc w:val="left"/>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此</w:t>
            </w:r>
            <w:r>
              <w:rPr>
                <w:rFonts w:hint="eastAsia" w:ascii="宋体" w:hAnsi="宋体" w:eastAsia="宋体" w:cs="宋体"/>
                <w:color w:val="auto"/>
                <w:kern w:val="2"/>
                <w:szCs w:val="21"/>
                <w:highlight w:val="none"/>
              </w:rPr>
              <w:t>合同</w:t>
            </w:r>
            <w:r>
              <w:rPr>
                <w:rFonts w:hint="eastAsia" w:ascii="宋体" w:hAnsi="宋体" w:cs="宋体"/>
                <w:color w:val="auto"/>
                <w:highlight w:val="none"/>
                <w:shd w:val="clear" w:color="auto" w:fill="FFFFFF"/>
              </w:rPr>
              <w:t>分</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u w:val="single"/>
                <w:shd w:val="clear" w:color="auto" w:fill="FFFFFF"/>
                <w:lang w:val="en-US" w:eastAsia="zh-CN"/>
              </w:rPr>
              <w:t>三</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期付款：</w:t>
            </w:r>
          </w:p>
          <w:p>
            <w:pPr>
              <w:widowControl w:val="0"/>
              <w:adjustRightInd/>
              <w:snapToGrid/>
              <w:spacing w:line="360" w:lineRule="auto"/>
              <w:jc w:val="left"/>
              <w:rPr>
                <w:rFonts w:hint="eastAsia" w:ascii="宋体" w:hAnsi="宋体" w:cs="宋体"/>
                <w:color w:val="auto"/>
                <w:highlight w:val="none"/>
                <w:shd w:val="clear" w:color="auto" w:fill="FFFFFF"/>
                <w:lang w:eastAsia="zh-CN"/>
              </w:rPr>
            </w:pPr>
            <w:r>
              <w:rPr>
                <w:rFonts w:hint="eastAsia" w:ascii="宋体" w:hAnsi="宋体" w:cs="宋体"/>
                <w:color w:val="auto"/>
                <w:highlight w:val="none"/>
                <w:shd w:val="clear" w:color="auto" w:fill="FFFFFF"/>
              </w:rPr>
              <w:t>第一期：合同签订后，</w:t>
            </w:r>
            <w:r>
              <w:rPr>
                <w:rFonts w:hint="eastAsia" w:ascii="宋体" w:hAnsi="宋体" w:cs="宋体"/>
                <w:color w:val="auto"/>
                <w:highlight w:val="none"/>
                <w:shd w:val="clear" w:color="auto" w:fill="FFFFFF"/>
                <w:lang w:val="en-US" w:eastAsia="zh-CN"/>
              </w:rPr>
              <w:t>成交供应商</w:t>
            </w:r>
            <w:r>
              <w:rPr>
                <w:rFonts w:hint="eastAsia" w:ascii="宋体" w:hAnsi="宋体" w:cs="宋体"/>
                <w:color w:val="auto"/>
                <w:highlight w:val="none"/>
                <w:shd w:val="clear" w:color="auto" w:fill="FFFFFF"/>
              </w:rPr>
              <w:t>向</w:t>
            </w:r>
            <w:r>
              <w:rPr>
                <w:rFonts w:hint="eastAsia" w:ascii="宋体" w:hAnsi="宋体" w:cs="宋体"/>
                <w:color w:val="auto"/>
                <w:highlight w:val="none"/>
                <w:shd w:val="clear" w:color="auto" w:fill="FFFFFF"/>
                <w:lang w:val="en-US" w:eastAsia="zh-CN"/>
              </w:rPr>
              <w:t>采购人</w:t>
            </w:r>
            <w:r>
              <w:rPr>
                <w:rFonts w:hint="eastAsia" w:ascii="宋体" w:hAnsi="宋体" w:cs="宋体"/>
                <w:color w:val="auto"/>
                <w:highlight w:val="none"/>
                <w:shd w:val="clear" w:color="auto" w:fill="FFFFFF"/>
              </w:rPr>
              <w:t>提交预付款请款报告，采购人在收到前述材料并书面确认之日起 20 个工作日内向成交供应商支付成果编制阶段总金额的10％ ；</w:t>
            </w:r>
          </w:p>
          <w:p>
            <w:pPr>
              <w:widowControl w:val="0"/>
              <w:adjustRightInd/>
              <w:snapToGrid/>
              <w:spacing w:line="360" w:lineRule="auto"/>
              <w:jc w:val="left"/>
              <w:rPr>
                <w:rFonts w:hint="eastAsia" w:ascii="宋体" w:hAnsi="宋体" w:eastAsia="宋体" w:cs="宋体"/>
                <w:color w:val="auto"/>
                <w:highlight w:val="none"/>
                <w:shd w:val="clear" w:color="auto" w:fill="FFFFFF"/>
                <w:lang w:eastAsia="zh-CN"/>
              </w:rPr>
            </w:pPr>
            <w:r>
              <w:rPr>
                <w:rFonts w:hint="eastAsia" w:ascii="宋体" w:hAnsi="宋体" w:cs="宋体"/>
                <w:color w:val="auto"/>
                <w:highlight w:val="none"/>
                <w:shd w:val="clear" w:color="auto" w:fill="FFFFFF"/>
              </w:rPr>
              <w:t>第</w:t>
            </w:r>
            <w:r>
              <w:rPr>
                <w:rFonts w:hint="eastAsia" w:ascii="宋体" w:hAnsi="宋体" w:cs="宋体"/>
                <w:color w:val="auto"/>
                <w:highlight w:val="none"/>
                <w:shd w:val="clear" w:color="auto" w:fill="FFFFFF"/>
                <w:lang w:val="en-US" w:eastAsia="zh-CN"/>
              </w:rPr>
              <w:t>二</w:t>
            </w:r>
            <w:r>
              <w:rPr>
                <w:rFonts w:hint="eastAsia" w:ascii="宋体" w:hAnsi="宋体" w:cs="宋体"/>
                <w:color w:val="auto"/>
                <w:highlight w:val="none"/>
                <w:shd w:val="clear" w:color="auto" w:fill="FFFFFF"/>
              </w:rPr>
              <w:t>期：</w:t>
            </w:r>
            <w:r>
              <w:rPr>
                <w:rFonts w:hint="eastAsia" w:ascii="宋体" w:hAnsi="宋体" w:cs="宋体"/>
                <w:color w:val="auto"/>
                <w:highlight w:val="none"/>
                <w:shd w:val="clear" w:color="auto" w:fill="FFFFFF"/>
                <w:lang w:val="en-US" w:eastAsia="zh-CN"/>
              </w:rPr>
              <w:t>成交供应商</w:t>
            </w:r>
            <w:r>
              <w:rPr>
                <w:rFonts w:hint="eastAsia" w:ascii="宋体" w:hAnsi="宋体" w:cs="宋体"/>
                <w:color w:val="auto"/>
                <w:highlight w:val="none"/>
                <w:shd w:val="clear" w:color="auto" w:fill="FFFFFF"/>
              </w:rPr>
              <w:t>完成权籍调查（详查）送审成果，经东莞市测绘院等相关职能部门审查通过后，</w:t>
            </w:r>
            <w:r>
              <w:rPr>
                <w:rFonts w:hint="eastAsia" w:ascii="宋体" w:hAnsi="宋体" w:cs="宋体"/>
                <w:color w:val="auto"/>
                <w:highlight w:val="none"/>
                <w:shd w:val="clear" w:color="auto" w:fill="FFFFFF"/>
                <w:lang w:val="en-US" w:eastAsia="zh-CN"/>
              </w:rPr>
              <w:t>成交供应商</w:t>
            </w:r>
            <w:r>
              <w:rPr>
                <w:rFonts w:hint="eastAsia" w:ascii="宋体" w:hAnsi="宋体" w:cs="宋体"/>
                <w:color w:val="auto"/>
                <w:highlight w:val="none"/>
                <w:shd w:val="clear" w:color="auto" w:fill="FFFFFF"/>
              </w:rPr>
              <w:t>向</w:t>
            </w:r>
            <w:r>
              <w:rPr>
                <w:rFonts w:hint="eastAsia" w:ascii="宋体" w:hAnsi="宋体" w:cs="宋体"/>
                <w:color w:val="auto"/>
                <w:highlight w:val="none"/>
                <w:shd w:val="clear" w:color="auto" w:fill="FFFFFF"/>
                <w:lang w:val="en-US" w:eastAsia="zh-CN"/>
              </w:rPr>
              <w:t>采购人</w:t>
            </w:r>
            <w:r>
              <w:rPr>
                <w:rFonts w:hint="eastAsia" w:ascii="宋体" w:hAnsi="宋体" w:cs="宋体"/>
                <w:color w:val="auto"/>
                <w:highlight w:val="none"/>
                <w:shd w:val="clear" w:color="auto" w:fill="FFFFFF"/>
              </w:rPr>
              <w:t>提交请款报告，</w:t>
            </w:r>
            <w:r>
              <w:rPr>
                <w:rFonts w:hint="eastAsia" w:ascii="宋体" w:hAnsi="宋体" w:cs="宋体"/>
                <w:color w:val="auto"/>
                <w:highlight w:val="none"/>
                <w:shd w:val="clear" w:color="auto" w:fill="FFFFFF"/>
                <w:lang w:val="en-US" w:eastAsia="zh-CN"/>
              </w:rPr>
              <w:t>采购人</w:t>
            </w:r>
            <w:r>
              <w:rPr>
                <w:rFonts w:hint="eastAsia" w:ascii="宋体" w:hAnsi="宋体" w:cs="宋体"/>
                <w:color w:val="auto"/>
                <w:highlight w:val="none"/>
                <w:shd w:val="clear" w:color="auto" w:fill="FFFFFF"/>
              </w:rPr>
              <w:t>在收到前述材料并经</w:t>
            </w:r>
            <w:r>
              <w:rPr>
                <w:rFonts w:hint="eastAsia" w:ascii="宋体" w:hAnsi="宋体" w:cs="宋体"/>
                <w:color w:val="auto"/>
                <w:highlight w:val="none"/>
                <w:shd w:val="clear" w:color="auto" w:fill="FFFFFF"/>
                <w:lang w:val="en-US" w:eastAsia="zh-CN"/>
              </w:rPr>
              <w:t>采购人</w:t>
            </w:r>
            <w:r>
              <w:rPr>
                <w:rFonts w:hint="eastAsia" w:ascii="宋体" w:hAnsi="宋体" w:cs="宋体"/>
                <w:color w:val="auto"/>
                <w:highlight w:val="none"/>
                <w:shd w:val="clear" w:color="auto" w:fill="FFFFFF"/>
              </w:rPr>
              <w:t>书面确认之日起 20 个工作日内，</w:t>
            </w:r>
            <w:r>
              <w:rPr>
                <w:rFonts w:hint="eastAsia" w:ascii="宋体" w:hAnsi="宋体" w:cs="宋体"/>
                <w:color w:val="auto"/>
                <w:highlight w:val="none"/>
                <w:shd w:val="clear" w:color="auto" w:fill="FFFFFF"/>
                <w:lang w:val="en-US" w:eastAsia="zh-CN"/>
              </w:rPr>
              <w:t>采购人</w:t>
            </w:r>
            <w:r>
              <w:rPr>
                <w:rFonts w:hint="eastAsia" w:ascii="宋体" w:hAnsi="宋体" w:cs="宋体"/>
                <w:color w:val="auto"/>
                <w:highlight w:val="none"/>
                <w:shd w:val="clear" w:color="auto" w:fill="FFFFFF"/>
              </w:rPr>
              <w:t>向</w:t>
            </w:r>
            <w:r>
              <w:rPr>
                <w:rFonts w:hint="eastAsia" w:ascii="宋体" w:hAnsi="宋体" w:cs="宋体"/>
                <w:color w:val="auto"/>
                <w:highlight w:val="none"/>
                <w:shd w:val="clear" w:color="auto" w:fill="FFFFFF"/>
                <w:lang w:val="en-US" w:eastAsia="zh-CN"/>
              </w:rPr>
              <w:t>成交供应商</w:t>
            </w:r>
            <w:r>
              <w:rPr>
                <w:rFonts w:hint="eastAsia" w:ascii="宋体" w:hAnsi="宋体" w:cs="宋体"/>
                <w:color w:val="auto"/>
                <w:highlight w:val="none"/>
                <w:shd w:val="clear" w:color="auto" w:fill="FFFFFF"/>
              </w:rPr>
              <w:t>支付至合同暂定总金额的60％ ；</w:t>
            </w:r>
          </w:p>
          <w:p>
            <w:pPr>
              <w:widowControl w:val="0"/>
              <w:adjustRightInd/>
              <w:snapToGrid/>
              <w:spacing w:line="360" w:lineRule="auto"/>
              <w:jc w:val="left"/>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lang w:val="en-US" w:eastAsia="zh-CN"/>
              </w:rPr>
              <w:t>第三期：项目最终成果提交相关职能部门审查并在公示期满无异议后，成交供应商向采购人提交结算资料并办理完结算手续后30个工作日内，采购人向成交供应商支付至结算价总金额的100%。</w:t>
            </w:r>
          </w:p>
          <w:p>
            <w:pPr>
              <w:widowControl w:val="0"/>
              <w:adjustRightInd/>
              <w:snapToGrid/>
              <w:spacing w:line="360" w:lineRule="auto"/>
              <w:jc w:val="left"/>
              <w:rPr>
                <w:rFonts w:hint="eastAsia" w:ascii="宋体" w:hAnsi="宋体" w:eastAsia="宋体" w:cs="宋体"/>
                <w:color w:val="auto"/>
                <w:highlight w:val="none"/>
                <w:lang w:eastAsia="zh-CN"/>
              </w:rPr>
            </w:pPr>
            <w:r>
              <w:rPr>
                <w:rFonts w:hint="eastAsia" w:ascii="宋体" w:hAnsi="宋体" w:cs="宋体"/>
                <w:color w:val="auto"/>
                <w:highlight w:val="none"/>
                <w:shd w:val="clear" w:color="auto" w:fill="FFFFFF"/>
              </w:rPr>
              <w:t>如最终成果</w:t>
            </w:r>
            <w:r>
              <w:rPr>
                <w:rFonts w:hint="eastAsia" w:ascii="宋体" w:hAnsi="宋体" w:eastAsia="宋体" w:cs="宋体"/>
                <w:color w:val="auto"/>
                <w:kern w:val="2"/>
                <w:szCs w:val="21"/>
                <w:highlight w:val="none"/>
              </w:rPr>
              <w:t>不能</w:t>
            </w:r>
            <w:r>
              <w:rPr>
                <w:rFonts w:hint="eastAsia" w:ascii="宋体" w:hAnsi="宋体" w:cs="宋体"/>
                <w:color w:val="auto"/>
                <w:highlight w:val="none"/>
                <w:shd w:val="clear" w:color="auto" w:fill="FFFFFF"/>
              </w:rPr>
              <w:t>获得市相关主管部门审查通过，须按采购人要求修改直至最终成果审查通过，否则合同尾款不予支付</w:t>
            </w:r>
            <w:r>
              <w:rPr>
                <w:rFonts w:hint="eastAsia"/>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项目地点</w:t>
            </w:r>
          </w:p>
        </w:tc>
        <w:tc>
          <w:tcPr>
            <w:tcW w:w="6453" w:type="dxa"/>
            <w:noWrap w:val="0"/>
            <w:vAlign w:val="center"/>
          </w:tcPr>
          <w:p>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采购人</w:t>
            </w:r>
            <w:r>
              <w:rPr>
                <w:rFonts w:hint="eastAsia" w:ascii="宋体" w:hAnsi="宋体" w:eastAsia="宋体" w:cs="宋体"/>
                <w:color w:val="auto"/>
                <w:kern w:val="2"/>
                <w:szCs w:val="21"/>
                <w:highlight w:val="none"/>
              </w:rPr>
              <w:t>指定</w:t>
            </w:r>
            <w:r>
              <w:rPr>
                <w:rFonts w:hint="eastAsia" w:ascii="宋体" w:hAnsi="宋体" w:cs="宋体"/>
                <w:color w:val="auto"/>
                <w:szCs w:val="21"/>
                <w:highlight w:val="none"/>
              </w:rPr>
              <w:t>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5</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报价要求</w:t>
            </w:r>
          </w:p>
        </w:tc>
        <w:tc>
          <w:tcPr>
            <w:tcW w:w="6453" w:type="dxa"/>
            <w:noWrap w:val="0"/>
            <w:vAlign w:val="center"/>
          </w:tcPr>
          <w:p>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磋商报价应包括本次采购所有服务内容的费用，包括但不限于人工、材料、成本、利润、机械设备使用费、措施费、税费以及合同实施过程中的不可预见费用等全部费用。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6</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磋商有效期</w:t>
            </w:r>
          </w:p>
        </w:tc>
        <w:tc>
          <w:tcPr>
            <w:tcW w:w="6453" w:type="dxa"/>
            <w:noWrap w:val="0"/>
            <w:vAlign w:val="center"/>
          </w:tcPr>
          <w:p>
            <w:pPr>
              <w:widowControl w:val="0"/>
              <w:adjustRightInd/>
              <w:snapToGrid/>
              <w:spacing w:line="360" w:lineRule="auto"/>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7</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合同条款</w:t>
            </w:r>
          </w:p>
        </w:tc>
        <w:tc>
          <w:tcPr>
            <w:tcW w:w="6453" w:type="dxa"/>
            <w:noWrap w:val="0"/>
            <w:vAlign w:val="center"/>
          </w:tcPr>
          <w:p>
            <w:pPr>
              <w:widowControl w:val="0"/>
              <w:adjustRightInd/>
              <w:snapToGrid/>
              <w:spacing w:line="360" w:lineRule="auto"/>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供应商实质响应合同各条款。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8</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其他</w:t>
            </w:r>
          </w:p>
        </w:tc>
        <w:tc>
          <w:tcPr>
            <w:tcW w:w="6453" w:type="dxa"/>
            <w:noWrap w:val="0"/>
            <w:vAlign w:val="center"/>
          </w:tcPr>
          <w:p>
            <w:pPr>
              <w:widowControl w:val="0"/>
              <w:adjustRightInd/>
              <w:snapToGrid/>
              <w:spacing w:line="360" w:lineRule="auto"/>
              <w:jc w:val="left"/>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w:t>
            </w:r>
          </w:p>
        </w:tc>
      </w:tr>
    </w:tbl>
    <w:p>
      <w:pPr>
        <w:rPr>
          <w:color w:val="auto"/>
          <w:highlight w:val="none"/>
        </w:rPr>
      </w:pPr>
    </w:p>
    <w:p>
      <w:pPr>
        <w:adjustRightInd/>
        <w:snapToGrid/>
        <w:spacing w:line="240" w:lineRule="auto"/>
        <w:rPr>
          <w:rFonts w:ascii="宋体" w:hAnsi="宋体"/>
          <w:color w:val="auto"/>
          <w:highlight w:val="none"/>
        </w:rPr>
      </w:pPr>
      <w:bookmarkStart w:id="20" w:name="_Toc19316"/>
    </w:p>
    <w:p>
      <w:pPr>
        <w:pStyle w:val="4"/>
        <w:spacing w:before="0" w:after="0" w:line="360" w:lineRule="auto"/>
        <w:jc w:val="center"/>
        <w:rPr>
          <w:rFonts w:hint="eastAsia" w:ascii="宋体" w:hAnsi="宋体" w:eastAsia="宋体" w:cs="宋体"/>
          <w:color w:val="auto"/>
          <w:highlight w:val="none"/>
        </w:rPr>
      </w:pPr>
      <w:bookmarkStart w:id="21" w:name="_Toc8365"/>
      <w:r>
        <w:rPr>
          <w:rFonts w:hint="eastAsia" w:ascii="宋体" w:hAnsi="宋体"/>
          <w:color w:val="auto"/>
          <w:highlight w:val="none"/>
        </w:rPr>
        <w:br w:type="page"/>
      </w:r>
      <w:bookmarkStart w:id="22" w:name="_Toc19640"/>
      <w:r>
        <w:rPr>
          <w:rFonts w:hint="eastAsia" w:ascii="宋体" w:hAnsi="宋体" w:eastAsia="宋体" w:cs="宋体"/>
          <w:color w:val="auto"/>
          <w:highlight w:val="none"/>
        </w:rPr>
        <w:t>第二章 技术需求书</w:t>
      </w:r>
      <w:bookmarkEnd w:id="20"/>
      <w:bookmarkEnd w:id="21"/>
      <w:bookmarkEnd w:id="22"/>
    </w:p>
    <w:bookmarkEnd w:id="15"/>
    <w:p>
      <w:pPr>
        <w:widowControl w:val="0"/>
        <w:autoSpaceDE w:val="0"/>
        <w:autoSpaceDN w:val="0"/>
        <w:snapToGrid/>
        <w:spacing w:before="50" w:after="5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一、项目背景</w:t>
      </w:r>
    </w:p>
    <w:p>
      <w:pPr>
        <w:widowControl w:val="0"/>
        <w:autoSpaceDE w:val="0"/>
        <w:autoSpaceDN w:val="0"/>
        <w:snapToGrid/>
        <w:spacing w:line="400" w:lineRule="exact"/>
        <w:ind w:firstLine="420" w:firstLineChars="200"/>
        <w:rPr>
          <w:rFonts w:hint="eastAsia" w:ascii="宋体" w:hAnsi="宋体" w:eastAsia="宋体" w:cs="宋体"/>
          <w:b w:val="0"/>
          <w:bCs/>
          <w:color w:val="auto"/>
          <w:kern w:val="10"/>
          <w:sz w:val="21"/>
          <w:szCs w:val="21"/>
          <w:highlight w:val="none"/>
          <w:lang w:val="en-US" w:eastAsia="zh-CN" w:bidi="ar-SA"/>
        </w:rPr>
      </w:pPr>
      <w:bookmarkStart w:id="23" w:name="_Toc76376681"/>
      <w:bookmarkStart w:id="24" w:name="_Toc72425374"/>
      <w:bookmarkStart w:id="25" w:name="_Toc388902631"/>
      <w:r>
        <w:rPr>
          <w:rFonts w:hint="eastAsia" w:ascii="宋体" w:hAnsi="宋体" w:eastAsia="宋体" w:cs="宋体"/>
          <w:b w:val="0"/>
          <w:bCs/>
          <w:color w:val="auto"/>
          <w:kern w:val="10"/>
          <w:sz w:val="21"/>
          <w:szCs w:val="21"/>
          <w:highlight w:val="none"/>
          <w:lang w:val="en-US" w:eastAsia="zh-CN" w:bidi="ar-SA"/>
        </w:rPr>
        <w:t>1、</w:t>
      </w:r>
      <w:r>
        <w:rPr>
          <w:rFonts w:hint="eastAsia" w:ascii="宋体" w:hAnsi="宋体" w:eastAsia="宋体" w:cs="宋体"/>
          <w:bCs/>
          <w:color w:val="auto"/>
          <w:kern w:val="10"/>
          <w:szCs w:val="21"/>
          <w:highlight w:val="none"/>
        </w:rPr>
        <w:t>项目位于</w:t>
      </w:r>
      <w:r>
        <w:rPr>
          <w:rFonts w:hint="eastAsia" w:ascii="宋体" w:hAnsi="宋体" w:eastAsia="宋体" w:cs="宋体"/>
          <w:color w:val="auto"/>
          <w:sz w:val="21"/>
          <w:szCs w:val="21"/>
          <w:highlight w:val="none"/>
        </w:rPr>
        <w:t>东莞市</w:t>
      </w:r>
      <w:r>
        <w:rPr>
          <w:rFonts w:hint="eastAsia" w:ascii="宋体" w:hAnsi="宋体" w:eastAsia="宋体" w:cs="宋体"/>
          <w:bCs/>
          <w:color w:val="auto"/>
          <w:kern w:val="10"/>
          <w:szCs w:val="21"/>
          <w:highlight w:val="none"/>
          <w:lang w:val="en-US" w:eastAsia="zh-CN"/>
        </w:rPr>
        <w:t>企石镇</w:t>
      </w:r>
      <w:r>
        <w:rPr>
          <w:rFonts w:hint="eastAsia" w:ascii="宋体" w:hAnsi="宋体" w:eastAsia="宋体" w:cs="宋体"/>
          <w:bCs/>
          <w:color w:val="auto"/>
          <w:kern w:val="10"/>
          <w:szCs w:val="21"/>
          <w:highlight w:val="none"/>
        </w:rPr>
        <w:t>，东北至宝石路、南至东部快速、西至霞朗路与从莞深高速、东至人民路</w:t>
      </w:r>
      <w:r>
        <w:rPr>
          <w:rFonts w:hint="eastAsia" w:ascii="宋体" w:hAnsi="宋体" w:eastAsia="宋体" w:cs="宋体"/>
          <w:bCs/>
          <w:color w:val="auto"/>
          <w:kern w:val="10"/>
          <w:szCs w:val="21"/>
          <w:highlight w:val="none"/>
          <w:lang w:eastAsia="zh-CN"/>
        </w:rPr>
        <w:t>，</w:t>
      </w:r>
      <w:r>
        <w:rPr>
          <w:rFonts w:hint="eastAsia" w:ascii="宋体" w:hAnsi="宋体" w:eastAsia="宋体" w:cs="宋体"/>
          <w:bCs/>
          <w:color w:val="auto"/>
          <w:kern w:val="10"/>
          <w:szCs w:val="21"/>
          <w:highlight w:val="none"/>
          <w:lang w:val="en-US" w:eastAsia="zh-CN"/>
        </w:rPr>
        <w:t>片区范围约98公顷（约1466亩），其中政府收储区约529亩，收储区现状建筑面积约30万㎡，项目建筑</w:t>
      </w:r>
      <w:r>
        <w:rPr>
          <w:rFonts w:hint="eastAsia" w:ascii="宋体" w:hAnsi="宋体" w:eastAsia="宋体" w:cs="宋体"/>
          <w:bCs/>
          <w:color w:val="auto"/>
          <w:kern w:val="10"/>
          <w:szCs w:val="21"/>
          <w:highlight w:val="none"/>
        </w:rPr>
        <w:t>以低矮的一字型厂房为主，还有少量的宅基地、空地，厂房整体形象一般。权属较为复杂，项目范围内含有集体地、宅基地等。</w:t>
      </w:r>
      <w:r>
        <w:rPr>
          <w:rFonts w:hint="eastAsia" w:ascii="宋体" w:hAnsi="宋体" w:eastAsia="宋体" w:cs="宋体"/>
          <w:bCs/>
          <w:color w:val="auto"/>
          <w:kern w:val="10"/>
          <w:szCs w:val="21"/>
          <w:highlight w:val="none"/>
          <w:lang w:eastAsia="zh-CN"/>
        </w:rPr>
        <w:t>（</w:t>
      </w:r>
      <w:r>
        <w:rPr>
          <w:rFonts w:hint="eastAsia" w:ascii="宋体" w:hAnsi="宋体" w:eastAsia="宋体" w:cs="宋体"/>
          <w:b w:val="0"/>
          <w:bCs/>
          <w:color w:val="auto"/>
          <w:kern w:val="10"/>
          <w:sz w:val="21"/>
          <w:szCs w:val="21"/>
          <w:highlight w:val="none"/>
          <w:lang w:val="en-US" w:eastAsia="zh-CN" w:bidi="ar-SA"/>
        </w:rPr>
        <w:t>详见下图附件1，最终数据以测绘报告为准）</w:t>
      </w:r>
    </w:p>
    <w:p>
      <w:pPr>
        <w:widowControl w:val="0"/>
        <w:autoSpaceDE w:val="0"/>
        <w:autoSpaceDN w:val="0"/>
        <w:snapToGrid/>
        <w:spacing w:line="400" w:lineRule="exact"/>
        <w:ind w:firstLine="420" w:firstLineChars="200"/>
        <w:rPr>
          <w:rFonts w:hint="eastAsia" w:ascii="宋体" w:hAnsi="宋体" w:eastAsia="宋体" w:cs="宋体"/>
          <w:b w:val="0"/>
          <w:bCs/>
          <w:color w:val="auto"/>
          <w:kern w:val="10"/>
          <w:sz w:val="21"/>
          <w:szCs w:val="21"/>
          <w:highlight w:val="none"/>
          <w:lang w:val="en-US" w:eastAsia="zh-CN" w:bidi="ar-SA"/>
        </w:rPr>
      </w:pPr>
      <w:r>
        <w:rPr>
          <w:rFonts w:hint="eastAsia" w:ascii="宋体" w:hAnsi="宋体" w:eastAsia="宋体" w:cs="宋体"/>
          <w:b w:val="0"/>
          <w:bCs/>
          <w:color w:val="auto"/>
          <w:kern w:val="10"/>
          <w:sz w:val="21"/>
          <w:szCs w:val="21"/>
          <w:highlight w:val="none"/>
          <w:lang w:val="en-US" w:eastAsia="zh-CN" w:bidi="ar-SA"/>
        </w:rPr>
        <w:t>2、项目工作内容：对土地和房屋进行深入的调查及复核，调查成果是不动产权益确认、编制拆赔方案、处理违法用地、完善建设用地手续、征地报批等的重要依据文件。</w:t>
      </w:r>
    </w:p>
    <w:p>
      <w:pPr>
        <w:widowControl w:val="0"/>
        <w:autoSpaceDE w:val="0"/>
        <w:autoSpaceDN w:val="0"/>
        <w:snapToGrid/>
        <w:spacing w:before="50" w:after="5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bookmarkEnd w:id="23"/>
      <w:bookmarkEnd w:id="24"/>
      <w:bookmarkEnd w:id="25"/>
      <w:r>
        <w:rPr>
          <w:rFonts w:hint="eastAsia" w:ascii="宋体" w:hAnsi="宋体" w:eastAsia="宋体" w:cs="宋体"/>
          <w:b/>
          <w:color w:val="auto"/>
          <w:sz w:val="21"/>
          <w:szCs w:val="21"/>
          <w:highlight w:val="none"/>
        </w:rPr>
        <w:t>执行技术标准</w:t>
      </w:r>
    </w:p>
    <w:tbl>
      <w:tblPr>
        <w:tblStyle w:val="35"/>
        <w:tblW w:w="852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5"/>
        <w:gridCol w:w="4561"/>
        <w:gridCol w:w="2022"/>
        <w:gridCol w:w="12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50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rPr>
                <w:rFonts w:hint="eastAsia" w:ascii="宋体" w:hAnsi="宋体" w:eastAsia="宋体" w:cs="宋体"/>
                <w:b/>
                <w:bCs/>
                <w:color w:val="auto"/>
                <w:sz w:val="21"/>
                <w:szCs w:val="21"/>
                <w:highlight w:val="none"/>
              </w:rPr>
            </w:pPr>
            <w:bookmarkStart w:id="26" w:name="_Toc388022715"/>
            <w:bookmarkStart w:id="27" w:name="_Toc388023718"/>
            <w:bookmarkStart w:id="28" w:name="_Toc76376682"/>
            <w:bookmarkStart w:id="29" w:name="_Toc72425375"/>
            <w:bookmarkStart w:id="30" w:name="_Toc388902632"/>
            <w:bookmarkStart w:id="31" w:name="_Toc192913559"/>
            <w:bookmarkStart w:id="32" w:name="_Toc227493671"/>
            <w:bookmarkStart w:id="33" w:name="_Toc133855619"/>
            <w:bookmarkStart w:id="34" w:name="_Toc170124143"/>
            <w:bookmarkStart w:id="35" w:name="_Toc137736526"/>
            <w:bookmarkStart w:id="36" w:name="_Toc133653532"/>
            <w:r>
              <w:rPr>
                <w:rFonts w:hint="eastAsia" w:ascii="宋体" w:hAnsi="宋体" w:eastAsia="宋体" w:cs="宋体"/>
                <w:b/>
                <w:bCs/>
                <w:color w:val="auto"/>
                <w:sz w:val="21"/>
                <w:szCs w:val="21"/>
                <w:highlight w:val="none"/>
              </w:rPr>
              <w:t>序号</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 准 名 称</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标准代号</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标准等级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城市测量规范</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CJJ/T 8-2011</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行业标准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国家基本比例尺地图图式 第1部分：1：500 1：1000 1：2000地形图图式</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GB/T 20257.1-2017</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测绘成果质量检查与验收</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GB/T 24356-2023</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工程测量标准</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GB 50026-2020</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卫星定位城市测量技术标准</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CJJT 73-2019</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低空数字航空摄影测量规范</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CH/Z 3005-2010</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行业标准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房产测量规范</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GB/T 17986.1-2000</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关于印发《东莞市“三旧”改造（城市更新）实施操作细则（试行）》的通知</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东自然资〔2023〕311号</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东莞市城市更新相关政策及东莞市自然资源局有关规定</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行业标准</w:t>
            </w:r>
          </w:p>
        </w:tc>
      </w:tr>
    </w:tbl>
    <w:p>
      <w:pPr>
        <w:widowControl w:val="0"/>
        <w:autoSpaceDE w:val="0"/>
        <w:autoSpaceDN w:val="0"/>
        <w:snapToGrid/>
        <w:spacing w:before="50" w:after="50"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bookmarkEnd w:id="26"/>
      <w:bookmarkEnd w:id="27"/>
      <w:r>
        <w:rPr>
          <w:rFonts w:hint="eastAsia" w:ascii="宋体" w:hAnsi="宋体" w:eastAsia="宋体" w:cs="宋体"/>
          <w:b/>
          <w:color w:val="auto"/>
          <w:sz w:val="21"/>
          <w:szCs w:val="21"/>
          <w:highlight w:val="none"/>
        </w:rPr>
        <w:t>、</w:t>
      </w:r>
      <w:bookmarkEnd w:id="28"/>
      <w:bookmarkEnd w:id="29"/>
      <w:bookmarkEnd w:id="30"/>
      <w:r>
        <w:rPr>
          <w:rFonts w:hint="eastAsia" w:ascii="宋体" w:hAnsi="宋体" w:eastAsia="宋体" w:cs="宋体"/>
          <w:b/>
          <w:color w:val="auto"/>
          <w:sz w:val="21"/>
          <w:szCs w:val="21"/>
          <w:highlight w:val="none"/>
        </w:rPr>
        <w:t>项目成果</w:t>
      </w:r>
    </w:p>
    <w:bookmarkEnd w:id="31"/>
    <w:bookmarkEnd w:id="32"/>
    <w:bookmarkEnd w:id="33"/>
    <w:bookmarkEnd w:id="34"/>
    <w:bookmarkEnd w:id="35"/>
    <w:bookmarkEnd w:id="36"/>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本项目成果组成如下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最终成果名称和数量以政府规定的相关要求为准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bl>
      <w:tblPr>
        <w:tblStyle w:val="3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7"/>
        <w:gridCol w:w="5763"/>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763"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成果名称</w:t>
            </w:r>
          </w:p>
        </w:tc>
        <w:tc>
          <w:tcPr>
            <w:tcW w:w="1502"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6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土地和房屋权籍调查权属分布图</w:t>
            </w:r>
          </w:p>
        </w:tc>
        <w:tc>
          <w:tcPr>
            <w:tcW w:w="150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2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6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2009年度土地利用现状图（局部）</w:t>
            </w:r>
          </w:p>
        </w:tc>
        <w:tc>
          <w:tcPr>
            <w:tcW w:w="150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76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最新年度土地利用现状图（局部）</w:t>
            </w:r>
          </w:p>
        </w:tc>
        <w:tc>
          <w:tcPr>
            <w:tcW w:w="150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76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国土空间总体规划图(2021-2035年)（局部）</w:t>
            </w:r>
          </w:p>
        </w:tc>
        <w:tc>
          <w:tcPr>
            <w:tcW w:w="150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76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2009年低空摄影测量影像图（局部）</w:t>
            </w:r>
          </w:p>
        </w:tc>
        <w:tc>
          <w:tcPr>
            <w:tcW w:w="150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76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最新低空摄影测量影像图（局部）</w:t>
            </w:r>
          </w:p>
        </w:tc>
        <w:tc>
          <w:tcPr>
            <w:tcW w:w="150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76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土地权籍调查明细表</w:t>
            </w:r>
          </w:p>
        </w:tc>
        <w:tc>
          <w:tcPr>
            <w:tcW w:w="150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76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房屋权籍调查明细表</w:t>
            </w:r>
          </w:p>
        </w:tc>
        <w:tc>
          <w:tcPr>
            <w:tcW w:w="150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76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拆除范围旧厂旧村（旧城镇）划分示意图</w:t>
            </w:r>
          </w:p>
        </w:tc>
        <w:tc>
          <w:tcPr>
            <w:tcW w:w="150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76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“一户一册”实测报告</w:t>
            </w:r>
          </w:p>
        </w:tc>
        <w:tc>
          <w:tcPr>
            <w:tcW w:w="150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76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技术总结、质检报告</w:t>
            </w:r>
          </w:p>
        </w:tc>
        <w:tc>
          <w:tcPr>
            <w:tcW w:w="150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76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电子数据光盘</w:t>
            </w:r>
          </w:p>
        </w:tc>
        <w:tc>
          <w:tcPr>
            <w:tcW w:w="1502"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1套</w:t>
            </w:r>
          </w:p>
        </w:tc>
      </w:tr>
    </w:tbl>
    <w:p>
      <w:pPr>
        <w:widowControl w:val="0"/>
        <w:autoSpaceDE w:val="0"/>
        <w:autoSpaceDN w:val="0"/>
        <w:snapToGrid/>
        <w:spacing w:before="50" w:after="50" w:line="400" w:lineRule="exac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、对供应商的要求</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（一）基本要求</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以“守法、公平、公正、独立”的原则，开展本次对企石镇霞朗-新南现代化产业园区（“城中村”改造项目）权籍调查审查的资料收集、现场踏勘和技术设计、控制测量、1:500地形图测绘、土地和房产权籍调查、建（构）筑物及附属物入户丈量和图片拍摄等工作，维护业主单位与服务单位的合法权益；</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w:t>
      </w:r>
      <w:r>
        <w:rPr>
          <w:rFonts w:hint="eastAsia" w:hAnsi="宋体"/>
          <w:color w:val="auto"/>
          <w:kern w:val="2"/>
          <w:sz w:val="21"/>
          <w:szCs w:val="21"/>
          <w:highlight w:val="none"/>
        </w:rPr>
        <w:t xml:space="preserve"> 供应商</w:t>
      </w:r>
      <w:r>
        <w:rPr>
          <w:rFonts w:hint="eastAsia" w:hAnsi="宋体" w:cs="宋体"/>
          <w:color w:val="auto"/>
          <w:sz w:val="21"/>
          <w:szCs w:val="21"/>
          <w:highlight w:val="none"/>
        </w:rPr>
        <w:t>的质检人员、测量人员、图册制作人员非因采购人要求或其他特殊情况，原则上不得随意更换；</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3.不得以任何形式侵害业主单位知识产权；</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4.在数据收集整理、数据质检、图表制作过程中因违犯国家法律、法规，造成重大质量、安全事故的，应承担相应的经济责任和法律责任。</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（二）服务要求</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w:t>
      </w:r>
      <w:r>
        <w:rPr>
          <w:rFonts w:hint="eastAsia" w:hAnsi="宋体"/>
          <w:color w:val="auto"/>
          <w:kern w:val="2"/>
          <w:sz w:val="21"/>
          <w:szCs w:val="21"/>
          <w:highlight w:val="none"/>
        </w:rPr>
        <w:t xml:space="preserve"> 供应商</w:t>
      </w:r>
      <w:r>
        <w:rPr>
          <w:rFonts w:hint="eastAsia" w:hAnsi="宋体" w:cs="宋体"/>
          <w:color w:val="auto"/>
          <w:sz w:val="21"/>
          <w:szCs w:val="21"/>
          <w:highlight w:val="none"/>
        </w:rPr>
        <w:t>必须坚持以“质量第一，预防为主”，用“科学、规范、诚信”作为数据收集整理、数据质检、图表制作原则，做好项目进度和质量控制管理，协助业主单位完成项目任务并提供管理和技术咨询；</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w:t>
      </w:r>
      <w:r>
        <w:rPr>
          <w:rFonts w:hint="eastAsia" w:hAnsi="宋体"/>
          <w:color w:val="auto"/>
          <w:kern w:val="2"/>
          <w:sz w:val="21"/>
          <w:szCs w:val="21"/>
          <w:highlight w:val="none"/>
        </w:rPr>
        <w:t xml:space="preserve"> 供应商</w:t>
      </w:r>
      <w:r>
        <w:rPr>
          <w:rFonts w:hint="eastAsia" w:hAnsi="宋体" w:cs="宋体"/>
          <w:color w:val="auto"/>
          <w:sz w:val="21"/>
          <w:szCs w:val="21"/>
          <w:highlight w:val="none"/>
        </w:rPr>
        <w:t>应设立完善的工作架构体系，负责整个项目实施全过程的顺利开展，不得随意更换一线调查人员；</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3.该项目数据收集整理、数据质检、图表制作工作贯穿全作业流程，工期自合同签定之日起至项目完成并通过业主质量检查验收。</w:t>
      </w:r>
    </w:p>
    <w:p>
      <w:pPr>
        <w:widowControl w:val="0"/>
        <w:autoSpaceDE w:val="0"/>
        <w:autoSpaceDN w:val="0"/>
        <w:snapToGrid/>
        <w:spacing w:before="50" w:after="50" w:line="400" w:lineRule="exac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rPr>
        <w:t>、工作要求</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（一）项目技术方案的质量控制</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审查本次对企石镇霞朗-新南现代化产业园区（“城中村”改造项目）权籍调查审查质量控制措施（包括承担单位质量管理制度的建立、项目实施的质量控制措施、专职质检人员的配备、专职图表制作的配置、质量检查实施及记录情况）。</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（二）进度控制</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1.根据项目进度计划，定期对投入的人员、设备进行检查；</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2.对项目进度进行实时、动态跟踪，必要时根据实际情况对进度计划进行调整，以确保项目的阶段和总体进度目标的实现；</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3.当项目进度严重偏离计划时，应及时指出并提出对策建议，同时督促项目总工程师尽快采取措施。</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4.当工程进度可能导致项目工期严重延误时，应详细分析原因和提出对策，供业主方采取措施或做出决定。</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（三）测绘成果的质量控制</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为保障项目成果的完整性、客观性、准确性，在项目实施过程中必须加强项目过程质量控制，实行全程质量管理，将质量监督管理工作贯穿项目全过程，并重点监控关键环节和薄弱环节。一是落实质检人员分工，明确质检工作实施流程和管理机制；二是制定多种质检流程和方法，包括人工质检（主要对完整性、规范性进行检查）、人工抽检等步骤，落实自查和互查等方法。</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（四）最终成果资料完整性确认</w:t>
      </w:r>
    </w:p>
    <w:p>
      <w:pPr>
        <w:spacing w:before="50" w:after="50"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1.对土地和房屋权属表、1:500地形图、土地利用总体规划图（局部）等成果资料进行规范性检查确认。</w:t>
      </w:r>
    </w:p>
    <w:p>
      <w:pPr>
        <w:widowControl w:val="0"/>
        <w:autoSpaceDE w:val="0"/>
        <w:autoSpaceDN w:val="0"/>
        <w:snapToGrid/>
        <w:spacing w:before="50" w:after="50" w:line="400" w:lineRule="exact"/>
        <w:rPr>
          <w:rFonts w:hAnsi="宋体" w:cs="宋体"/>
          <w:b/>
          <w:color w:val="auto"/>
          <w:sz w:val="21"/>
          <w:szCs w:val="21"/>
          <w:highlight w:val="none"/>
        </w:rPr>
      </w:pPr>
      <w:r>
        <w:rPr>
          <w:rFonts w:hint="eastAsia" w:hAnsi="宋体" w:cs="宋体"/>
          <w:b/>
          <w:color w:val="auto"/>
          <w:sz w:val="21"/>
          <w:szCs w:val="21"/>
          <w:highlight w:val="none"/>
          <w:lang w:val="en-US" w:eastAsia="zh-CN"/>
        </w:rPr>
        <w:t>六</w:t>
      </w:r>
      <w:r>
        <w:rPr>
          <w:rFonts w:hint="eastAsia" w:hAnsi="宋体" w:cs="宋体"/>
          <w:b/>
          <w:color w:val="auto"/>
          <w:sz w:val="21"/>
          <w:szCs w:val="21"/>
          <w:highlight w:val="none"/>
        </w:rPr>
        <w:t>、</w:t>
      </w:r>
      <w:r>
        <w:rPr>
          <w:rFonts w:hint="eastAsia" w:ascii="宋体" w:hAnsi="宋体" w:eastAsia="宋体" w:cs="宋体"/>
          <w:b/>
          <w:color w:val="auto"/>
          <w:sz w:val="21"/>
          <w:szCs w:val="21"/>
          <w:highlight w:val="none"/>
        </w:rPr>
        <w:t>售后服务</w:t>
      </w:r>
    </w:p>
    <w:p>
      <w:pPr>
        <w:pStyle w:val="78"/>
        <w:spacing w:line="400" w:lineRule="exact"/>
        <w:ind w:firstLine="420" w:firstLineChars="200"/>
        <w:rPr>
          <w:rFonts w:hAnsi="宋体" w:cs="宋体"/>
          <w:color w:val="auto"/>
          <w:sz w:val="21"/>
          <w:highlight w:val="none"/>
        </w:rPr>
      </w:pPr>
      <w:r>
        <w:rPr>
          <w:rFonts w:hint="eastAsia" w:hAnsi="宋体" w:cs="宋体"/>
          <w:color w:val="auto"/>
          <w:sz w:val="21"/>
          <w:highlight w:val="none"/>
        </w:rPr>
        <w:t>1.服务总目标：自始至终提供优质满意服务；</w:t>
      </w:r>
    </w:p>
    <w:p>
      <w:pPr>
        <w:pStyle w:val="78"/>
        <w:spacing w:line="400" w:lineRule="exact"/>
        <w:ind w:firstLine="420" w:firstLineChars="200"/>
        <w:rPr>
          <w:rFonts w:hAnsi="宋体" w:cs="宋体"/>
          <w:color w:val="auto"/>
          <w:sz w:val="21"/>
          <w:highlight w:val="none"/>
        </w:rPr>
      </w:pPr>
      <w:r>
        <w:rPr>
          <w:rFonts w:hint="eastAsia" w:hAnsi="宋体" w:cs="宋体"/>
          <w:color w:val="auto"/>
          <w:sz w:val="21"/>
          <w:highlight w:val="none"/>
        </w:rPr>
        <w:t>2.服务承诺：工作积极主动，加强与采购人的沟通、联系、定时汇报工作，及时加强与采购人相关单位的联系，了解情况，认真做好相关技术服务工作；保持足够的技术人员及仪器设备，按时完成采购人下达的任务；及时解决相关单位提出的各种问题。</w:t>
      </w:r>
    </w:p>
    <w:p>
      <w:pPr>
        <w:pStyle w:val="78"/>
        <w:spacing w:line="400" w:lineRule="exact"/>
        <w:ind w:firstLine="420" w:firstLineChars="200"/>
        <w:rPr>
          <w:rFonts w:hAnsi="宋体" w:cs="宋体"/>
          <w:color w:val="auto"/>
          <w:sz w:val="21"/>
          <w:highlight w:val="none"/>
        </w:rPr>
      </w:pPr>
      <w:r>
        <w:rPr>
          <w:rFonts w:hint="eastAsia" w:hAnsi="宋体" w:cs="宋体"/>
          <w:color w:val="auto"/>
          <w:sz w:val="21"/>
          <w:highlight w:val="none"/>
        </w:rPr>
        <w:t>3.项目最终成果经相关程序对外公示后，若收到异议的，免费处理相关单位提出的成果复核及现场校核问题。</w:t>
      </w:r>
    </w:p>
    <w:p>
      <w:pPr>
        <w:widowControl w:val="0"/>
        <w:autoSpaceDE w:val="0"/>
        <w:autoSpaceDN w:val="0"/>
        <w:snapToGrid/>
        <w:spacing w:before="50" w:after="50" w:line="400" w:lineRule="exact"/>
        <w:rPr>
          <w:rFonts w:hAnsi="宋体" w:cs="宋体"/>
          <w:b/>
          <w:color w:val="auto"/>
          <w:sz w:val="21"/>
          <w:szCs w:val="21"/>
          <w:highlight w:val="none"/>
        </w:rPr>
      </w:pPr>
      <w:r>
        <w:rPr>
          <w:rFonts w:hint="eastAsia" w:hAnsi="宋体" w:cs="宋体"/>
          <w:b/>
          <w:color w:val="auto"/>
          <w:sz w:val="21"/>
          <w:szCs w:val="21"/>
          <w:highlight w:val="none"/>
          <w:lang w:val="en-US" w:eastAsia="zh-CN"/>
        </w:rPr>
        <w:t>七</w:t>
      </w:r>
      <w:r>
        <w:rPr>
          <w:rFonts w:hint="eastAsia" w:hAnsi="宋体" w:cs="宋体"/>
          <w:b/>
          <w:color w:val="auto"/>
          <w:sz w:val="21"/>
          <w:szCs w:val="21"/>
          <w:highlight w:val="none"/>
        </w:rPr>
        <w:t>、</w:t>
      </w:r>
      <w:r>
        <w:rPr>
          <w:rFonts w:hint="eastAsia" w:ascii="宋体" w:hAnsi="宋体" w:eastAsia="宋体" w:cs="宋体"/>
          <w:b/>
          <w:color w:val="auto"/>
          <w:sz w:val="21"/>
          <w:szCs w:val="21"/>
          <w:highlight w:val="none"/>
        </w:rPr>
        <w:t>项目</w:t>
      </w:r>
      <w:r>
        <w:rPr>
          <w:rFonts w:hint="eastAsia" w:hAnsi="宋体" w:cs="宋体"/>
          <w:b/>
          <w:color w:val="auto"/>
          <w:sz w:val="21"/>
          <w:szCs w:val="21"/>
          <w:highlight w:val="none"/>
        </w:rPr>
        <w:t>工期</w:t>
      </w:r>
    </w:p>
    <w:p>
      <w:pPr>
        <w:pStyle w:val="78"/>
        <w:spacing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cs="宋体"/>
          <w:color w:val="auto"/>
          <w:szCs w:val="21"/>
          <w:highlight w:val="none"/>
        </w:rPr>
        <w:t>签订合同后2个月内完成权籍调查详查复核工作，并提交项目最终成果。</w:t>
      </w:r>
    </w:p>
    <w:p>
      <w:pPr>
        <w:ind w:firstLine="420" w:firstLineChars="200"/>
        <w:rPr>
          <w:rFonts w:hint="eastAsia" w:ascii="宋体" w:hAnsi="宋体" w:eastAsia="宋体" w:cs="宋体"/>
          <w:color w:val="auto"/>
          <w:sz w:val="21"/>
          <w:szCs w:val="21"/>
          <w:highlight w:val="none"/>
        </w:rPr>
      </w:pPr>
    </w:p>
    <w:p>
      <w:pPr>
        <w:ind w:firstLine="420" w:firstLineChars="200"/>
        <w:rPr>
          <w:rFonts w:ascii="宋体" w:hAnsi="宋体" w:cs="Times New Roman"/>
          <w:color w:val="auto"/>
          <w:szCs w:val="21"/>
          <w:highlight w:val="none"/>
        </w:rPr>
      </w:pPr>
    </w:p>
    <w:p>
      <w:pPr>
        <w:ind w:firstLine="420" w:firstLineChars="200"/>
        <w:rPr>
          <w:rFonts w:ascii="宋体" w:hAnsi="宋体" w:cs="Times New Roman"/>
          <w:color w:val="auto"/>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widowControl w:val="0"/>
        <w:autoSpaceDE w:val="0"/>
        <w:autoSpaceDN w:val="0"/>
        <w:snapToGrid/>
        <w:spacing w:before="50" w:after="50" w:line="40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项目范围示意图</w:t>
      </w:r>
    </w:p>
    <w:p>
      <w:pPr>
        <w:ind w:firstLine="420" w:firstLineChars="200"/>
        <w:rPr>
          <w:rFonts w:ascii="宋体" w:hAnsi="宋体" w:cs="Times New Roman"/>
          <w:color w:val="auto"/>
          <w:szCs w:val="21"/>
          <w:highlight w:val="none"/>
        </w:rPr>
      </w:pPr>
      <w:r>
        <w:rPr>
          <w:color w:val="auto"/>
          <w:highlight w:val="none"/>
        </w:rPr>
        <w:drawing>
          <wp:anchor distT="0" distB="0" distL="114300" distR="114300" simplePos="0" relativeHeight="251659264" behindDoc="1" locked="0" layoutInCell="1" allowOverlap="1">
            <wp:simplePos x="0" y="0"/>
            <wp:positionH relativeFrom="column">
              <wp:posOffset>-114300</wp:posOffset>
            </wp:positionH>
            <wp:positionV relativeFrom="paragraph">
              <wp:posOffset>10795</wp:posOffset>
            </wp:positionV>
            <wp:extent cx="5371465" cy="4144010"/>
            <wp:effectExtent l="0" t="0" r="0" b="0"/>
            <wp:wrapTight wrapText="bothSides">
              <wp:wrapPolygon>
                <wp:start x="0" y="0"/>
                <wp:lineTo x="0" y="21547"/>
                <wp:lineTo x="21526" y="21547"/>
                <wp:lineTo x="21526"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371465" cy="4144010"/>
                    </a:xfrm>
                    <a:prstGeom prst="rect">
                      <a:avLst/>
                    </a:prstGeom>
                    <a:noFill/>
                    <a:ln>
                      <a:noFill/>
                    </a:ln>
                  </pic:spPr>
                </pic:pic>
              </a:graphicData>
            </a:graphic>
          </wp:anchor>
        </w:drawing>
      </w:r>
    </w:p>
    <w:p>
      <w:pPr>
        <w:rPr>
          <w:color w:val="auto"/>
          <w:highlight w:val="none"/>
        </w:rPr>
      </w:pPr>
    </w:p>
    <w:bookmarkEnd w:id="16"/>
    <w:bookmarkEnd w:id="17"/>
    <w:bookmarkEnd w:id="18"/>
    <w:bookmarkEnd w:id="19"/>
    <w:p>
      <w:pPr>
        <w:rPr>
          <w:color w:val="auto"/>
          <w:sz w:val="28"/>
          <w:szCs w:val="28"/>
          <w:highlight w:val="none"/>
        </w:rPr>
      </w:pPr>
      <w:r>
        <w:rPr>
          <w:rFonts w:hint="eastAsia"/>
          <w:color w:val="auto"/>
          <w:sz w:val="28"/>
          <w:szCs w:val="28"/>
          <w:highlight w:val="none"/>
        </w:rPr>
        <w:br w:type="page"/>
      </w:r>
    </w:p>
    <w:p>
      <w:pPr>
        <w:pStyle w:val="2"/>
        <w:spacing w:before="0" w:after="0" w:line="240" w:lineRule="auto"/>
        <w:rPr>
          <w:color w:val="auto"/>
          <w:sz w:val="24"/>
          <w:szCs w:val="24"/>
          <w:highlight w:val="none"/>
        </w:rPr>
      </w:pPr>
      <w:bookmarkStart w:id="37" w:name="_Toc12173"/>
      <w:bookmarkStart w:id="38" w:name="_Toc8670"/>
      <w:r>
        <w:rPr>
          <w:rFonts w:hint="eastAsia"/>
          <w:color w:val="auto"/>
          <w:sz w:val="28"/>
          <w:szCs w:val="28"/>
          <w:highlight w:val="none"/>
        </w:rPr>
        <w:t>第四部分</w:t>
      </w:r>
      <w:r>
        <w:rPr>
          <w:rFonts w:hint="eastAsia"/>
          <w:color w:val="auto"/>
          <w:sz w:val="28"/>
          <w:szCs w:val="28"/>
          <w:highlight w:val="none"/>
          <w:lang w:val="en-US" w:eastAsia="zh-CN"/>
        </w:rPr>
        <w:t xml:space="preserve"> </w:t>
      </w:r>
      <w:r>
        <w:rPr>
          <w:rFonts w:hint="eastAsia"/>
          <w:color w:val="auto"/>
          <w:sz w:val="28"/>
          <w:szCs w:val="28"/>
          <w:highlight w:val="none"/>
        </w:rPr>
        <w:t>供应商须知</w:t>
      </w:r>
      <w:bookmarkEnd w:id="37"/>
      <w:bookmarkEnd w:id="38"/>
    </w:p>
    <w:p>
      <w:pPr>
        <w:pStyle w:val="4"/>
        <w:numPr>
          <w:ilvl w:val="0"/>
          <w:numId w:val="2"/>
        </w:numPr>
        <w:spacing w:before="0" w:after="0" w:line="480" w:lineRule="auto"/>
        <w:jc w:val="center"/>
        <w:rPr>
          <w:rFonts w:ascii="宋体" w:hAnsi="宋体"/>
          <w:color w:val="auto"/>
          <w:highlight w:val="none"/>
        </w:rPr>
      </w:pPr>
      <w:bookmarkStart w:id="39" w:name="_Toc399"/>
      <w:bookmarkStart w:id="40" w:name="_Toc24619"/>
      <w:r>
        <w:rPr>
          <w:rFonts w:hint="eastAsia" w:ascii="宋体" w:hAnsi="宋体"/>
          <w:color w:val="auto"/>
          <w:highlight w:val="none"/>
        </w:rPr>
        <w:t>说明</w:t>
      </w:r>
      <w:bookmarkEnd w:id="39"/>
      <w:bookmarkEnd w:id="40"/>
    </w:p>
    <w:p>
      <w:pPr>
        <w:pStyle w:val="5"/>
        <w:widowControl w:val="0"/>
        <w:numPr>
          <w:ilvl w:val="0"/>
          <w:numId w:val="3"/>
        </w:numPr>
        <w:overflowPunct w:val="0"/>
        <w:rPr>
          <w:rFonts w:ascii="宋体" w:hAnsi="宋体" w:cs="宋体"/>
          <w:color w:val="auto"/>
          <w:sz w:val="21"/>
          <w:szCs w:val="21"/>
          <w:highlight w:val="none"/>
        </w:rPr>
      </w:pPr>
      <w:bookmarkStart w:id="41" w:name="_Toc3534"/>
      <w:bookmarkStart w:id="42" w:name="_Toc6903"/>
      <w:bookmarkStart w:id="43" w:name="_Toc8725"/>
      <w:r>
        <w:rPr>
          <w:rFonts w:hint="eastAsia" w:ascii="宋体" w:hAnsi="宋体" w:cs="宋体"/>
          <w:color w:val="auto"/>
          <w:sz w:val="21"/>
          <w:szCs w:val="21"/>
          <w:highlight w:val="none"/>
        </w:rPr>
        <w:t>适用范围</w:t>
      </w:r>
      <w:bookmarkEnd w:id="41"/>
      <w:bookmarkEnd w:id="42"/>
      <w:bookmarkEnd w:id="43"/>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44" w:name="_Toc15529"/>
      <w:bookmarkStart w:id="45" w:name="_Toc382049092"/>
      <w:bookmarkStart w:id="46" w:name="_Toc1427"/>
      <w:bookmarkStart w:id="47" w:name="_Toc20286"/>
      <w:bookmarkStart w:id="48" w:name="_Toc303084246"/>
      <w:bookmarkStart w:id="49" w:name="_Toc298847174"/>
      <w:bookmarkStart w:id="50" w:name="_Toc1530"/>
      <w:r>
        <w:rPr>
          <w:rFonts w:hint="eastAsia" w:ascii="宋体" w:hAnsi="宋体" w:cs="宋体"/>
          <w:color w:val="auto"/>
          <w:sz w:val="21"/>
          <w:szCs w:val="21"/>
          <w:highlight w:val="none"/>
        </w:rPr>
        <w:t>定义</w:t>
      </w:r>
      <w:bookmarkEnd w:id="44"/>
      <w:bookmarkEnd w:id="45"/>
      <w:bookmarkEnd w:id="46"/>
      <w:bookmarkEnd w:id="47"/>
      <w:bookmarkEnd w:id="48"/>
      <w:bookmarkEnd w:id="49"/>
      <w:bookmarkEnd w:id="50"/>
    </w:p>
    <w:p>
      <w:pPr>
        <w:pStyle w:val="57"/>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采购人：见磋商邀请书。</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供应商：响应采购并且符合磋商文件规定资格条件和参加磋商竞争的法人、其他组织或者自然人。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成交人：指经评标委员会评审推荐、采购人确认的获得本项目成交资格的供应商。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采购代理机构：见磋商邀请书。</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供应商如在响应文件中使用“投标专用章”，应提供法定代表人签字或加盖公章说明该“投标专用章”与法人公章具备同等效力的证明文件，且投标当天应携带相关原件到现场，以供核查。因响应文件未提供相关手续复印件和无法核查投标专用章的真实性而导致的后果由供应商自行承担。）</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51" w:name="_Toc12759"/>
      <w:bookmarkStart w:id="52" w:name="_Toc1984"/>
      <w:bookmarkStart w:id="53" w:name="_Toc11624"/>
      <w:r>
        <w:rPr>
          <w:rFonts w:hint="eastAsia" w:ascii="宋体" w:hAnsi="宋体" w:cs="宋体"/>
          <w:color w:val="auto"/>
          <w:sz w:val="21"/>
          <w:szCs w:val="21"/>
          <w:highlight w:val="none"/>
        </w:rPr>
        <w:t>货物和服务</w:t>
      </w:r>
      <w:bookmarkEnd w:id="51"/>
      <w:bookmarkEnd w:id="52"/>
      <w:bookmarkEnd w:id="53"/>
    </w:p>
    <w:p>
      <w:pPr>
        <w:pStyle w:val="57"/>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54" w:name="_Toc30467"/>
      <w:bookmarkStart w:id="55" w:name="_Toc15719"/>
      <w:bookmarkStart w:id="56" w:name="_Toc25256"/>
      <w:r>
        <w:rPr>
          <w:rFonts w:hint="eastAsia" w:ascii="宋体" w:hAnsi="宋体" w:cs="宋体"/>
          <w:color w:val="auto"/>
          <w:sz w:val="21"/>
          <w:szCs w:val="21"/>
          <w:highlight w:val="none"/>
        </w:rPr>
        <w:t>磋商费用</w:t>
      </w:r>
      <w:bookmarkEnd w:id="54"/>
      <w:bookmarkEnd w:id="55"/>
      <w:bookmarkEnd w:id="56"/>
    </w:p>
    <w:p>
      <w:pPr>
        <w:pStyle w:val="57"/>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供应商应承担所有与编写响应文件和参加磋商有关的自身的所有费用，不论磋商的结果如何，采购代理机构和采购人在任何情况下均无义务和责任承担这些费用。</w:t>
      </w:r>
    </w:p>
    <w:p>
      <w:pPr>
        <w:widowControl w:val="0"/>
        <w:adjustRightInd/>
        <w:snapToGrid/>
        <w:jc w:val="both"/>
        <w:rPr>
          <w:rFonts w:ascii="宋体" w:hAnsi="宋体" w:cs="宋体"/>
          <w:color w:val="auto"/>
          <w:szCs w:val="21"/>
          <w:highlight w:val="none"/>
        </w:rPr>
      </w:pPr>
    </w:p>
    <w:p>
      <w:pPr>
        <w:pStyle w:val="5"/>
        <w:widowControl w:val="0"/>
        <w:numPr>
          <w:ilvl w:val="0"/>
          <w:numId w:val="3"/>
        </w:numPr>
        <w:overflowPunct w:val="0"/>
        <w:rPr>
          <w:rFonts w:ascii="宋体" w:hAnsi="宋体" w:cs="宋体"/>
          <w:color w:val="auto"/>
          <w:sz w:val="21"/>
          <w:szCs w:val="21"/>
          <w:highlight w:val="none"/>
        </w:rPr>
      </w:pPr>
      <w:bookmarkStart w:id="57" w:name="_Toc7946"/>
      <w:bookmarkStart w:id="58" w:name="_Toc6180"/>
      <w:bookmarkStart w:id="59" w:name="_Toc30552"/>
      <w:r>
        <w:rPr>
          <w:rFonts w:hint="eastAsia" w:ascii="宋体" w:hAnsi="宋体" w:cs="宋体"/>
          <w:color w:val="auto"/>
          <w:sz w:val="21"/>
          <w:szCs w:val="21"/>
          <w:highlight w:val="none"/>
        </w:rPr>
        <w:t>知识产权</w:t>
      </w:r>
      <w:bookmarkEnd w:id="57"/>
      <w:bookmarkEnd w:id="58"/>
      <w:bookmarkEnd w:id="59"/>
    </w:p>
    <w:p>
      <w:pPr>
        <w:pStyle w:val="57"/>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供应商如欲在项目实施过程中采用自有知识成果，需在响应文件中声明，并提供相关知识产权证明文件。使用该知识成果后，供应商需提供开发接口和开发手册等技术文档。</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采购货物为计算机办公设备时，供应商提供的产品必须是预装正版操作系统软件的计算机产品。</w:t>
      </w:r>
    </w:p>
    <w:p>
      <w:pPr>
        <w:widowControl w:val="0"/>
        <w:adjustRightInd/>
        <w:snapToGrid/>
        <w:ind w:left="567"/>
        <w:jc w:val="both"/>
        <w:rPr>
          <w:rFonts w:ascii="宋体" w:hAnsi="宋体" w:cs="宋体"/>
          <w:color w:val="auto"/>
          <w:szCs w:val="21"/>
          <w:highlight w:val="none"/>
        </w:rPr>
      </w:pPr>
    </w:p>
    <w:p>
      <w:pPr>
        <w:pStyle w:val="5"/>
        <w:widowControl w:val="0"/>
        <w:numPr>
          <w:ilvl w:val="0"/>
          <w:numId w:val="3"/>
        </w:numPr>
        <w:overflowPunct w:val="0"/>
        <w:rPr>
          <w:rFonts w:ascii="宋体" w:hAnsi="宋体" w:cs="宋体"/>
          <w:color w:val="auto"/>
          <w:sz w:val="21"/>
          <w:szCs w:val="21"/>
          <w:highlight w:val="none"/>
        </w:rPr>
      </w:pPr>
      <w:bookmarkStart w:id="60" w:name="_Toc2352"/>
      <w:bookmarkStart w:id="61" w:name="_Toc31556"/>
      <w:bookmarkStart w:id="62" w:name="_Toc32767"/>
      <w:r>
        <w:rPr>
          <w:rFonts w:hint="eastAsia" w:ascii="宋体" w:hAnsi="宋体" w:cs="宋体"/>
          <w:color w:val="auto"/>
          <w:sz w:val="21"/>
          <w:szCs w:val="21"/>
          <w:highlight w:val="none"/>
        </w:rPr>
        <w:t>关于联合体投标</w:t>
      </w:r>
      <w:bookmarkEnd w:id="60"/>
      <w:bookmarkEnd w:id="61"/>
      <w:bookmarkEnd w:id="62"/>
    </w:p>
    <w:p>
      <w:pPr>
        <w:pStyle w:val="57"/>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对接受联合体投标的项目：两个以上的自然人、法人或者其他组织可以组成一个联合体，以一个供应商的身份共同参加采购活动。</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以联合体形式参与项目的供应商在领购磋商文件时，应提供所有联合体组成成员的营业执照复印件，并加盖各联合体组成成员的公章。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磋商文件对供应商资格条件有规定的，联合体各方均应当具备规定的相应资格条件。由同一专业的单位组成的联合体，按照资质等级较低的单位确定资质等级。</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响应文件内提交，明确约定联合体各方承担的工作和相应的责任。联合体各方签订共同投标协议后，不得再以自己名义单独在同一项目中投标，也不得组成新的联合体参加同一项目投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除联合体协议明确授权盖章单位外，联合体投标时响应文件中所有要求盖章的地方均须加盖联合体所有组成成员的公章，否则该处盖章无效。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ind w:left="567"/>
        <w:jc w:val="both"/>
        <w:rPr>
          <w:rFonts w:ascii="宋体" w:hAnsi="宋体" w:cs="宋体"/>
          <w:color w:val="auto"/>
          <w:szCs w:val="21"/>
          <w:highlight w:val="none"/>
        </w:rPr>
      </w:pPr>
    </w:p>
    <w:p>
      <w:pPr>
        <w:pStyle w:val="5"/>
        <w:widowControl w:val="0"/>
        <w:numPr>
          <w:ilvl w:val="0"/>
          <w:numId w:val="3"/>
        </w:numPr>
        <w:overflowPunct w:val="0"/>
        <w:rPr>
          <w:rFonts w:ascii="宋体" w:hAnsi="宋体" w:cs="宋体"/>
          <w:color w:val="auto"/>
          <w:sz w:val="21"/>
          <w:szCs w:val="21"/>
          <w:highlight w:val="none"/>
        </w:rPr>
      </w:pPr>
      <w:bookmarkStart w:id="63" w:name="_Toc21244"/>
      <w:bookmarkStart w:id="64" w:name="_Toc21230"/>
      <w:bookmarkStart w:id="65" w:name="_Toc3572"/>
      <w:r>
        <w:rPr>
          <w:rFonts w:hint="eastAsia" w:ascii="宋体" w:hAnsi="宋体" w:cs="宋体"/>
          <w:color w:val="auto"/>
          <w:sz w:val="21"/>
          <w:szCs w:val="21"/>
          <w:highlight w:val="none"/>
        </w:rPr>
        <w:t>关于分支机构投标</w:t>
      </w:r>
      <w:bookmarkEnd w:id="63"/>
      <w:bookmarkEnd w:id="64"/>
      <w:bookmarkEnd w:id="65"/>
    </w:p>
    <w:p>
      <w:pPr>
        <w:pStyle w:val="57"/>
        <w:widowControl w:val="0"/>
        <w:adjustRightInd/>
        <w:snapToGrid/>
        <w:ind w:left="425" w:hanging="425" w:firstLineChars="0"/>
        <w:jc w:val="both"/>
        <w:rPr>
          <w:rFonts w:ascii="宋体" w:hAnsi="宋体" w:cs="宋体"/>
          <w:vanish/>
          <w:color w:val="auto"/>
          <w:szCs w:val="21"/>
          <w:highlight w:val="none"/>
        </w:rPr>
      </w:pPr>
      <w:bookmarkStart w:id="66" w:name="EB389f116341dd4693875bc7987e7327f3"/>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66"/>
    </w:p>
    <w:p>
      <w:pPr>
        <w:widowControl w:val="0"/>
        <w:adjustRightInd/>
        <w:snapToGrid/>
        <w:ind w:left="567"/>
        <w:jc w:val="both"/>
        <w:rPr>
          <w:rFonts w:ascii="宋体" w:hAnsi="宋体" w:cs="宋体"/>
          <w:color w:val="auto"/>
          <w:szCs w:val="21"/>
          <w:highlight w:val="none"/>
        </w:rPr>
      </w:pPr>
    </w:p>
    <w:p>
      <w:pPr>
        <w:pStyle w:val="5"/>
        <w:widowControl w:val="0"/>
        <w:numPr>
          <w:ilvl w:val="0"/>
          <w:numId w:val="3"/>
        </w:numPr>
        <w:overflowPunct w:val="0"/>
        <w:rPr>
          <w:rFonts w:ascii="宋体" w:hAnsi="宋体" w:cs="宋体"/>
          <w:color w:val="auto"/>
          <w:sz w:val="21"/>
          <w:szCs w:val="21"/>
          <w:highlight w:val="none"/>
        </w:rPr>
      </w:pPr>
      <w:bookmarkStart w:id="67" w:name="_Toc13802"/>
      <w:bookmarkStart w:id="68" w:name="_Toc25869"/>
      <w:r>
        <w:rPr>
          <w:rFonts w:hint="eastAsia" w:ascii="宋体" w:hAnsi="宋体" w:cs="宋体"/>
          <w:color w:val="auto"/>
          <w:sz w:val="21"/>
          <w:szCs w:val="21"/>
          <w:highlight w:val="none"/>
        </w:rPr>
        <w:t>踏勘现场</w:t>
      </w:r>
      <w:bookmarkEnd w:id="67"/>
      <w:bookmarkEnd w:id="68"/>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《响应资料表》规定组织踏勘现场的，采购人按《响应资料表》规定的时间、地点组织响应人踏勘项目现场；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pPr>
        <w:rPr>
          <w:rFonts w:ascii="宋体" w:hAnsi="宋体" w:cs="宋体"/>
          <w:color w:val="auto"/>
          <w:highlight w:val="none"/>
        </w:rPr>
      </w:pPr>
    </w:p>
    <w:p>
      <w:pPr>
        <w:pStyle w:val="4"/>
        <w:numPr>
          <w:ilvl w:val="0"/>
          <w:numId w:val="2"/>
        </w:numPr>
        <w:spacing w:before="0" w:after="0" w:line="360" w:lineRule="auto"/>
        <w:jc w:val="center"/>
        <w:rPr>
          <w:rFonts w:ascii="宋体" w:hAnsi="宋体" w:cs="宋体"/>
          <w:color w:val="auto"/>
          <w:highlight w:val="none"/>
        </w:rPr>
      </w:pPr>
      <w:bookmarkStart w:id="69" w:name="_Toc22559"/>
      <w:bookmarkStart w:id="70" w:name="_Toc526"/>
      <w:r>
        <w:rPr>
          <w:rFonts w:hint="eastAsia" w:ascii="宋体" w:hAnsi="宋体" w:cs="宋体"/>
          <w:color w:val="auto"/>
          <w:highlight w:val="none"/>
        </w:rPr>
        <w:t>磋商文件</w:t>
      </w:r>
      <w:bookmarkEnd w:id="69"/>
      <w:bookmarkEnd w:id="70"/>
    </w:p>
    <w:p>
      <w:pPr>
        <w:pStyle w:val="5"/>
        <w:widowControl w:val="0"/>
        <w:numPr>
          <w:ilvl w:val="0"/>
          <w:numId w:val="3"/>
        </w:numPr>
        <w:overflowPunct w:val="0"/>
        <w:rPr>
          <w:rFonts w:ascii="宋体" w:hAnsi="宋体" w:cs="宋体"/>
          <w:color w:val="auto"/>
          <w:sz w:val="21"/>
          <w:szCs w:val="21"/>
          <w:highlight w:val="none"/>
        </w:rPr>
      </w:pPr>
      <w:bookmarkStart w:id="71" w:name="_Toc10638"/>
      <w:bookmarkStart w:id="72" w:name="_Toc12776"/>
      <w:bookmarkStart w:id="73" w:name="_Toc25670"/>
      <w:r>
        <w:rPr>
          <w:rFonts w:hint="eastAsia" w:ascii="宋体" w:hAnsi="宋体" w:cs="宋体"/>
          <w:color w:val="auto"/>
          <w:sz w:val="21"/>
          <w:szCs w:val="21"/>
          <w:highlight w:val="none"/>
        </w:rPr>
        <w:t>磋商文件的组成</w:t>
      </w:r>
      <w:bookmarkEnd w:id="71"/>
      <w:bookmarkEnd w:id="72"/>
      <w:bookmarkEnd w:id="73"/>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磋商文件包括：</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（1）磋商邀请书；</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（2）响应资料表；</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（3）用户需求书；</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（4）供应商须知；</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（6）响应文件格式；</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74" w:name="_Toc11307"/>
      <w:bookmarkStart w:id="75" w:name="_Toc17939"/>
      <w:bookmarkStart w:id="76" w:name="_Toc21392"/>
      <w:r>
        <w:rPr>
          <w:rFonts w:hint="eastAsia" w:ascii="宋体" w:hAnsi="宋体" w:cs="宋体"/>
          <w:color w:val="auto"/>
          <w:sz w:val="21"/>
          <w:szCs w:val="21"/>
          <w:highlight w:val="none"/>
        </w:rPr>
        <w:t>磋商文件的澄清或修改</w:t>
      </w:r>
      <w:bookmarkEnd w:id="74"/>
      <w:bookmarkEnd w:id="75"/>
      <w:bookmarkEnd w:id="76"/>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磋商文件、资格预审文件、磋商邀请书进行必要的澄清或者修改。澄清或者修改的内容为磋商文件、资格预审文件、磋商邀请书的组成部分，具有约束作用。当磋商文件、磋商文件的澄清或修改等在同一内容的表述上不一致时，以最后发出的书面文件及公告为准。</w:t>
      </w:r>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采购期间，供应商有义务上网查看，公告一经上网发布，即视为送达。因供应商未及时上网查看而造成的所有后果，由供应商自行承担。</w:t>
      </w:r>
    </w:p>
    <w:p>
      <w:pPr>
        <w:widowControl w:val="0"/>
        <w:adjustRightInd/>
        <w:snapToGrid/>
        <w:ind w:left="567"/>
        <w:jc w:val="both"/>
        <w:rPr>
          <w:rFonts w:ascii="宋体" w:hAnsi="宋体" w:cs="宋体"/>
          <w:color w:val="auto"/>
          <w:szCs w:val="21"/>
          <w:highlight w:val="none"/>
        </w:rPr>
      </w:pPr>
    </w:p>
    <w:p>
      <w:pPr>
        <w:pStyle w:val="4"/>
        <w:numPr>
          <w:ilvl w:val="0"/>
          <w:numId w:val="2"/>
        </w:numPr>
        <w:spacing w:before="0" w:after="0" w:line="360" w:lineRule="auto"/>
        <w:jc w:val="center"/>
        <w:rPr>
          <w:rFonts w:ascii="宋体" w:hAnsi="宋体" w:cs="宋体"/>
          <w:color w:val="auto"/>
          <w:highlight w:val="none"/>
        </w:rPr>
      </w:pPr>
      <w:bookmarkStart w:id="77" w:name="_Toc12343"/>
      <w:bookmarkStart w:id="78" w:name="_Toc17542"/>
      <w:bookmarkStart w:id="79" w:name="_Toc31262"/>
      <w:r>
        <w:rPr>
          <w:rFonts w:hint="eastAsia" w:ascii="宋体" w:hAnsi="宋体" w:cs="宋体"/>
          <w:color w:val="auto"/>
          <w:highlight w:val="none"/>
        </w:rPr>
        <w:t>响应文件的编制</w:t>
      </w:r>
      <w:bookmarkEnd w:id="77"/>
      <w:bookmarkEnd w:id="78"/>
      <w:bookmarkEnd w:id="79"/>
    </w:p>
    <w:p>
      <w:pPr>
        <w:pStyle w:val="5"/>
        <w:widowControl w:val="0"/>
        <w:numPr>
          <w:ilvl w:val="0"/>
          <w:numId w:val="3"/>
        </w:numPr>
        <w:overflowPunct w:val="0"/>
        <w:rPr>
          <w:rFonts w:ascii="宋体" w:hAnsi="宋体" w:cs="宋体"/>
          <w:color w:val="auto"/>
          <w:sz w:val="21"/>
          <w:szCs w:val="21"/>
          <w:highlight w:val="none"/>
        </w:rPr>
      </w:pPr>
      <w:bookmarkStart w:id="80" w:name="_Toc16938"/>
      <w:bookmarkStart w:id="81" w:name="_Toc22019"/>
      <w:bookmarkStart w:id="82" w:name="_Toc8023"/>
      <w:r>
        <w:rPr>
          <w:rFonts w:hint="eastAsia" w:ascii="宋体" w:hAnsi="宋体" w:cs="宋体"/>
          <w:color w:val="auto"/>
          <w:sz w:val="21"/>
          <w:szCs w:val="21"/>
          <w:highlight w:val="none"/>
        </w:rPr>
        <w:t>响应文件的语言及度量衡单位</w:t>
      </w:r>
      <w:bookmarkEnd w:id="80"/>
      <w:bookmarkEnd w:id="81"/>
      <w:bookmarkEnd w:id="82"/>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提交的响应文件以及供应商与采购代理机构就有关投标的所有来往函件均应使用简体中文书写。供应商提交的支持资料和已印刷的文献可以用另一种语言，但相应内容应附有中文翻译本（中文译本应由翻译机构盖章或者翻译人员签名确认，否则按无效处理），在解释响应文件的修改内容时以中文翻译本为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除非磋商文件在技术规格中另有规定，供应商在响应文件中及其与采购代理机构和采购人所有往来文件中的所有计量单位均应采用中华人民共和国法定计量单位。</w:t>
      </w:r>
    </w:p>
    <w:p>
      <w:pPr>
        <w:widowControl w:val="0"/>
        <w:adjustRightInd/>
        <w:snapToGrid/>
        <w:ind w:left="567"/>
        <w:jc w:val="both"/>
        <w:rPr>
          <w:rFonts w:ascii="宋体" w:hAnsi="宋体" w:cs="宋体"/>
          <w:color w:val="auto"/>
          <w:szCs w:val="21"/>
          <w:highlight w:val="none"/>
        </w:rPr>
      </w:pPr>
    </w:p>
    <w:p>
      <w:pPr>
        <w:pStyle w:val="5"/>
        <w:widowControl w:val="0"/>
        <w:numPr>
          <w:ilvl w:val="0"/>
          <w:numId w:val="3"/>
        </w:numPr>
        <w:overflowPunct w:val="0"/>
        <w:rPr>
          <w:rFonts w:ascii="宋体" w:hAnsi="宋体" w:cs="宋体"/>
          <w:color w:val="auto"/>
          <w:sz w:val="21"/>
          <w:szCs w:val="21"/>
          <w:highlight w:val="none"/>
        </w:rPr>
      </w:pPr>
      <w:bookmarkStart w:id="83" w:name="_Toc28866"/>
      <w:bookmarkStart w:id="84" w:name="_Toc11466"/>
      <w:bookmarkStart w:id="85" w:name="_Toc303084256"/>
      <w:bookmarkStart w:id="86" w:name="_Toc17061"/>
      <w:bookmarkStart w:id="87" w:name="_Toc382049103"/>
      <w:bookmarkStart w:id="88" w:name="_Toc510"/>
      <w:bookmarkStart w:id="89" w:name="_Toc307934854"/>
      <w:r>
        <w:rPr>
          <w:rFonts w:hint="eastAsia" w:ascii="宋体" w:hAnsi="宋体" w:cs="宋体"/>
          <w:color w:val="auto"/>
          <w:sz w:val="21"/>
          <w:szCs w:val="21"/>
          <w:highlight w:val="none"/>
        </w:rPr>
        <w:t>响应文件的组成</w:t>
      </w:r>
      <w:bookmarkEnd w:id="83"/>
      <w:bookmarkEnd w:id="84"/>
      <w:bookmarkEnd w:id="85"/>
      <w:bookmarkEnd w:id="86"/>
      <w:bookmarkEnd w:id="87"/>
      <w:bookmarkEnd w:id="88"/>
      <w:bookmarkEnd w:id="89"/>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包括但不限于磋商文件附件格式中要求提供的表格。</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上述文件须按顺序装订成册，并编制响应文件目录。除上述文件资料外供应商还须按供应商须知的要求制作“唱标信封”。“唱标信封”作为响应文件的一部分，但须单独密封。</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90" w:name="_Toc7998"/>
      <w:bookmarkStart w:id="91" w:name="_Toc755"/>
      <w:bookmarkStart w:id="92" w:name="_Toc2024"/>
      <w:r>
        <w:rPr>
          <w:rFonts w:hint="eastAsia" w:ascii="宋体" w:hAnsi="宋体" w:cs="宋体"/>
          <w:color w:val="auto"/>
          <w:sz w:val="21"/>
          <w:szCs w:val="21"/>
          <w:highlight w:val="none"/>
        </w:rPr>
        <w:t>响应文件编制</w:t>
      </w:r>
      <w:bookmarkEnd w:id="90"/>
      <w:bookmarkEnd w:id="91"/>
      <w:bookmarkEnd w:id="92"/>
    </w:p>
    <w:p>
      <w:pPr>
        <w:pStyle w:val="57"/>
        <w:widowControl w:val="0"/>
        <w:numPr>
          <w:ilvl w:val="0"/>
          <w:numId w:val="4"/>
        </w:numPr>
        <w:adjustRightInd/>
        <w:snapToGrid/>
        <w:ind w:firstLineChars="0"/>
        <w:jc w:val="both"/>
        <w:rPr>
          <w:rFonts w:ascii="宋体" w:hAnsi="宋体" w:cs="宋体"/>
          <w:vanish/>
          <w:color w:val="auto"/>
          <w:szCs w:val="21"/>
          <w:highlight w:val="none"/>
        </w:rPr>
      </w:pPr>
      <w:bookmarkStart w:id="93" w:name="_Toc303084258"/>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按磋商文件的规定以及附件要求的内容和格式完整地填写（表格可以按同样格式扩展）和提供资料，供应商必须对响应文件所提供的全部材料的真实性承担法律责任，并无条件接受采购人或采购代理机构对其中任何资料进行核实的要求。</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因响应文件编制存在歧义对供应商产生负面影响的，供应商自行承担后果。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响应单位名称与供应商公章不一致，若响应单位名称已进行变更，应在响应文件中提供相应的证明材料并加盖公章，否则响应文件无效。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响应文件密封、标记及内容与本项目采购信息不符，导致无法分辨所投项目为本项目的，响应文件无效。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供应商须客观撰写供应商简介（格式自理，并提供相关证明）以及所投的产品或服务说明。</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响应文件若出现以下内容，经评标委员会认定有可能间接影响评审秩序，作废标处理。</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响应文件内出现无官方证明文件的行业地域排名或使用“国家级”、“最高级”、“最佳”等用语字眼的。</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响应文件内出现恶意诋毁、贬低其他生产经营者的商品或者服务的内容。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有下列情形之一的，视为供应商串通投标，其投标无效：</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（3）不同供应商的响应文件载明的项目管理成员或者联系人员为同一人；</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（4）不同供应商的响应文件异常一致或者磋商报价呈规律性差异；</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（6）不同供应商的磋商保证金从同一单位或者个人的账户转出。</w:t>
      </w:r>
    </w:p>
    <w:bookmarkEnd w:id="93"/>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94" w:name="_Toc6154"/>
      <w:bookmarkStart w:id="95" w:name="_Toc30614"/>
      <w:bookmarkStart w:id="96" w:name="_Toc5892"/>
      <w:r>
        <w:rPr>
          <w:rFonts w:hint="eastAsia" w:ascii="宋体" w:hAnsi="宋体" w:cs="宋体"/>
          <w:color w:val="auto"/>
          <w:sz w:val="21"/>
          <w:szCs w:val="21"/>
          <w:highlight w:val="none"/>
        </w:rPr>
        <w:t>磋商报价说明</w:t>
      </w:r>
      <w:bookmarkEnd w:id="94"/>
      <w:bookmarkEnd w:id="95"/>
      <w:bookmarkEnd w:id="96"/>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本次采购，供应商应按用户需求中的要求进行磋商报价，少报无效。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供应商所提供的货物或服务均以人民币（或相关费率）报价。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磋商报价应包含完成本次采购所有服务内容的费用，包含各种税务费及合同实施过程中的全部费用和售后服务费等。</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成交后开出的所有发票必须与成交人的名称一致。</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97" w:name="_Toc3027"/>
      <w:bookmarkStart w:id="98" w:name="_Toc7961"/>
      <w:bookmarkStart w:id="99" w:name="_Toc17669"/>
      <w:r>
        <w:rPr>
          <w:rFonts w:hint="eastAsia" w:ascii="宋体" w:hAnsi="宋体" w:cs="宋体"/>
          <w:color w:val="auto"/>
          <w:sz w:val="21"/>
          <w:szCs w:val="21"/>
          <w:highlight w:val="none"/>
        </w:rPr>
        <w:t>供应商所提供的服务或货物的证明文件</w:t>
      </w:r>
      <w:bookmarkEnd w:id="97"/>
      <w:bookmarkEnd w:id="98"/>
      <w:bookmarkEnd w:id="99"/>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bookmarkStart w:id="100" w:name="_Hlt107925668"/>
      <w:bookmarkEnd w:id="100"/>
      <w:bookmarkStart w:id="101" w:name="_Hlt107925638"/>
      <w:bookmarkEnd w:id="101"/>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磋商文件第三部分《用户需求书》中规定的要求进行详细应答和说明。</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有下列情形之一的，视为供应商弄虚作假，其响应无效：</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1、使用通过受让或者租借等方式获取的资格、资质证书响应的，属于以他人名义响应。</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2、供应商有下列情形之一的，属于以其他方式弄虚作假的行为：</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（1）使用伪造、变造的许可证件；</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（2）提供虚假的财务状况或者业绩；</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（3）提供虚假的项目负责人或者主要技术人员简历、劳动关系证明；</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（4）提供虚假的信用状况；</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（5）其他弄虚作假的行为。</w:t>
      </w:r>
    </w:p>
    <w:p>
      <w:pPr>
        <w:pStyle w:val="5"/>
        <w:widowControl w:val="0"/>
        <w:numPr>
          <w:ilvl w:val="0"/>
          <w:numId w:val="3"/>
        </w:numPr>
        <w:overflowPunct w:val="0"/>
        <w:rPr>
          <w:rFonts w:ascii="宋体" w:hAnsi="宋体" w:cs="宋体"/>
          <w:color w:val="auto"/>
          <w:sz w:val="21"/>
          <w:szCs w:val="21"/>
          <w:highlight w:val="none"/>
        </w:rPr>
      </w:pPr>
      <w:bookmarkStart w:id="102" w:name="_Toc30956"/>
      <w:bookmarkStart w:id="103" w:name="_Toc26145"/>
      <w:bookmarkStart w:id="104" w:name="_Toc8324"/>
      <w:r>
        <w:rPr>
          <w:rFonts w:hint="eastAsia" w:ascii="宋体" w:hAnsi="宋体" w:cs="宋体"/>
          <w:color w:val="auto"/>
          <w:sz w:val="21"/>
          <w:szCs w:val="21"/>
          <w:highlight w:val="none"/>
        </w:rPr>
        <w:t>磋商有效期</w:t>
      </w:r>
      <w:bookmarkEnd w:id="102"/>
      <w:bookmarkEnd w:id="103"/>
      <w:bookmarkEnd w:id="104"/>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响应文件应根据供应商须知的规定在磋商截止日后的90天内保持有效。</w:t>
      </w:r>
    </w:p>
    <w:p>
      <w:pPr>
        <w:widowControl w:val="0"/>
        <w:adjustRightInd/>
        <w:snapToGrid/>
        <w:ind w:left="567"/>
        <w:jc w:val="both"/>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105" w:name="_Toc10946"/>
      <w:bookmarkStart w:id="106" w:name="_Toc12582"/>
      <w:bookmarkStart w:id="107" w:name="_Toc31043"/>
      <w:r>
        <w:rPr>
          <w:rFonts w:hint="eastAsia" w:ascii="宋体" w:hAnsi="宋体" w:cs="宋体"/>
          <w:color w:val="auto"/>
          <w:sz w:val="21"/>
          <w:szCs w:val="21"/>
          <w:highlight w:val="none"/>
        </w:rPr>
        <w:t>磋商保证金</w:t>
      </w:r>
      <w:bookmarkEnd w:id="105"/>
      <w:bookmarkEnd w:id="106"/>
      <w:bookmarkEnd w:id="107"/>
    </w:p>
    <w:p>
      <w:pPr>
        <w:pStyle w:val="57"/>
        <w:widowControl w:val="0"/>
        <w:numPr>
          <w:ilvl w:val="0"/>
          <w:numId w:val="4"/>
        </w:numPr>
        <w:adjustRightInd/>
        <w:snapToGrid/>
        <w:ind w:firstLineChars="0"/>
        <w:jc w:val="both"/>
        <w:rPr>
          <w:rFonts w:ascii="宋体" w:hAnsi="宋体" w:cs="宋体"/>
          <w:vanish/>
          <w:color w:val="auto"/>
          <w:szCs w:val="21"/>
          <w:highlight w:val="none"/>
        </w:rPr>
      </w:pPr>
      <w:bookmarkStart w:id="108" w:name="_Ref179619405"/>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供应商应在响应文件递交截止前提交相应的磋商保证金，并作为其响应的一部分。</w:t>
      </w:r>
      <w:bookmarkEnd w:id="108"/>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磋商保证金是为了保护采购代理机构和采购人免遭因供应商的行为而蒙受的损失。采购代理机构和采购人在因供应商的行为受到损害时可根据本须知（17.7）的规定没收供应商的磋商保证金。</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保证金采用转账、电汇方式方式提交，应符合以下要求：采用银行转账、电汇方式提交的，保证金汇入《响应资料表》中磋商保证金专用账户，不接收由以供应商分支机构、私人账户和其他单位转入的保证金。磋商保证金必须在响应文件递交截止前到账，磋商保证金未按规定时间到达指定账户或提交金额不足的，将被视为无效响应。且在备注或用途中注明本项目的项目编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凡没有根据本须知（17.1和17.3）的规定随附有效的磋商保证金的投标，将被视为非响应性投标予以拒绝。</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磋商保证金有效期应当与磋商有效期一致。采购人如果按照磋商文件另外规定延长了响应文件有效期，则投标担保的有效期也相应延长。</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成交人在签订采购合同并按磋商文件第（33）条规定提交履约担保金后，携带退保证金声明函、磋商保证金汇款单复印件（加盖公章）和合同正本到采购人处办理磋商保证金（无息）退回手续。</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下列任何情况发生时，磋商保证金将不予退还：</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（1）供应商在磋商文件中规定的磋商有效期内撤回其响应文件；</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（2）成交人无正当理由不与采购人订立合同，在签订合同时向采购人提出附加条件，或者不按照磋商文件要求提交履约保证金的；</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（3）成交人将本项目转让给他人，或者在响应文件中未说明，且未经采购人同意，将成交项目分包给他人的；</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（4）供应商提供虚假响应文件或虚假补充文件的。</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在成交通知书发出后，未成交供应商的磋商保证金，由采购代理</w:t>
      </w:r>
      <w:r>
        <w:rPr>
          <w:rFonts w:ascii="宋体" w:hAnsi="宋体" w:cs="宋体"/>
          <w:color w:val="auto"/>
          <w:szCs w:val="21"/>
          <w:highlight w:val="none"/>
        </w:rPr>
        <w:t>机构</w:t>
      </w:r>
      <w:r>
        <w:rPr>
          <w:rFonts w:hint="eastAsia" w:ascii="宋体" w:hAnsi="宋体" w:cs="宋体"/>
          <w:color w:val="auto"/>
          <w:szCs w:val="21"/>
          <w:highlight w:val="none"/>
        </w:rPr>
        <w:t>自行返还至供应商的原转出账户。</w:t>
      </w:r>
    </w:p>
    <w:p>
      <w:pPr>
        <w:rPr>
          <w:rFonts w:ascii="宋体" w:hAnsi="宋体" w:cs="宋体"/>
          <w:color w:val="auto"/>
          <w:highlight w:val="none"/>
        </w:rPr>
      </w:pPr>
    </w:p>
    <w:p>
      <w:pPr>
        <w:pStyle w:val="4"/>
        <w:numPr>
          <w:ilvl w:val="0"/>
          <w:numId w:val="2"/>
        </w:numPr>
        <w:spacing w:before="0" w:after="0" w:line="360" w:lineRule="auto"/>
        <w:jc w:val="center"/>
        <w:rPr>
          <w:rFonts w:ascii="宋体" w:hAnsi="宋体" w:cs="宋体"/>
          <w:color w:val="auto"/>
          <w:highlight w:val="none"/>
        </w:rPr>
      </w:pPr>
      <w:bookmarkStart w:id="109" w:name="_Toc30352"/>
      <w:bookmarkStart w:id="110" w:name="_Toc25289"/>
      <w:bookmarkStart w:id="111" w:name="_Toc22624"/>
      <w:r>
        <w:rPr>
          <w:rFonts w:hint="eastAsia" w:ascii="宋体" w:hAnsi="宋体" w:cs="宋体"/>
          <w:color w:val="auto"/>
          <w:highlight w:val="none"/>
        </w:rPr>
        <w:t>响应文件的递交</w:t>
      </w:r>
      <w:bookmarkEnd w:id="109"/>
      <w:bookmarkEnd w:id="110"/>
      <w:bookmarkEnd w:id="111"/>
    </w:p>
    <w:p>
      <w:pPr>
        <w:pStyle w:val="5"/>
        <w:widowControl w:val="0"/>
        <w:numPr>
          <w:ilvl w:val="0"/>
          <w:numId w:val="3"/>
        </w:numPr>
        <w:overflowPunct w:val="0"/>
        <w:rPr>
          <w:rFonts w:ascii="宋体" w:hAnsi="宋体" w:cs="宋体"/>
          <w:color w:val="auto"/>
          <w:sz w:val="21"/>
          <w:szCs w:val="21"/>
          <w:highlight w:val="none"/>
        </w:rPr>
      </w:pPr>
      <w:bookmarkStart w:id="112" w:name="_Toc24150"/>
      <w:bookmarkStart w:id="113" w:name="_Toc303084264"/>
      <w:bookmarkStart w:id="114" w:name="_Toc17141"/>
      <w:bookmarkStart w:id="115" w:name="_Toc24997"/>
      <w:bookmarkStart w:id="116" w:name="_Toc25157"/>
      <w:bookmarkStart w:id="117" w:name="_Toc382049111"/>
      <w:r>
        <w:rPr>
          <w:rFonts w:hint="eastAsia" w:ascii="宋体" w:hAnsi="宋体" w:cs="宋体"/>
          <w:color w:val="auto"/>
          <w:sz w:val="21"/>
          <w:szCs w:val="21"/>
          <w:highlight w:val="none"/>
        </w:rPr>
        <w:t>响应文件的装订，签署，密封和标记</w:t>
      </w:r>
      <w:bookmarkEnd w:id="112"/>
      <w:bookmarkEnd w:id="113"/>
      <w:bookmarkEnd w:id="114"/>
      <w:bookmarkEnd w:id="115"/>
      <w:bookmarkEnd w:id="116"/>
      <w:bookmarkEnd w:id="117"/>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olor w:val="auto"/>
          <w:szCs w:val="21"/>
          <w:highlight w:val="none"/>
        </w:rPr>
        <w:t>供应商应按《响应料表》的份数准备价格文件、商务文件、技术文件、唱标信封和电子文件（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），每一份响应文件均需编上页次，装订成册（不允许使用活页夹，否则由此产生的风险由供应商自行承担）。所有响应文件必须封入密封完好的信封或包装，封口加盖公章</w:t>
      </w:r>
      <w:r>
        <w:rPr>
          <w:rFonts w:hint="eastAsia" w:ascii="宋体" w:hAnsi="宋体" w:cs="宋体"/>
          <w:color w:val="auto"/>
          <w:szCs w:val="21"/>
          <w:highlight w:val="none"/>
        </w:rPr>
        <w:t>。</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正本均须用不褪色墨水书写或打印。响应文件的副本可采用响应文件的正本复印件，每套响应文件应当标明“正本”、“副本”的字样。响应文件的【正本】及所有【副本】的封面及骑缝均须加盖供应商公章（文件每页盖章等同于盖骑缝章）。若正本与副本不符，以正本为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联合体响应文件的【正本】及【副本】的封面及骑缝均须加盖所有联合体组成成员的公章。（文件每页盖章等同于盖骑缝章）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电子文件内容包括：由供应商自行制作的与正本文件一致的所有文件。电子文件由光盘或U盘储存，并注明供应商名称及项目名称、采购项目编号，随响应文件一同密封提交。</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除供应商对错误处修改外，全套响应文件应无涂改或行间插字和增删。如有修改，修改处须由法定代表人或其正式授权代表在旁边签字及盖章。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供应商应将响应文件进行非透明的封装，以防止响应文件内容的泄露。采购代理机构将拒绝接收采用透明包装进行密封的响应文件。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密封破损导致响应文件内容直接或间接泄露的响应文件，采购代理机构将拒绝接收。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方便开标唱标，供应商应将开标一览表和授权委托书单独密封提交，并在信封上标明“唱标信封”字样。唱标信封内还须包括并不限于：磋商保证金支付凭证银行汇款底单（复印件加盖公章，原件随身携带，以备查核）和磋商保证金汇入情况说明（加盖公章）。供应商的法定代表人参加磋商时，须开具法定代表人证明书，按上述要求与开标一览表一并密封提交。“唱标信封”份数及签章等要求与响应文件正本相同（1份）。</w:t>
      </w:r>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未单独提交唱标信封的供应商响应文件不进行唱标，响应文件作无效处理。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收件人： </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响应单位名称：</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项目名称：</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项目采购项目编号：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采购代理机构对所有响应文件的误投或提前启封概不负责。</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供应商同时参加几个包磋商时必须按磋商文件要求按包号分别制作响应文件，分别密封递交。</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传真、电传的响应文件将被拒绝。</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递交的响应文件中所提供的通讯方式应保持联络畅通，因联系不上而导致的所有后果由供应商自行承担。</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118" w:name="_Toc14108"/>
      <w:bookmarkStart w:id="119" w:name="_Toc25895"/>
      <w:bookmarkStart w:id="120" w:name="_Toc31895"/>
      <w:r>
        <w:rPr>
          <w:rFonts w:hint="eastAsia" w:ascii="宋体" w:hAnsi="宋体" w:cs="宋体"/>
          <w:color w:val="auto"/>
          <w:sz w:val="21"/>
          <w:szCs w:val="21"/>
          <w:highlight w:val="none"/>
        </w:rPr>
        <w:t>迟交的响应文件</w:t>
      </w:r>
      <w:bookmarkEnd w:id="118"/>
      <w:bookmarkEnd w:id="119"/>
      <w:bookmarkEnd w:id="120"/>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供应商在磋商截止时间之后提交的响应文件，采购代理机构将拒绝接收。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121" w:name="_Toc9143"/>
      <w:bookmarkStart w:id="122" w:name="_Toc21603"/>
      <w:bookmarkStart w:id="123" w:name="_Toc15491"/>
      <w:r>
        <w:rPr>
          <w:rFonts w:hint="eastAsia" w:ascii="宋体" w:hAnsi="宋体" w:cs="宋体"/>
          <w:color w:val="auto"/>
          <w:sz w:val="21"/>
          <w:szCs w:val="21"/>
          <w:highlight w:val="none"/>
        </w:rPr>
        <w:t>投标样品（如需提交）</w:t>
      </w:r>
      <w:bookmarkEnd w:id="121"/>
      <w:bookmarkEnd w:id="122"/>
      <w:bookmarkEnd w:id="123"/>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如有必要，采购代理机构可以要求供应商提供本服务项目涉及的部分设备或产品样品，供应商在磋商时应提交《样品清单》。</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为方便评标，供应商在提供样品时，应在所提供的样品表面显著位置标注供应商的名称、包号、样品名称、磋商文件规定的服务或货物编号。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样品作为响应文件的一部分，除非另有说明，成交单位的样品将作为履约验收标准的参考不再退还，未成交单位须在成交公告发布后五个工作日内，前往采购代理机构领取投标样品，逾期不领，采购代理机构将不承担样品的保管责任，由此引发的样品丢失、毁损，采购代理机构不予负责。</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124" w:name="_Toc3849"/>
      <w:bookmarkStart w:id="125" w:name="_Toc303084265"/>
      <w:bookmarkStart w:id="126" w:name="_Toc1161"/>
      <w:bookmarkStart w:id="127" w:name="_Toc1712"/>
      <w:bookmarkStart w:id="128" w:name="_Toc9777"/>
      <w:bookmarkStart w:id="129" w:name="_Toc382049112"/>
      <w:r>
        <w:rPr>
          <w:rFonts w:hint="eastAsia" w:ascii="宋体" w:hAnsi="宋体" w:cs="宋体"/>
          <w:color w:val="auto"/>
          <w:sz w:val="21"/>
          <w:szCs w:val="21"/>
          <w:highlight w:val="none"/>
        </w:rPr>
        <w:t>磋商截止期</w:t>
      </w:r>
      <w:bookmarkEnd w:id="124"/>
      <w:bookmarkEnd w:id="125"/>
      <w:bookmarkEnd w:id="126"/>
      <w:bookmarkEnd w:id="127"/>
      <w:bookmarkEnd w:id="128"/>
      <w:bookmarkEnd w:id="129"/>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供应商应在磋商文件规定的截止日期和时间内，将响应文件送达到指定地点。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采购代理机构可按本须知规定以澄清或修改通知的方式，酌情延长递交响应文件的截止时间。在此情况下，供应商的所有权利和义务以及供应商受制约的截止时间，均以延长后新的磋商截止时间为准。</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130" w:name="_Toc31417"/>
      <w:bookmarkStart w:id="131" w:name="_Toc26772"/>
      <w:bookmarkStart w:id="132" w:name="_Toc14284"/>
      <w:r>
        <w:rPr>
          <w:rFonts w:hint="eastAsia" w:ascii="宋体" w:hAnsi="宋体" w:cs="宋体"/>
          <w:color w:val="auto"/>
          <w:sz w:val="21"/>
          <w:szCs w:val="21"/>
          <w:highlight w:val="none"/>
        </w:rPr>
        <w:t>响应文件的补充、修改与撤回</w:t>
      </w:r>
      <w:bookmarkEnd w:id="130"/>
      <w:bookmarkEnd w:id="131"/>
      <w:bookmarkEnd w:id="132"/>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供应商在提交响应文件截止时间前，可以对所提交的响应文件进行补充、修改或撤回，并以纸质版形式通知采购代理机构。在提交响应文件截止时间之后，供应商不得对其响应文件做出任何的补充和修改。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供应商对响应文件的补充、修改的内容应当按磋商文件要求的签署、盖章、密封后，作为响应文件的组成部分。并按照磋商文件规定密封和标记的要求提交，并在响应文件密封袋上标明“补充、修改”字样。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响应文件一经递交不予退还。</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在提交响应文件截止时间至磋商有效期满之前，供应商不得撤回其响应文件，否则其磋商保证金将不予退还。</w:t>
      </w:r>
    </w:p>
    <w:p>
      <w:pPr>
        <w:pStyle w:val="11"/>
        <w:rPr>
          <w:color w:val="auto"/>
          <w:highlight w:val="none"/>
        </w:rPr>
      </w:pPr>
    </w:p>
    <w:p>
      <w:pPr>
        <w:pStyle w:val="4"/>
        <w:numPr>
          <w:ilvl w:val="0"/>
          <w:numId w:val="2"/>
        </w:numPr>
        <w:spacing w:before="0" w:after="0" w:line="360" w:lineRule="auto"/>
        <w:jc w:val="center"/>
        <w:rPr>
          <w:rFonts w:ascii="宋体" w:hAnsi="宋体" w:cs="宋体"/>
          <w:color w:val="auto"/>
          <w:highlight w:val="none"/>
        </w:rPr>
      </w:pPr>
      <w:bookmarkStart w:id="133" w:name="_Toc15531"/>
      <w:bookmarkStart w:id="134" w:name="_Toc7410"/>
      <w:bookmarkStart w:id="135" w:name="_Toc21490"/>
      <w:r>
        <w:rPr>
          <w:rFonts w:hint="eastAsia" w:ascii="宋体" w:hAnsi="宋体" w:cs="宋体"/>
          <w:color w:val="auto"/>
          <w:highlight w:val="none"/>
        </w:rPr>
        <w:t>开标与评标</w:t>
      </w:r>
      <w:bookmarkEnd w:id="133"/>
      <w:bookmarkEnd w:id="134"/>
      <w:bookmarkEnd w:id="135"/>
    </w:p>
    <w:p>
      <w:pPr>
        <w:pStyle w:val="5"/>
        <w:widowControl w:val="0"/>
        <w:numPr>
          <w:ilvl w:val="0"/>
          <w:numId w:val="3"/>
        </w:numPr>
        <w:overflowPunct w:val="0"/>
        <w:rPr>
          <w:rFonts w:ascii="宋体" w:hAnsi="宋体" w:cs="宋体"/>
          <w:color w:val="auto"/>
          <w:sz w:val="21"/>
          <w:szCs w:val="21"/>
          <w:highlight w:val="none"/>
        </w:rPr>
      </w:pPr>
      <w:bookmarkStart w:id="136" w:name="_Toc31671"/>
      <w:bookmarkStart w:id="137" w:name="_Toc26287"/>
      <w:bookmarkStart w:id="138" w:name="_Toc5598"/>
      <w:r>
        <w:rPr>
          <w:rFonts w:hint="eastAsia" w:ascii="宋体" w:hAnsi="宋体" w:cs="宋体"/>
          <w:color w:val="auto"/>
          <w:sz w:val="21"/>
          <w:szCs w:val="21"/>
          <w:highlight w:val="none"/>
        </w:rPr>
        <w:t>开标</w:t>
      </w:r>
      <w:bookmarkEnd w:id="136"/>
      <w:bookmarkEnd w:id="137"/>
      <w:bookmarkEnd w:id="138"/>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采购代理机构按本磋商文件所规定的时间和地点公开开标，并邀请所有供应商代表参加。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开标程序：</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开标会由采购代理机构主持，供应商的法定代表人或其授权代表携带有效身份证明准时参加开标会并签名报到。</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开标时，由供应商或者其推选的代表检查响应文件的密封情况；经确认无误后，由采购人或者采购代理机构工作人员当众拆封，宣布供应商名称、供应商的首次报价和磋商文件规定的需要宣布的其他内容；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代表对开标过程和开标记录有异议，以及认为采购人、采购代理机构相关工作人员有需要回避的情形的，应当场提出询问或者回避申请。开标现场未提出异议的视为认同开标结果。开标结束后，供应商对开标过程和开标记录不得再提出异议。</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供应商未参加开标的，视同认可开标结果。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合格供应商不足3家的，不得开标；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开标过程应当由采购人或者采购代理机构负责记录，由参加开标的各供应商代表和相关工作人员签字确认。</w:t>
      </w:r>
    </w:p>
    <w:p>
      <w:pPr>
        <w:widowControl w:val="0"/>
        <w:adjustRightInd/>
        <w:snapToGrid/>
        <w:ind w:left="567"/>
        <w:jc w:val="both"/>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139" w:name="_Toc3528"/>
      <w:bookmarkStart w:id="140" w:name="_Toc23670"/>
      <w:bookmarkStart w:id="141" w:name="_Toc9326"/>
      <w:r>
        <w:rPr>
          <w:rFonts w:hint="eastAsia" w:ascii="宋体" w:hAnsi="宋体" w:cs="宋体"/>
          <w:color w:val="auto"/>
          <w:sz w:val="21"/>
          <w:szCs w:val="21"/>
          <w:highlight w:val="none"/>
        </w:rPr>
        <w:t>评标委员会及评标方法</w:t>
      </w:r>
      <w:bookmarkEnd w:id="139"/>
      <w:bookmarkEnd w:id="140"/>
      <w:bookmarkEnd w:id="141"/>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依法组成评标委员会，评标委员会由采购人和有关技术、经济等方面的专家组成，成员人数为三人或三人以上单数，其中技术、经济等方面的专家不少于成员总数的三分之二，并负责评标工作。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定标原则：在最大限度满足磋商文件实质性要求前提下，按照磋商文件规定的各项评价因素进行量化打分，以评标总得分最高的供应商作为成交候选人或成交人。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评标委员会对响应文件的评审内容，分为商务评议、技术评议和价格评议。评审流程包括符合性检查、澄清问题、比较与评价、推荐成交候选人或确定成交人、编写评标报告等步骤。</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评标期间，评标委员会可要求供应商对其响应文件进行澄清，但不得寻求、提供或允许对磋商价格等实质性内容做任何更改。有关澄清的要求和答复均应以纸质版形式提交，如供应商拒绝评标委员会要求对其响应文件进行澄清的要求，所造成的后果由供应商自行承担。</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评标委员会和采购人在评审过程中有权核对响应文件中相关材料的原件，供应商在接到通知后应在评标委员会规定的时间内提交原件核查。</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142" w:name="_Toc30071"/>
      <w:bookmarkStart w:id="143" w:name="_Toc11164"/>
      <w:bookmarkStart w:id="144" w:name="_Toc4198"/>
      <w:r>
        <w:rPr>
          <w:rFonts w:hint="eastAsia" w:ascii="宋体" w:hAnsi="宋体" w:cs="宋体"/>
          <w:color w:val="auto"/>
          <w:sz w:val="21"/>
          <w:szCs w:val="21"/>
          <w:highlight w:val="none"/>
        </w:rPr>
        <w:t>评审原则及评标过程的保密</w:t>
      </w:r>
      <w:bookmarkEnd w:id="142"/>
      <w:bookmarkEnd w:id="143"/>
      <w:bookmarkEnd w:id="144"/>
    </w:p>
    <w:p>
      <w:pPr>
        <w:pStyle w:val="57"/>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评审的基本原则：评标委员会将依据磋商文件的规定，遵循“公开、公平、公正、择优、信用”的原则进行评审工作。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从开标到签订合同，凡与审查、澄清、评审和响应有关的资料以及定标意见相关的事项，均不得向供应商及与评标无关的其他人透露。</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145" w:name="_Toc18669"/>
      <w:bookmarkStart w:id="146" w:name="_Toc24354"/>
      <w:r>
        <w:rPr>
          <w:rFonts w:hint="eastAsia" w:ascii="宋体" w:hAnsi="宋体" w:cs="宋体"/>
          <w:color w:val="auto"/>
          <w:sz w:val="21"/>
          <w:szCs w:val="21"/>
          <w:highlight w:val="none"/>
        </w:rPr>
        <w:t>评标程序</w:t>
      </w:r>
      <w:bookmarkEnd w:id="145"/>
      <w:bookmarkEnd w:id="146"/>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开标结束后，评标委员会根据《资格性、符合性审查表》将依法对供应商进行资格性、符合性审查。供应商必须严格按照《资格性、符合性审查表》的评审内容的要求如实提供证明材料并应加盖供应商公章，对缺漏或不符合项将直接导致无效响应。合格供应商不足3家的，不得评标。未通过资格性、符合性审查的供应商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pPr>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3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noWrap w:val="0"/>
            <w:vAlign w:val="center"/>
          </w:tcPr>
          <w:p>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612"/>
              </w:tabs>
              <w:rPr>
                <w:rFonts w:ascii="宋体" w:hAnsi="宋体" w:cs="宋体"/>
                <w:color w:val="auto"/>
                <w:szCs w:val="21"/>
                <w:highlight w:val="none"/>
              </w:rPr>
            </w:pPr>
            <w:r>
              <w:rPr>
                <w:rFonts w:hint="eastAsia" w:ascii="宋体" w:hAnsi="宋体" w:cs="宋体"/>
                <w:color w:val="auto"/>
                <w:szCs w:val="21"/>
                <w:highlight w:val="none"/>
              </w:rPr>
              <w:t>（1）供应商须为在中华人民共和国境内登记注册的具有独立承担民事责任能力的法人或其他组织【提供《营业执照》复印件（加盖公章）或《事业单位法人证书》复印件（加盖公章）或其他主体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612"/>
              </w:tabs>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612"/>
              </w:tabs>
              <w:rPr>
                <w:rFonts w:ascii="宋体" w:hAnsi="宋体" w:cs="宋体"/>
                <w:color w:val="auto"/>
                <w:szCs w:val="21"/>
                <w:highlight w:val="none"/>
              </w:rPr>
            </w:pPr>
            <w:r>
              <w:rPr>
                <w:rFonts w:hint="eastAsia" w:ascii="宋体" w:hAnsi="宋体" w:cs="宋体"/>
                <w:color w:val="auto"/>
                <w:szCs w:val="21"/>
                <w:highlight w:val="none"/>
              </w:rPr>
              <w:t>（3）供应商的单位负责人为同一人或者存在直接控股、管理关系的不同供应商，不得参加同一合同项下的采购活动；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612"/>
              </w:tabs>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9" w:hRule="atLeast"/>
          <w:jc w:val="center"/>
        </w:trPr>
        <w:tc>
          <w:tcPr>
            <w:tcW w:w="699" w:type="dxa"/>
            <w:vMerge w:val="continue"/>
            <w:tcBorders>
              <w:left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612"/>
              </w:tabs>
              <w:rPr>
                <w:rFonts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szCs w:val="21"/>
                <w:highlight w:val="none"/>
                <w:lang w:val="zh-CN"/>
              </w:rPr>
              <w:t>东莞实业投资控股集团有限公司</w:t>
            </w:r>
            <w:r>
              <w:rPr>
                <w:rFonts w:hint="eastAsia" w:ascii="宋体" w:hAnsi="宋体" w:cs="宋体"/>
                <w:color w:val="auto"/>
                <w:szCs w:val="21"/>
                <w:highlight w:val="none"/>
              </w:rPr>
              <w:t>发文（东实通〔2021〕44号）、（东实通〔2021〕98号）</w:t>
            </w:r>
            <w:r>
              <w:rPr>
                <w:rFonts w:hint="eastAsia" w:ascii="宋体" w:hAnsi="宋体"/>
                <w:color w:val="auto"/>
                <w:szCs w:val="21"/>
                <w:highlight w:val="none"/>
              </w:rPr>
              <w:t>、</w:t>
            </w:r>
            <w:r>
              <w:rPr>
                <w:rFonts w:ascii="宋体" w:hAnsi="宋体"/>
                <w:color w:val="auto"/>
                <w:szCs w:val="21"/>
                <w:highlight w:val="none"/>
              </w:rPr>
              <w:t>（东实通〔2022〕75号）</w:t>
            </w:r>
            <w:r>
              <w:rPr>
                <w:rFonts w:hint="eastAsia" w:ascii="宋体" w:hAnsi="宋体"/>
                <w:color w:val="auto"/>
                <w:szCs w:val="21"/>
                <w:highlight w:val="none"/>
              </w:rPr>
              <w:t>、（东实通〔2023〕37号）</w:t>
            </w:r>
            <w:r>
              <w:rPr>
                <w:rFonts w:hint="eastAsia" w:ascii="宋体" w:hAnsi="宋体" w:cs="宋体"/>
                <w:color w:val="auto"/>
                <w:szCs w:val="21"/>
                <w:highlight w:val="none"/>
              </w:rPr>
              <w:t>为准，如有最新发文通知，按最新文件执行。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bottom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eastAsia="宋体" w:cs="宋体"/>
                <w:color w:val="auto"/>
                <w:highlight w:val="none"/>
                <w:u w:val="single"/>
              </w:rPr>
              <w:t>供应商须具备行政主管部门颁发</w:t>
            </w:r>
            <w:r>
              <w:rPr>
                <w:rFonts w:hint="eastAsia" w:ascii="宋体" w:hAnsi="宋体" w:cs="宋体"/>
                <w:color w:val="auto"/>
                <w:highlight w:val="none"/>
                <w:u w:val="single"/>
                <w:lang w:val="en-US" w:eastAsia="zh-CN"/>
              </w:rPr>
              <w:t>并在有效期内</w:t>
            </w:r>
            <w:r>
              <w:rPr>
                <w:rFonts w:hint="eastAsia" w:ascii="宋体" w:hAnsi="宋体" w:eastAsia="宋体" w:cs="宋体"/>
                <w:color w:val="auto"/>
                <w:highlight w:val="none"/>
                <w:u w:val="single"/>
              </w:rPr>
              <w:t>的测绘</w:t>
            </w:r>
            <w:r>
              <w:rPr>
                <w:rFonts w:hint="eastAsia" w:ascii="宋体" w:hAnsi="宋体" w:cs="宋体"/>
                <w:color w:val="auto"/>
                <w:highlight w:val="none"/>
                <w:u w:val="single"/>
                <w:lang w:val="en-US" w:eastAsia="zh-CN"/>
              </w:rPr>
              <w:t>甲级</w:t>
            </w:r>
            <w:r>
              <w:rPr>
                <w:rFonts w:hint="eastAsia" w:ascii="宋体" w:hAnsi="宋体" w:eastAsia="宋体" w:cs="宋体"/>
                <w:color w:val="auto"/>
                <w:highlight w:val="none"/>
                <w:u w:val="single"/>
              </w:rPr>
              <w:t>资质证书(专业范围包含工程测量、界线与不动产测绘)。</w:t>
            </w:r>
            <w:r>
              <w:rPr>
                <w:rFonts w:hint="eastAsia" w:ascii="宋体" w:hAnsi="宋体" w:cs="宋体"/>
                <w:color w:val="auto"/>
                <w:highlight w:val="none"/>
                <w:u w:val="single"/>
                <w:lang w:eastAsia="zh-CN"/>
              </w:rPr>
              <w:t>【提供资质证书复印件，加盖公章】</w:t>
            </w:r>
            <w:r>
              <w:rPr>
                <w:rFonts w:hint="eastAsia" w:ascii="宋体" w:hAnsi="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供应商按照磋商文件要求提交磋商保证金；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rPr>
            </w:pPr>
            <w:r>
              <w:rPr>
                <w:rFonts w:hint="eastAsia" w:ascii="宋体" w:hAnsi="宋体" w:cs="宋体"/>
                <w:color w:val="auto"/>
                <w:szCs w:val="21"/>
                <w:highlight w:val="none"/>
                <w:lang w:bidi="ar"/>
              </w:rPr>
              <w:t>响应文件按照磋商文件要求签署盖章；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rPr>
            </w:pPr>
            <w:r>
              <w:rPr>
                <w:rFonts w:hint="eastAsia" w:ascii="宋体" w:hAnsi="宋体" w:cs="宋体"/>
                <w:color w:val="auto"/>
                <w:szCs w:val="21"/>
                <w:highlight w:val="none"/>
                <w:lang w:bidi="ar"/>
              </w:rPr>
              <w:t>磋商总价未超出采购预算或最高限价；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法律、法规和招标文件规定的其他无效情形。</w:t>
            </w:r>
          </w:p>
        </w:tc>
      </w:tr>
    </w:tbl>
    <w:p>
      <w:pPr>
        <w:widowControl w:val="0"/>
        <w:tabs>
          <w:tab w:val="left" w:pos="567"/>
        </w:tabs>
        <w:adjustRightInd/>
        <w:rPr>
          <w:rFonts w:ascii="宋体" w:hAnsi="宋体"/>
          <w:color w:val="auto"/>
          <w:szCs w:val="21"/>
          <w:highlight w:val="none"/>
        </w:rPr>
      </w:pPr>
      <w:r>
        <w:rPr>
          <w:rFonts w:hint="eastAsia" w:ascii="宋体" w:hAnsi="宋体"/>
          <w:color w:val="auto"/>
          <w:szCs w:val="21"/>
          <w:highlight w:val="none"/>
        </w:rPr>
        <w:t>以上资格性、符合性审查中带有不合格分项的响应文件，将作无效标处理。经评标委员会确认的无效响应文件，采购人和采购代理机构将予以拒绝，并且不允许通过修正或撤消其不符合要求的差异，使之成为具有符合性的响应文件。经评标委员会资格性、符合性审查确认具有有效响应文件的响应供应商不足三家时将重新组织采购。</w:t>
      </w:r>
    </w:p>
    <w:p>
      <w:pPr>
        <w:widowControl w:val="0"/>
        <w:overflowPunct w:val="0"/>
        <w:ind w:left="567"/>
        <w:rPr>
          <w:rFonts w:ascii="宋体" w:hAnsi="宋体"/>
          <w:color w:val="auto"/>
          <w:szCs w:val="21"/>
          <w:highlight w:val="none"/>
        </w:rPr>
      </w:pPr>
    </w:p>
    <w:p>
      <w:pPr>
        <w:widowControl w:val="0"/>
        <w:numPr>
          <w:ilvl w:val="1"/>
          <w:numId w:val="3"/>
        </w:numPr>
        <w:overflowPunct w:val="0"/>
        <w:rPr>
          <w:rFonts w:ascii="宋体" w:hAnsi="宋体"/>
          <w:color w:val="auto"/>
          <w:szCs w:val="21"/>
          <w:highlight w:val="none"/>
        </w:rPr>
      </w:pPr>
      <w:r>
        <w:rPr>
          <w:rFonts w:hint="eastAsia" w:ascii="宋体" w:hAnsi="宋体" w:cs="宋体"/>
          <w:b/>
          <w:bCs/>
          <w:color w:val="auto"/>
          <w:szCs w:val="21"/>
          <w:highlight w:val="none"/>
        </w:rPr>
        <w:t>磋商</w:t>
      </w:r>
    </w:p>
    <w:p>
      <w:pPr>
        <w:widowControl w:val="0"/>
        <w:numPr>
          <w:ilvl w:val="2"/>
          <w:numId w:val="3"/>
        </w:numPr>
        <w:tabs>
          <w:tab w:val="left" w:pos="794"/>
        </w:tabs>
        <w:adjustRightInd/>
        <w:rPr>
          <w:rFonts w:ascii="宋体" w:hAnsi="宋体" w:cs="宋体"/>
          <w:snapToGrid w:val="0"/>
          <w:color w:val="auto"/>
          <w:szCs w:val="21"/>
          <w:highlight w:val="none"/>
        </w:rPr>
      </w:pPr>
      <w:r>
        <w:rPr>
          <w:rFonts w:hint="eastAsia" w:ascii="宋体" w:hAnsi="宋体" w:cs="宋体"/>
          <w:snapToGrid w:val="0"/>
          <w:color w:val="auto"/>
          <w:szCs w:val="21"/>
          <w:highlight w:val="none"/>
        </w:rPr>
        <w:t>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widowControl w:val="0"/>
        <w:numPr>
          <w:ilvl w:val="2"/>
          <w:numId w:val="3"/>
        </w:numPr>
        <w:tabs>
          <w:tab w:val="left" w:pos="794"/>
        </w:tabs>
        <w:adjustRightInd/>
        <w:rPr>
          <w:rFonts w:ascii="宋体" w:hAnsi="宋体" w:cs="宋体"/>
          <w:snapToGrid w:val="0"/>
          <w:color w:val="auto"/>
          <w:szCs w:val="21"/>
          <w:highlight w:val="none"/>
        </w:rPr>
      </w:pPr>
      <w:r>
        <w:rPr>
          <w:rFonts w:hint="eastAsia" w:ascii="宋体" w:hAnsi="宋体" w:cs="宋体"/>
          <w:snapToGrid w:val="0"/>
          <w:color w:val="auto"/>
          <w:szCs w:val="21"/>
          <w:highlight w:val="none"/>
        </w:rPr>
        <w:t>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widowControl w:val="0"/>
        <w:numPr>
          <w:ilvl w:val="2"/>
          <w:numId w:val="3"/>
        </w:numPr>
        <w:tabs>
          <w:tab w:val="left" w:pos="794"/>
        </w:tabs>
        <w:adjustRightInd/>
        <w:rPr>
          <w:rFonts w:ascii="宋体" w:hAnsi="宋体" w:cs="宋体"/>
          <w:snapToGrid w:val="0"/>
          <w:color w:val="auto"/>
          <w:szCs w:val="21"/>
          <w:highlight w:val="none"/>
        </w:rPr>
      </w:pPr>
      <w:r>
        <w:rPr>
          <w:rFonts w:hint="eastAsia" w:ascii="宋体" w:hAnsi="宋体" w:cs="宋体"/>
          <w:snapToGrid w:val="0"/>
          <w:color w:val="auto"/>
          <w:szCs w:val="21"/>
          <w:highlight w:val="none"/>
        </w:rPr>
        <w:t>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widowControl w:val="0"/>
        <w:numPr>
          <w:ilvl w:val="2"/>
          <w:numId w:val="3"/>
        </w:numPr>
        <w:tabs>
          <w:tab w:val="left" w:pos="794"/>
        </w:tabs>
        <w:adjustRightInd/>
        <w:rPr>
          <w:rFonts w:ascii="宋体" w:hAnsi="宋体" w:cs="宋体"/>
          <w:color w:val="auto"/>
          <w:szCs w:val="21"/>
          <w:highlight w:val="none"/>
        </w:rPr>
      </w:pPr>
      <w:r>
        <w:rPr>
          <w:rFonts w:hint="eastAsia" w:ascii="宋体" w:hAnsi="宋体" w:cs="宋体"/>
          <w:snapToGrid w:val="0"/>
          <w:color w:val="auto"/>
          <w:szCs w:val="21"/>
          <w:highlight w:val="none"/>
        </w:rPr>
        <w:t>磋商结束后，磋商小组应当要求所有实质性响应的供应商在规定时间内提交最后报价</w:t>
      </w:r>
      <w:r>
        <w:rPr>
          <w:rFonts w:hint="eastAsia" w:ascii="宋体" w:hAnsi="宋体" w:cs="宋体"/>
          <w:snapToGrid w:val="0"/>
          <w:color w:val="auto"/>
          <w:szCs w:val="21"/>
          <w:highlight w:val="none"/>
          <w:lang w:eastAsia="zh-CN"/>
        </w:rPr>
        <w:t>，</w:t>
      </w:r>
      <w:r>
        <w:rPr>
          <w:rFonts w:hint="eastAsia" w:ascii="宋体" w:hAnsi="宋体" w:cs="宋体"/>
          <w:snapToGrid w:val="0"/>
          <w:color w:val="auto"/>
          <w:szCs w:val="21"/>
          <w:highlight w:val="none"/>
        </w:rPr>
        <w:t>后一轮报价不得高于前一轮报价</w:t>
      </w:r>
      <w:r>
        <w:rPr>
          <w:rFonts w:hint="eastAsia" w:ascii="宋体" w:hAnsi="宋体" w:cs="宋体"/>
          <w:snapToGrid w:val="0"/>
          <w:color w:val="auto"/>
          <w:szCs w:val="21"/>
          <w:highlight w:val="none"/>
          <w:lang w:eastAsia="zh-CN"/>
        </w:rPr>
        <w:t>。</w:t>
      </w:r>
      <w:r>
        <w:rPr>
          <w:rFonts w:hint="eastAsia" w:ascii="宋体" w:hAnsi="宋体" w:cs="宋体"/>
          <w:snapToGrid w:val="0"/>
          <w:color w:val="auto"/>
          <w:szCs w:val="21"/>
          <w:highlight w:val="none"/>
        </w:rPr>
        <w:t>提交最后报价的供应商少于3家</w:t>
      </w:r>
      <w:r>
        <w:rPr>
          <w:rFonts w:hint="eastAsia" w:ascii="宋体" w:hAnsi="宋体" w:cs="宋体"/>
          <w:color w:val="auto"/>
          <w:szCs w:val="21"/>
          <w:highlight w:val="none"/>
        </w:rPr>
        <w:t>时</w:t>
      </w:r>
      <w:r>
        <w:rPr>
          <w:rFonts w:ascii="宋体" w:hAnsi="宋体" w:cs="宋体"/>
          <w:color w:val="auto"/>
          <w:szCs w:val="21"/>
          <w:highlight w:val="none"/>
        </w:rPr>
        <w:t>将重新组织采购</w:t>
      </w:r>
      <w:r>
        <w:rPr>
          <w:rFonts w:hint="eastAsia" w:ascii="宋体" w:hAnsi="宋体" w:cs="宋体"/>
          <w:color w:val="auto"/>
          <w:szCs w:val="21"/>
          <w:highlight w:val="none"/>
        </w:rPr>
        <w:t>。</w:t>
      </w:r>
    </w:p>
    <w:p>
      <w:pPr>
        <w:widowControl w:val="0"/>
        <w:tabs>
          <w:tab w:val="left" w:pos="794"/>
        </w:tabs>
        <w:adjustRightInd/>
        <w:rPr>
          <w:rFonts w:ascii="宋体" w:hAnsi="宋体"/>
          <w:color w:val="auto"/>
          <w:highlight w:val="none"/>
        </w:rPr>
      </w:pPr>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响应文件报价出现前后不一致的，评标委员会按照下列规定修正：</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响应文件中开标一览表（报价表）内容与响应文件中相应内容不一致的，以开标一览表（报价表）为准；</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大写金额和小写金额不一致的，以大写金额为准；</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单价金额小数点或者百分比有明显错位的，以开标一览表的总价为准，并修改单价；</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总价金额与按单价汇总金额不一致的，以单价金额计算结果为准。</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同时出现两种以上不一致的，按照前款规定的顺序修正。修正后的报价按照经供应商确认后产生约束力，供应商不确认的，其响应无效。</w:t>
      </w:r>
    </w:p>
    <w:p>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供应商的报价明显低于其他通过符合性审查供应商的报价，有可能影响产品质量或者不能诚信履约的，应当要求其在评标现场合理的时间内提供书面说明（以现场通知时间为准），必要时提交相关证明材料；供应商不能证明其报价合理性的，评标委员会应当将其作为无效响应处理。</w:t>
      </w:r>
    </w:p>
    <w:p>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对于响应文件中不构成实质性偏差的不正规、不一致或不规则，评标委员会可以接受，但这种接受不能损害或影响任何供应商的相对排序。</w:t>
      </w:r>
    </w:p>
    <w:p>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响应文件是否实质上响应了磋商文件的要求。实质上响应的响应文件应该是与磋商文件要求的全部主要条款（加“★”号）、条件和规格相符，没有重大偏离的响应。对关键条文的偏离、保留或反对，例如关于磋商保证金、合同条款的重大偏离将被认为是实质上的偏离。评标委员会决定响应文件的响应性只根据响应文件本身的内容，而不寻求外部的证据。</w:t>
      </w:r>
    </w:p>
    <w:p>
      <w:pPr>
        <w:pStyle w:val="11"/>
        <w:rPr>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147" w:name="_Toc21241"/>
      <w:bookmarkStart w:id="148" w:name="_Toc4799"/>
      <w:bookmarkStart w:id="149" w:name="_Toc15389"/>
      <w:r>
        <w:rPr>
          <w:rFonts w:hint="eastAsia" w:ascii="宋体" w:hAnsi="宋体" w:cs="宋体"/>
          <w:color w:val="auto"/>
          <w:sz w:val="21"/>
          <w:szCs w:val="21"/>
          <w:highlight w:val="none"/>
        </w:rPr>
        <w:t>商务、技术、价格评审（具体评审项目详见响应资料表）</w:t>
      </w:r>
      <w:bookmarkEnd w:id="147"/>
      <w:bookmarkEnd w:id="148"/>
      <w:bookmarkEnd w:id="149"/>
    </w:p>
    <w:p>
      <w:pPr>
        <w:pStyle w:val="57"/>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磋商文件中要求供应商提供的相关资质证书证明材料因国家政策变动导致新旧证书名称不一致，旧证书未取消且新旧证书具有同等效力的，供应商提供新证书与提供在有效期内的旧证书给予同等认可。 </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响应文件进行详细评审。评标委员会对每一响应文件进行详细的商务评审、技术评审。按照评审程序的规定和依据评分标准，各位评委就每个供应商的技术、商务状况及其对磋商文件要求的响应情况进行评议和比较，评出其技术评分和商务评分。根据磋商文件规定评出得分，将价格得分、商务得分、技术得分相加得出最终评标得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供应商得票数相同时，再次进行投票，如此类推，直到能确定排序次序为止</w:t>
      </w:r>
      <w:r>
        <w:rPr>
          <w:rFonts w:hint="eastAsia" w:ascii="宋体" w:hAnsi="宋体" w:cs="宋体"/>
          <w:color w:val="auto"/>
          <w:szCs w:val="21"/>
          <w:highlight w:val="none"/>
        </w:rPr>
        <w:t>。</w:t>
      </w:r>
    </w:p>
    <w:p>
      <w:pPr>
        <w:widowControl w:val="0"/>
        <w:tabs>
          <w:tab w:val="left" w:pos="907"/>
        </w:tabs>
        <w:adjustRightInd/>
        <w:snapToGrid/>
        <w:ind w:left="567"/>
        <w:jc w:val="both"/>
        <w:rPr>
          <w:rFonts w:ascii="宋体" w:hAnsi="宋体" w:cs="宋体"/>
          <w:color w:val="auto"/>
          <w:szCs w:val="21"/>
          <w:highlight w:val="none"/>
        </w:rPr>
      </w:pPr>
    </w:p>
    <w:p>
      <w:pPr>
        <w:pStyle w:val="5"/>
        <w:widowControl w:val="0"/>
        <w:numPr>
          <w:ilvl w:val="0"/>
          <w:numId w:val="3"/>
        </w:numPr>
        <w:overflowPunct w:val="0"/>
        <w:rPr>
          <w:rFonts w:ascii="宋体" w:hAnsi="宋体" w:cs="宋体"/>
          <w:color w:val="auto"/>
          <w:sz w:val="21"/>
          <w:szCs w:val="21"/>
          <w:highlight w:val="none"/>
        </w:rPr>
      </w:pPr>
      <w:bookmarkStart w:id="150" w:name="_Toc316375620"/>
      <w:bookmarkStart w:id="151" w:name="_Toc20328"/>
      <w:bookmarkStart w:id="152" w:name="_Toc21663"/>
      <w:bookmarkStart w:id="153" w:name="_Toc382049120"/>
      <w:bookmarkStart w:id="154" w:name="_Toc32466"/>
      <w:bookmarkStart w:id="155" w:name="_Toc20319"/>
      <w:r>
        <w:rPr>
          <w:rFonts w:hint="eastAsia" w:ascii="宋体" w:hAnsi="宋体" w:cs="宋体"/>
          <w:color w:val="auto"/>
          <w:sz w:val="21"/>
          <w:szCs w:val="21"/>
          <w:highlight w:val="none"/>
        </w:rPr>
        <w:t>纪律和保密</w:t>
      </w:r>
      <w:bookmarkEnd w:id="150"/>
      <w:r>
        <w:rPr>
          <w:rFonts w:hint="eastAsia" w:ascii="宋体" w:hAnsi="宋体" w:cs="宋体"/>
          <w:color w:val="auto"/>
          <w:sz w:val="21"/>
          <w:szCs w:val="21"/>
          <w:highlight w:val="none"/>
        </w:rPr>
        <w:t>事项</w:t>
      </w:r>
      <w:bookmarkEnd w:id="151"/>
      <w:bookmarkEnd w:id="152"/>
      <w:bookmarkEnd w:id="153"/>
      <w:bookmarkEnd w:id="154"/>
      <w:bookmarkEnd w:id="155"/>
    </w:p>
    <w:p>
      <w:pPr>
        <w:pStyle w:val="57"/>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从开标之日起至授予合同期间，在响应文件的审查、澄清、比较和评价阶段，供应商试图对评标委员会和采购代理机构施加任何影响或对采购人的比较及授予合同的决定产生影响，都可能导致其响应文件被拒绝。</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供应商不得串通作弊，以不正当的手段妨碍、排挤其他供应商，扰乱采购市场，破坏公平竞争原则。否则将按相关法律规定严肃处理。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获得本磋商文件的供应商，应对文件进行保密，不得用作本次投标以外的任何用途。开标后，供应商应归还磋商文件中要求保密的文件和资料。</w:t>
      </w:r>
    </w:p>
    <w:p>
      <w:pPr>
        <w:rPr>
          <w:rFonts w:ascii="宋体" w:hAnsi="宋体" w:cs="宋体"/>
          <w:color w:val="auto"/>
          <w:highlight w:val="none"/>
        </w:rPr>
      </w:pPr>
    </w:p>
    <w:p>
      <w:pPr>
        <w:pStyle w:val="4"/>
        <w:numPr>
          <w:ilvl w:val="0"/>
          <w:numId w:val="2"/>
        </w:numPr>
        <w:spacing w:before="0" w:after="0" w:line="360" w:lineRule="auto"/>
        <w:jc w:val="center"/>
        <w:rPr>
          <w:rFonts w:ascii="宋体" w:hAnsi="宋体" w:cs="宋体"/>
          <w:color w:val="auto"/>
          <w:highlight w:val="none"/>
        </w:rPr>
      </w:pPr>
      <w:bookmarkStart w:id="156" w:name="_Toc21283"/>
      <w:bookmarkStart w:id="157" w:name="_Toc1109"/>
      <w:bookmarkStart w:id="158" w:name="_Toc10452"/>
      <w:r>
        <w:rPr>
          <w:rFonts w:hint="eastAsia" w:ascii="宋体" w:hAnsi="宋体" w:cs="宋体"/>
          <w:color w:val="auto"/>
          <w:highlight w:val="none"/>
        </w:rPr>
        <w:t>授予合同</w:t>
      </w:r>
      <w:bookmarkEnd w:id="156"/>
      <w:bookmarkEnd w:id="157"/>
      <w:bookmarkEnd w:id="158"/>
    </w:p>
    <w:p>
      <w:pPr>
        <w:pStyle w:val="5"/>
        <w:widowControl w:val="0"/>
        <w:numPr>
          <w:ilvl w:val="0"/>
          <w:numId w:val="3"/>
        </w:numPr>
        <w:overflowPunct w:val="0"/>
        <w:rPr>
          <w:rFonts w:ascii="宋体" w:hAnsi="宋体" w:cs="宋体"/>
          <w:color w:val="auto"/>
          <w:sz w:val="21"/>
          <w:szCs w:val="21"/>
          <w:highlight w:val="none"/>
        </w:rPr>
      </w:pPr>
      <w:bookmarkStart w:id="159" w:name="_Toc508284011"/>
      <w:bookmarkStart w:id="160" w:name="_Toc22623"/>
      <w:bookmarkStart w:id="161" w:name="_Toc6881"/>
      <w:bookmarkStart w:id="162" w:name="_Toc16284"/>
      <w:r>
        <w:rPr>
          <w:rFonts w:hint="eastAsia" w:ascii="宋体" w:hAnsi="宋体" w:cs="宋体"/>
          <w:color w:val="auto"/>
          <w:sz w:val="21"/>
          <w:szCs w:val="21"/>
          <w:highlight w:val="none"/>
        </w:rPr>
        <w:t>合同授予标准</w:t>
      </w:r>
      <w:bookmarkEnd w:id="159"/>
      <w:bookmarkEnd w:id="160"/>
      <w:bookmarkEnd w:id="161"/>
      <w:bookmarkEnd w:id="162"/>
    </w:p>
    <w:p>
      <w:pPr>
        <w:pStyle w:val="57"/>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根据评标委员会的评审结果，采购人按照评审报告推荐的成交候选人中按顺序依法确定成交人。</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163" w:name="_Toc508284013"/>
      <w:bookmarkStart w:id="164" w:name="_Toc20661"/>
      <w:bookmarkStart w:id="165" w:name="_Toc10545"/>
      <w:bookmarkStart w:id="166" w:name="_Toc15182"/>
      <w:r>
        <w:rPr>
          <w:rFonts w:hint="eastAsia" w:ascii="宋体" w:hAnsi="宋体" w:cs="宋体"/>
          <w:color w:val="auto"/>
          <w:sz w:val="21"/>
          <w:szCs w:val="21"/>
          <w:highlight w:val="none"/>
        </w:rPr>
        <w:t>发布成交结果</w:t>
      </w:r>
      <w:bookmarkEnd w:id="163"/>
      <w:bookmarkEnd w:id="164"/>
      <w:bookmarkEnd w:id="165"/>
      <w:bookmarkEnd w:id="166"/>
    </w:p>
    <w:p>
      <w:pPr>
        <w:pStyle w:val="57"/>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评标委员会提出评标书面报告和推荐成交意见报采购人确认后，采购代理机构将在指定的信息发布媒体上发布公告。</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成交公告期限为3个日历日。</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《成交通知书》是合同的一个组成部分，《成交通知书》对采购人和成交人均具有同等法律效力。</w:t>
      </w:r>
    </w:p>
    <w:p>
      <w:pPr>
        <w:widowControl w:val="0"/>
        <w:tabs>
          <w:tab w:val="left" w:pos="907"/>
        </w:tabs>
        <w:adjustRightInd/>
        <w:snapToGrid/>
        <w:jc w:val="both"/>
        <w:rPr>
          <w:rFonts w:ascii="宋体" w:hAnsi="宋体" w:cs="宋体"/>
          <w:color w:val="auto"/>
          <w:szCs w:val="21"/>
          <w:highlight w:val="none"/>
        </w:rPr>
      </w:pPr>
    </w:p>
    <w:p>
      <w:pPr>
        <w:pStyle w:val="5"/>
        <w:widowControl w:val="0"/>
        <w:numPr>
          <w:ilvl w:val="0"/>
          <w:numId w:val="3"/>
        </w:numPr>
        <w:overflowPunct w:val="0"/>
        <w:rPr>
          <w:rFonts w:ascii="宋体" w:hAnsi="宋体" w:cs="宋体"/>
          <w:color w:val="auto"/>
          <w:sz w:val="21"/>
          <w:szCs w:val="21"/>
          <w:highlight w:val="none"/>
        </w:rPr>
      </w:pPr>
      <w:bookmarkStart w:id="167" w:name="_Toc11420"/>
      <w:bookmarkStart w:id="168" w:name="_Toc19659"/>
      <w:bookmarkStart w:id="169" w:name="_Toc13697"/>
      <w:r>
        <w:rPr>
          <w:rFonts w:hint="eastAsia" w:ascii="宋体" w:hAnsi="宋体" w:cs="宋体"/>
          <w:color w:val="auto"/>
          <w:sz w:val="21"/>
          <w:szCs w:val="21"/>
          <w:highlight w:val="none"/>
        </w:rPr>
        <w:t>资格后审</w:t>
      </w:r>
      <w:bookmarkEnd w:id="167"/>
      <w:bookmarkEnd w:id="168"/>
      <w:bookmarkEnd w:id="169"/>
    </w:p>
    <w:p>
      <w:pPr>
        <w:pStyle w:val="57"/>
        <w:widowControl w:val="0"/>
        <w:numPr>
          <w:ilvl w:val="0"/>
          <w:numId w:val="4"/>
        </w:numPr>
        <w:tabs>
          <w:tab w:val="left" w:pos="567"/>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采购人将有权根据本文件中的要求，对评委会推荐的成交候选人进行资格后审。</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成交候选人须无条件配合资格后审，否则采购人有权取消其成交资格，且磋商保证金可不予退还。</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响应文件中提供的资质证明文件、业绩等重要证明文件的原件进行核对，综合考察成交人的履约能力。如采购人要求还须提供业绩证明的其他材料,成交候选人须配合提供。如授权其分支机构进行项目实施或提供售后服务的，亦应提供其与分支机构关系的法律证明材料。</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如发现成交候选人以他人名义响应或者以其他方式弄虚作假，骗取成交的，采购人有权取消其成交资格，且磋商保证金可不予退还；给采购人造成损失的，应依法承担赔偿责任。</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有权审查成交候选人是否具备履行合同的能力，包括但不限于对其规模、人员、场地、生产能力、供货能力等方面的核实或现场考察。如果审查通过，采购人将把合同授予该成交人；如果审查没有通过，采购人有权取消其成交资格，且磋商保证金可不予退还，并依次审查下一名成交候选人是否具备履行合同的能力或重新采购。</w:t>
      </w:r>
    </w:p>
    <w:p>
      <w:pPr>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170" w:name="_Toc31881"/>
      <w:bookmarkStart w:id="171" w:name="_Toc27302"/>
      <w:bookmarkStart w:id="172" w:name="_Toc11248"/>
      <w:r>
        <w:rPr>
          <w:rFonts w:hint="eastAsia" w:ascii="宋体" w:hAnsi="宋体" w:cs="宋体"/>
          <w:color w:val="auto"/>
          <w:sz w:val="21"/>
          <w:szCs w:val="21"/>
          <w:highlight w:val="none"/>
        </w:rPr>
        <w:t>合同的签订与履行</w:t>
      </w:r>
      <w:bookmarkEnd w:id="170"/>
      <w:bookmarkEnd w:id="171"/>
      <w:bookmarkEnd w:id="172"/>
    </w:p>
    <w:p>
      <w:pPr>
        <w:pStyle w:val="57"/>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应当自采购人发出成交通知书之日起30日内，按照磋商文件和成交人响应文件的规定，与采购人签订书面合同，否则采购人有权取消其成交资格。所签订的合同不得对磋商文件确定的事项和成交人响应文件作实质性修改。在合同签订时，应注意合同中约定的工期开始时间不得早于合同签订时间。</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采购人与成交人应当根据合同的约定依法履行合同义务。</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在评审结束当天至合同履行结束，若因不可抗力的因素（如国家出台新法律法规等）造成供应商资质的变动，供应商应以纸质版形式通知采购人。若资质变动导致成交人不再具备履行合同资质要求，采购人有权中止合同。</w:t>
      </w:r>
    </w:p>
    <w:p>
      <w:pPr>
        <w:widowControl w:val="0"/>
        <w:tabs>
          <w:tab w:val="left" w:pos="907"/>
        </w:tabs>
        <w:adjustRightInd/>
        <w:snapToGrid/>
        <w:jc w:val="both"/>
        <w:rPr>
          <w:rFonts w:ascii="宋体" w:hAnsi="宋体" w:cs="宋体"/>
          <w:color w:val="auto"/>
          <w:highlight w:val="none"/>
        </w:rPr>
      </w:pPr>
    </w:p>
    <w:p>
      <w:pPr>
        <w:pStyle w:val="5"/>
        <w:widowControl w:val="0"/>
        <w:numPr>
          <w:ilvl w:val="0"/>
          <w:numId w:val="3"/>
        </w:numPr>
        <w:overflowPunct w:val="0"/>
        <w:rPr>
          <w:rFonts w:ascii="宋体" w:hAnsi="宋体" w:cs="宋体"/>
          <w:color w:val="auto"/>
          <w:sz w:val="21"/>
          <w:szCs w:val="21"/>
          <w:highlight w:val="none"/>
        </w:rPr>
      </w:pPr>
      <w:bookmarkStart w:id="173" w:name="_Toc382049124"/>
      <w:bookmarkStart w:id="174" w:name="_Toc29009"/>
      <w:bookmarkStart w:id="175" w:name="_Toc303084277"/>
      <w:bookmarkStart w:id="176" w:name="_Toc10977"/>
      <w:bookmarkStart w:id="177" w:name="_Toc6617"/>
      <w:bookmarkStart w:id="178" w:name="_Toc29472"/>
      <w:r>
        <w:rPr>
          <w:rFonts w:hint="eastAsia" w:ascii="宋体" w:hAnsi="宋体" w:cs="宋体"/>
          <w:color w:val="auto"/>
          <w:sz w:val="21"/>
          <w:szCs w:val="21"/>
          <w:highlight w:val="none"/>
        </w:rPr>
        <w:t>履约</w:t>
      </w:r>
      <w:bookmarkEnd w:id="173"/>
      <w:bookmarkEnd w:id="174"/>
      <w:bookmarkEnd w:id="175"/>
      <w:r>
        <w:rPr>
          <w:rFonts w:hint="eastAsia" w:ascii="宋体" w:hAnsi="宋体" w:cs="宋体"/>
          <w:color w:val="auto"/>
          <w:sz w:val="21"/>
          <w:szCs w:val="21"/>
          <w:highlight w:val="none"/>
        </w:rPr>
        <w:t>担保</w:t>
      </w:r>
      <w:bookmarkEnd w:id="176"/>
      <w:bookmarkEnd w:id="177"/>
      <w:bookmarkEnd w:id="178"/>
    </w:p>
    <w:p>
      <w:pPr>
        <w:pStyle w:val="57"/>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成交人在采购（合同签署）</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提交履约担保，履约担保金额</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成交合同金额的10%，如果成交人提交的履约保函的有效期先于合同要求的履约保函有效期到达，成交人应在原提交的履约保函有效期满前15天，无条件办理保函延期手续。否则，视成交人违约，采购人可在保函到期前将保函金额转为现金存入履约保证金账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天内保持有效。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（1）履约保函。如果成交人的履约担保是以银行保函形式提供的，则该银行保函应：</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②保函的格式参考磋商文件附件中提供的无条件不可撤销履约保函格式，保函担保期内若项目未能按期竣工，保函必须延期，办理延期手续时在银行方面所产生费用由成交人负责。</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成交价的10%。成交人人必须保证履约保证金以成交人的名称在（合同约定的日期）前提交至采购人指定账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若成交人不能按本采购文件（33.1至33.3）的规定提交履约保证金的，采购人将有权取消成交人的成交资格（采购人可以按照评标委员会提出的成交候选人名单排序依次确定其他成交候选人为成交人，也可以重新采购），磋商保证金不予退还，给采购人造成的损失如果超过磋商保证金数额的，还应当对超过部分予以赔偿。</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为取得履约担保所需的费用，由成交人承担；若工期延误，履约担保时间延长，延长费用由成交人承担。</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若成交人在合同履行过程中出现项目质量事故、工期拖延、欠付工人工资、欠付材料款等情况，采购人在经核查属实后，有权将履约保函金额转为现金存入履约保证金账户；成交人造成采购人损失的，采购人有权立即没收其履约担保，若造成损失超过履约担保的，还应当对超过部分予以赔偿。</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（1）成交人将本项目转让给他人，或者在响应文件中未说明，且未经采购人同意，将成交项目分包给他人的；</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（2）成交人在履行采购合同期间，违反有关法律法规的规定及合同约定的条款，损害了采购人的利益。</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在整个项目验收合格后成交人向采购人提交退回履约担保的申请，采购人办理履约担保退还手续。</w:t>
      </w:r>
    </w:p>
    <w:p>
      <w:pPr>
        <w:rPr>
          <w:rFonts w:ascii="宋体" w:hAnsi="宋体" w:cs="宋体"/>
          <w:color w:val="auto"/>
          <w:highlight w:val="none"/>
        </w:rPr>
      </w:pPr>
    </w:p>
    <w:p>
      <w:pPr>
        <w:pStyle w:val="4"/>
        <w:numPr>
          <w:ilvl w:val="0"/>
          <w:numId w:val="2"/>
        </w:numPr>
        <w:spacing w:before="0" w:after="0" w:line="360" w:lineRule="auto"/>
        <w:jc w:val="center"/>
        <w:rPr>
          <w:rFonts w:ascii="宋体" w:hAnsi="宋体" w:cs="宋体"/>
          <w:color w:val="auto"/>
          <w:highlight w:val="none"/>
        </w:rPr>
      </w:pPr>
      <w:bookmarkStart w:id="179" w:name="_Toc21814"/>
      <w:bookmarkStart w:id="180" w:name="_Toc26770"/>
      <w:bookmarkStart w:id="181" w:name="_Toc12798"/>
      <w:r>
        <w:rPr>
          <w:rFonts w:hint="eastAsia" w:ascii="宋体" w:hAnsi="宋体" w:cs="宋体"/>
          <w:color w:val="auto"/>
          <w:highlight w:val="none"/>
        </w:rPr>
        <w:t>异议</w:t>
      </w:r>
      <w:bookmarkEnd w:id="179"/>
      <w:bookmarkEnd w:id="180"/>
      <w:bookmarkEnd w:id="181"/>
    </w:p>
    <w:p>
      <w:pPr>
        <w:pStyle w:val="5"/>
        <w:widowControl w:val="0"/>
        <w:numPr>
          <w:ilvl w:val="0"/>
          <w:numId w:val="3"/>
        </w:numPr>
        <w:overflowPunct w:val="0"/>
        <w:rPr>
          <w:rFonts w:ascii="宋体" w:hAnsi="宋体" w:cs="宋体"/>
          <w:color w:val="auto"/>
          <w:sz w:val="21"/>
          <w:szCs w:val="21"/>
          <w:highlight w:val="none"/>
        </w:rPr>
      </w:pPr>
      <w:bookmarkStart w:id="182" w:name="_Toc9791"/>
      <w:bookmarkStart w:id="183" w:name="_Toc4350"/>
      <w:bookmarkStart w:id="184" w:name="_Toc30449"/>
      <w:r>
        <w:rPr>
          <w:rFonts w:hint="eastAsia" w:ascii="宋体" w:hAnsi="宋体" w:cs="宋体"/>
          <w:color w:val="auto"/>
          <w:sz w:val="21"/>
          <w:szCs w:val="21"/>
          <w:highlight w:val="none"/>
        </w:rPr>
        <w:t>异议</w:t>
      </w:r>
      <w:bookmarkEnd w:id="182"/>
      <w:bookmarkEnd w:id="183"/>
      <w:bookmarkEnd w:id="184"/>
    </w:p>
    <w:p>
      <w:pPr>
        <w:pStyle w:val="57"/>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val="zh-CN"/>
        </w:rPr>
        <w:t>磋商文件的异议</w:t>
      </w:r>
      <w:r>
        <w:rPr>
          <w:rFonts w:hint="eastAsia" w:ascii="宋体" w:hAnsi="宋体" w:cs="宋体"/>
          <w:color w:val="auto"/>
          <w:szCs w:val="21"/>
          <w:highlight w:val="none"/>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bCs/>
          <w:color w:val="auto"/>
          <w:kern w:val="2"/>
          <w:szCs w:val="21"/>
          <w:highlight w:val="none"/>
          <w:lang w:val="zh-CN"/>
        </w:rPr>
        <w:t>供应商或者其他利害关系人对磋商文件有异议的，应当在磋商截止时间10日前</w:t>
      </w:r>
      <w:r>
        <w:rPr>
          <w:rFonts w:hint="eastAsia" w:ascii="宋体" w:hAnsi="宋体" w:cs="宋体"/>
          <w:color w:val="auto"/>
          <w:kern w:val="2"/>
          <w:szCs w:val="21"/>
          <w:highlight w:val="none"/>
          <w:lang w:val="zh-CN"/>
        </w:rPr>
        <w:t>以书面形式向采购代理机构提出，并将材料原件送达采购代理机构，逾期则视为对磋商文件所有内容无异议。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书面材料必须加盖供应商法人公章，并注明联系人、联系电话、联系地址。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供应商或者其他利害关系人对评标结果有异议的，应当在成交候选人公示期间向采购代理机构以书面的形式提出，并将完整的异议书面材料原件送达采购代理机构，逾期则视为对评标结果无异议。超出提交异议截止时间而提出的任何疑问，采购代理机构可不予答复。</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w:t>
      </w:r>
      <w:r>
        <w:rPr>
          <w:rFonts w:hint="eastAsia" w:ascii="宋体" w:hAnsi="宋体" w:cs="宋体"/>
          <w:color w:val="auto"/>
          <w:szCs w:val="21"/>
          <w:highlight w:val="none"/>
          <w:lang w:val="zh-CN"/>
        </w:rPr>
        <w:t>公章</w:t>
      </w:r>
      <w:r>
        <w:rPr>
          <w:rFonts w:hint="eastAsia" w:ascii="宋体" w:hAnsi="宋体" w:cs="宋体"/>
          <w:color w:val="auto"/>
          <w:kern w:val="2"/>
          <w:szCs w:val="21"/>
          <w:highlight w:val="none"/>
          <w:lang w:val="zh-CN"/>
        </w:rPr>
        <w:t>，并注明联系人、联系电话、联系地址）、授权提交异议的法定代表人授权书原件、反映异议人主体资格的营业执照复印件（加盖法人公章）、以及合法来源的证据证明材料。</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以联合体形式参加采购活动的，其异议应当由组成联合体的所有供应商共同提出。</w:t>
      </w:r>
    </w:p>
    <w:p>
      <w:pPr>
        <w:rPr>
          <w:rFonts w:ascii="宋体" w:hAnsi="宋体" w:cs="宋体"/>
          <w:color w:val="auto"/>
          <w:highlight w:val="none"/>
        </w:rPr>
      </w:pPr>
    </w:p>
    <w:p>
      <w:pPr>
        <w:pStyle w:val="4"/>
        <w:numPr>
          <w:ilvl w:val="0"/>
          <w:numId w:val="2"/>
        </w:numPr>
        <w:spacing w:before="0" w:after="0" w:line="360" w:lineRule="auto"/>
        <w:jc w:val="center"/>
        <w:rPr>
          <w:rFonts w:ascii="宋体" w:hAnsi="宋体" w:cs="宋体"/>
          <w:color w:val="auto"/>
          <w:highlight w:val="none"/>
        </w:rPr>
      </w:pPr>
      <w:bookmarkStart w:id="185" w:name="_Toc18965"/>
      <w:bookmarkStart w:id="186" w:name="_Toc10480"/>
      <w:bookmarkStart w:id="187" w:name="_Toc48"/>
      <w:r>
        <w:rPr>
          <w:rFonts w:hint="eastAsia" w:ascii="宋体" w:hAnsi="宋体" w:cs="宋体"/>
          <w:color w:val="auto"/>
          <w:highlight w:val="none"/>
        </w:rPr>
        <w:t>其他</w:t>
      </w:r>
      <w:bookmarkEnd w:id="185"/>
      <w:bookmarkEnd w:id="186"/>
      <w:bookmarkEnd w:id="187"/>
    </w:p>
    <w:p>
      <w:pPr>
        <w:pStyle w:val="5"/>
        <w:widowControl w:val="0"/>
        <w:numPr>
          <w:ilvl w:val="0"/>
          <w:numId w:val="3"/>
        </w:numPr>
        <w:overflowPunct w:val="0"/>
        <w:rPr>
          <w:rFonts w:ascii="宋体" w:hAnsi="宋体" w:cs="宋体"/>
          <w:color w:val="auto"/>
          <w:sz w:val="21"/>
          <w:szCs w:val="21"/>
          <w:highlight w:val="none"/>
        </w:rPr>
      </w:pPr>
      <w:bookmarkStart w:id="188" w:name="_Toc1587"/>
      <w:bookmarkStart w:id="189" w:name="_Toc4717"/>
      <w:bookmarkStart w:id="190" w:name="_Toc9374"/>
      <w:r>
        <w:rPr>
          <w:rFonts w:hint="eastAsia" w:ascii="宋体" w:hAnsi="宋体" w:cs="宋体"/>
          <w:color w:val="auto"/>
          <w:sz w:val="21"/>
          <w:szCs w:val="21"/>
          <w:highlight w:val="none"/>
        </w:rPr>
        <w:t>磋商文件的解释权</w:t>
      </w:r>
      <w:bookmarkEnd w:id="188"/>
      <w:bookmarkEnd w:id="189"/>
      <w:bookmarkEnd w:id="190"/>
    </w:p>
    <w:p>
      <w:pPr>
        <w:pStyle w:val="57"/>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本磋商文件是根据国家有关法律、法规以及采购管理有关规定和参照国际惯例编制，解释权属本采购代理机构。</w:t>
      </w:r>
    </w:p>
    <w:p>
      <w:pPr>
        <w:widowControl w:val="0"/>
        <w:numPr>
          <w:ilvl w:val="0"/>
          <w:numId w:val="0"/>
        </w:numPr>
        <w:tabs>
          <w:tab w:val="left" w:pos="907"/>
        </w:tabs>
        <w:adjustRightInd/>
        <w:snapToGrid/>
        <w:spacing w:line="360" w:lineRule="exact"/>
        <w:ind w:leftChars="0"/>
        <w:jc w:val="both"/>
        <w:rPr>
          <w:rFonts w:ascii="宋体" w:hAnsi="宋体"/>
          <w:color w:val="auto"/>
          <w:szCs w:val="21"/>
          <w:highlight w:val="none"/>
        </w:rPr>
      </w:pPr>
      <w:r>
        <w:rPr>
          <w:rFonts w:hint="eastAsia" w:ascii="宋体" w:hAnsi="宋体"/>
          <w:color w:val="auto"/>
          <w:szCs w:val="21"/>
          <w:highlight w:val="none"/>
        </w:rPr>
        <w:br w:type="page"/>
      </w:r>
    </w:p>
    <w:p>
      <w:pPr>
        <w:pStyle w:val="2"/>
        <w:spacing w:before="0" w:after="0" w:line="240" w:lineRule="auto"/>
        <w:rPr>
          <w:color w:val="auto"/>
          <w:sz w:val="28"/>
          <w:szCs w:val="28"/>
          <w:highlight w:val="none"/>
        </w:rPr>
      </w:pPr>
      <w:bookmarkStart w:id="191" w:name="_Toc12462"/>
      <w:bookmarkStart w:id="192" w:name="_Toc6"/>
      <w:r>
        <w:rPr>
          <w:rFonts w:hint="eastAsia"/>
          <w:color w:val="auto"/>
          <w:sz w:val="28"/>
          <w:szCs w:val="28"/>
          <w:highlight w:val="none"/>
        </w:rPr>
        <w:t>第五部分 合同条款格式</w:t>
      </w:r>
      <w:bookmarkEnd w:id="191"/>
      <w:bookmarkEnd w:id="192"/>
      <w:bookmarkStart w:id="193" w:name="_Toc15636"/>
    </w:p>
    <w:bookmarkEnd w:id="193"/>
    <w:p>
      <w:pPr>
        <w:rPr>
          <w:color w:val="auto"/>
          <w:highlight w:val="none"/>
          <w:lang w:bidi="zh-CN"/>
        </w:rPr>
      </w:pPr>
      <w:bookmarkStart w:id="194" w:name="_Hlt109815959"/>
      <w:bookmarkEnd w:id="194"/>
    </w:p>
    <w:p>
      <w:pPr>
        <w:outlineLvl w:val="9"/>
        <w:rPr>
          <w:rFonts w:ascii="宋体" w:hAnsi="宋体"/>
          <w:b w:val="0"/>
          <w:bCs w:val="0"/>
          <w:color w:val="auto"/>
          <w:sz w:val="21"/>
          <w:szCs w:val="21"/>
          <w:highlight w:val="none"/>
        </w:rPr>
      </w:pPr>
      <w:bookmarkStart w:id="195" w:name="_Toc14376"/>
      <w:bookmarkStart w:id="196" w:name="_Toc131351142"/>
      <w:bookmarkStart w:id="197" w:name="_Toc9367"/>
      <w:r>
        <w:rPr>
          <w:rFonts w:hint="eastAsia" w:ascii="宋体" w:hAnsi="宋体" w:cs="宋体"/>
          <w:b w:val="0"/>
          <w:bCs w:val="0"/>
          <w:color w:val="auto"/>
          <w:sz w:val="21"/>
          <w:szCs w:val="21"/>
          <w:highlight w:val="none"/>
        </w:rPr>
        <w:t>注：本合同条款仅供参考，甲乙</w:t>
      </w:r>
      <w:r>
        <w:rPr>
          <w:rFonts w:hint="eastAsia" w:ascii="宋体" w:hAnsi="宋体" w:cs="宋体"/>
          <w:b w:val="0"/>
          <w:bCs w:val="0"/>
          <w:color w:val="auto"/>
          <w:sz w:val="21"/>
          <w:szCs w:val="21"/>
          <w:highlight w:val="none"/>
          <w:lang w:eastAsia="zh-CN"/>
        </w:rPr>
        <w:t>双</w:t>
      </w:r>
      <w:r>
        <w:rPr>
          <w:rFonts w:hint="eastAsia" w:ascii="宋体" w:hAnsi="宋体" w:cs="宋体"/>
          <w:b w:val="0"/>
          <w:bCs w:val="0"/>
          <w:color w:val="auto"/>
          <w:sz w:val="21"/>
          <w:szCs w:val="21"/>
          <w:highlight w:val="none"/>
        </w:rPr>
        <w:t>方可根据实际情况进行补充。</w:t>
      </w:r>
      <w:bookmarkEnd w:id="195"/>
      <w:bookmarkEnd w:id="196"/>
      <w:bookmarkEnd w:id="197"/>
    </w:p>
    <w:p>
      <w:pPr>
        <w:jc w:val="center"/>
        <w:rPr>
          <w:rFonts w:hAnsi="宋体" w:cs="宋体"/>
          <w:b/>
          <w:color w:val="auto"/>
          <w:szCs w:val="21"/>
          <w:highlight w:val="none"/>
        </w:rPr>
      </w:pPr>
    </w:p>
    <w:p>
      <w:pPr>
        <w:jc w:val="center"/>
        <w:rPr>
          <w:rFonts w:eastAsia="黑体"/>
          <w:color w:val="auto"/>
          <w:sz w:val="28"/>
          <w:szCs w:val="44"/>
          <w:highlight w:val="none"/>
        </w:rPr>
      </w:pPr>
      <w:bookmarkStart w:id="198" w:name="_Toc20386"/>
    </w:p>
    <w:p>
      <w:pPr>
        <w:spacing w:before="156" w:beforeLines="50" w:after="156" w:afterLines="50" w:line="360" w:lineRule="auto"/>
        <w:ind w:firstLine="6160" w:firstLineChars="2800"/>
        <w:contextualSpacing/>
        <w:jc w:val="both"/>
        <w:rPr>
          <w:rFonts w:ascii="宋体" w:hAnsi="宋体"/>
          <w:color w:val="auto"/>
          <w:highlight w:val="none"/>
        </w:rPr>
      </w:pPr>
      <w:r>
        <w:rPr>
          <w:rFonts w:hint="eastAsia" w:ascii="宋体" w:hAnsi="宋体" w:cs="宋体"/>
          <w:color w:val="auto"/>
          <w:sz w:val="22"/>
          <w:szCs w:val="22"/>
          <w:highlight w:val="none"/>
          <w:lang w:bidi="ar"/>
        </w:rPr>
        <w:t xml:space="preserve">合同编号：    </w:t>
      </w:r>
    </w:p>
    <w:p>
      <w:pPr>
        <w:autoSpaceDE/>
        <w:autoSpaceDN/>
        <w:adjustRightInd/>
        <w:spacing w:line="480" w:lineRule="auto"/>
        <w:ind w:left="-210" w:leftChars="-100"/>
        <w:jc w:val="center"/>
        <w:rPr>
          <w:rFonts w:hint="eastAsia" w:hAnsi="宋体"/>
          <w:b/>
          <w:color w:val="auto"/>
          <w:kern w:val="2"/>
          <w:sz w:val="40"/>
          <w:szCs w:val="32"/>
          <w:highlight w:val="none"/>
        </w:rPr>
      </w:pPr>
      <w:r>
        <w:rPr>
          <w:rFonts w:hint="eastAsia" w:hAnsi="宋体"/>
          <w:b/>
          <w:color w:val="auto"/>
          <w:kern w:val="2"/>
          <w:sz w:val="40"/>
          <w:szCs w:val="32"/>
          <w:highlight w:val="none"/>
          <w:lang w:val="en-US" w:eastAsia="zh-CN"/>
        </w:rPr>
        <w:t>企石镇霞朗-新南城中村改造</w:t>
      </w:r>
      <w:r>
        <w:rPr>
          <w:rFonts w:hint="eastAsia" w:hAnsi="宋体"/>
          <w:b/>
          <w:color w:val="auto"/>
          <w:kern w:val="2"/>
          <w:sz w:val="40"/>
          <w:szCs w:val="32"/>
          <w:highlight w:val="none"/>
        </w:rPr>
        <w:t>项目</w:t>
      </w:r>
    </w:p>
    <w:p>
      <w:pPr>
        <w:autoSpaceDE/>
        <w:autoSpaceDN/>
        <w:adjustRightInd/>
        <w:spacing w:line="480" w:lineRule="auto"/>
        <w:ind w:left="-210" w:leftChars="-100"/>
        <w:jc w:val="center"/>
        <w:rPr>
          <w:rFonts w:hAnsi="宋体"/>
          <w:b/>
          <w:color w:val="auto"/>
          <w:kern w:val="2"/>
          <w:sz w:val="40"/>
          <w:szCs w:val="32"/>
          <w:highlight w:val="none"/>
        </w:rPr>
      </w:pPr>
      <w:r>
        <w:rPr>
          <w:rFonts w:hint="eastAsia" w:hAnsi="宋体"/>
          <w:b/>
          <w:color w:val="auto"/>
          <w:kern w:val="2"/>
          <w:sz w:val="40"/>
          <w:szCs w:val="32"/>
          <w:highlight w:val="none"/>
        </w:rPr>
        <w:t>权籍调查</w:t>
      </w:r>
      <w:r>
        <w:rPr>
          <w:rFonts w:hint="eastAsia" w:hAnsi="宋体"/>
          <w:b/>
          <w:color w:val="auto"/>
          <w:kern w:val="2"/>
          <w:sz w:val="40"/>
          <w:szCs w:val="32"/>
          <w:highlight w:val="none"/>
          <w:lang w:val="en-US" w:eastAsia="zh-CN"/>
        </w:rPr>
        <w:t>审查</w:t>
      </w:r>
      <w:r>
        <w:rPr>
          <w:rFonts w:hint="eastAsia" w:hAnsi="宋体"/>
          <w:b/>
          <w:color w:val="auto"/>
          <w:kern w:val="2"/>
          <w:sz w:val="40"/>
          <w:szCs w:val="32"/>
          <w:highlight w:val="none"/>
        </w:rPr>
        <w:t>服务合同</w:t>
      </w:r>
    </w:p>
    <w:p>
      <w:pPr>
        <w:pStyle w:val="78"/>
        <w:spacing w:line="400" w:lineRule="exact"/>
        <w:ind w:firstLine="420" w:firstLineChars="200"/>
        <w:outlineLvl w:val="9"/>
        <w:rPr>
          <w:rFonts w:hAnsi="宋体" w:cs="宋体"/>
          <w:bCs/>
          <w:color w:val="auto"/>
          <w:sz w:val="21"/>
          <w:highlight w:val="none"/>
        </w:rPr>
      </w:pPr>
    </w:p>
    <w:p>
      <w:pPr>
        <w:snapToGrid w:val="0"/>
        <w:spacing w:line="360" w:lineRule="auto"/>
        <w:ind w:left="210" w:leftChars="100"/>
        <w:outlineLvl w:val="9"/>
        <w:rPr>
          <w:rFonts w:hint="default" w:hAnsi="宋体" w:eastAsia="宋体"/>
          <w:color w:val="auto"/>
          <w:sz w:val="21"/>
          <w:szCs w:val="21"/>
          <w:highlight w:val="none"/>
          <w:u w:val="single"/>
          <w:lang w:val="en-US" w:eastAsia="zh-CN"/>
        </w:rPr>
      </w:pPr>
      <w:r>
        <w:rPr>
          <w:rFonts w:hint="eastAsia" w:hAnsi="宋体"/>
          <w:color w:val="auto"/>
          <w:sz w:val="21"/>
          <w:szCs w:val="21"/>
          <w:highlight w:val="none"/>
        </w:rPr>
        <w:t>甲方：</w:t>
      </w:r>
      <w:r>
        <w:rPr>
          <w:rFonts w:hint="eastAsia" w:hAnsi="宋体"/>
          <w:color w:val="auto"/>
          <w:sz w:val="21"/>
          <w:szCs w:val="21"/>
          <w:highlight w:val="none"/>
          <w:lang w:val="en-US" w:eastAsia="zh-CN"/>
        </w:rPr>
        <w:t>东莞市东实城市开发有限公司</w:t>
      </w:r>
    </w:p>
    <w:p>
      <w:pPr>
        <w:snapToGrid w:val="0"/>
        <w:spacing w:line="360" w:lineRule="auto"/>
        <w:ind w:left="210" w:leftChars="100"/>
        <w:outlineLvl w:val="9"/>
        <w:rPr>
          <w:rFonts w:hAnsi="宋体"/>
          <w:color w:val="auto"/>
          <w:sz w:val="21"/>
          <w:szCs w:val="21"/>
          <w:highlight w:val="none"/>
          <w:u w:val="single"/>
        </w:rPr>
      </w:pPr>
      <w:r>
        <w:rPr>
          <w:rFonts w:hint="eastAsia" w:hAnsi="宋体"/>
          <w:color w:val="auto"/>
          <w:sz w:val="21"/>
          <w:szCs w:val="21"/>
          <w:highlight w:val="none"/>
        </w:rPr>
        <w:t>乙方：</w:t>
      </w:r>
    </w:p>
    <w:p>
      <w:pPr>
        <w:pStyle w:val="78"/>
        <w:pageBreakBefore w:val="0"/>
        <w:kinsoku/>
        <w:wordWrap/>
        <w:overflowPunct/>
        <w:topLinePunct w:val="0"/>
        <w:bidi w:val="0"/>
        <w:snapToGrid/>
        <w:spacing w:line="400" w:lineRule="exact"/>
        <w:outlineLvl w:val="9"/>
        <w:rPr>
          <w:rFonts w:hint="eastAsia" w:hAnsi="宋体" w:cs="宋体"/>
          <w:color w:val="auto"/>
          <w:sz w:val="21"/>
          <w:highlight w:val="none"/>
          <w:lang w:val="en-US" w:eastAsia="zh-CN"/>
        </w:rPr>
      </w:pP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依照《中华人民共和国民法典》、《中华人民共和国测绘法》及其它有关法律、法规</w:t>
      </w:r>
      <w:r>
        <w:rPr>
          <w:rFonts w:hint="eastAsia" w:hAnsi="宋体" w:cs="宋体"/>
          <w:color w:val="auto"/>
          <w:sz w:val="21"/>
          <w:highlight w:val="none"/>
          <w:lang w:eastAsia="zh-CN"/>
        </w:rPr>
        <w:t>，</w:t>
      </w:r>
      <w:r>
        <w:rPr>
          <w:rFonts w:hint="eastAsia" w:hAnsi="宋体" w:cs="宋体"/>
          <w:color w:val="auto"/>
          <w:sz w:val="21"/>
          <w:highlight w:val="none"/>
        </w:rPr>
        <w:t>甲</w:t>
      </w:r>
      <w:r>
        <w:rPr>
          <w:rFonts w:hint="eastAsia" w:hAnsi="宋体" w:cs="宋体"/>
          <w:color w:val="auto"/>
          <w:sz w:val="21"/>
          <w:highlight w:val="none"/>
          <w:lang w:eastAsia="zh-CN"/>
        </w:rPr>
        <w:t>、</w:t>
      </w:r>
      <w:r>
        <w:rPr>
          <w:rFonts w:hint="eastAsia" w:hAnsi="宋体" w:cs="宋体"/>
          <w:color w:val="auto"/>
          <w:sz w:val="21"/>
          <w:highlight w:val="none"/>
        </w:rPr>
        <w:t>乙</w:t>
      </w:r>
      <w:r>
        <w:rPr>
          <w:rFonts w:hint="eastAsia" w:hAnsi="宋体" w:cs="宋体"/>
          <w:color w:val="auto"/>
          <w:sz w:val="21"/>
          <w:highlight w:val="none"/>
          <w:lang w:val="en-US" w:eastAsia="zh-CN"/>
        </w:rPr>
        <w:t>双</w:t>
      </w:r>
      <w:r>
        <w:rPr>
          <w:rFonts w:hint="eastAsia" w:hAnsi="宋体" w:cs="宋体"/>
          <w:color w:val="auto"/>
          <w:sz w:val="21"/>
          <w:highlight w:val="none"/>
        </w:rPr>
        <w:t>方就莞城圳头项目权籍调查（详查）复核服务，遵循自愿公平、诚实信用的原则，经协商达成一致，订立本合同。</w:t>
      </w:r>
    </w:p>
    <w:p>
      <w:pPr>
        <w:pageBreakBefore w:val="0"/>
        <w:kinsoku/>
        <w:wordWrap/>
        <w:overflowPunct/>
        <w:topLinePunct w:val="0"/>
        <w:bidi w:val="0"/>
        <w:adjustRightInd/>
        <w:snapToGrid/>
        <w:spacing w:before="0" w:after="0" w:line="360" w:lineRule="auto"/>
        <w:ind w:firstLine="420" w:firstLineChars="200"/>
        <w:outlineLvl w:val="9"/>
        <w:rPr>
          <w:rFonts w:cs="宋体"/>
          <w:color w:val="auto"/>
          <w:sz w:val="21"/>
          <w:szCs w:val="21"/>
          <w:highlight w:val="none"/>
        </w:rPr>
      </w:pPr>
      <w:r>
        <w:rPr>
          <w:rFonts w:hint="eastAsia" w:cs="宋体"/>
          <w:color w:val="auto"/>
          <w:sz w:val="21"/>
          <w:szCs w:val="21"/>
          <w:highlight w:val="none"/>
        </w:rPr>
        <w:t>第一条 项目范围及工作内容</w:t>
      </w:r>
    </w:p>
    <w:p>
      <w:pPr>
        <w:pageBreakBefore w:val="0"/>
        <w:kinsoku/>
        <w:wordWrap/>
        <w:overflowPunct/>
        <w:topLinePunct w:val="0"/>
        <w:bidi w:val="0"/>
        <w:snapToGrid/>
        <w:spacing w:line="400" w:lineRule="exact"/>
        <w:ind w:firstLine="420" w:firstLineChars="200"/>
        <w:outlineLvl w:val="9"/>
        <w:rPr>
          <w:rFonts w:hint="eastAsia" w:ascii="宋体" w:hAnsi="宋体" w:eastAsia="宋体" w:cs="宋体"/>
          <w:b w:val="0"/>
          <w:bCs/>
          <w:color w:val="auto"/>
          <w:kern w:val="10"/>
          <w:sz w:val="21"/>
          <w:szCs w:val="21"/>
          <w:highlight w:val="none"/>
          <w:lang w:val="en-US" w:eastAsia="zh-CN" w:bidi="ar-SA"/>
        </w:rPr>
      </w:pPr>
      <w:r>
        <w:rPr>
          <w:rFonts w:hint="eastAsia" w:ascii="宋体" w:hAnsi="宋体" w:eastAsia="宋体" w:cs="宋体"/>
          <w:b w:val="0"/>
          <w:bCs/>
          <w:color w:val="auto"/>
          <w:kern w:val="10"/>
          <w:sz w:val="21"/>
          <w:szCs w:val="21"/>
          <w:highlight w:val="none"/>
          <w:lang w:val="en-US" w:eastAsia="zh-CN" w:bidi="ar-SA"/>
        </w:rPr>
        <w:t>1、</w:t>
      </w:r>
      <w:r>
        <w:rPr>
          <w:rFonts w:hint="eastAsia" w:ascii="宋体" w:hAnsi="宋体" w:cs="宋体"/>
          <w:bCs/>
          <w:color w:val="auto"/>
          <w:kern w:val="10"/>
          <w:szCs w:val="21"/>
          <w:highlight w:val="none"/>
        </w:rPr>
        <w:t>项目位于东莞市</w:t>
      </w:r>
      <w:r>
        <w:rPr>
          <w:rFonts w:hint="eastAsia" w:ascii="宋体" w:hAnsi="宋体" w:cs="宋体"/>
          <w:bCs/>
          <w:color w:val="auto"/>
          <w:kern w:val="10"/>
          <w:szCs w:val="21"/>
          <w:highlight w:val="none"/>
          <w:lang w:val="en-US" w:eastAsia="zh-CN"/>
        </w:rPr>
        <w:t>企石镇</w:t>
      </w:r>
      <w:r>
        <w:rPr>
          <w:rFonts w:hint="eastAsia" w:ascii="宋体" w:hAnsi="宋体" w:cs="宋体"/>
          <w:bCs/>
          <w:color w:val="auto"/>
          <w:kern w:val="10"/>
          <w:szCs w:val="21"/>
          <w:highlight w:val="none"/>
        </w:rPr>
        <w:t>，东北至宝石路、南至东部快速、西至霞朗路与从莞深高速、东至人民路</w:t>
      </w:r>
      <w:r>
        <w:rPr>
          <w:rFonts w:hint="eastAsia" w:ascii="宋体" w:hAnsi="宋体" w:cs="宋体"/>
          <w:bCs/>
          <w:color w:val="auto"/>
          <w:kern w:val="10"/>
          <w:szCs w:val="21"/>
          <w:highlight w:val="none"/>
          <w:lang w:eastAsia="zh-CN"/>
        </w:rPr>
        <w:t>，</w:t>
      </w:r>
      <w:r>
        <w:rPr>
          <w:rFonts w:hint="eastAsia" w:ascii="宋体" w:hAnsi="宋体" w:cs="宋体"/>
          <w:bCs/>
          <w:color w:val="auto"/>
          <w:kern w:val="10"/>
          <w:szCs w:val="21"/>
          <w:highlight w:val="none"/>
          <w:lang w:val="en-US" w:eastAsia="zh-CN"/>
        </w:rPr>
        <w:t>片区范围约98公顷（约1466亩），其中政府收储区约529亩，收储区现状建筑面积约30万㎡，项目建筑</w:t>
      </w:r>
      <w:r>
        <w:rPr>
          <w:rFonts w:hint="eastAsia" w:ascii="宋体" w:hAnsi="宋体" w:cs="宋体"/>
          <w:bCs/>
          <w:color w:val="auto"/>
          <w:kern w:val="10"/>
          <w:szCs w:val="21"/>
          <w:highlight w:val="none"/>
        </w:rPr>
        <w:t>以低矮的一字型厂房为主，还有少量的宅基地、空地，厂房整体形象一般。权属较为复杂，项目范围内含有集体地、宅基地等。</w:t>
      </w:r>
      <w:r>
        <w:rPr>
          <w:rFonts w:hint="eastAsia" w:ascii="宋体" w:hAnsi="宋体" w:cs="宋体"/>
          <w:bCs/>
          <w:color w:val="auto"/>
          <w:kern w:val="10"/>
          <w:szCs w:val="21"/>
          <w:highlight w:val="none"/>
          <w:lang w:eastAsia="zh-CN"/>
        </w:rPr>
        <w:t>（</w:t>
      </w:r>
      <w:r>
        <w:rPr>
          <w:rFonts w:hint="eastAsia" w:ascii="宋体" w:hAnsi="宋体" w:eastAsia="宋体" w:cs="宋体"/>
          <w:b w:val="0"/>
          <w:bCs/>
          <w:color w:val="auto"/>
          <w:kern w:val="10"/>
          <w:sz w:val="21"/>
          <w:szCs w:val="21"/>
          <w:highlight w:val="none"/>
          <w:lang w:val="en-US" w:eastAsia="zh-CN" w:bidi="ar-SA"/>
        </w:rPr>
        <w:t>详见附</w:t>
      </w:r>
      <w:r>
        <w:rPr>
          <w:rFonts w:hint="eastAsia" w:hAnsi="宋体" w:cs="宋体"/>
          <w:b w:val="0"/>
          <w:bCs/>
          <w:color w:val="auto"/>
          <w:kern w:val="10"/>
          <w:sz w:val="21"/>
          <w:szCs w:val="21"/>
          <w:highlight w:val="none"/>
          <w:lang w:val="en-US" w:eastAsia="zh-CN" w:bidi="ar-SA"/>
        </w:rPr>
        <w:t>件1</w:t>
      </w:r>
      <w:r>
        <w:rPr>
          <w:rFonts w:hint="eastAsia" w:ascii="宋体" w:hAnsi="宋体" w:eastAsia="宋体" w:cs="宋体"/>
          <w:b w:val="0"/>
          <w:bCs/>
          <w:color w:val="auto"/>
          <w:kern w:val="10"/>
          <w:sz w:val="21"/>
          <w:szCs w:val="21"/>
          <w:highlight w:val="none"/>
          <w:lang w:val="en-US" w:eastAsia="zh-CN" w:bidi="ar-SA"/>
        </w:rPr>
        <w:t>，最终数据以测绘报告为准）</w:t>
      </w:r>
    </w:p>
    <w:p>
      <w:pPr>
        <w:keepNext w:val="0"/>
        <w:keepLines w:val="0"/>
        <w:pageBreakBefore w:val="0"/>
        <w:widowControl w:val="0"/>
        <w:kinsoku/>
        <w:wordWrap/>
        <w:overflowPunct/>
        <w:topLinePunct w:val="0"/>
        <w:autoSpaceDE w:val="0"/>
        <w:autoSpaceDN w:val="0"/>
        <w:bidi w:val="0"/>
        <w:adjustRightInd w:val="0"/>
        <w:snapToGrid/>
        <w:spacing w:before="0" w:after="0" w:line="400" w:lineRule="exact"/>
        <w:ind w:firstLine="420" w:firstLineChars="200"/>
        <w:textAlignment w:val="auto"/>
        <w:outlineLvl w:val="9"/>
        <w:rPr>
          <w:rFonts w:hint="eastAsia" w:ascii="宋体" w:hAnsi="宋体" w:eastAsia="宋体" w:cs="宋体"/>
          <w:b w:val="0"/>
          <w:bCs/>
          <w:color w:val="auto"/>
          <w:kern w:val="10"/>
          <w:sz w:val="21"/>
          <w:szCs w:val="21"/>
          <w:highlight w:val="none"/>
          <w:lang w:val="en-US" w:eastAsia="zh-CN" w:bidi="ar-SA"/>
        </w:rPr>
      </w:pPr>
      <w:r>
        <w:rPr>
          <w:rFonts w:hint="eastAsia" w:ascii="宋体" w:hAnsi="宋体" w:eastAsia="宋体" w:cs="宋体"/>
          <w:b w:val="0"/>
          <w:bCs/>
          <w:color w:val="auto"/>
          <w:kern w:val="10"/>
          <w:sz w:val="21"/>
          <w:szCs w:val="21"/>
          <w:highlight w:val="none"/>
          <w:lang w:val="en-US" w:eastAsia="zh-CN" w:bidi="ar-SA"/>
        </w:rPr>
        <w:t>2、项目工作内容：对土地和房屋进行深入的调查</w:t>
      </w:r>
      <w:r>
        <w:rPr>
          <w:rFonts w:hint="eastAsia" w:ascii="宋体" w:hAnsi="宋体" w:cs="宋体"/>
          <w:b w:val="0"/>
          <w:bCs/>
          <w:color w:val="auto"/>
          <w:kern w:val="10"/>
          <w:sz w:val="21"/>
          <w:szCs w:val="21"/>
          <w:highlight w:val="none"/>
          <w:lang w:val="en-US" w:eastAsia="zh-CN" w:bidi="ar-SA"/>
        </w:rPr>
        <w:t>及复核</w:t>
      </w:r>
      <w:r>
        <w:rPr>
          <w:rFonts w:hint="eastAsia" w:ascii="宋体" w:hAnsi="宋体" w:eastAsia="宋体" w:cs="宋体"/>
          <w:b w:val="0"/>
          <w:bCs/>
          <w:color w:val="auto"/>
          <w:kern w:val="10"/>
          <w:sz w:val="21"/>
          <w:szCs w:val="21"/>
          <w:highlight w:val="none"/>
          <w:lang w:val="en-US" w:eastAsia="zh-CN" w:bidi="ar-SA"/>
        </w:rPr>
        <w:t>，调查成果是不动产权益确认、编制拆赔方案、处理违法用地、完善建设用地手续、征地报批等的重要依据文件。</w:t>
      </w:r>
    </w:p>
    <w:p>
      <w:pPr>
        <w:pageBreakBefore w:val="0"/>
        <w:kinsoku/>
        <w:wordWrap/>
        <w:overflowPunct/>
        <w:topLinePunct w:val="0"/>
        <w:bidi w:val="0"/>
        <w:adjustRightInd/>
        <w:snapToGrid/>
        <w:spacing w:before="0" w:after="0" w:line="360" w:lineRule="auto"/>
        <w:ind w:firstLine="420" w:firstLineChars="200"/>
        <w:outlineLvl w:val="9"/>
        <w:rPr>
          <w:rFonts w:cs="宋体"/>
          <w:color w:val="auto"/>
          <w:sz w:val="21"/>
          <w:szCs w:val="21"/>
          <w:highlight w:val="none"/>
        </w:rPr>
      </w:pPr>
      <w:r>
        <w:rPr>
          <w:rFonts w:hint="eastAsia" w:cs="宋体"/>
          <w:color w:val="auto"/>
          <w:sz w:val="21"/>
          <w:szCs w:val="21"/>
          <w:highlight w:val="none"/>
        </w:rPr>
        <w:t>第二条 执行技术标准</w:t>
      </w:r>
    </w:p>
    <w:tbl>
      <w:tblPr>
        <w:tblStyle w:val="35"/>
        <w:tblW w:w="852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5"/>
        <w:gridCol w:w="4561"/>
        <w:gridCol w:w="2022"/>
        <w:gridCol w:w="12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 准 名 称</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标准代号</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城市测量规范</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CJJ/T 8-2011</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行业标准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国家基本比例尺地图图式 第1部分：1：500 1：1000 1：2000地形图图式</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GB/T 20257.1-2017</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测绘成果质量检查与验收</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GB/T 24356-2023</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工程测量标准</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GB 50026-2020</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卫星定位城市测量技术标准</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CJJT 73-2019</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低空数字航空摄影测量规范</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CH/Z 3005-2010</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行业标准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房产测量规范</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GB/T 17986.1-2000</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关于印发《东莞市“三旧”改造（城市更新）实施操作细则（试行）》的通知</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东自然资〔2023〕311号</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8" w:hRule="atLeast"/>
          <w:jc w:val="center"/>
        </w:trPr>
        <w:tc>
          <w:tcPr>
            <w:tcW w:w="725"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561"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东莞市城市更新相关政策及东莞市自然资源局有关规定</w:t>
            </w:r>
          </w:p>
        </w:tc>
        <w:tc>
          <w:tcPr>
            <w:tcW w:w="2022"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214" w:type="dxa"/>
            <w:tcBorders>
              <w:top w:val="single" w:color="auto" w:sz="2" w:space="0"/>
              <w:left w:val="single" w:color="auto" w:sz="2" w:space="0"/>
              <w:bottom w:val="single" w:color="auto" w:sz="2" w:space="0"/>
              <w:right w:val="single" w:color="auto" w:sz="2"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行业标准</w:t>
            </w:r>
          </w:p>
        </w:tc>
      </w:tr>
    </w:tbl>
    <w:p>
      <w:pPr>
        <w:pageBreakBefore w:val="0"/>
        <w:kinsoku/>
        <w:wordWrap/>
        <w:overflowPunct/>
        <w:topLinePunct w:val="0"/>
        <w:bidi w:val="0"/>
        <w:adjustRightInd/>
        <w:snapToGrid/>
        <w:spacing w:before="0" w:after="0" w:line="360" w:lineRule="auto"/>
        <w:ind w:firstLine="420" w:firstLineChars="200"/>
        <w:outlineLvl w:val="9"/>
        <w:rPr>
          <w:rFonts w:cs="宋体"/>
          <w:color w:val="auto"/>
          <w:sz w:val="21"/>
          <w:szCs w:val="21"/>
          <w:highlight w:val="none"/>
        </w:rPr>
      </w:pPr>
      <w:r>
        <w:rPr>
          <w:rFonts w:hint="eastAsia" w:cs="宋体"/>
          <w:color w:val="auto"/>
          <w:sz w:val="21"/>
          <w:szCs w:val="21"/>
          <w:highlight w:val="none"/>
        </w:rPr>
        <w:t>第三条 项目工期</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在</w:t>
      </w:r>
      <w:r>
        <w:rPr>
          <w:rFonts w:hint="eastAsia" w:hAnsi="宋体" w:cs="宋体"/>
          <w:color w:val="auto"/>
          <w:sz w:val="21"/>
          <w:highlight w:val="none"/>
          <w:lang w:val="en-US" w:eastAsia="zh-CN"/>
        </w:rPr>
        <w:t>双</w:t>
      </w:r>
      <w:r>
        <w:rPr>
          <w:rFonts w:hint="eastAsia" w:hAnsi="宋体" w:cs="宋体"/>
          <w:color w:val="auto"/>
          <w:sz w:val="21"/>
          <w:highlight w:val="none"/>
        </w:rPr>
        <w:t>签订合同后</w:t>
      </w:r>
      <w:r>
        <w:rPr>
          <w:rFonts w:hint="eastAsia" w:hAnsi="宋体" w:cs="宋体"/>
          <w:color w:val="auto"/>
          <w:sz w:val="21"/>
          <w:highlight w:val="none"/>
          <w:u w:val="single"/>
          <w:lang w:val="en-US" w:eastAsia="zh-CN"/>
        </w:rPr>
        <w:t>2</w:t>
      </w:r>
      <w:r>
        <w:rPr>
          <w:rFonts w:hint="eastAsia" w:hAnsi="宋体" w:cs="宋体"/>
          <w:color w:val="auto"/>
          <w:sz w:val="21"/>
          <w:highlight w:val="none"/>
          <w:u w:val="single"/>
        </w:rPr>
        <w:t>个月</w:t>
      </w:r>
      <w:r>
        <w:rPr>
          <w:rFonts w:hint="eastAsia" w:hAnsi="宋体" w:cs="宋体"/>
          <w:color w:val="auto"/>
          <w:sz w:val="21"/>
          <w:highlight w:val="none"/>
        </w:rPr>
        <w:t>内完成权籍调查详查</w:t>
      </w:r>
      <w:r>
        <w:rPr>
          <w:rFonts w:hint="eastAsia" w:hAnsi="宋体" w:cs="宋体"/>
          <w:color w:val="auto"/>
          <w:sz w:val="21"/>
          <w:highlight w:val="none"/>
          <w:lang w:val="en-US" w:eastAsia="zh-CN"/>
        </w:rPr>
        <w:t>复核</w:t>
      </w:r>
      <w:r>
        <w:rPr>
          <w:rFonts w:hint="eastAsia" w:hAnsi="宋体" w:cs="宋体"/>
          <w:color w:val="auto"/>
          <w:sz w:val="21"/>
          <w:highlight w:val="none"/>
        </w:rPr>
        <w:t>工作，并提交项目最终成果。</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注：1、</w:t>
      </w:r>
      <w:r>
        <w:rPr>
          <w:rFonts w:hint="eastAsia" w:hAnsi="宋体" w:cs="宋体"/>
          <w:color w:val="auto"/>
          <w:sz w:val="21"/>
          <w:highlight w:val="none"/>
          <w:lang w:val="en-US" w:eastAsia="zh-CN"/>
        </w:rPr>
        <w:t>暴</w:t>
      </w:r>
      <w:r>
        <w:rPr>
          <w:rFonts w:hint="eastAsia" w:hAnsi="宋体" w:cs="宋体"/>
          <w:color w:val="auto"/>
          <w:sz w:val="21"/>
          <w:highlight w:val="none"/>
        </w:rPr>
        <w:t>雨</w:t>
      </w:r>
      <w:r>
        <w:rPr>
          <w:rFonts w:hint="eastAsia" w:hAnsi="宋体" w:cs="宋体"/>
          <w:color w:val="auto"/>
          <w:sz w:val="21"/>
          <w:highlight w:val="none"/>
          <w:lang w:eastAsia="zh-CN"/>
        </w:rPr>
        <w:t>、</w:t>
      </w:r>
      <w:r>
        <w:rPr>
          <w:rFonts w:hint="eastAsia" w:hAnsi="宋体" w:cs="宋体"/>
          <w:color w:val="auto"/>
          <w:sz w:val="21"/>
          <w:highlight w:val="none"/>
          <w:lang w:val="en-US" w:eastAsia="zh-CN"/>
        </w:rPr>
        <w:t>台风等不适宜作业的恶劣天气</w:t>
      </w:r>
      <w:r>
        <w:rPr>
          <w:rFonts w:hint="eastAsia" w:hAnsi="宋体" w:cs="宋体"/>
          <w:color w:val="auto"/>
          <w:sz w:val="21"/>
          <w:highlight w:val="none"/>
        </w:rPr>
        <w:t>顺延；2、非乙方原因造成的停工、窝工，经</w:t>
      </w:r>
      <w:r>
        <w:rPr>
          <w:rFonts w:hint="eastAsia" w:hAnsi="宋体" w:cs="宋体"/>
          <w:color w:val="auto"/>
          <w:sz w:val="21"/>
          <w:highlight w:val="none"/>
          <w:lang w:val="en-US" w:eastAsia="zh-CN"/>
        </w:rPr>
        <w:t>双</w:t>
      </w:r>
      <w:r>
        <w:rPr>
          <w:rFonts w:hint="eastAsia" w:hAnsi="宋体" w:cs="宋体"/>
          <w:color w:val="auto"/>
          <w:sz w:val="21"/>
          <w:highlight w:val="none"/>
        </w:rPr>
        <w:t>方协商</w:t>
      </w:r>
      <w:r>
        <w:rPr>
          <w:rFonts w:hint="eastAsia" w:hAnsi="宋体" w:cs="宋体"/>
          <w:color w:val="auto"/>
          <w:sz w:val="21"/>
          <w:highlight w:val="none"/>
          <w:lang w:val="en-US" w:eastAsia="zh-CN"/>
        </w:rPr>
        <w:t>且书面确认后</w:t>
      </w:r>
      <w:r>
        <w:rPr>
          <w:rFonts w:hint="eastAsia" w:hAnsi="宋体" w:cs="宋体"/>
          <w:color w:val="auto"/>
          <w:sz w:val="21"/>
          <w:highlight w:val="none"/>
        </w:rPr>
        <w:t>工期顺延；3、如遇不可预见情况下经</w:t>
      </w:r>
      <w:r>
        <w:rPr>
          <w:rFonts w:hint="eastAsia" w:hAnsi="宋体" w:cs="宋体"/>
          <w:color w:val="auto"/>
          <w:sz w:val="21"/>
          <w:highlight w:val="none"/>
          <w:lang w:val="en-US" w:eastAsia="zh-CN"/>
        </w:rPr>
        <w:t>双</w:t>
      </w:r>
      <w:r>
        <w:rPr>
          <w:rFonts w:hint="eastAsia" w:hAnsi="宋体" w:cs="宋体"/>
          <w:color w:val="auto"/>
          <w:sz w:val="21"/>
          <w:highlight w:val="none"/>
        </w:rPr>
        <w:t>方协商</w:t>
      </w:r>
      <w:r>
        <w:rPr>
          <w:rFonts w:hint="eastAsia" w:hAnsi="宋体" w:cs="宋体"/>
          <w:color w:val="auto"/>
          <w:sz w:val="21"/>
          <w:highlight w:val="none"/>
          <w:lang w:val="en-US" w:eastAsia="zh-CN"/>
        </w:rPr>
        <w:t>且书面确认后</w:t>
      </w:r>
      <w:r>
        <w:rPr>
          <w:rFonts w:hint="eastAsia" w:hAnsi="宋体" w:cs="宋体"/>
          <w:color w:val="auto"/>
          <w:sz w:val="21"/>
          <w:highlight w:val="none"/>
        </w:rPr>
        <w:t>，工期相应顺延。</w:t>
      </w:r>
    </w:p>
    <w:p>
      <w:pPr>
        <w:pageBreakBefore w:val="0"/>
        <w:kinsoku/>
        <w:wordWrap/>
        <w:overflowPunct/>
        <w:topLinePunct w:val="0"/>
        <w:bidi w:val="0"/>
        <w:adjustRightInd/>
        <w:snapToGrid/>
        <w:spacing w:before="0" w:after="0" w:line="360" w:lineRule="auto"/>
        <w:ind w:firstLine="420" w:firstLineChars="200"/>
        <w:outlineLvl w:val="9"/>
        <w:rPr>
          <w:rFonts w:cs="宋体"/>
          <w:color w:val="auto"/>
          <w:sz w:val="21"/>
          <w:szCs w:val="21"/>
          <w:highlight w:val="none"/>
        </w:rPr>
      </w:pPr>
      <w:r>
        <w:rPr>
          <w:rFonts w:hint="eastAsia" w:cs="宋体"/>
          <w:color w:val="auto"/>
          <w:sz w:val="21"/>
          <w:szCs w:val="21"/>
          <w:highlight w:val="none"/>
        </w:rPr>
        <w:t>第四条 项目成果</w:t>
      </w:r>
    </w:p>
    <w:p>
      <w:pPr>
        <w:spacing w:line="400" w:lineRule="exact"/>
        <w:ind w:firstLine="420" w:firstLineChars="200"/>
        <w:outlineLvl w:val="9"/>
        <w:rPr>
          <w:rFonts w:hint="eastAsia"/>
          <w:color w:val="auto"/>
          <w:highlight w:val="none"/>
        </w:rPr>
      </w:pPr>
      <w:r>
        <w:rPr>
          <w:rFonts w:hint="eastAsia" w:hAnsi="宋体" w:cs="宋体"/>
          <w:color w:val="auto"/>
          <w:sz w:val="21"/>
          <w:szCs w:val="21"/>
          <w:highlight w:val="none"/>
        </w:rPr>
        <w:t>本合同项目成果组成如下</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最终成果名称和数量以政府规定的相关要求为准</w:t>
      </w:r>
      <w:r>
        <w:rPr>
          <w:rFonts w:hint="eastAsia" w:hAnsi="宋体" w:cs="宋体"/>
          <w:color w:val="auto"/>
          <w:sz w:val="21"/>
          <w:szCs w:val="21"/>
          <w:highlight w:val="none"/>
          <w:lang w:eastAsia="zh-CN"/>
        </w:rPr>
        <w:t>）</w:t>
      </w:r>
      <w:r>
        <w:rPr>
          <w:rFonts w:hint="eastAsia" w:hAnsi="宋体" w:cs="宋体"/>
          <w:color w:val="auto"/>
          <w:sz w:val="21"/>
          <w:szCs w:val="21"/>
          <w:highlight w:val="none"/>
        </w:rPr>
        <w:t>：</w:t>
      </w:r>
    </w:p>
    <w:tbl>
      <w:tblPr>
        <w:tblStyle w:val="3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7"/>
        <w:gridCol w:w="5763"/>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763"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成果名称</w:t>
            </w:r>
          </w:p>
        </w:tc>
        <w:tc>
          <w:tcPr>
            <w:tcW w:w="150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763"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土地和房屋权籍调查权属分布图</w:t>
            </w:r>
          </w:p>
        </w:tc>
        <w:tc>
          <w:tcPr>
            <w:tcW w:w="1502"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763"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2009年度土地利用现状图（局部）</w:t>
            </w:r>
          </w:p>
        </w:tc>
        <w:tc>
          <w:tcPr>
            <w:tcW w:w="1502"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763"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最新年度土地利用现状图（局部）</w:t>
            </w:r>
          </w:p>
        </w:tc>
        <w:tc>
          <w:tcPr>
            <w:tcW w:w="1502"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763"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国土空间总体规划图(2021-2035年)（局部）</w:t>
            </w:r>
          </w:p>
        </w:tc>
        <w:tc>
          <w:tcPr>
            <w:tcW w:w="1502"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763"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2009年低空摄影测量影像图（局部）</w:t>
            </w:r>
          </w:p>
        </w:tc>
        <w:tc>
          <w:tcPr>
            <w:tcW w:w="1502"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763"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最新低空摄影测量影像图（局部）</w:t>
            </w:r>
          </w:p>
        </w:tc>
        <w:tc>
          <w:tcPr>
            <w:tcW w:w="1502"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763"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土地权籍调查明细表</w:t>
            </w:r>
          </w:p>
        </w:tc>
        <w:tc>
          <w:tcPr>
            <w:tcW w:w="1502"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763"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房屋权籍调查明细表</w:t>
            </w:r>
          </w:p>
        </w:tc>
        <w:tc>
          <w:tcPr>
            <w:tcW w:w="1502"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763"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拆除范围旧厂旧村（旧城镇）划分示意图</w:t>
            </w:r>
          </w:p>
        </w:tc>
        <w:tc>
          <w:tcPr>
            <w:tcW w:w="1502"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763"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“一户一册”实测报告</w:t>
            </w:r>
          </w:p>
        </w:tc>
        <w:tc>
          <w:tcPr>
            <w:tcW w:w="1502"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5763"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技术总结、质检报告</w:t>
            </w:r>
          </w:p>
        </w:tc>
        <w:tc>
          <w:tcPr>
            <w:tcW w:w="1502"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257" w:type="dxa"/>
            <w:tcBorders>
              <w:top w:val="nil"/>
              <w:left w:val="single" w:color="000000" w:sz="8" w:space="0"/>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5763"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电子数据光盘</w:t>
            </w:r>
          </w:p>
        </w:tc>
        <w:tc>
          <w:tcPr>
            <w:tcW w:w="1502" w:type="dxa"/>
            <w:tcBorders>
              <w:top w:val="nil"/>
              <w:left w:val="nil"/>
              <w:bottom w:val="single" w:color="000000" w:sz="8" w:space="0"/>
              <w:right w:val="single" w:color="000000" w:sz="8" w:space="0"/>
            </w:tcBorders>
            <w:noWrap w:val="0"/>
            <w:vAlign w:val="center"/>
          </w:tcPr>
          <w:p>
            <w:pPr>
              <w:pageBreakBefore w:val="0"/>
              <w:kinsoku/>
              <w:wordWrap/>
              <w:overflowPunct/>
              <w:topLinePunct w:val="0"/>
              <w:bidi w:val="0"/>
              <w:snapToGrid/>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r>
    </w:tbl>
    <w:p>
      <w:pPr>
        <w:pageBreakBefore w:val="0"/>
        <w:kinsoku/>
        <w:wordWrap/>
        <w:overflowPunct/>
        <w:topLinePunct w:val="0"/>
        <w:bidi w:val="0"/>
        <w:adjustRightInd/>
        <w:snapToGrid/>
        <w:spacing w:before="0" w:after="0" w:line="360" w:lineRule="auto"/>
        <w:ind w:firstLine="420" w:firstLineChars="200"/>
        <w:outlineLvl w:val="9"/>
        <w:rPr>
          <w:rFonts w:cs="宋体"/>
          <w:color w:val="auto"/>
          <w:sz w:val="21"/>
          <w:szCs w:val="21"/>
          <w:highlight w:val="none"/>
        </w:rPr>
      </w:pPr>
      <w:r>
        <w:rPr>
          <w:rFonts w:hint="eastAsia" w:cs="宋体"/>
          <w:color w:val="auto"/>
          <w:sz w:val="21"/>
          <w:szCs w:val="21"/>
          <w:highlight w:val="none"/>
        </w:rPr>
        <w:t>第五条 合同价款及支付方式</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lang w:eastAsia="zh-CN"/>
        </w:rPr>
        <w:t>、</w:t>
      </w:r>
      <w:r>
        <w:rPr>
          <w:rFonts w:hint="eastAsia" w:hAnsi="宋体" w:cs="宋体"/>
          <w:color w:val="auto"/>
          <w:sz w:val="21"/>
          <w:highlight w:val="none"/>
        </w:rPr>
        <w:t>收费依据</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①《测绘工程产品价格》（国测财【2002】3号）；</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②《测绘成本费用定额》（财建【2009】17号）；</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③《测绘工程产品困难类别细则》</w:t>
      </w:r>
      <w:r>
        <w:rPr>
          <w:rFonts w:hint="eastAsia" w:hAnsi="宋体" w:cs="宋体"/>
          <w:color w:val="auto"/>
          <w:sz w:val="21"/>
          <w:highlight w:val="none"/>
          <w:lang w:eastAsia="zh-CN"/>
        </w:rPr>
        <w:t>。</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eastAsia="zh-CN"/>
        </w:rPr>
        <w:t>、</w:t>
      </w:r>
      <w:r>
        <w:rPr>
          <w:rFonts w:hint="eastAsia" w:hAnsi="宋体" w:cs="宋体"/>
          <w:color w:val="auto"/>
          <w:sz w:val="21"/>
          <w:highlight w:val="none"/>
        </w:rPr>
        <w:t>合同价款</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本合同（含税）</w:t>
      </w:r>
      <w:r>
        <w:rPr>
          <w:rFonts w:hint="eastAsia" w:hAnsi="宋体" w:cs="宋体"/>
          <w:color w:val="auto"/>
          <w:highlight w:val="none"/>
        </w:rPr>
        <w:t>暂定</w:t>
      </w:r>
      <w:r>
        <w:rPr>
          <w:rFonts w:hint="eastAsia" w:hAnsi="宋体" w:cs="宋体"/>
          <w:color w:val="auto"/>
          <w:sz w:val="21"/>
          <w:highlight w:val="none"/>
        </w:rPr>
        <w:t>总价款为￥</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元（大写人民币</w:t>
      </w:r>
      <w:r>
        <w:rPr>
          <w:rFonts w:hint="eastAsia" w:hAnsi="宋体" w:cs="宋体"/>
          <w:color w:val="auto"/>
          <w:sz w:val="21"/>
          <w:highlight w:val="none"/>
          <w:lang w:eastAsia="zh-CN"/>
        </w:rPr>
        <w:t>：</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元</w:t>
      </w:r>
      <w:r>
        <w:rPr>
          <w:rFonts w:hint="eastAsia" w:hAnsi="宋体" w:cs="宋体"/>
          <w:color w:val="auto"/>
          <w:sz w:val="21"/>
          <w:highlight w:val="none"/>
          <w:lang w:eastAsia="zh-CN"/>
        </w:rPr>
        <w:t>，</w:t>
      </w:r>
      <w:r>
        <w:rPr>
          <w:rFonts w:hint="eastAsia" w:hAnsi="宋体" w:cs="宋体"/>
          <w:color w:val="auto"/>
          <w:sz w:val="21"/>
          <w:highlight w:val="none"/>
        </w:rPr>
        <w:t>其中：增值税率为</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%，税金金额￥</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元，不含税合同总价款为￥</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rPr>
        <w:t>元。</w:t>
      </w:r>
    </w:p>
    <w:tbl>
      <w:tblPr>
        <w:tblStyle w:val="35"/>
        <w:tblW w:w="8336" w:type="dxa"/>
        <w:tblInd w:w="0" w:type="dxa"/>
        <w:shd w:val="clear" w:color="auto" w:fill="auto"/>
        <w:tblLayout w:type="fixed"/>
        <w:tblCellMar>
          <w:top w:w="0" w:type="dxa"/>
          <w:left w:w="0" w:type="dxa"/>
          <w:bottom w:w="0" w:type="dxa"/>
          <w:right w:w="0" w:type="dxa"/>
        </w:tblCellMar>
      </w:tblPr>
      <w:tblGrid>
        <w:gridCol w:w="575"/>
        <w:gridCol w:w="3160"/>
        <w:gridCol w:w="750"/>
        <w:gridCol w:w="1095"/>
        <w:gridCol w:w="918"/>
        <w:gridCol w:w="918"/>
        <w:gridCol w:w="920"/>
      </w:tblGrid>
      <w:tr>
        <w:tblPrEx>
          <w:tblLayout w:type="fixed"/>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3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项目内容</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工作量</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含税单价</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含税总价</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备注</w:t>
            </w:r>
          </w:p>
        </w:tc>
      </w:tr>
      <w:tr>
        <w:tblPrEx>
          <w:tblLayout w:type="fixed"/>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Style w:val="89"/>
                <w:rFonts w:hint="eastAsia" w:ascii="宋体" w:hAnsi="宋体" w:eastAsia="宋体" w:cs="宋体"/>
                <w:lang w:val="en-US" w:eastAsia="zh-CN" w:bidi="ar"/>
              </w:rPr>
              <w:t>1:500</w:t>
            </w:r>
            <w:r>
              <w:rPr>
                <w:rStyle w:val="90"/>
                <w:rFonts w:hint="eastAsia" w:ascii="宋体" w:hAnsi="宋体" w:eastAsia="宋体" w:cs="宋体"/>
                <w:lang w:val="en-US" w:eastAsia="zh-CN" w:bidi="ar"/>
              </w:rPr>
              <w:t>地形测量</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幅</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3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Style w:val="89"/>
                <w:rFonts w:hint="eastAsia" w:ascii="宋体" w:hAnsi="宋体" w:eastAsia="宋体" w:cs="宋体"/>
                <w:lang w:val="en-US" w:eastAsia="zh-CN" w:bidi="ar"/>
              </w:rPr>
              <w:t>GPS E</w:t>
            </w:r>
            <w:r>
              <w:rPr>
                <w:rStyle w:val="90"/>
                <w:rFonts w:hint="eastAsia" w:ascii="宋体" w:hAnsi="宋体" w:eastAsia="宋体" w:cs="宋体"/>
                <w:lang w:val="en-US" w:eastAsia="zh-CN" w:bidi="ar"/>
              </w:rPr>
              <w:t>级控制点</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3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建筑物分类、统计及面积测算</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Style w:val="89"/>
                <w:rFonts w:hint="eastAsia" w:ascii="宋体" w:hAnsi="宋体" w:eastAsia="宋体" w:cs="宋体"/>
                <w:lang w:val="en-US" w:eastAsia="zh-CN" w:bidi="ar"/>
              </w:rPr>
              <w:t>m</w:t>
            </w:r>
            <w:r>
              <w:rPr>
                <w:rStyle w:val="90"/>
                <w:rFonts w:hint="eastAsia" w:ascii="宋体" w:hAnsi="宋体" w:eastAsia="宋体" w:cs="宋体"/>
                <w:lang w:val="en-US" w:eastAsia="zh-CN" w:bidi="ar"/>
              </w:rPr>
              <w:t>²</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386996.60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left"/>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3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不动产权属整合及图件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Style w:val="89"/>
                <w:rFonts w:hint="eastAsia" w:ascii="宋体" w:hAnsi="宋体" w:eastAsia="宋体" w:cs="宋体"/>
                <w:lang w:val="en-US" w:eastAsia="zh-CN" w:bidi="ar"/>
              </w:rPr>
              <w:t>m</w:t>
            </w:r>
            <w:r>
              <w:rPr>
                <w:rStyle w:val="90"/>
                <w:rFonts w:hint="eastAsia" w:ascii="宋体" w:hAnsi="宋体" w:eastAsia="宋体" w:cs="宋体"/>
                <w:lang w:val="en-US" w:eastAsia="zh-CN" w:bidi="ar"/>
              </w:rPr>
              <w:t>²</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351815.09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3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无人机航空摄影测量</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幅</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3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航摄片控制点连测</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3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房屋测绘（建筑物面积测绘）</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房屋附属物测量及青苗清点（含地面构筑物）</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m²</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386996.60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3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点、线、块状构筑物、附属物</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3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文字成果编写</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3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成果组卷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 </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649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合计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21"/>
                <w:szCs w:val="2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rPr>
                <w:rFonts w:hint="eastAsia" w:ascii="宋体" w:hAnsi="宋体" w:eastAsia="宋体" w:cs="宋体"/>
                <w:i w:val="0"/>
                <w:color w:val="000000"/>
                <w:sz w:val="21"/>
                <w:szCs w:val="21"/>
                <w:u w:val="none"/>
              </w:rPr>
            </w:pPr>
          </w:p>
        </w:tc>
      </w:tr>
    </w:tbl>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3</w:t>
      </w:r>
      <w:r>
        <w:rPr>
          <w:rFonts w:hint="eastAsia" w:hAnsi="宋体" w:cs="宋体"/>
          <w:color w:val="auto"/>
          <w:sz w:val="21"/>
          <w:highlight w:val="none"/>
          <w:lang w:eastAsia="zh-CN"/>
        </w:rPr>
        <w:t>、</w:t>
      </w:r>
      <w:r>
        <w:rPr>
          <w:rFonts w:hint="eastAsia" w:hAnsi="宋体" w:cs="宋体"/>
          <w:color w:val="auto"/>
          <w:sz w:val="21"/>
          <w:highlight w:val="none"/>
          <w:lang w:val="en-US" w:eastAsia="zh-CN"/>
        </w:rPr>
        <w:t>合同</w:t>
      </w:r>
      <w:r>
        <w:rPr>
          <w:rFonts w:hint="eastAsia" w:hAnsi="宋体" w:cs="宋体"/>
          <w:color w:val="auto"/>
          <w:sz w:val="21"/>
          <w:highlight w:val="none"/>
        </w:rPr>
        <w:t>结算</w:t>
      </w:r>
    </w:p>
    <w:p>
      <w:pPr>
        <w:pStyle w:val="78"/>
        <w:pageBreakBefore w:val="0"/>
        <w:kinsoku/>
        <w:wordWrap/>
        <w:overflowPunct/>
        <w:topLinePunct w:val="0"/>
        <w:bidi w:val="0"/>
        <w:snapToGrid/>
        <w:spacing w:line="400" w:lineRule="exact"/>
        <w:ind w:firstLine="420" w:firstLineChars="200"/>
        <w:outlineLvl w:val="9"/>
        <w:rPr>
          <w:rFonts w:hint="eastAsia" w:hAnsi="宋体" w:cs="宋体"/>
          <w:b w:val="0"/>
          <w:bCs w:val="0"/>
          <w:color w:val="auto"/>
          <w:sz w:val="21"/>
          <w:highlight w:val="none"/>
        </w:rPr>
      </w:pPr>
      <w:r>
        <w:rPr>
          <w:rFonts w:hint="eastAsia" w:hAnsi="宋体" w:cs="宋体"/>
          <w:color w:val="auto"/>
          <w:sz w:val="21"/>
          <w:highlight w:val="none"/>
        </w:rPr>
        <w:t>本合同清单工程量是根据现有资料及红线图估算所得，如若实际工作量小于或等于暂定工作量的，则按实际工作量结算；如若实际工作量超过暂定工作量的，则乙方承诺无条件完成复核工作，增加的工程量不予增加费用，视为乙方对甲方的让利行为。</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4</w:t>
      </w:r>
      <w:r>
        <w:rPr>
          <w:rFonts w:hint="eastAsia" w:hAnsi="宋体" w:cs="宋体"/>
          <w:color w:val="auto"/>
          <w:sz w:val="21"/>
          <w:highlight w:val="none"/>
          <w:lang w:eastAsia="zh-CN"/>
        </w:rPr>
        <w:t>、</w:t>
      </w:r>
      <w:r>
        <w:rPr>
          <w:rFonts w:hint="eastAsia" w:hAnsi="宋体" w:cs="宋体"/>
          <w:color w:val="auto"/>
          <w:sz w:val="21"/>
          <w:highlight w:val="none"/>
        </w:rPr>
        <w:t>付款方式</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（1）</w:t>
      </w:r>
      <w:r>
        <w:rPr>
          <w:rFonts w:hint="eastAsia" w:hAnsi="宋体" w:cs="Arial"/>
          <w:color w:val="auto"/>
          <w:sz w:val="21"/>
          <w:szCs w:val="21"/>
          <w:highlight w:val="none"/>
          <w:shd w:val="clear" w:color="auto" w:fill="FFFFFF"/>
        </w:rPr>
        <w:t>合同</w:t>
      </w:r>
      <w:r>
        <w:rPr>
          <w:rFonts w:hint="eastAsia" w:hAnsi="宋体" w:cs="Arial"/>
          <w:color w:val="auto"/>
          <w:sz w:val="21"/>
          <w:szCs w:val="21"/>
          <w:highlight w:val="none"/>
          <w:shd w:val="clear" w:color="auto" w:fill="FFFFFF"/>
          <w:lang w:val="en-US" w:eastAsia="zh-CN"/>
        </w:rPr>
        <w:t>款</w:t>
      </w:r>
      <w:r>
        <w:rPr>
          <w:rFonts w:hint="eastAsia" w:hAnsi="宋体" w:cs="Arial"/>
          <w:color w:val="auto"/>
          <w:sz w:val="21"/>
          <w:szCs w:val="21"/>
          <w:highlight w:val="none"/>
          <w:shd w:val="clear" w:color="auto" w:fill="FFFFFF"/>
        </w:rPr>
        <w:t>分</w:t>
      </w:r>
      <w:r>
        <w:rPr>
          <w:rFonts w:hint="eastAsia" w:hAnsi="宋体" w:cs="Arial"/>
          <w:color w:val="auto"/>
          <w:sz w:val="21"/>
          <w:szCs w:val="21"/>
          <w:highlight w:val="none"/>
          <w:u w:val="single"/>
          <w:shd w:val="clear" w:color="auto" w:fill="FFFFFF"/>
        </w:rPr>
        <w:t xml:space="preserve"> 三 </w:t>
      </w:r>
      <w:r>
        <w:rPr>
          <w:rFonts w:hint="eastAsia" w:hAnsi="宋体" w:cs="Arial"/>
          <w:color w:val="auto"/>
          <w:sz w:val="21"/>
          <w:szCs w:val="21"/>
          <w:highlight w:val="none"/>
          <w:shd w:val="clear" w:color="auto" w:fill="FFFFFF"/>
        </w:rPr>
        <w:t>期</w:t>
      </w:r>
      <w:r>
        <w:rPr>
          <w:rFonts w:hint="eastAsia" w:hAnsi="宋体" w:cs="Arial"/>
          <w:color w:val="auto"/>
          <w:sz w:val="21"/>
          <w:szCs w:val="21"/>
          <w:highlight w:val="none"/>
          <w:shd w:val="clear" w:color="auto" w:fill="FFFFFF"/>
          <w:lang w:val="en-US" w:eastAsia="zh-CN"/>
        </w:rPr>
        <w:t>支付</w:t>
      </w:r>
      <w:r>
        <w:rPr>
          <w:rFonts w:hint="eastAsia" w:hAnsi="宋体" w:cs="宋体"/>
          <w:color w:val="auto"/>
          <w:sz w:val="21"/>
          <w:highlight w:val="none"/>
        </w:rPr>
        <w:t>：</w:t>
      </w:r>
    </w:p>
    <w:p>
      <w:pPr>
        <w:pageBreakBefore w:val="0"/>
        <w:kinsoku/>
        <w:wordWrap/>
        <w:overflowPunct/>
        <w:topLinePunct w:val="0"/>
        <w:bidi w:val="0"/>
        <w:snapToGrid/>
        <w:spacing w:line="360" w:lineRule="auto"/>
        <w:ind w:firstLine="420" w:firstLineChars="200"/>
        <w:contextualSpacing/>
        <w:outlineLvl w:val="9"/>
        <w:rPr>
          <w:rFonts w:hAnsi="宋体" w:cs="宋体"/>
          <w:color w:val="auto"/>
          <w:sz w:val="21"/>
          <w:highlight w:val="none"/>
        </w:rPr>
      </w:pPr>
      <w:r>
        <w:rPr>
          <w:rFonts w:hint="default" w:ascii="Calibri" w:hAnsi="Calibri" w:cs="Calibri"/>
          <w:color w:val="auto"/>
          <w:sz w:val="21"/>
          <w:highlight w:val="none"/>
        </w:rPr>
        <w:t>①</w:t>
      </w:r>
      <w:r>
        <w:rPr>
          <w:rFonts w:hint="eastAsia" w:hAnsi="宋体" w:cs="宋体"/>
          <w:color w:val="auto"/>
          <w:sz w:val="21"/>
          <w:szCs w:val="21"/>
          <w:highlight w:val="none"/>
        </w:rPr>
        <w:t>第一期：合同签订后，乙方向</w:t>
      </w:r>
      <w:r>
        <w:rPr>
          <w:rFonts w:hint="eastAsia" w:hAnsi="宋体" w:cs="宋体"/>
          <w:color w:val="auto"/>
          <w:sz w:val="21"/>
          <w:szCs w:val="21"/>
          <w:highlight w:val="none"/>
          <w:lang w:val="en-US" w:eastAsia="zh-CN"/>
        </w:rPr>
        <w:t>甲</w:t>
      </w:r>
      <w:r>
        <w:rPr>
          <w:rFonts w:hint="eastAsia" w:hAnsi="宋体" w:cs="宋体"/>
          <w:color w:val="auto"/>
          <w:sz w:val="21"/>
          <w:szCs w:val="21"/>
          <w:highlight w:val="none"/>
        </w:rPr>
        <w:t>方提交</w:t>
      </w:r>
      <w:r>
        <w:rPr>
          <w:rFonts w:hint="eastAsia" w:hAnsi="宋体" w:cs="宋体"/>
          <w:color w:val="auto"/>
          <w:sz w:val="21"/>
          <w:szCs w:val="21"/>
          <w:highlight w:val="none"/>
          <w:lang w:val="en-US" w:eastAsia="zh-CN"/>
        </w:rPr>
        <w:t>预付款</w:t>
      </w:r>
      <w:r>
        <w:rPr>
          <w:rFonts w:hint="eastAsia" w:hAnsi="宋体" w:cs="宋体"/>
          <w:color w:val="auto"/>
          <w:sz w:val="21"/>
          <w:szCs w:val="21"/>
          <w:highlight w:val="none"/>
        </w:rPr>
        <w:t>请款报告，</w:t>
      </w:r>
      <w:r>
        <w:rPr>
          <w:rFonts w:hint="eastAsia" w:hAnsi="宋体" w:cs="宋体"/>
          <w:color w:val="auto"/>
          <w:sz w:val="21"/>
          <w:szCs w:val="21"/>
          <w:highlight w:val="none"/>
          <w:lang w:val="en-US" w:eastAsia="zh-CN"/>
        </w:rPr>
        <w:t>甲</w:t>
      </w:r>
      <w:r>
        <w:rPr>
          <w:rFonts w:hint="eastAsia" w:hAnsi="宋体" w:cs="宋体"/>
          <w:color w:val="auto"/>
          <w:sz w:val="21"/>
          <w:szCs w:val="21"/>
          <w:highlight w:val="none"/>
        </w:rPr>
        <w:t>方在收到前述材料</w:t>
      </w:r>
      <w:r>
        <w:rPr>
          <w:rFonts w:hint="eastAsia" w:hAnsi="宋体" w:cs="宋体"/>
          <w:color w:val="auto"/>
          <w:sz w:val="21"/>
          <w:szCs w:val="21"/>
          <w:highlight w:val="none"/>
          <w:lang w:val="en-US" w:eastAsia="zh-CN"/>
        </w:rPr>
        <w:t>并书面确认</w:t>
      </w:r>
      <w:r>
        <w:rPr>
          <w:rFonts w:hint="eastAsia" w:hAnsi="宋体" w:cs="宋体"/>
          <w:color w:val="auto"/>
          <w:sz w:val="21"/>
          <w:szCs w:val="21"/>
          <w:highlight w:val="none"/>
        </w:rPr>
        <w:t>之日起</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2</w:t>
      </w:r>
      <w:r>
        <w:rPr>
          <w:rFonts w:hint="eastAsia" w:hAnsi="宋体" w:cs="宋体"/>
          <w:color w:val="auto"/>
          <w:sz w:val="21"/>
          <w:szCs w:val="21"/>
          <w:highlight w:val="none"/>
          <w:u w:val="single"/>
        </w:rPr>
        <w:t>0</w:t>
      </w:r>
      <w:r>
        <w:rPr>
          <w:rFonts w:hAnsi="宋体" w:cs="宋体"/>
          <w:color w:val="auto"/>
          <w:sz w:val="21"/>
          <w:szCs w:val="21"/>
          <w:highlight w:val="none"/>
          <w:u w:val="single"/>
        </w:rPr>
        <w:t xml:space="preserve"> </w:t>
      </w:r>
      <w:r>
        <w:rPr>
          <w:rFonts w:hint="eastAsia" w:hAnsi="宋体" w:cs="宋体"/>
          <w:color w:val="auto"/>
          <w:sz w:val="21"/>
          <w:szCs w:val="21"/>
          <w:highlight w:val="none"/>
        </w:rPr>
        <w:t>个工作日内向乙方支付</w:t>
      </w:r>
      <w:r>
        <w:rPr>
          <w:rFonts w:hint="eastAsia" w:hAnsi="宋体" w:cs="宋体"/>
          <w:color w:val="auto"/>
          <w:sz w:val="21"/>
          <w:szCs w:val="21"/>
          <w:highlight w:val="none"/>
          <w:lang w:val="en-US" w:eastAsia="zh-CN"/>
        </w:rPr>
        <w:t>成果编制阶段</w:t>
      </w:r>
      <w:r>
        <w:rPr>
          <w:rFonts w:hint="eastAsia" w:hAnsi="宋体" w:cs="宋体"/>
          <w:color w:val="auto"/>
          <w:sz w:val="21"/>
          <w:szCs w:val="21"/>
          <w:highlight w:val="none"/>
        </w:rPr>
        <w:t>总金额的</w:t>
      </w:r>
      <w:r>
        <w:rPr>
          <w:rFonts w:hint="eastAsia" w:hAnsi="宋体" w:cs="宋体"/>
          <w:color w:val="auto"/>
          <w:sz w:val="21"/>
          <w:szCs w:val="21"/>
          <w:highlight w:val="none"/>
          <w:u w:val="single"/>
          <w:lang w:val="en-US" w:eastAsia="zh-CN"/>
        </w:rPr>
        <w:t>1</w:t>
      </w:r>
      <w:r>
        <w:rPr>
          <w:rFonts w:hint="eastAsia" w:hAnsi="宋体" w:cs="宋体"/>
          <w:color w:val="auto"/>
          <w:sz w:val="21"/>
          <w:szCs w:val="21"/>
          <w:highlight w:val="none"/>
          <w:u w:val="single"/>
        </w:rPr>
        <w:t xml:space="preserve">0％ </w:t>
      </w:r>
      <w:r>
        <w:rPr>
          <w:rFonts w:hint="eastAsia" w:hAnsi="宋体" w:cs="宋体"/>
          <w:color w:val="auto"/>
          <w:sz w:val="21"/>
          <w:szCs w:val="21"/>
          <w:highlight w:val="none"/>
        </w:rPr>
        <w:t>；</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default" w:ascii="Calibri" w:hAnsi="Calibri" w:cs="Calibri"/>
          <w:color w:val="auto"/>
          <w:sz w:val="21"/>
          <w:highlight w:val="none"/>
        </w:rPr>
        <w:t>②</w:t>
      </w:r>
      <w:r>
        <w:rPr>
          <w:rFonts w:hint="eastAsia" w:hAnsi="宋体"/>
          <w:color w:val="auto"/>
          <w:sz w:val="21"/>
          <w:szCs w:val="21"/>
          <w:highlight w:val="none"/>
        </w:rPr>
        <w:t>第二期：</w:t>
      </w:r>
      <w:r>
        <w:rPr>
          <w:rFonts w:hint="eastAsia" w:hAnsi="宋体" w:cs="宋体"/>
          <w:color w:val="auto"/>
          <w:sz w:val="21"/>
          <w:highlight w:val="none"/>
        </w:rPr>
        <w:t>乙方完成</w:t>
      </w:r>
      <w:r>
        <w:rPr>
          <w:rFonts w:hint="eastAsia" w:hAnsi="宋体" w:cs="宋体"/>
          <w:color w:val="auto"/>
          <w:sz w:val="21"/>
          <w:highlight w:val="none"/>
          <w:lang w:val="en-US" w:eastAsia="zh-CN"/>
        </w:rPr>
        <w:t>权籍调查（详查）送审</w:t>
      </w:r>
      <w:r>
        <w:rPr>
          <w:rFonts w:hint="eastAsia" w:hAnsi="宋体" w:cs="宋体"/>
          <w:color w:val="auto"/>
          <w:sz w:val="21"/>
          <w:highlight w:val="none"/>
        </w:rPr>
        <w:t>成果，</w:t>
      </w:r>
      <w:r>
        <w:rPr>
          <w:rFonts w:hint="eastAsia" w:hAnsi="宋体" w:cs="宋体"/>
          <w:color w:val="auto"/>
          <w:sz w:val="21"/>
          <w:highlight w:val="none"/>
          <w:lang w:val="en-US" w:eastAsia="zh-CN"/>
        </w:rPr>
        <w:t>经东莞市测绘院等</w:t>
      </w:r>
      <w:r>
        <w:rPr>
          <w:rFonts w:hint="eastAsia" w:hAnsi="宋体" w:cs="宋体"/>
          <w:color w:val="auto"/>
          <w:sz w:val="21"/>
          <w:highlight w:val="none"/>
        </w:rPr>
        <w:t>相关</w:t>
      </w:r>
      <w:r>
        <w:rPr>
          <w:rFonts w:hint="eastAsia" w:hAnsi="宋体" w:cs="宋体"/>
          <w:color w:val="auto"/>
          <w:sz w:val="21"/>
          <w:highlight w:val="none"/>
          <w:lang w:val="en-US" w:eastAsia="zh-CN"/>
        </w:rPr>
        <w:t>职能</w:t>
      </w:r>
      <w:r>
        <w:rPr>
          <w:rFonts w:hint="eastAsia" w:hAnsi="宋体" w:cs="宋体"/>
          <w:color w:val="auto"/>
          <w:sz w:val="21"/>
          <w:highlight w:val="none"/>
        </w:rPr>
        <w:t>部门审查</w:t>
      </w:r>
      <w:r>
        <w:rPr>
          <w:rFonts w:hint="eastAsia" w:hAnsi="宋体" w:cs="宋体"/>
          <w:color w:val="auto"/>
          <w:sz w:val="21"/>
          <w:highlight w:val="none"/>
          <w:lang w:val="en-US" w:eastAsia="zh-CN"/>
        </w:rPr>
        <w:t>通过后</w:t>
      </w:r>
      <w:r>
        <w:rPr>
          <w:rFonts w:hint="eastAsia" w:hAnsi="宋体" w:cs="宋体"/>
          <w:color w:val="auto"/>
          <w:sz w:val="21"/>
          <w:highlight w:val="none"/>
        </w:rPr>
        <w:t>，乙方向</w:t>
      </w:r>
      <w:r>
        <w:rPr>
          <w:rFonts w:hint="eastAsia" w:hAnsi="宋体" w:cs="宋体"/>
          <w:color w:val="auto"/>
          <w:sz w:val="21"/>
          <w:highlight w:val="none"/>
          <w:lang w:val="en-US" w:eastAsia="zh-CN"/>
        </w:rPr>
        <w:t>甲</w:t>
      </w:r>
      <w:r>
        <w:rPr>
          <w:rFonts w:hint="eastAsia" w:hAnsi="宋体" w:cs="宋体"/>
          <w:color w:val="auto"/>
          <w:sz w:val="21"/>
          <w:highlight w:val="none"/>
        </w:rPr>
        <w:t>方提交请款报告，</w:t>
      </w:r>
      <w:r>
        <w:rPr>
          <w:rFonts w:hint="eastAsia" w:hAnsi="宋体" w:cs="宋体"/>
          <w:color w:val="auto"/>
          <w:sz w:val="21"/>
          <w:szCs w:val="21"/>
          <w:highlight w:val="none"/>
          <w:lang w:val="en-US" w:eastAsia="zh-CN"/>
        </w:rPr>
        <w:t>甲</w:t>
      </w:r>
      <w:r>
        <w:rPr>
          <w:rFonts w:hint="eastAsia" w:hAnsi="宋体" w:cs="宋体"/>
          <w:color w:val="auto"/>
          <w:sz w:val="21"/>
          <w:szCs w:val="21"/>
          <w:highlight w:val="none"/>
        </w:rPr>
        <w:t>方在收到前述材料</w:t>
      </w:r>
      <w:r>
        <w:rPr>
          <w:rFonts w:hint="eastAsia" w:hAnsi="宋体" w:cs="宋体"/>
          <w:color w:val="auto"/>
          <w:sz w:val="21"/>
          <w:szCs w:val="21"/>
          <w:highlight w:val="none"/>
          <w:lang w:val="en-US" w:eastAsia="zh-CN"/>
        </w:rPr>
        <w:t>并经甲方书面确认</w:t>
      </w:r>
      <w:r>
        <w:rPr>
          <w:rFonts w:hint="eastAsia" w:hAnsi="宋体" w:cs="宋体"/>
          <w:color w:val="auto"/>
          <w:sz w:val="21"/>
          <w:highlight w:val="none"/>
        </w:rPr>
        <w:t>之日起 20 个工作日内</w:t>
      </w:r>
      <w:r>
        <w:rPr>
          <w:rFonts w:hint="eastAsia" w:hAnsi="宋体" w:cs="宋体"/>
          <w:color w:val="auto"/>
          <w:sz w:val="21"/>
          <w:highlight w:val="none"/>
          <w:lang w:eastAsia="zh-CN"/>
        </w:rPr>
        <w:t>，</w:t>
      </w:r>
      <w:r>
        <w:rPr>
          <w:rFonts w:hint="eastAsia" w:hAnsi="宋体" w:cs="宋体"/>
          <w:color w:val="auto"/>
          <w:sz w:val="21"/>
          <w:highlight w:val="none"/>
          <w:lang w:val="en-US" w:eastAsia="zh-CN"/>
        </w:rPr>
        <w:t>甲方</w:t>
      </w:r>
      <w:r>
        <w:rPr>
          <w:rFonts w:hint="eastAsia" w:hAnsi="宋体" w:cs="宋体"/>
          <w:color w:val="auto"/>
          <w:sz w:val="21"/>
          <w:highlight w:val="none"/>
        </w:rPr>
        <w:t>向乙方支付至合同</w:t>
      </w:r>
      <w:r>
        <w:rPr>
          <w:rFonts w:hint="eastAsia" w:hAnsi="宋体" w:cs="宋体"/>
          <w:color w:val="auto"/>
          <w:sz w:val="21"/>
          <w:szCs w:val="21"/>
          <w:highlight w:val="none"/>
          <w:lang w:eastAsia="zh-CN"/>
        </w:rPr>
        <w:t>暂定</w:t>
      </w:r>
      <w:r>
        <w:rPr>
          <w:rFonts w:hint="eastAsia" w:hAnsi="宋体" w:cs="宋体"/>
          <w:color w:val="auto"/>
          <w:sz w:val="21"/>
          <w:highlight w:val="none"/>
        </w:rPr>
        <w:t>总金额的</w:t>
      </w:r>
      <w:r>
        <w:rPr>
          <w:rFonts w:hint="eastAsia" w:hAnsi="宋体" w:cs="宋体"/>
          <w:color w:val="auto"/>
          <w:sz w:val="21"/>
          <w:highlight w:val="none"/>
          <w:u w:val="single"/>
          <w:lang w:val="en-US" w:eastAsia="zh-CN"/>
        </w:rPr>
        <w:t>6</w:t>
      </w:r>
      <w:r>
        <w:rPr>
          <w:rFonts w:hint="eastAsia" w:hAnsi="宋体" w:cs="宋体"/>
          <w:color w:val="auto"/>
          <w:sz w:val="21"/>
          <w:highlight w:val="none"/>
          <w:u w:val="single"/>
        </w:rPr>
        <w:t xml:space="preserve">0％ </w:t>
      </w:r>
      <w:r>
        <w:rPr>
          <w:rFonts w:hint="eastAsia" w:hAnsi="宋体" w:cs="宋体"/>
          <w:color w:val="auto"/>
          <w:sz w:val="21"/>
          <w:highlight w:val="none"/>
        </w:rPr>
        <w:t>；</w:t>
      </w:r>
    </w:p>
    <w:p>
      <w:pPr>
        <w:pStyle w:val="78"/>
        <w:pageBreakBefore w:val="0"/>
        <w:kinsoku/>
        <w:wordWrap/>
        <w:overflowPunct/>
        <w:topLinePunct w:val="0"/>
        <w:bidi w:val="0"/>
        <w:snapToGrid/>
        <w:spacing w:line="400" w:lineRule="exact"/>
        <w:ind w:firstLine="420" w:firstLineChars="200"/>
        <w:outlineLvl w:val="9"/>
        <w:rPr>
          <w:rFonts w:hint="eastAsia" w:hAnsi="宋体" w:cs="宋体"/>
          <w:color w:val="auto"/>
          <w:sz w:val="21"/>
          <w:highlight w:val="none"/>
        </w:rPr>
      </w:pPr>
      <w:r>
        <w:rPr>
          <w:rFonts w:hint="default" w:ascii="Calibri" w:hAnsi="Calibri" w:cs="Calibri"/>
          <w:color w:val="auto"/>
          <w:sz w:val="21"/>
          <w:highlight w:val="none"/>
        </w:rPr>
        <w:t>③</w:t>
      </w:r>
      <w:r>
        <w:rPr>
          <w:rFonts w:hint="eastAsia" w:hAnsi="宋体"/>
          <w:color w:val="auto"/>
          <w:sz w:val="21"/>
          <w:szCs w:val="21"/>
          <w:highlight w:val="none"/>
        </w:rPr>
        <w:t>第三期：</w:t>
      </w:r>
      <w:r>
        <w:rPr>
          <w:rFonts w:hint="eastAsia" w:hAnsi="宋体" w:cs="宋体"/>
          <w:color w:val="auto"/>
          <w:sz w:val="21"/>
          <w:highlight w:val="none"/>
        </w:rPr>
        <w:t>项目最终成果</w:t>
      </w:r>
      <w:r>
        <w:rPr>
          <w:rFonts w:hint="eastAsia" w:hAnsi="宋体" w:cs="宋体"/>
          <w:color w:val="auto"/>
          <w:sz w:val="21"/>
          <w:highlight w:val="none"/>
          <w:lang w:val="en-US" w:eastAsia="zh-CN"/>
        </w:rPr>
        <w:t>提交相关职能部门审查并在</w:t>
      </w:r>
      <w:r>
        <w:rPr>
          <w:rFonts w:hint="eastAsia" w:hAnsi="宋体" w:cs="宋体"/>
          <w:color w:val="auto"/>
          <w:sz w:val="21"/>
          <w:highlight w:val="none"/>
        </w:rPr>
        <w:t>公示期满无异议后，乙方向</w:t>
      </w:r>
      <w:r>
        <w:rPr>
          <w:rFonts w:hint="eastAsia" w:hAnsi="宋体" w:cs="宋体"/>
          <w:color w:val="auto"/>
          <w:sz w:val="21"/>
          <w:highlight w:val="none"/>
          <w:lang w:val="en-US" w:eastAsia="zh-CN"/>
        </w:rPr>
        <w:t>甲</w:t>
      </w:r>
      <w:r>
        <w:rPr>
          <w:rFonts w:hint="eastAsia" w:hAnsi="宋体" w:cs="宋体"/>
          <w:color w:val="auto"/>
          <w:sz w:val="21"/>
          <w:highlight w:val="none"/>
        </w:rPr>
        <w:t>方提交结算资料并办理完结算手续后</w:t>
      </w:r>
      <w:r>
        <w:rPr>
          <w:rFonts w:hint="eastAsia" w:hAnsi="宋体" w:cs="宋体"/>
          <w:color w:val="auto"/>
          <w:sz w:val="21"/>
          <w:highlight w:val="none"/>
          <w:lang w:val="en-US" w:eastAsia="zh-CN"/>
        </w:rPr>
        <w:t>30个工作</w:t>
      </w:r>
      <w:r>
        <w:rPr>
          <w:rFonts w:hint="eastAsia" w:hAnsi="宋体" w:cs="宋体"/>
          <w:color w:val="auto"/>
          <w:sz w:val="21"/>
          <w:highlight w:val="none"/>
        </w:rPr>
        <w:t>日内，</w:t>
      </w:r>
      <w:r>
        <w:rPr>
          <w:rFonts w:hint="eastAsia" w:hAnsi="宋体" w:cs="宋体"/>
          <w:color w:val="auto"/>
          <w:sz w:val="21"/>
          <w:highlight w:val="none"/>
          <w:lang w:val="en-US" w:eastAsia="zh-CN"/>
        </w:rPr>
        <w:t>甲方</w:t>
      </w:r>
      <w:r>
        <w:rPr>
          <w:rFonts w:hint="eastAsia" w:hAnsi="宋体" w:cs="宋体"/>
          <w:color w:val="auto"/>
          <w:sz w:val="21"/>
          <w:highlight w:val="none"/>
        </w:rPr>
        <w:t>向乙方支付至结算价总金额的</w:t>
      </w:r>
      <w:r>
        <w:rPr>
          <w:rFonts w:hint="eastAsia" w:hAnsi="宋体" w:cs="宋体"/>
          <w:color w:val="auto"/>
          <w:sz w:val="21"/>
          <w:highlight w:val="none"/>
          <w:u w:val="single"/>
        </w:rPr>
        <w:t>100%</w:t>
      </w:r>
      <w:r>
        <w:rPr>
          <w:rFonts w:hint="eastAsia" w:hAnsi="宋体" w:cs="宋体"/>
          <w:color w:val="auto"/>
          <w:sz w:val="21"/>
          <w:highlight w:val="none"/>
        </w:rPr>
        <w:t>。</w:t>
      </w:r>
    </w:p>
    <w:p>
      <w:pPr>
        <w:pStyle w:val="78"/>
        <w:pageBreakBefore w:val="0"/>
        <w:kinsoku/>
        <w:wordWrap/>
        <w:overflowPunct/>
        <w:topLinePunct w:val="0"/>
        <w:bidi w:val="0"/>
        <w:snapToGrid/>
        <w:spacing w:line="400" w:lineRule="exact"/>
        <w:ind w:firstLine="420" w:firstLineChars="200"/>
        <w:outlineLvl w:val="9"/>
        <w:rPr>
          <w:rFonts w:hint="eastAsia" w:hAnsi="宋体" w:cs="宋体"/>
          <w:color w:val="auto"/>
          <w:sz w:val="21"/>
          <w:highlight w:val="none"/>
        </w:rPr>
      </w:pPr>
      <w:r>
        <w:rPr>
          <w:rFonts w:hint="eastAsia" w:hAnsi="宋体" w:cs="宋体"/>
          <w:color w:val="auto"/>
          <w:sz w:val="21"/>
          <w:highlight w:val="none"/>
          <w:lang w:val="en-US" w:eastAsia="zh-CN"/>
        </w:rPr>
        <w:t>（2）</w:t>
      </w:r>
      <w:r>
        <w:rPr>
          <w:rFonts w:hint="eastAsia" w:hAnsi="宋体" w:cs="宋体"/>
          <w:color w:val="auto"/>
          <w:sz w:val="21"/>
          <w:highlight w:val="none"/>
        </w:rPr>
        <w:t>如最终成果不能获得</w:t>
      </w:r>
      <w:r>
        <w:rPr>
          <w:rFonts w:hint="eastAsia" w:hAnsi="宋体" w:cs="宋体"/>
          <w:color w:val="auto"/>
          <w:sz w:val="21"/>
          <w:highlight w:val="none"/>
          <w:lang w:val="en-US" w:eastAsia="zh-CN"/>
        </w:rPr>
        <w:t>政府</w:t>
      </w:r>
      <w:r>
        <w:rPr>
          <w:rFonts w:hint="eastAsia" w:hAnsi="宋体" w:cs="宋体"/>
          <w:color w:val="auto"/>
          <w:sz w:val="21"/>
          <w:highlight w:val="none"/>
        </w:rPr>
        <w:t>相关主管部门审查通过，须按甲方要求修改直至最终成果审查通过，否则合同尾款不予支付。</w:t>
      </w:r>
    </w:p>
    <w:p>
      <w:pPr>
        <w:numPr>
          <w:ilvl w:val="255"/>
          <w:numId w:val="0"/>
        </w:numPr>
        <w:spacing w:line="360" w:lineRule="auto"/>
        <w:ind w:firstLine="420" w:firstLineChars="200"/>
        <w:outlineLvl w:val="9"/>
        <w:rPr>
          <w:rFonts w:hint="eastAsia" w:ascii="Times New Roman" w:hAnsi="Times New Roman" w:eastAsia="仿宋_GB2312"/>
          <w:color w:val="auto"/>
          <w:sz w:val="28"/>
          <w:szCs w:val="24"/>
          <w:highlight w:val="none"/>
        </w:rPr>
      </w:pPr>
      <w:r>
        <w:rPr>
          <w:rFonts w:hint="eastAsia" w:hAnsi="宋体" w:cs="宋体"/>
          <w:color w:val="auto"/>
          <w:sz w:val="21"/>
          <w:highlight w:val="none"/>
          <w:lang w:val="en-US" w:eastAsia="zh-CN"/>
        </w:rPr>
        <w:t>（3）甲</w:t>
      </w:r>
      <w:r>
        <w:rPr>
          <w:rFonts w:hint="eastAsia" w:hAnsi="宋体" w:cs="宋体"/>
          <w:color w:val="auto"/>
          <w:sz w:val="21"/>
          <w:highlight w:val="none"/>
        </w:rPr>
        <w:t>方每次</w:t>
      </w:r>
      <w:r>
        <w:rPr>
          <w:rFonts w:hint="eastAsia" w:ascii="Times New Roman" w:hAnsi="宋体" w:eastAsia="宋体" w:cs="宋体"/>
          <w:color w:val="auto"/>
          <w:sz w:val="21"/>
          <w:highlight w:val="none"/>
        </w:rPr>
        <w:t>付款前，</w:t>
      </w:r>
      <w:r>
        <w:rPr>
          <w:rFonts w:hint="eastAsia" w:ascii="Times New Roman" w:hAnsi="宋体" w:eastAsia="宋体" w:cs="宋体"/>
          <w:color w:val="auto"/>
          <w:sz w:val="21"/>
          <w:szCs w:val="20"/>
          <w:highlight w:val="none"/>
        </w:rPr>
        <w:t>乙方必须提供合法、有效、与本合同总价款条款中增值税税率一致的增值税专用发票给甲方，否则甲方有权拒绝付款且不构成违约；若后期出现质保问题，按照质保责任和条款，部分或全部扣除质保金（若有）的，不退还相应金额的发票。若合同执行期间，遇国家税务政策调整所引起的合同价格变化，按照不含税价格调整结算价格。</w:t>
      </w:r>
    </w:p>
    <w:p>
      <w:pPr>
        <w:pStyle w:val="78"/>
        <w:pageBreakBefore w:val="0"/>
        <w:kinsoku/>
        <w:wordWrap/>
        <w:overflowPunct/>
        <w:topLinePunct w:val="0"/>
        <w:bidi w:val="0"/>
        <w:snapToGrid/>
        <w:spacing w:line="400" w:lineRule="exact"/>
        <w:ind w:firstLine="420" w:firstLineChars="200"/>
        <w:outlineLvl w:val="9"/>
        <w:rPr>
          <w:rFonts w:hint="eastAsia" w:hAnsi="宋体" w:cs="宋体"/>
          <w:color w:val="auto"/>
          <w:sz w:val="21"/>
          <w:highlight w:val="none"/>
        </w:rPr>
      </w:pPr>
      <w:r>
        <w:rPr>
          <w:rFonts w:hint="eastAsia" w:hAnsi="宋体" w:cs="宋体"/>
          <w:color w:val="auto"/>
          <w:sz w:val="21"/>
          <w:highlight w:val="none"/>
        </w:rPr>
        <w:t>乙方均应向</w:t>
      </w:r>
      <w:r>
        <w:rPr>
          <w:rFonts w:hint="eastAsia" w:hAnsi="宋体" w:cs="宋体"/>
          <w:color w:val="auto"/>
          <w:sz w:val="21"/>
          <w:highlight w:val="none"/>
          <w:lang w:val="en-US" w:eastAsia="zh-CN"/>
        </w:rPr>
        <w:t>甲</w:t>
      </w:r>
      <w:r>
        <w:rPr>
          <w:rFonts w:hint="eastAsia" w:hAnsi="宋体" w:cs="宋体"/>
          <w:color w:val="auto"/>
          <w:sz w:val="21"/>
          <w:highlight w:val="none"/>
        </w:rPr>
        <w:t>方提供请款申请及等额增值税专用发票，若乙方逾期未向</w:t>
      </w:r>
      <w:r>
        <w:rPr>
          <w:rFonts w:hint="eastAsia" w:hAnsi="宋体" w:cs="宋体"/>
          <w:color w:val="auto"/>
          <w:sz w:val="21"/>
          <w:highlight w:val="none"/>
          <w:lang w:val="en-US" w:eastAsia="zh-CN"/>
        </w:rPr>
        <w:t>甲</w:t>
      </w:r>
      <w:r>
        <w:rPr>
          <w:rFonts w:hint="eastAsia" w:hAnsi="宋体" w:cs="宋体"/>
          <w:color w:val="auto"/>
          <w:sz w:val="21"/>
          <w:highlight w:val="none"/>
        </w:rPr>
        <w:t>方提供前述材料，</w:t>
      </w:r>
      <w:r>
        <w:rPr>
          <w:rFonts w:hint="eastAsia" w:hAnsi="宋体" w:cs="宋体"/>
          <w:color w:val="auto"/>
          <w:sz w:val="21"/>
          <w:highlight w:val="none"/>
          <w:lang w:val="en-US" w:eastAsia="zh-CN"/>
        </w:rPr>
        <w:t>甲</w:t>
      </w:r>
      <w:r>
        <w:rPr>
          <w:rFonts w:hint="eastAsia" w:hAnsi="宋体" w:cs="宋体"/>
          <w:color w:val="auto"/>
          <w:sz w:val="21"/>
          <w:highlight w:val="none"/>
        </w:rPr>
        <w:t>方有权延迟至收到前述材料之日起15个工作日内支付相应项款，且</w:t>
      </w:r>
      <w:r>
        <w:rPr>
          <w:rFonts w:hint="eastAsia" w:hAnsi="宋体" w:cs="宋体"/>
          <w:color w:val="auto"/>
          <w:sz w:val="21"/>
          <w:highlight w:val="none"/>
          <w:lang w:val="en-US" w:eastAsia="zh-CN"/>
        </w:rPr>
        <w:t>甲</w:t>
      </w:r>
      <w:r>
        <w:rPr>
          <w:rFonts w:hint="eastAsia" w:hAnsi="宋体" w:cs="宋体"/>
          <w:color w:val="auto"/>
          <w:sz w:val="21"/>
          <w:highlight w:val="none"/>
        </w:rPr>
        <w:t>方不因此而承担逾期付款的责任。若合同执行期间，遇国家税务政策调整所引起的合同价格变化，按照不含税价格调整结算价格。</w:t>
      </w:r>
    </w:p>
    <w:p>
      <w:pPr>
        <w:pStyle w:val="78"/>
        <w:pageBreakBefore w:val="0"/>
        <w:kinsoku/>
        <w:wordWrap/>
        <w:overflowPunct/>
        <w:topLinePunct w:val="0"/>
        <w:bidi w:val="0"/>
        <w:snapToGrid/>
        <w:spacing w:line="400" w:lineRule="exact"/>
        <w:ind w:firstLine="420" w:firstLineChars="200"/>
        <w:outlineLvl w:val="9"/>
        <w:rPr>
          <w:rFonts w:hint="eastAsia" w:hAnsi="宋体" w:cs="宋体"/>
          <w:color w:val="auto"/>
          <w:sz w:val="21"/>
          <w:highlight w:val="none"/>
        </w:rPr>
      </w:pPr>
      <w:r>
        <w:rPr>
          <w:rFonts w:hint="eastAsia" w:hAnsi="宋体" w:cs="宋体"/>
          <w:color w:val="auto"/>
          <w:sz w:val="21"/>
          <w:highlight w:val="none"/>
        </w:rPr>
        <w:t>（</w:t>
      </w:r>
      <w:r>
        <w:rPr>
          <w:rFonts w:hint="eastAsia" w:hAnsi="宋体" w:cs="宋体"/>
          <w:color w:val="auto"/>
          <w:sz w:val="21"/>
          <w:highlight w:val="none"/>
          <w:lang w:val="en-US" w:eastAsia="zh-CN"/>
        </w:rPr>
        <w:t>4</w:t>
      </w:r>
      <w:r>
        <w:rPr>
          <w:rFonts w:hint="eastAsia" w:hAnsi="宋体" w:cs="宋体"/>
          <w:color w:val="auto"/>
          <w:sz w:val="21"/>
          <w:highlight w:val="none"/>
        </w:rPr>
        <w:t>）乙方银行账户信息</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67" w:firstLineChars="175"/>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账户名称：</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67" w:firstLineChars="175"/>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开户银行：</w:t>
      </w:r>
      <w:r>
        <w:rPr>
          <w:rFonts w:hint="eastAsia" w:ascii="宋体" w:hAnsi="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67" w:firstLineChars="175"/>
        <w:textAlignment w:val="auto"/>
        <w:outlineLvl w:val="9"/>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银行账号：</w:t>
      </w:r>
      <w:r>
        <w:rPr>
          <w:rFonts w:hint="eastAsia" w:ascii="宋体" w:hAnsi="宋体" w:cs="宋体"/>
          <w:color w:val="auto"/>
          <w:sz w:val="21"/>
          <w:szCs w:val="21"/>
          <w:highlight w:val="none"/>
          <w:lang w:val="en-US" w:eastAsia="zh-CN" w:bidi="ar-SA"/>
        </w:rPr>
        <w:t xml:space="preserve">  </w:t>
      </w:r>
    </w:p>
    <w:p>
      <w:pPr>
        <w:pageBreakBefore w:val="0"/>
        <w:kinsoku/>
        <w:wordWrap/>
        <w:overflowPunct/>
        <w:topLinePunct w:val="0"/>
        <w:bidi w:val="0"/>
        <w:adjustRightInd/>
        <w:snapToGrid/>
        <w:spacing w:before="0" w:after="0" w:line="360" w:lineRule="auto"/>
        <w:ind w:firstLine="420" w:firstLineChars="200"/>
        <w:outlineLvl w:val="9"/>
        <w:rPr>
          <w:rFonts w:cs="宋体"/>
          <w:color w:val="auto"/>
          <w:sz w:val="21"/>
          <w:szCs w:val="21"/>
          <w:highlight w:val="none"/>
        </w:rPr>
      </w:pPr>
      <w:r>
        <w:rPr>
          <w:rFonts w:hint="eastAsia" w:cs="宋体"/>
          <w:color w:val="auto"/>
          <w:sz w:val="21"/>
          <w:szCs w:val="21"/>
          <w:highlight w:val="none"/>
        </w:rPr>
        <w:t>第六条 甲</w:t>
      </w:r>
      <w:r>
        <w:rPr>
          <w:rFonts w:hint="eastAsia" w:cs="宋体"/>
          <w:color w:val="auto"/>
          <w:sz w:val="21"/>
          <w:szCs w:val="21"/>
          <w:highlight w:val="none"/>
          <w:lang w:eastAsia="zh-CN"/>
        </w:rPr>
        <w:t>、</w:t>
      </w:r>
      <w:r>
        <w:rPr>
          <w:rFonts w:hint="eastAsia" w:cs="宋体"/>
          <w:color w:val="auto"/>
          <w:sz w:val="21"/>
          <w:szCs w:val="21"/>
          <w:highlight w:val="none"/>
        </w:rPr>
        <w:t>乙</w:t>
      </w:r>
      <w:r>
        <w:rPr>
          <w:rFonts w:hint="eastAsia" w:cs="宋体"/>
          <w:color w:val="auto"/>
          <w:sz w:val="21"/>
          <w:szCs w:val="21"/>
          <w:highlight w:val="none"/>
          <w:lang w:val="en-US" w:eastAsia="zh-CN"/>
        </w:rPr>
        <w:t>双</w:t>
      </w:r>
      <w:r>
        <w:rPr>
          <w:rFonts w:hint="eastAsia" w:cs="宋体"/>
          <w:color w:val="auto"/>
          <w:sz w:val="21"/>
          <w:szCs w:val="21"/>
          <w:highlight w:val="none"/>
        </w:rPr>
        <w:t>方权利与义务</w:t>
      </w:r>
    </w:p>
    <w:p>
      <w:pPr>
        <w:pStyle w:val="78"/>
        <w:pageBreakBefore w:val="0"/>
        <w:kinsoku/>
        <w:wordWrap/>
        <w:overflowPunct/>
        <w:topLinePunct w:val="0"/>
        <w:bidi w:val="0"/>
        <w:snapToGrid/>
        <w:spacing w:line="400" w:lineRule="exact"/>
        <w:ind w:firstLine="420" w:firstLineChars="200"/>
        <w:outlineLvl w:val="9"/>
        <w:rPr>
          <w:rFonts w:hint="eastAsia" w:hAnsi="宋体" w:cs="宋体"/>
          <w:color w:val="auto"/>
          <w:sz w:val="21"/>
          <w:highlight w:val="none"/>
          <w:lang w:eastAsia="zh-CN"/>
        </w:rPr>
      </w:pPr>
      <w:r>
        <w:rPr>
          <w:rFonts w:hint="eastAsia" w:hAnsi="宋体" w:cs="宋体"/>
          <w:color w:val="auto"/>
          <w:sz w:val="21"/>
          <w:highlight w:val="none"/>
        </w:rPr>
        <w:t>1</w:t>
      </w:r>
      <w:r>
        <w:rPr>
          <w:rFonts w:hint="eastAsia" w:hAnsi="宋体" w:cs="宋体"/>
          <w:color w:val="auto"/>
          <w:sz w:val="21"/>
          <w:highlight w:val="none"/>
          <w:lang w:eastAsia="zh-CN"/>
        </w:rPr>
        <w:t>、</w:t>
      </w:r>
      <w:r>
        <w:rPr>
          <w:rFonts w:hint="eastAsia" w:hAnsi="宋体" w:cs="宋体"/>
          <w:color w:val="auto"/>
          <w:sz w:val="21"/>
          <w:highlight w:val="none"/>
        </w:rPr>
        <w:t>合同签订后，</w:t>
      </w:r>
      <w:r>
        <w:rPr>
          <w:rFonts w:hint="eastAsia" w:hAnsi="宋体" w:cs="宋体"/>
          <w:color w:val="auto"/>
          <w:sz w:val="21"/>
          <w:highlight w:val="none"/>
          <w:lang w:val="en-US" w:eastAsia="zh-CN"/>
        </w:rPr>
        <w:t>甲方</w:t>
      </w:r>
      <w:r>
        <w:rPr>
          <w:rFonts w:hint="eastAsia" w:hAnsi="宋体" w:cs="宋体"/>
          <w:color w:val="auto"/>
          <w:sz w:val="21"/>
          <w:highlight w:val="none"/>
        </w:rPr>
        <w:t>应及时向乙方提供项目有关资料，</w:t>
      </w:r>
      <w:r>
        <w:rPr>
          <w:rFonts w:hint="eastAsia" w:hAnsi="宋体" w:cs="宋体"/>
          <w:color w:val="auto"/>
          <w:sz w:val="21"/>
          <w:highlight w:val="none"/>
          <w:lang w:val="en-US" w:eastAsia="zh-CN"/>
        </w:rPr>
        <w:t>甲方</w:t>
      </w:r>
      <w:r>
        <w:rPr>
          <w:rFonts w:hint="eastAsia" w:hAnsi="宋体" w:cs="宋体"/>
          <w:color w:val="auto"/>
          <w:sz w:val="21"/>
          <w:highlight w:val="none"/>
        </w:rPr>
        <w:t>应为乙方办理野外测量必需的证件及证明，协调项目范围内的业主，确保测绘人员顺利进入现场工作，并协助为乙方进场人员的工作提供方便</w:t>
      </w:r>
      <w:r>
        <w:rPr>
          <w:rFonts w:hint="eastAsia" w:hAnsi="宋体" w:cs="宋体"/>
          <w:color w:val="auto"/>
          <w:sz w:val="21"/>
          <w:highlight w:val="none"/>
          <w:lang w:eastAsia="zh-CN"/>
        </w:rPr>
        <w:t>。</w:t>
      </w:r>
    </w:p>
    <w:p>
      <w:pPr>
        <w:pStyle w:val="78"/>
        <w:pageBreakBefore w:val="0"/>
        <w:kinsoku/>
        <w:wordWrap/>
        <w:overflowPunct/>
        <w:topLinePunct w:val="0"/>
        <w:bidi w:val="0"/>
        <w:snapToGrid/>
        <w:spacing w:line="400" w:lineRule="exact"/>
        <w:ind w:firstLine="420" w:firstLineChars="200"/>
        <w:outlineLvl w:val="9"/>
        <w:rPr>
          <w:rFonts w:hint="eastAsia" w:hAnsi="宋体" w:cs="宋体"/>
          <w:color w:val="auto"/>
          <w:sz w:val="21"/>
          <w:highlight w:val="none"/>
          <w:lang w:eastAsia="zh-CN"/>
        </w:rPr>
      </w:pPr>
      <w:r>
        <w:rPr>
          <w:rFonts w:hint="eastAsia" w:hAnsi="宋体" w:cs="宋体"/>
          <w:color w:val="auto"/>
          <w:sz w:val="21"/>
          <w:highlight w:val="none"/>
        </w:rPr>
        <w:t>2</w:t>
      </w:r>
      <w:r>
        <w:rPr>
          <w:rFonts w:hint="eastAsia" w:hAnsi="宋体" w:cs="宋体"/>
          <w:color w:val="auto"/>
          <w:sz w:val="21"/>
          <w:highlight w:val="none"/>
          <w:lang w:eastAsia="zh-CN"/>
        </w:rPr>
        <w:t>、</w:t>
      </w:r>
      <w:r>
        <w:rPr>
          <w:rFonts w:hint="eastAsia" w:hAnsi="宋体" w:cs="宋体"/>
          <w:color w:val="auto"/>
          <w:sz w:val="21"/>
          <w:highlight w:val="none"/>
        </w:rPr>
        <w:t>乙方应加强质量管理，把好二检一审产品质量关</w:t>
      </w:r>
      <w:r>
        <w:rPr>
          <w:rFonts w:hint="eastAsia" w:hAnsi="宋体" w:cs="宋体"/>
          <w:color w:val="auto"/>
          <w:sz w:val="21"/>
          <w:highlight w:val="none"/>
          <w:lang w:eastAsia="zh-CN"/>
        </w:rPr>
        <w:t>。</w:t>
      </w:r>
    </w:p>
    <w:p>
      <w:pPr>
        <w:pStyle w:val="78"/>
        <w:pageBreakBefore w:val="0"/>
        <w:kinsoku/>
        <w:wordWrap/>
        <w:overflowPunct/>
        <w:topLinePunct w:val="0"/>
        <w:bidi w:val="0"/>
        <w:snapToGrid/>
        <w:spacing w:line="400" w:lineRule="exact"/>
        <w:ind w:firstLine="420" w:firstLineChars="200"/>
        <w:outlineLvl w:val="9"/>
        <w:rPr>
          <w:rFonts w:hint="eastAsia" w:hAnsi="宋体" w:eastAsia="宋体" w:cs="宋体"/>
          <w:color w:val="auto"/>
          <w:sz w:val="21"/>
          <w:highlight w:val="none"/>
          <w:lang w:eastAsia="zh-CN"/>
        </w:rPr>
      </w:pPr>
      <w:r>
        <w:rPr>
          <w:rFonts w:hint="eastAsia" w:hAnsi="宋体" w:cs="宋体"/>
          <w:color w:val="auto"/>
          <w:sz w:val="21"/>
          <w:highlight w:val="none"/>
        </w:rPr>
        <w:t>3</w:t>
      </w:r>
      <w:r>
        <w:rPr>
          <w:rFonts w:hint="eastAsia" w:hAnsi="宋体" w:cs="宋体"/>
          <w:color w:val="auto"/>
          <w:sz w:val="21"/>
          <w:highlight w:val="none"/>
          <w:lang w:eastAsia="zh-CN"/>
        </w:rPr>
        <w:t>、</w:t>
      </w:r>
      <w:r>
        <w:rPr>
          <w:rFonts w:hint="eastAsia" w:hAnsi="宋体" w:cs="宋体"/>
          <w:color w:val="auto"/>
          <w:sz w:val="21"/>
          <w:highlight w:val="none"/>
        </w:rPr>
        <w:t>乙方应做好安全生产管理，由于乙方安全措施不力造成的责任和因此发生的费用，由乙方承担；乙方作业人员的相关社会保险费用、人身意外险、作业人员的体检费、培训费等其他费用由乙方承担，乙方应对其所雇员工的工伤、社保负责，其员工在工作过程中发生的一切事故或经济责任均由乙方独立承担，与甲方无关</w:t>
      </w:r>
      <w:r>
        <w:rPr>
          <w:rFonts w:hint="eastAsia" w:hAnsi="宋体" w:cs="宋体"/>
          <w:color w:val="auto"/>
          <w:sz w:val="21"/>
          <w:highlight w:val="none"/>
          <w:lang w:eastAsia="zh-CN"/>
        </w:rPr>
        <w:t>。</w:t>
      </w:r>
    </w:p>
    <w:p>
      <w:pPr>
        <w:pStyle w:val="78"/>
        <w:pageBreakBefore w:val="0"/>
        <w:kinsoku/>
        <w:wordWrap/>
        <w:overflowPunct/>
        <w:topLinePunct w:val="0"/>
        <w:bidi w:val="0"/>
        <w:snapToGrid/>
        <w:spacing w:line="400" w:lineRule="exact"/>
        <w:ind w:firstLine="420" w:firstLineChars="200"/>
        <w:outlineLvl w:val="9"/>
        <w:rPr>
          <w:rFonts w:hint="eastAsia" w:hAnsi="宋体" w:eastAsia="宋体" w:cs="宋体"/>
          <w:color w:val="auto"/>
          <w:sz w:val="21"/>
          <w:highlight w:val="none"/>
          <w:lang w:eastAsia="zh-CN"/>
        </w:rPr>
      </w:pPr>
      <w:r>
        <w:rPr>
          <w:rFonts w:hint="eastAsia" w:hAnsi="宋体" w:cs="宋体"/>
          <w:color w:val="auto"/>
          <w:sz w:val="21"/>
          <w:highlight w:val="none"/>
        </w:rPr>
        <w:t>4</w:t>
      </w:r>
      <w:r>
        <w:rPr>
          <w:rFonts w:hint="eastAsia" w:hAnsi="宋体" w:cs="宋体"/>
          <w:color w:val="auto"/>
          <w:sz w:val="21"/>
          <w:highlight w:val="none"/>
          <w:lang w:eastAsia="zh-CN"/>
        </w:rPr>
        <w:t>、</w:t>
      </w:r>
      <w:r>
        <w:rPr>
          <w:rFonts w:hint="eastAsia" w:hAnsi="宋体" w:cs="宋体"/>
          <w:color w:val="auto"/>
          <w:sz w:val="21"/>
          <w:highlight w:val="none"/>
        </w:rPr>
        <w:t>乙方对测量成果质量负责。本合同项目测绘和权属核查工作结束后，乙方应配合甲方的工作需要，根据甲方的要求，做好后续服务工作</w:t>
      </w:r>
      <w:r>
        <w:rPr>
          <w:rFonts w:hint="eastAsia" w:hAnsi="宋体" w:cs="宋体"/>
          <w:color w:val="auto"/>
          <w:sz w:val="21"/>
          <w:highlight w:val="none"/>
          <w:lang w:eastAsia="zh-CN"/>
        </w:rPr>
        <w:t>。</w:t>
      </w:r>
    </w:p>
    <w:p>
      <w:pPr>
        <w:pStyle w:val="78"/>
        <w:pageBreakBefore w:val="0"/>
        <w:kinsoku/>
        <w:wordWrap/>
        <w:overflowPunct/>
        <w:topLinePunct w:val="0"/>
        <w:bidi w:val="0"/>
        <w:snapToGrid/>
        <w:spacing w:line="400" w:lineRule="exact"/>
        <w:ind w:firstLine="420" w:firstLineChars="200"/>
        <w:outlineLvl w:val="9"/>
        <w:rPr>
          <w:rFonts w:hint="default" w:hAnsi="宋体" w:eastAsia="宋体" w:cs="宋体"/>
          <w:color w:val="auto"/>
          <w:sz w:val="21"/>
          <w:highlight w:val="none"/>
          <w:lang w:val="en-US" w:eastAsia="zh-CN"/>
        </w:rPr>
      </w:pPr>
      <w:r>
        <w:rPr>
          <w:rFonts w:hint="eastAsia" w:hAnsi="宋体" w:cs="宋体"/>
          <w:color w:val="auto"/>
          <w:sz w:val="21"/>
          <w:highlight w:val="none"/>
        </w:rPr>
        <w:t>5</w:t>
      </w:r>
      <w:r>
        <w:rPr>
          <w:rFonts w:hint="eastAsia" w:hAnsi="宋体" w:cs="宋体"/>
          <w:color w:val="auto"/>
          <w:sz w:val="21"/>
          <w:highlight w:val="none"/>
          <w:lang w:eastAsia="zh-CN"/>
        </w:rPr>
        <w:t>、</w:t>
      </w:r>
      <w:r>
        <w:rPr>
          <w:rFonts w:hint="eastAsia" w:hAnsi="宋体" w:cs="宋体"/>
          <w:color w:val="auto"/>
          <w:sz w:val="21"/>
          <w:highlight w:val="none"/>
        </w:rPr>
        <w:t>乙方成果提交后，如项目需要验收，正常情况下甲方应在成果</w:t>
      </w:r>
      <w:r>
        <w:rPr>
          <w:rFonts w:hint="eastAsia" w:hAnsi="宋体" w:cs="宋体"/>
          <w:color w:val="auto"/>
          <w:sz w:val="21"/>
          <w:highlight w:val="none"/>
          <w:lang w:val="en-US" w:eastAsia="zh-CN"/>
        </w:rPr>
        <w:t>通过相关部门审查合格后</w:t>
      </w:r>
      <w:r>
        <w:rPr>
          <w:rFonts w:hint="eastAsia" w:hAnsi="宋体" w:cs="宋体"/>
          <w:color w:val="auto"/>
          <w:sz w:val="21"/>
          <w:highlight w:val="none"/>
        </w:rPr>
        <w:t>的一个月内完成验收工作，否则视为</w:t>
      </w:r>
      <w:r>
        <w:rPr>
          <w:rFonts w:hint="eastAsia" w:hAnsi="宋体" w:cs="宋体"/>
          <w:color w:val="auto"/>
          <w:sz w:val="21"/>
          <w:highlight w:val="none"/>
          <w:lang w:val="en-US" w:eastAsia="zh-CN"/>
        </w:rPr>
        <w:t>甲方已</w:t>
      </w:r>
      <w:r>
        <w:rPr>
          <w:rFonts w:hint="eastAsia" w:hAnsi="宋体" w:cs="宋体"/>
          <w:color w:val="auto"/>
          <w:sz w:val="21"/>
          <w:highlight w:val="none"/>
        </w:rPr>
        <w:t>验收合格处理</w:t>
      </w:r>
      <w:r>
        <w:rPr>
          <w:rFonts w:hint="eastAsia" w:hAnsi="宋体" w:cs="宋体"/>
          <w:color w:val="auto"/>
          <w:sz w:val="21"/>
          <w:highlight w:val="none"/>
          <w:lang w:val="en-US" w:eastAsia="zh-CN"/>
        </w:rPr>
        <w:t>。</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6</w:t>
      </w:r>
      <w:r>
        <w:rPr>
          <w:rFonts w:hint="eastAsia" w:hAnsi="宋体" w:cs="宋体"/>
          <w:color w:val="auto"/>
          <w:sz w:val="21"/>
          <w:highlight w:val="none"/>
          <w:lang w:eastAsia="zh-CN"/>
        </w:rPr>
        <w:t>、</w:t>
      </w:r>
      <w:r>
        <w:rPr>
          <w:rFonts w:hint="eastAsia" w:hAnsi="宋体" w:cs="宋体"/>
          <w:color w:val="auto"/>
          <w:sz w:val="21"/>
          <w:highlight w:val="none"/>
        </w:rPr>
        <w:t>乙方向</w:t>
      </w:r>
      <w:r>
        <w:rPr>
          <w:rFonts w:hint="eastAsia" w:hAnsi="宋体" w:cs="宋体"/>
          <w:color w:val="auto"/>
          <w:sz w:val="21"/>
          <w:highlight w:val="none"/>
          <w:lang w:val="en-US" w:eastAsia="zh-CN"/>
        </w:rPr>
        <w:t>甲方</w:t>
      </w:r>
      <w:r>
        <w:rPr>
          <w:rFonts w:hint="eastAsia" w:hAnsi="宋体" w:cs="宋体"/>
          <w:color w:val="auto"/>
          <w:sz w:val="21"/>
          <w:highlight w:val="none"/>
        </w:rPr>
        <w:t>提交的本合同项目下相应测绘成果的权属（包括知识产权）归</w:t>
      </w:r>
      <w:r>
        <w:rPr>
          <w:rFonts w:hint="eastAsia" w:hAnsi="宋体" w:cs="宋体"/>
          <w:color w:val="auto"/>
          <w:sz w:val="21"/>
          <w:highlight w:val="none"/>
          <w:lang w:val="en-US" w:eastAsia="zh-CN"/>
        </w:rPr>
        <w:t>甲方</w:t>
      </w:r>
      <w:r>
        <w:rPr>
          <w:rFonts w:hint="eastAsia" w:hAnsi="宋体" w:cs="宋体"/>
          <w:color w:val="auto"/>
          <w:sz w:val="21"/>
          <w:highlight w:val="none"/>
        </w:rPr>
        <w:t>所有。</w:t>
      </w:r>
    </w:p>
    <w:p>
      <w:pPr>
        <w:pStyle w:val="78"/>
        <w:pageBreakBefore w:val="0"/>
        <w:kinsoku/>
        <w:wordWrap/>
        <w:overflowPunct/>
        <w:topLinePunct w:val="0"/>
        <w:bidi w:val="0"/>
        <w:snapToGrid/>
        <w:spacing w:line="400" w:lineRule="exact"/>
        <w:ind w:firstLine="420" w:firstLineChars="200"/>
        <w:outlineLvl w:val="9"/>
        <w:rPr>
          <w:rFonts w:hint="eastAsia" w:hAnsi="宋体" w:cs="宋体"/>
          <w:color w:val="auto"/>
          <w:sz w:val="21"/>
          <w:highlight w:val="none"/>
          <w:lang w:eastAsia="zh-CN"/>
        </w:rPr>
      </w:pPr>
      <w:r>
        <w:rPr>
          <w:rFonts w:hint="eastAsia" w:hAnsi="宋体" w:cs="宋体"/>
          <w:color w:val="auto"/>
          <w:sz w:val="21"/>
          <w:highlight w:val="none"/>
        </w:rPr>
        <w:t>7、如找不到房屋业主、业主外出、出国、不配合等情况，造成未能按时完成测量工作任务，不属于乙方责任，应由甲</w:t>
      </w:r>
      <w:r>
        <w:rPr>
          <w:rFonts w:hint="eastAsia" w:hAnsi="宋体" w:cs="宋体"/>
          <w:color w:val="auto"/>
          <w:sz w:val="21"/>
          <w:highlight w:val="none"/>
          <w:lang w:eastAsia="zh-CN"/>
        </w:rPr>
        <w:t>、</w:t>
      </w:r>
      <w:r>
        <w:rPr>
          <w:rFonts w:hint="eastAsia" w:hAnsi="宋体" w:cs="宋体"/>
          <w:color w:val="auto"/>
          <w:sz w:val="21"/>
          <w:highlight w:val="none"/>
        </w:rPr>
        <w:t>乙</w:t>
      </w:r>
      <w:r>
        <w:rPr>
          <w:rFonts w:hint="eastAsia" w:hAnsi="宋体" w:cs="宋体"/>
          <w:color w:val="auto"/>
          <w:sz w:val="21"/>
          <w:highlight w:val="none"/>
          <w:lang w:val="en-US" w:eastAsia="zh-CN"/>
        </w:rPr>
        <w:t>双</w:t>
      </w:r>
      <w:r>
        <w:rPr>
          <w:rFonts w:hint="eastAsia" w:hAnsi="宋体" w:cs="宋体"/>
          <w:color w:val="auto"/>
          <w:sz w:val="21"/>
          <w:highlight w:val="none"/>
        </w:rPr>
        <w:t>方共同努力解决</w:t>
      </w:r>
      <w:r>
        <w:rPr>
          <w:rFonts w:hint="eastAsia" w:hAnsi="宋体" w:cs="宋体"/>
          <w:color w:val="auto"/>
          <w:sz w:val="21"/>
          <w:highlight w:val="none"/>
          <w:lang w:eastAsia="zh-CN"/>
        </w:rPr>
        <w:t>。</w:t>
      </w:r>
    </w:p>
    <w:p>
      <w:pPr>
        <w:pStyle w:val="78"/>
        <w:pageBreakBefore w:val="0"/>
        <w:kinsoku/>
        <w:wordWrap/>
        <w:overflowPunct/>
        <w:topLinePunct w:val="0"/>
        <w:bidi w:val="0"/>
        <w:snapToGrid/>
        <w:spacing w:line="400" w:lineRule="exact"/>
        <w:ind w:firstLine="420" w:firstLineChars="200"/>
        <w:outlineLvl w:val="9"/>
        <w:rPr>
          <w:rFonts w:hint="eastAsia" w:hAnsi="宋体" w:cs="宋体"/>
          <w:color w:val="auto"/>
          <w:sz w:val="21"/>
          <w:highlight w:val="none"/>
        </w:rPr>
      </w:pPr>
      <w:r>
        <w:rPr>
          <w:rFonts w:hint="eastAsia" w:hAnsi="宋体" w:cs="宋体"/>
          <w:color w:val="auto"/>
          <w:sz w:val="21"/>
          <w:highlight w:val="none"/>
        </w:rPr>
        <w:t>8、测量所需档案资料是由政府相关部门负责提供方可进行，如上述有关部门不给予合作未能及时提供相关资料，造成该业务未能及时完成，均不属于乙方责任，应由甲</w:t>
      </w:r>
      <w:r>
        <w:rPr>
          <w:rFonts w:hint="eastAsia" w:hAnsi="宋体" w:cs="宋体"/>
          <w:color w:val="auto"/>
          <w:sz w:val="21"/>
          <w:highlight w:val="none"/>
          <w:lang w:eastAsia="zh-CN"/>
        </w:rPr>
        <w:t>、</w:t>
      </w:r>
      <w:r>
        <w:rPr>
          <w:rFonts w:hint="eastAsia" w:hAnsi="宋体" w:cs="宋体"/>
          <w:color w:val="auto"/>
          <w:sz w:val="21"/>
          <w:highlight w:val="none"/>
        </w:rPr>
        <w:t>乙</w:t>
      </w:r>
      <w:r>
        <w:rPr>
          <w:rFonts w:hint="eastAsia" w:hAnsi="宋体" w:cs="宋体"/>
          <w:color w:val="auto"/>
          <w:sz w:val="21"/>
          <w:highlight w:val="none"/>
          <w:lang w:val="en-US" w:eastAsia="zh-CN"/>
        </w:rPr>
        <w:t>双</w:t>
      </w:r>
      <w:r>
        <w:rPr>
          <w:rFonts w:hint="eastAsia" w:hAnsi="宋体" w:cs="宋体"/>
          <w:color w:val="auto"/>
          <w:sz w:val="21"/>
          <w:highlight w:val="none"/>
        </w:rPr>
        <w:t>方继续努力积极协调解决。</w:t>
      </w:r>
    </w:p>
    <w:p>
      <w:pPr>
        <w:pageBreakBefore w:val="0"/>
        <w:kinsoku/>
        <w:wordWrap/>
        <w:overflowPunct/>
        <w:topLinePunct w:val="0"/>
        <w:bidi w:val="0"/>
        <w:snapToGrid/>
        <w:spacing w:line="360" w:lineRule="auto"/>
        <w:ind w:firstLine="420" w:firstLineChars="200"/>
        <w:contextualSpacing/>
        <w:outlineLvl w:val="9"/>
        <w:rPr>
          <w:rFonts w:hint="default" w:hAnsi="宋体" w:eastAsia="宋体"/>
          <w:color w:val="auto"/>
          <w:sz w:val="21"/>
          <w:szCs w:val="21"/>
          <w:highlight w:val="none"/>
          <w:lang w:val="en-US" w:eastAsia="zh-CN"/>
        </w:rPr>
      </w:pPr>
      <w:r>
        <w:rPr>
          <w:rFonts w:hint="eastAsia" w:hAnsi="宋体" w:cs="Times New Roman"/>
          <w:color w:val="auto"/>
          <w:sz w:val="21"/>
          <w:szCs w:val="21"/>
          <w:highlight w:val="none"/>
          <w:lang w:val="en-US" w:eastAsia="zh-CN"/>
        </w:rPr>
        <w:t>9、甲方</w:t>
      </w:r>
      <w:r>
        <w:rPr>
          <w:rFonts w:hint="eastAsia" w:hAnsi="宋体"/>
          <w:color w:val="auto"/>
          <w:sz w:val="21"/>
          <w:szCs w:val="21"/>
          <w:highlight w:val="none"/>
        </w:rPr>
        <w:t>应按本合同第</w:t>
      </w:r>
      <w:r>
        <w:rPr>
          <w:rFonts w:hint="eastAsia" w:hAnsi="宋体"/>
          <w:color w:val="auto"/>
          <w:sz w:val="21"/>
          <w:szCs w:val="21"/>
          <w:highlight w:val="none"/>
          <w:lang w:val="en-US" w:eastAsia="zh-CN"/>
        </w:rPr>
        <w:t>五</w:t>
      </w:r>
      <w:r>
        <w:rPr>
          <w:rFonts w:hint="eastAsia" w:hAnsi="宋体"/>
          <w:color w:val="auto"/>
          <w:sz w:val="21"/>
          <w:szCs w:val="21"/>
          <w:highlight w:val="none"/>
        </w:rPr>
        <w:t>条规定的时间和金额向乙方支付各阶段合同价款，如</w:t>
      </w:r>
      <w:r>
        <w:rPr>
          <w:rFonts w:hint="eastAsia" w:hAnsi="宋体"/>
          <w:color w:val="auto"/>
          <w:sz w:val="21"/>
          <w:szCs w:val="21"/>
          <w:highlight w:val="none"/>
          <w:lang w:eastAsia="zh-Hans"/>
        </w:rPr>
        <w:t>因</w:t>
      </w:r>
      <w:r>
        <w:rPr>
          <w:rFonts w:hint="eastAsia" w:hAnsi="宋体"/>
          <w:color w:val="auto"/>
          <w:sz w:val="21"/>
          <w:szCs w:val="21"/>
          <w:highlight w:val="none"/>
          <w:lang w:val="en-US" w:eastAsia="zh-CN"/>
        </w:rPr>
        <w:t>甲</w:t>
      </w:r>
      <w:r>
        <w:rPr>
          <w:rFonts w:hint="eastAsia" w:hAnsi="宋体"/>
          <w:color w:val="auto"/>
          <w:sz w:val="21"/>
          <w:szCs w:val="21"/>
          <w:highlight w:val="none"/>
        </w:rPr>
        <w:t>方未能</w:t>
      </w:r>
      <w:r>
        <w:rPr>
          <w:rFonts w:hint="eastAsia" w:hAnsi="宋体"/>
          <w:color w:val="auto"/>
          <w:sz w:val="21"/>
          <w:szCs w:val="21"/>
          <w:highlight w:val="none"/>
          <w:lang w:eastAsia="zh-Hans"/>
        </w:rPr>
        <w:t>按合同约定</w:t>
      </w:r>
      <w:r>
        <w:rPr>
          <w:rFonts w:hint="eastAsia" w:hAnsi="宋体"/>
          <w:color w:val="auto"/>
          <w:sz w:val="21"/>
          <w:szCs w:val="21"/>
          <w:highlight w:val="none"/>
        </w:rPr>
        <w:t>及时支付款项</w:t>
      </w:r>
      <w:r>
        <w:rPr>
          <w:rFonts w:hint="eastAsia" w:hAnsi="宋体"/>
          <w:color w:val="auto"/>
          <w:sz w:val="21"/>
          <w:szCs w:val="21"/>
          <w:highlight w:val="none"/>
          <w:lang w:val="en-US" w:eastAsia="zh-CN"/>
        </w:rPr>
        <w:t>导致的后果及责任由甲方承担。</w:t>
      </w:r>
    </w:p>
    <w:p>
      <w:pPr>
        <w:pageBreakBefore w:val="0"/>
        <w:kinsoku/>
        <w:wordWrap/>
        <w:overflowPunct/>
        <w:topLinePunct w:val="0"/>
        <w:bidi w:val="0"/>
        <w:snapToGrid/>
        <w:spacing w:line="360" w:lineRule="auto"/>
        <w:ind w:firstLine="420" w:firstLineChars="200"/>
        <w:contextualSpacing/>
        <w:outlineLvl w:val="9"/>
        <w:rPr>
          <w:rFonts w:hint="eastAsia" w:hAnsi="宋体" w:cs="宋体"/>
          <w:color w:val="auto"/>
          <w:sz w:val="21"/>
          <w:highlight w:val="none"/>
        </w:rPr>
      </w:pPr>
      <w:r>
        <w:rPr>
          <w:rFonts w:hint="eastAsia" w:hAnsi="宋体" w:cs="Times New Roman"/>
          <w:color w:val="auto"/>
          <w:sz w:val="21"/>
          <w:szCs w:val="21"/>
          <w:highlight w:val="none"/>
          <w:lang w:val="en-US" w:eastAsia="zh-CN"/>
        </w:rPr>
        <w:t>10、甲方</w:t>
      </w:r>
      <w:r>
        <w:rPr>
          <w:rFonts w:hint="eastAsia" w:hAnsi="宋体" w:eastAsia="宋体" w:cs="Times New Roman"/>
          <w:color w:val="auto"/>
          <w:sz w:val="21"/>
          <w:szCs w:val="21"/>
          <w:highlight w:val="none"/>
          <w:lang w:val="en-US" w:eastAsia="zh-CN"/>
        </w:rPr>
        <w:t>有权监督乙方工作过程与进度，并可要求乙方及时进行审查工作。</w:t>
      </w:r>
    </w:p>
    <w:p>
      <w:pPr>
        <w:pageBreakBefore w:val="0"/>
        <w:kinsoku/>
        <w:wordWrap/>
        <w:overflowPunct/>
        <w:topLinePunct w:val="0"/>
        <w:bidi w:val="0"/>
        <w:adjustRightInd/>
        <w:snapToGrid/>
        <w:spacing w:before="0" w:after="0" w:line="360" w:lineRule="auto"/>
        <w:ind w:firstLine="420" w:firstLineChars="200"/>
        <w:outlineLvl w:val="9"/>
        <w:rPr>
          <w:rFonts w:cs="宋体"/>
          <w:color w:val="auto"/>
          <w:sz w:val="21"/>
          <w:szCs w:val="21"/>
          <w:highlight w:val="none"/>
        </w:rPr>
      </w:pPr>
      <w:r>
        <w:rPr>
          <w:rFonts w:hint="eastAsia" w:cs="宋体"/>
          <w:color w:val="auto"/>
          <w:sz w:val="21"/>
          <w:szCs w:val="21"/>
          <w:highlight w:val="none"/>
        </w:rPr>
        <w:t>第七条 保密责任</w:t>
      </w:r>
    </w:p>
    <w:p>
      <w:pPr>
        <w:pageBreakBefore w:val="0"/>
        <w:kinsoku/>
        <w:wordWrap/>
        <w:overflowPunct/>
        <w:topLinePunct w:val="0"/>
        <w:bidi w:val="0"/>
        <w:snapToGrid/>
        <w:spacing w:line="400" w:lineRule="exact"/>
        <w:ind w:firstLine="420" w:firstLineChars="200"/>
        <w:outlineLvl w:val="9"/>
        <w:rPr>
          <w:rFonts w:hAnsi="宋体" w:cs="宋体"/>
          <w:color w:val="auto"/>
          <w:sz w:val="21"/>
          <w:szCs w:val="21"/>
          <w:highlight w:val="none"/>
        </w:rPr>
      </w:pPr>
      <w:r>
        <w:rPr>
          <w:rFonts w:hint="eastAsia" w:hAnsi="宋体" w:cs="宋体"/>
          <w:color w:val="auto"/>
          <w:sz w:val="21"/>
          <w:szCs w:val="21"/>
          <w:highlight w:val="none"/>
        </w:rPr>
        <w:t xml:space="preserve">1、未经另一方书面同意，任何一方不得向第三方泄露本协议内容及有关的商业秘密和技术信息，包括所提供给对方的资料，专项技术。否则，由此给对方带来的损失由泄密方承担。 </w:t>
      </w:r>
    </w:p>
    <w:p>
      <w:pPr>
        <w:pageBreakBefore w:val="0"/>
        <w:kinsoku/>
        <w:wordWrap/>
        <w:overflowPunct/>
        <w:topLinePunct w:val="0"/>
        <w:bidi w:val="0"/>
        <w:snapToGrid/>
        <w:spacing w:line="400" w:lineRule="exact"/>
        <w:ind w:firstLine="420" w:firstLineChars="200"/>
        <w:outlineLvl w:val="9"/>
        <w:rPr>
          <w:rFonts w:hAnsi="宋体" w:cs="宋体"/>
          <w:color w:val="auto"/>
          <w:sz w:val="21"/>
          <w:szCs w:val="21"/>
          <w:highlight w:val="none"/>
        </w:rPr>
      </w:pPr>
      <w:r>
        <w:rPr>
          <w:rFonts w:hint="eastAsia" w:hAnsi="宋体" w:cs="宋体"/>
          <w:color w:val="auto"/>
          <w:sz w:val="21"/>
          <w:szCs w:val="21"/>
          <w:highlight w:val="none"/>
        </w:rPr>
        <w:t>2、凡涉及由甲</w:t>
      </w:r>
      <w:r>
        <w:rPr>
          <w:rFonts w:hint="eastAsia" w:hAnsi="宋体" w:cs="宋体"/>
          <w:color w:val="auto"/>
          <w:sz w:val="21"/>
          <w:szCs w:val="21"/>
          <w:highlight w:val="none"/>
          <w:lang w:val="en-US" w:eastAsia="zh-CN"/>
        </w:rPr>
        <w:t>方</w:t>
      </w:r>
      <w:r>
        <w:rPr>
          <w:rFonts w:hint="eastAsia" w:hAnsi="宋体" w:cs="宋体"/>
          <w:color w:val="auto"/>
          <w:sz w:val="21"/>
          <w:szCs w:val="21"/>
          <w:highlight w:val="none"/>
        </w:rPr>
        <w:t>提供及履行本合同过程中获知的，与项目、资金有关的所有材料，包括但不限于客户信息、项目具体情况、技术数据等均属保密内容。</w:t>
      </w:r>
    </w:p>
    <w:p>
      <w:pPr>
        <w:pageBreakBefore w:val="0"/>
        <w:kinsoku/>
        <w:wordWrap/>
        <w:overflowPunct/>
        <w:topLinePunct w:val="0"/>
        <w:bidi w:val="0"/>
        <w:snapToGrid/>
        <w:spacing w:line="400" w:lineRule="exact"/>
        <w:ind w:firstLine="420" w:firstLineChars="200"/>
        <w:outlineLvl w:val="9"/>
        <w:rPr>
          <w:rFonts w:hAnsi="宋体" w:cs="宋体"/>
          <w:color w:val="auto"/>
          <w:sz w:val="21"/>
          <w:szCs w:val="21"/>
          <w:highlight w:val="none"/>
        </w:rPr>
      </w:pPr>
      <w:r>
        <w:rPr>
          <w:rFonts w:hint="eastAsia" w:hAnsi="宋体" w:cs="宋体"/>
          <w:color w:val="auto"/>
          <w:sz w:val="21"/>
          <w:szCs w:val="21"/>
          <w:highlight w:val="none"/>
        </w:rPr>
        <w:t>3、未经</w:t>
      </w:r>
      <w:r>
        <w:rPr>
          <w:rFonts w:hint="eastAsia" w:hAnsi="宋体" w:cs="宋体"/>
          <w:color w:val="auto"/>
          <w:sz w:val="21"/>
          <w:szCs w:val="21"/>
          <w:highlight w:val="none"/>
          <w:lang w:val="en-US" w:eastAsia="zh-CN"/>
        </w:rPr>
        <w:t>双</w:t>
      </w:r>
      <w:r>
        <w:rPr>
          <w:rFonts w:hint="eastAsia" w:hAnsi="宋体" w:cs="宋体"/>
          <w:color w:val="auto"/>
          <w:sz w:val="21"/>
          <w:szCs w:val="21"/>
          <w:highlight w:val="none"/>
        </w:rPr>
        <w:t>方书面同意，以任何形式向第三方提供涉及保密内容的行为均属泄密。</w:t>
      </w:r>
    </w:p>
    <w:p>
      <w:pPr>
        <w:pageBreakBefore w:val="0"/>
        <w:kinsoku/>
        <w:wordWrap/>
        <w:overflowPunct/>
        <w:topLinePunct w:val="0"/>
        <w:bidi w:val="0"/>
        <w:adjustRightInd/>
        <w:snapToGrid/>
        <w:spacing w:before="0" w:after="0" w:line="360" w:lineRule="auto"/>
        <w:ind w:firstLine="420" w:firstLineChars="200"/>
        <w:outlineLvl w:val="9"/>
        <w:rPr>
          <w:rFonts w:hint="eastAsia" w:eastAsia="宋体" w:cs="宋体"/>
          <w:color w:val="auto"/>
          <w:sz w:val="21"/>
          <w:szCs w:val="21"/>
          <w:highlight w:val="none"/>
          <w:lang w:val="en-US" w:eastAsia="zh-CN"/>
        </w:rPr>
      </w:pPr>
      <w:r>
        <w:rPr>
          <w:rFonts w:hint="eastAsia" w:cs="宋体"/>
          <w:color w:val="auto"/>
          <w:sz w:val="21"/>
          <w:szCs w:val="21"/>
          <w:highlight w:val="none"/>
        </w:rPr>
        <w:t>第八条 服务</w:t>
      </w:r>
      <w:r>
        <w:rPr>
          <w:rFonts w:hint="eastAsia" w:cs="宋体"/>
          <w:color w:val="auto"/>
          <w:sz w:val="21"/>
          <w:szCs w:val="21"/>
          <w:highlight w:val="none"/>
          <w:lang w:val="en-US" w:eastAsia="zh-CN"/>
        </w:rPr>
        <w:t>质量</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lang w:eastAsia="zh-CN"/>
        </w:rPr>
        <w:t>、</w:t>
      </w:r>
      <w:r>
        <w:rPr>
          <w:rFonts w:hint="eastAsia" w:hAnsi="宋体" w:cs="宋体"/>
          <w:color w:val="auto"/>
          <w:sz w:val="21"/>
          <w:highlight w:val="none"/>
        </w:rPr>
        <w:t>服务总目标：自始至终提供优质满意服务；</w:t>
      </w:r>
    </w:p>
    <w:p>
      <w:pPr>
        <w:pStyle w:val="78"/>
        <w:pageBreakBefore w:val="0"/>
        <w:kinsoku/>
        <w:wordWrap/>
        <w:overflowPunct/>
        <w:topLinePunct w:val="0"/>
        <w:bidi w:val="0"/>
        <w:snapToGrid/>
        <w:spacing w:line="400" w:lineRule="exact"/>
        <w:ind w:firstLine="420" w:firstLineChars="200"/>
        <w:outlineLvl w:val="9"/>
        <w:rPr>
          <w:rFonts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eastAsia="zh-CN"/>
        </w:rPr>
        <w:t>、</w:t>
      </w:r>
      <w:r>
        <w:rPr>
          <w:rFonts w:hint="eastAsia" w:hAnsi="宋体" w:cs="宋体"/>
          <w:color w:val="auto"/>
          <w:sz w:val="21"/>
          <w:highlight w:val="none"/>
        </w:rPr>
        <w:t>服务承诺：工作积极主动，加强与甲方的沟通、联系、定时汇报工作，及时加强与甲方</w:t>
      </w:r>
      <w:r>
        <w:rPr>
          <w:rFonts w:hint="eastAsia" w:hAnsi="宋体" w:cs="宋体"/>
          <w:color w:val="auto"/>
          <w:sz w:val="21"/>
          <w:highlight w:val="none"/>
          <w:lang w:val="en-US" w:eastAsia="zh-CN"/>
        </w:rPr>
        <w:t>及</w:t>
      </w:r>
      <w:r>
        <w:rPr>
          <w:rFonts w:hint="eastAsia" w:hAnsi="宋体" w:cs="宋体"/>
          <w:color w:val="auto"/>
          <w:sz w:val="21"/>
          <w:highlight w:val="none"/>
        </w:rPr>
        <w:t>相关单位的联系，了解情况，认真做好相关技术服务工作</w:t>
      </w:r>
      <w:r>
        <w:rPr>
          <w:rFonts w:hint="eastAsia" w:hAnsi="宋体" w:cs="宋体"/>
          <w:color w:val="auto"/>
          <w:sz w:val="21"/>
          <w:highlight w:val="none"/>
          <w:lang w:eastAsia="zh-CN"/>
        </w:rPr>
        <w:t>；</w:t>
      </w:r>
      <w:r>
        <w:rPr>
          <w:rFonts w:hint="eastAsia" w:hAnsi="宋体" w:cs="宋体"/>
          <w:color w:val="auto"/>
          <w:sz w:val="21"/>
          <w:highlight w:val="none"/>
        </w:rPr>
        <w:t>保持足够的技术人员及仪器设备，按时完成甲方下达的任务</w:t>
      </w:r>
      <w:r>
        <w:rPr>
          <w:rFonts w:hint="eastAsia" w:hAnsi="宋体" w:cs="宋体"/>
          <w:color w:val="auto"/>
          <w:sz w:val="21"/>
          <w:highlight w:val="none"/>
          <w:lang w:eastAsia="zh-CN"/>
        </w:rPr>
        <w:t>；</w:t>
      </w:r>
      <w:r>
        <w:rPr>
          <w:rFonts w:hint="eastAsia" w:hAnsi="宋体" w:cs="宋体"/>
          <w:color w:val="auto"/>
          <w:sz w:val="21"/>
          <w:highlight w:val="none"/>
        </w:rPr>
        <w:t>及时解决相关单位提出的各种问题。</w:t>
      </w:r>
    </w:p>
    <w:p>
      <w:pPr>
        <w:pStyle w:val="78"/>
        <w:pageBreakBefore w:val="0"/>
        <w:kinsoku/>
        <w:wordWrap/>
        <w:overflowPunct/>
        <w:topLinePunct w:val="0"/>
        <w:bidi w:val="0"/>
        <w:snapToGrid/>
        <w:spacing w:line="400" w:lineRule="exact"/>
        <w:ind w:firstLine="420" w:firstLineChars="200"/>
        <w:outlineLvl w:val="9"/>
        <w:rPr>
          <w:rFonts w:hint="eastAsia" w:hAnsi="宋体" w:cs="宋体"/>
          <w:color w:val="auto"/>
          <w:sz w:val="21"/>
          <w:highlight w:val="none"/>
        </w:rPr>
      </w:pPr>
      <w:r>
        <w:rPr>
          <w:rFonts w:hint="eastAsia" w:hAnsi="宋体" w:cs="宋体"/>
          <w:color w:val="auto"/>
          <w:sz w:val="21"/>
          <w:highlight w:val="none"/>
        </w:rPr>
        <w:t>3</w:t>
      </w:r>
      <w:r>
        <w:rPr>
          <w:rFonts w:hint="eastAsia" w:hAnsi="宋体" w:cs="宋体"/>
          <w:color w:val="auto"/>
          <w:sz w:val="21"/>
          <w:highlight w:val="none"/>
          <w:lang w:eastAsia="zh-CN"/>
        </w:rPr>
        <w:t>、</w:t>
      </w:r>
      <w:r>
        <w:rPr>
          <w:rFonts w:hint="eastAsia" w:hAnsi="宋体" w:cs="宋体"/>
          <w:color w:val="auto"/>
          <w:sz w:val="21"/>
          <w:highlight w:val="none"/>
        </w:rPr>
        <w:t>项目最终成果经相关程序对外公示后，</w:t>
      </w:r>
      <w:r>
        <w:rPr>
          <w:rFonts w:hint="eastAsia" w:hAnsi="宋体" w:cs="宋体"/>
          <w:color w:val="auto"/>
          <w:sz w:val="21"/>
          <w:highlight w:val="none"/>
          <w:lang w:eastAsia="zh-CN"/>
        </w:rPr>
        <w:t>在</w:t>
      </w:r>
      <w:r>
        <w:rPr>
          <w:rFonts w:hint="eastAsia" w:hAnsi="宋体" w:cs="宋体"/>
          <w:color w:val="auto"/>
          <w:sz w:val="21"/>
          <w:highlight w:val="none"/>
          <w:lang w:val="en-US" w:eastAsia="zh-CN"/>
        </w:rPr>
        <w:t>公示期</w:t>
      </w:r>
      <w:r>
        <w:rPr>
          <w:rFonts w:hint="eastAsia" w:hAnsi="宋体" w:cs="宋体"/>
          <w:color w:val="auto"/>
          <w:sz w:val="21"/>
          <w:highlight w:val="none"/>
        </w:rPr>
        <w:t>内若收到异议的，免费处理相关单位提出的成果复核及现场校核问题。</w:t>
      </w:r>
    </w:p>
    <w:p>
      <w:pPr>
        <w:pageBreakBefore w:val="0"/>
        <w:kinsoku/>
        <w:wordWrap/>
        <w:overflowPunct/>
        <w:topLinePunct w:val="0"/>
        <w:bidi w:val="0"/>
        <w:adjustRightInd/>
        <w:snapToGrid/>
        <w:spacing w:before="0" w:after="0" w:line="360" w:lineRule="auto"/>
        <w:ind w:firstLine="420" w:firstLineChars="200"/>
        <w:outlineLvl w:val="9"/>
        <w:rPr>
          <w:rFonts w:cs="宋体"/>
          <w:color w:val="auto"/>
          <w:sz w:val="21"/>
          <w:szCs w:val="21"/>
          <w:highlight w:val="none"/>
        </w:rPr>
      </w:pPr>
      <w:r>
        <w:rPr>
          <w:rFonts w:hint="eastAsia" w:cs="宋体"/>
          <w:color w:val="auto"/>
          <w:sz w:val="21"/>
          <w:szCs w:val="21"/>
          <w:highlight w:val="none"/>
        </w:rPr>
        <w:t>第九条 违约责任</w:t>
      </w:r>
    </w:p>
    <w:p>
      <w:pPr>
        <w:pageBreakBefore w:val="0"/>
        <w:kinsoku/>
        <w:wordWrap/>
        <w:overflowPunct/>
        <w:topLinePunct w:val="0"/>
        <w:bidi w:val="0"/>
        <w:snapToGrid/>
        <w:spacing w:line="360" w:lineRule="auto"/>
        <w:ind w:firstLine="420" w:firstLineChars="200"/>
        <w:contextualSpacing/>
        <w:outlineLvl w:val="9"/>
        <w:rPr>
          <w:rFonts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lang w:eastAsia="zh-CN"/>
        </w:rPr>
        <w:t>、</w:t>
      </w:r>
      <w:r>
        <w:rPr>
          <w:rFonts w:hint="eastAsia" w:hAnsi="宋体"/>
          <w:color w:val="auto"/>
          <w:sz w:val="21"/>
          <w:szCs w:val="21"/>
          <w:highlight w:val="none"/>
        </w:rPr>
        <w:t>甲方违约责任</w:t>
      </w:r>
    </w:p>
    <w:p>
      <w:pPr>
        <w:pageBreakBefore w:val="0"/>
        <w:kinsoku/>
        <w:wordWrap/>
        <w:overflowPunct/>
        <w:topLinePunct w:val="0"/>
        <w:bidi w:val="0"/>
        <w:snapToGrid/>
        <w:spacing w:line="360" w:lineRule="auto"/>
        <w:ind w:firstLine="420" w:firstLineChars="200"/>
        <w:contextualSpacing/>
        <w:outlineLvl w:val="9"/>
        <w:rPr>
          <w:rFonts w:hint="eastAsia" w:hAnsi="宋体"/>
          <w:color w:val="auto"/>
          <w:sz w:val="21"/>
          <w:szCs w:val="21"/>
          <w:highlight w:val="none"/>
          <w:lang w:val="en-US" w:eastAsia="zh-CN"/>
        </w:rPr>
      </w:pPr>
      <w:r>
        <w:rPr>
          <w:rFonts w:hint="eastAsia" w:hAnsi="宋体"/>
          <w:color w:val="auto"/>
          <w:sz w:val="21"/>
          <w:szCs w:val="21"/>
          <w:highlight w:val="none"/>
          <w:lang w:val="en-US" w:eastAsia="zh-CN"/>
        </w:rPr>
        <w:t>（1）甲方无正当理由逾期支付合同价款的，甲方应当向乙方支付逾期付款违约金。逾期付款违约金以逾期金额为本金，从甲方逾期付款当日起按照当月已发布的一年期LPR计算至合同价款付清之日。</w:t>
      </w:r>
    </w:p>
    <w:p>
      <w:pPr>
        <w:pageBreakBefore w:val="0"/>
        <w:kinsoku/>
        <w:wordWrap/>
        <w:overflowPunct/>
        <w:topLinePunct w:val="0"/>
        <w:bidi w:val="0"/>
        <w:snapToGrid/>
        <w:spacing w:line="400" w:lineRule="exact"/>
        <w:ind w:firstLine="420" w:firstLineChars="200"/>
        <w:outlineLvl w:val="9"/>
        <w:rPr>
          <w:rFonts w:hint="default" w:ascii="宋体" w:hAnsi="宋体" w:eastAsia="宋体" w:cs="宋体"/>
          <w:b w:val="0"/>
          <w:bCs/>
          <w:color w:val="auto"/>
          <w:kern w:val="10"/>
          <w:sz w:val="21"/>
          <w:szCs w:val="21"/>
          <w:highlight w:val="none"/>
          <w:lang w:val="en-US" w:eastAsia="zh-CN" w:bidi="ar-SA"/>
        </w:rPr>
      </w:pPr>
      <w:r>
        <w:rPr>
          <w:rFonts w:hint="eastAsia" w:ascii="宋体" w:hAnsi="宋体" w:eastAsia="宋体" w:cs="宋体"/>
          <w:b w:val="0"/>
          <w:bCs/>
          <w:color w:val="auto"/>
          <w:kern w:val="10"/>
          <w:sz w:val="21"/>
          <w:szCs w:val="21"/>
          <w:highlight w:val="none"/>
          <w:lang w:val="en-US" w:eastAsia="zh-CN" w:bidi="ar-SA"/>
        </w:rPr>
        <w:t>（2）甲方提前解除本合同的，如乙方未实际开展工作的，应退还全部已付合同价款；如乙方已实际开展工作的，甲方应据乙方实际工作量结算合同价款，乙方不得追究甲方其他违约责任。</w:t>
      </w:r>
    </w:p>
    <w:p>
      <w:pPr>
        <w:pageBreakBefore w:val="0"/>
        <w:kinsoku/>
        <w:wordWrap/>
        <w:overflowPunct/>
        <w:topLinePunct w:val="0"/>
        <w:bidi w:val="0"/>
        <w:snapToGrid/>
        <w:spacing w:line="400" w:lineRule="exact"/>
        <w:ind w:firstLine="420" w:firstLineChars="200"/>
        <w:outlineLvl w:val="9"/>
        <w:rPr>
          <w:rFonts w:hint="eastAsia" w:ascii="宋体" w:hAnsi="宋体" w:eastAsia="宋体" w:cs="宋体"/>
          <w:b w:val="0"/>
          <w:bCs/>
          <w:color w:val="auto"/>
          <w:kern w:val="10"/>
          <w:sz w:val="21"/>
          <w:szCs w:val="21"/>
          <w:highlight w:val="none"/>
          <w:lang w:val="en-US" w:eastAsia="zh-CN" w:bidi="ar-SA"/>
        </w:rPr>
      </w:pPr>
      <w:r>
        <w:rPr>
          <w:rFonts w:hint="eastAsia" w:ascii="宋体" w:hAnsi="宋体" w:eastAsia="宋体" w:cs="宋体"/>
          <w:b w:val="0"/>
          <w:bCs/>
          <w:color w:val="auto"/>
          <w:kern w:val="10"/>
          <w:sz w:val="21"/>
          <w:szCs w:val="21"/>
          <w:highlight w:val="none"/>
          <w:lang w:val="en-US" w:eastAsia="zh-CN" w:bidi="ar-SA"/>
        </w:rPr>
        <w:t>2、乙方违约责任</w:t>
      </w:r>
    </w:p>
    <w:p>
      <w:pPr>
        <w:pageBreakBefore w:val="0"/>
        <w:kinsoku/>
        <w:wordWrap/>
        <w:overflowPunct/>
        <w:topLinePunct w:val="0"/>
        <w:bidi w:val="0"/>
        <w:snapToGrid/>
        <w:spacing w:line="400" w:lineRule="exact"/>
        <w:ind w:firstLine="420" w:firstLineChars="200"/>
        <w:outlineLvl w:val="9"/>
        <w:rPr>
          <w:rFonts w:hint="eastAsia" w:ascii="宋体" w:hAnsi="宋体" w:eastAsia="宋体" w:cs="宋体"/>
          <w:b w:val="0"/>
          <w:bCs/>
          <w:color w:val="auto"/>
          <w:kern w:val="10"/>
          <w:sz w:val="21"/>
          <w:szCs w:val="21"/>
          <w:highlight w:val="none"/>
          <w:lang w:val="en-US" w:eastAsia="zh-CN" w:bidi="ar-SA"/>
        </w:rPr>
      </w:pPr>
      <w:r>
        <w:rPr>
          <w:rFonts w:hint="eastAsia" w:ascii="宋体" w:hAnsi="宋体" w:eastAsia="宋体" w:cs="宋体"/>
          <w:b w:val="0"/>
          <w:bCs/>
          <w:color w:val="auto"/>
          <w:kern w:val="10"/>
          <w:sz w:val="21"/>
          <w:szCs w:val="21"/>
          <w:highlight w:val="none"/>
          <w:lang w:val="en-US" w:eastAsia="zh-CN" w:bidi="ar-SA"/>
        </w:rPr>
        <w:t>（1）由于乙方原因造成成果质量事故损失的，或相关部门对相应成果评审不通过的，乙方应在甲方指定期限内按相关部门的意见予以整改，若乙方不配合整改的，甲方有权要求解除合同，同时乙方应向支付合同总价款</w:t>
      </w:r>
      <w:r>
        <w:rPr>
          <w:rFonts w:hint="eastAsia" w:ascii="宋体" w:hAnsi="宋体" w:cs="宋体"/>
          <w:b w:val="0"/>
          <w:bCs/>
          <w:color w:val="auto"/>
          <w:kern w:val="10"/>
          <w:sz w:val="21"/>
          <w:szCs w:val="21"/>
          <w:highlight w:val="none"/>
          <w:lang w:val="en-US" w:eastAsia="zh-CN" w:bidi="ar-SA"/>
        </w:rPr>
        <w:t>1</w:t>
      </w:r>
      <w:r>
        <w:rPr>
          <w:rFonts w:hint="eastAsia" w:ascii="宋体" w:hAnsi="宋体" w:eastAsia="宋体" w:cs="宋体"/>
          <w:b w:val="0"/>
          <w:bCs/>
          <w:color w:val="auto"/>
          <w:kern w:val="10"/>
          <w:sz w:val="21"/>
          <w:szCs w:val="21"/>
          <w:highlight w:val="none"/>
          <w:lang w:val="en-US" w:eastAsia="zh-CN" w:bidi="ar-SA"/>
        </w:rPr>
        <w:t>0%的违约金。</w:t>
      </w:r>
    </w:p>
    <w:p>
      <w:pPr>
        <w:pageBreakBefore w:val="0"/>
        <w:kinsoku/>
        <w:wordWrap/>
        <w:overflowPunct/>
        <w:topLinePunct w:val="0"/>
        <w:bidi w:val="0"/>
        <w:snapToGrid/>
        <w:spacing w:line="400" w:lineRule="exact"/>
        <w:ind w:firstLine="420" w:firstLineChars="200"/>
        <w:outlineLvl w:val="9"/>
        <w:rPr>
          <w:rFonts w:hint="eastAsia" w:ascii="宋体" w:hAnsi="宋体" w:eastAsia="宋体" w:cs="宋体"/>
          <w:b w:val="0"/>
          <w:bCs/>
          <w:color w:val="auto"/>
          <w:kern w:val="10"/>
          <w:sz w:val="21"/>
          <w:szCs w:val="21"/>
          <w:highlight w:val="none"/>
          <w:lang w:val="en-US" w:eastAsia="zh-CN" w:bidi="ar-SA"/>
        </w:rPr>
      </w:pPr>
      <w:r>
        <w:rPr>
          <w:rFonts w:hint="eastAsia" w:ascii="宋体" w:hAnsi="宋体" w:eastAsia="宋体" w:cs="宋体"/>
          <w:b w:val="0"/>
          <w:bCs/>
          <w:color w:val="auto"/>
          <w:kern w:val="10"/>
          <w:sz w:val="21"/>
          <w:szCs w:val="21"/>
          <w:highlight w:val="none"/>
          <w:lang w:val="en-US" w:eastAsia="zh-CN" w:bidi="ar-SA"/>
        </w:rPr>
        <w:t>（2）本合同履行期间，因乙方原因未能按合同约定的日期(含协商延缓的日期)提交成果的，甲方有权要求乙方向甲方支付合同价款每日1‰或人民币</w:t>
      </w:r>
      <w:r>
        <w:rPr>
          <w:rFonts w:hint="eastAsia" w:ascii="宋体" w:hAnsi="宋体" w:cs="宋体"/>
          <w:b w:val="0"/>
          <w:bCs/>
          <w:color w:val="auto"/>
          <w:kern w:val="10"/>
          <w:sz w:val="21"/>
          <w:szCs w:val="21"/>
          <w:highlight w:val="none"/>
          <w:lang w:val="en-US" w:eastAsia="zh-CN" w:bidi="ar-SA"/>
        </w:rPr>
        <w:t>1</w:t>
      </w:r>
      <w:r>
        <w:rPr>
          <w:rFonts w:hint="eastAsia" w:ascii="宋体" w:hAnsi="宋体" w:eastAsia="宋体" w:cs="宋体"/>
          <w:b w:val="0"/>
          <w:bCs/>
          <w:color w:val="auto"/>
          <w:kern w:val="10"/>
          <w:sz w:val="21"/>
          <w:szCs w:val="21"/>
          <w:highlight w:val="none"/>
          <w:lang w:val="en-US" w:eastAsia="zh-CN" w:bidi="ar-SA"/>
        </w:rPr>
        <w:t>000元（两者取大值）的逾期违约金。</w:t>
      </w:r>
    </w:p>
    <w:p>
      <w:pPr>
        <w:pageBreakBefore w:val="0"/>
        <w:kinsoku/>
        <w:wordWrap/>
        <w:overflowPunct/>
        <w:topLinePunct w:val="0"/>
        <w:bidi w:val="0"/>
        <w:snapToGrid/>
        <w:spacing w:line="400" w:lineRule="exact"/>
        <w:ind w:firstLine="420" w:firstLineChars="200"/>
        <w:outlineLvl w:val="9"/>
        <w:rPr>
          <w:rFonts w:hint="eastAsia" w:ascii="宋体" w:hAnsi="宋体" w:eastAsia="宋体" w:cs="宋体"/>
          <w:b w:val="0"/>
          <w:bCs/>
          <w:color w:val="auto"/>
          <w:kern w:val="10"/>
          <w:sz w:val="21"/>
          <w:szCs w:val="21"/>
          <w:highlight w:val="none"/>
          <w:lang w:val="en-US" w:eastAsia="zh-CN" w:bidi="ar-SA"/>
        </w:rPr>
      </w:pPr>
      <w:r>
        <w:rPr>
          <w:rFonts w:hint="eastAsia" w:ascii="宋体" w:hAnsi="宋体" w:eastAsia="宋体" w:cs="宋体"/>
          <w:b w:val="0"/>
          <w:bCs/>
          <w:color w:val="auto"/>
          <w:kern w:val="10"/>
          <w:sz w:val="21"/>
          <w:szCs w:val="21"/>
          <w:highlight w:val="none"/>
          <w:lang w:val="en-US" w:eastAsia="zh-CN" w:bidi="ar-SA"/>
        </w:rPr>
        <w:t>（3）在合同履行期间，因乙方原因造成合同终止或解除，乙方需返还甲方已付的合同款，并按本合同总价款之10%向甲方支付违约金。</w:t>
      </w:r>
    </w:p>
    <w:p>
      <w:pPr>
        <w:pageBreakBefore w:val="0"/>
        <w:kinsoku/>
        <w:wordWrap/>
        <w:overflowPunct/>
        <w:topLinePunct w:val="0"/>
        <w:bidi w:val="0"/>
        <w:snapToGrid/>
        <w:spacing w:line="400" w:lineRule="exact"/>
        <w:ind w:firstLine="420" w:firstLineChars="200"/>
        <w:outlineLvl w:val="9"/>
        <w:rPr>
          <w:rFonts w:hint="eastAsia" w:ascii="宋体" w:hAnsi="宋体" w:eastAsia="宋体" w:cs="宋体"/>
          <w:b w:val="0"/>
          <w:bCs/>
          <w:color w:val="auto"/>
          <w:kern w:val="10"/>
          <w:sz w:val="21"/>
          <w:szCs w:val="21"/>
          <w:highlight w:val="none"/>
          <w:lang w:val="en-US" w:eastAsia="zh-CN" w:bidi="ar-SA"/>
        </w:rPr>
      </w:pPr>
      <w:r>
        <w:rPr>
          <w:rFonts w:hint="eastAsia" w:ascii="宋体" w:hAnsi="宋体" w:eastAsia="宋体" w:cs="宋体"/>
          <w:b w:val="0"/>
          <w:bCs/>
          <w:color w:val="auto"/>
          <w:kern w:val="10"/>
          <w:sz w:val="21"/>
          <w:szCs w:val="21"/>
          <w:highlight w:val="none"/>
          <w:lang w:val="en-US" w:eastAsia="zh-CN" w:bidi="ar-SA"/>
        </w:rPr>
        <w:t xml:space="preserve">（4）如乙方违约的，甲方除有权要求乙方承担违约责任外，还有权要求乙方支付维权成本，包括但不限于诉讼/仲裁费、调查取证费/公证费/鉴定费、律师费、保全费、担保费、差旅费等维权费用及其他合理费用。                                  </w:t>
      </w:r>
    </w:p>
    <w:p>
      <w:pPr>
        <w:pageBreakBefore w:val="0"/>
        <w:kinsoku/>
        <w:wordWrap/>
        <w:overflowPunct/>
        <w:topLinePunct w:val="0"/>
        <w:bidi w:val="0"/>
        <w:snapToGrid/>
        <w:spacing w:line="400" w:lineRule="exact"/>
        <w:ind w:firstLine="420" w:firstLineChars="200"/>
        <w:outlineLvl w:val="9"/>
        <w:rPr>
          <w:rFonts w:hint="eastAsia" w:ascii="宋体" w:hAnsi="宋体" w:eastAsia="宋体" w:cs="宋体"/>
          <w:b w:val="0"/>
          <w:bCs/>
          <w:color w:val="auto"/>
          <w:kern w:val="10"/>
          <w:sz w:val="21"/>
          <w:szCs w:val="21"/>
          <w:highlight w:val="none"/>
          <w:lang w:val="en-US" w:eastAsia="zh-CN" w:bidi="ar-SA"/>
        </w:rPr>
      </w:pPr>
      <w:r>
        <w:rPr>
          <w:rFonts w:hint="eastAsia" w:ascii="宋体" w:hAnsi="宋体" w:eastAsia="宋体" w:cs="宋体"/>
          <w:b w:val="0"/>
          <w:bCs/>
          <w:color w:val="auto"/>
          <w:kern w:val="10"/>
          <w:sz w:val="21"/>
          <w:szCs w:val="21"/>
          <w:highlight w:val="none"/>
          <w:lang w:val="en-US" w:eastAsia="zh-CN" w:bidi="ar-SA"/>
        </w:rPr>
        <w:t>（5）因乙方原因所产生的违约金、赔偿或其他应付费用，甲方有权从乙方提供的履约担保或甲方应支付的合同价款中直接扣除。</w:t>
      </w:r>
    </w:p>
    <w:p>
      <w:pPr>
        <w:pageBreakBefore w:val="0"/>
        <w:kinsoku/>
        <w:wordWrap/>
        <w:overflowPunct/>
        <w:topLinePunct w:val="0"/>
        <w:bidi w:val="0"/>
        <w:adjustRightInd/>
        <w:snapToGrid/>
        <w:spacing w:before="0" w:after="0" w:line="360" w:lineRule="auto"/>
        <w:ind w:firstLine="420" w:firstLineChars="200"/>
        <w:outlineLvl w:val="9"/>
        <w:rPr>
          <w:rFonts w:cs="宋体"/>
          <w:color w:val="auto"/>
          <w:sz w:val="21"/>
          <w:szCs w:val="21"/>
          <w:highlight w:val="none"/>
        </w:rPr>
      </w:pPr>
      <w:r>
        <w:rPr>
          <w:rFonts w:hint="eastAsia" w:cs="宋体"/>
          <w:color w:val="auto"/>
          <w:sz w:val="21"/>
          <w:szCs w:val="21"/>
          <w:highlight w:val="none"/>
        </w:rPr>
        <w:t>第十条 不可抗力</w:t>
      </w:r>
    </w:p>
    <w:p>
      <w:pPr>
        <w:spacing w:line="360" w:lineRule="auto"/>
        <w:ind w:firstLine="420" w:firstLineChars="200"/>
        <w:outlineLvl w:val="9"/>
        <w:rPr>
          <w:rFonts w:hint="default"/>
          <w:color w:val="auto"/>
          <w:szCs w:val="21"/>
          <w:highlight w:val="none"/>
          <w:lang w:val="en-US" w:eastAsia="zh-Hans"/>
        </w:rPr>
      </w:pPr>
      <w:r>
        <w:rPr>
          <w:rFonts w:hint="eastAsia"/>
          <w:color w:val="auto"/>
          <w:szCs w:val="21"/>
          <w:highlight w:val="none"/>
          <w:lang w:val="en-US" w:eastAsia="zh-CN"/>
        </w:rPr>
        <w:t>1、</w:t>
      </w:r>
      <w:r>
        <w:rPr>
          <w:rFonts w:hint="default"/>
          <w:color w:val="auto"/>
          <w:szCs w:val="21"/>
          <w:highlight w:val="none"/>
          <w:lang w:val="en-US" w:eastAsia="zh-Hans"/>
        </w:rPr>
        <w:t>不可抗力的确认</w:t>
      </w:r>
      <w:r>
        <w:rPr>
          <w:rFonts w:hint="eastAsia"/>
          <w:color w:val="auto"/>
          <w:szCs w:val="21"/>
          <w:highlight w:val="none"/>
          <w:lang w:val="en-US" w:eastAsia="zh-CN"/>
        </w:rPr>
        <w:t>：</w:t>
      </w:r>
      <w:r>
        <w:rPr>
          <w:rFonts w:hint="default"/>
          <w:color w:val="auto"/>
          <w:szCs w:val="21"/>
          <w:highlight w:val="none"/>
          <w:lang w:val="en-US" w:eastAsia="zh-Hans"/>
        </w:rPr>
        <w:t>不可抗力是指甲乙双方在订立合同时不可预见，在履行合同过程中不可避免发生并不能克服的自然灾害、政策的调整和社会性突发事件，如地震、海啸、瘟疫、水灾、骚乱、暴动、战争等。</w:t>
      </w:r>
    </w:p>
    <w:p>
      <w:pPr>
        <w:spacing w:line="360" w:lineRule="auto"/>
        <w:ind w:firstLine="420" w:firstLineChars="200"/>
        <w:outlineLvl w:val="9"/>
        <w:rPr>
          <w:rFonts w:hint="default"/>
          <w:color w:val="auto"/>
          <w:szCs w:val="21"/>
          <w:highlight w:val="none"/>
          <w:lang w:val="en-US" w:eastAsia="zh-Hans"/>
        </w:rPr>
      </w:pPr>
      <w:r>
        <w:rPr>
          <w:rFonts w:hint="eastAsia"/>
          <w:color w:val="auto"/>
          <w:szCs w:val="21"/>
          <w:highlight w:val="none"/>
          <w:lang w:val="en-US" w:eastAsia="zh-CN"/>
        </w:rPr>
        <w:t>2、</w:t>
      </w:r>
      <w:r>
        <w:rPr>
          <w:rFonts w:hint="default"/>
          <w:color w:val="auto"/>
          <w:szCs w:val="21"/>
          <w:highlight w:val="none"/>
          <w:lang w:val="en-US" w:eastAsia="zh-Hans"/>
        </w:rPr>
        <w:t>不可抗力的通知</w:t>
      </w:r>
      <w:r>
        <w:rPr>
          <w:rFonts w:hint="eastAsia"/>
          <w:color w:val="auto"/>
          <w:szCs w:val="21"/>
          <w:highlight w:val="none"/>
          <w:lang w:val="en-US" w:eastAsia="zh-CN"/>
        </w:rPr>
        <w:t>：</w:t>
      </w:r>
      <w:r>
        <w:rPr>
          <w:rFonts w:hint="default"/>
          <w:color w:val="auto"/>
          <w:szCs w:val="21"/>
          <w:highlight w:val="none"/>
          <w:lang w:val="en-US" w:eastAsia="zh-Hans"/>
        </w:rPr>
        <w:t>合同一方当事人遇到不可抗力事件，使其履行合同义务受到阻碍时，应立即通知合同另一方当事人，书面说明不可抗力和受阻碍的详细情况，并提供必要的证明。</w:t>
      </w:r>
    </w:p>
    <w:p>
      <w:pPr>
        <w:spacing w:line="360" w:lineRule="auto"/>
        <w:ind w:firstLine="420" w:firstLineChars="200"/>
        <w:outlineLvl w:val="9"/>
        <w:rPr>
          <w:rFonts w:hint="eastAsia" w:eastAsia="宋体"/>
          <w:color w:val="auto"/>
          <w:szCs w:val="21"/>
          <w:highlight w:val="none"/>
          <w:lang w:val="en-US" w:eastAsia="zh-CN"/>
        </w:rPr>
      </w:pPr>
      <w:r>
        <w:rPr>
          <w:rFonts w:hint="eastAsia"/>
          <w:b w:val="0"/>
          <w:bCs w:val="0"/>
          <w:color w:val="auto"/>
          <w:sz w:val="21"/>
          <w:szCs w:val="21"/>
          <w:highlight w:val="none"/>
          <w:lang w:val="en-US" w:eastAsia="zh-CN"/>
        </w:rPr>
        <w:t>3、</w:t>
      </w:r>
      <w:r>
        <w:rPr>
          <w:rFonts w:hint="default"/>
          <w:color w:val="auto"/>
          <w:szCs w:val="21"/>
          <w:highlight w:val="none"/>
          <w:lang w:val="en-US" w:eastAsia="zh-Hans"/>
        </w:rPr>
        <w:t>不可抗力后果及其处理</w:t>
      </w:r>
      <w:r>
        <w:rPr>
          <w:rFonts w:hint="eastAsia"/>
          <w:color w:val="auto"/>
          <w:szCs w:val="21"/>
          <w:highlight w:val="none"/>
          <w:lang w:val="en-US" w:eastAsia="zh-CN"/>
        </w:rPr>
        <w:t>：</w:t>
      </w:r>
    </w:p>
    <w:p>
      <w:pPr>
        <w:spacing w:line="360" w:lineRule="auto"/>
        <w:ind w:firstLine="420" w:firstLineChars="200"/>
        <w:outlineLvl w:val="9"/>
        <w:rPr>
          <w:rFonts w:hint="default"/>
          <w:color w:val="auto"/>
          <w:szCs w:val="21"/>
          <w:highlight w:val="none"/>
          <w:lang w:val="en-US" w:eastAsia="zh-Hans"/>
        </w:rPr>
      </w:pPr>
      <w:r>
        <w:rPr>
          <w:rFonts w:hint="default"/>
          <w:color w:val="auto"/>
          <w:szCs w:val="21"/>
          <w:highlight w:val="none"/>
          <w:lang w:val="en-US" w:eastAsia="zh-Hans"/>
        </w:rPr>
        <w:t>（1）合同一方延迟履行，在延迟履行期间发生不可抗力的，不免除其责任。</w:t>
      </w:r>
    </w:p>
    <w:p>
      <w:pPr>
        <w:spacing w:line="360" w:lineRule="auto"/>
        <w:ind w:firstLine="420" w:firstLineChars="200"/>
        <w:outlineLvl w:val="9"/>
        <w:rPr>
          <w:rFonts w:hint="default"/>
          <w:color w:val="auto"/>
          <w:szCs w:val="21"/>
          <w:highlight w:val="none"/>
          <w:lang w:val="en-US" w:eastAsia="zh-Hans"/>
        </w:rPr>
      </w:pPr>
      <w:r>
        <w:rPr>
          <w:rFonts w:hint="default"/>
          <w:color w:val="auto"/>
          <w:szCs w:val="21"/>
          <w:highlight w:val="none"/>
          <w:lang w:val="en-US" w:eastAsia="zh-Hans"/>
        </w:rPr>
        <w:t>（2）不可抗力发生后，合同双方均应采取措施尽量避免和减少损失的扩大，任何一方没有采取有效措施导致损失扩大的，应对扩大的损失承担责任。</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default"/>
          <w:color w:val="auto"/>
          <w:szCs w:val="21"/>
          <w:highlight w:val="none"/>
          <w:lang w:val="en-US" w:eastAsia="zh-Hans"/>
        </w:rPr>
        <w:t>（3）合同一方因不可抗力不能履行合同的，应当及时通知对方解除合同。双方根据乙方实际完成工作量据实结算合同费用。</w:t>
      </w:r>
    </w:p>
    <w:p>
      <w:pPr>
        <w:pageBreakBefore w:val="0"/>
        <w:kinsoku/>
        <w:wordWrap/>
        <w:overflowPunct/>
        <w:topLinePunct w:val="0"/>
        <w:bidi w:val="0"/>
        <w:adjustRightInd/>
        <w:snapToGrid/>
        <w:spacing w:before="0" w:after="0" w:line="360" w:lineRule="auto"/>
        <w:ind w:firstLine="420" w:firstLineChars="200"/>
        <w:outlineLvl w:val="9"/>
        <w:rPr>
          <w:rFonts w:cs="宋体"/>
          <w:color w:val="auto"/>
          <w:sz w:val="21"/>
          <w:szCs w:val="21"/>
          <w:highlight w:val="none"/>
        </w:rPr>
      </w:pPr>
      <w:r>
        <w:rPr>
          <w:rFonts w:hint="eastAsia" w:cs="宋体"/>
          <w:color w:val="auto"/>
          <w:sz w:val="21"/>
          <w:szCs w:val="21"/>
          <w:highlight w:val="none"/>
        </w:rPr>
        <w:t>第十</w:t>
      </w:r>
      <w:r>
        <w:rPr>
          <w:rFonts w:hint="eastAsia" w:cs="宋体"/>
          <w:color w:val="auto"/>
          <w:sz w:val="21"/>
          <w:szCs w:val="21"/>
          <w:highlight w:val="none"/>
          <w:lang w:val="en-US" w:eastAsia="zh-CN"/>
        </w:rPr>
        <w:t>一</w:t>
      </w:r>
      <w:r>
        <w:rPr>
          <w:rFonts w:hint="eastAsia" w:cs="宋体"/>
          <w:color w:val="auto"/>
          <w:sz w:val="21"/>
          <w:szCs w:val="21"/>
          <w:highlight w:val="none"/>
        </w:rPr>
        <w:t>条 争议解决方式</w:t>
      </w:r>
    </w:p>
    <w:p>
      <w:pPr>
        <w:spacing w:line="360" w:lineRule="auto"/>
        <w:ind w:firstLine="420" w:firstLineChars="200"/>
        <w:outlineLvl w:val="9"/>
        <w:rPr>
          <w:rFonts w:hint="eastAsia" w:hAnsi="宋体" w:cs="宋体"/>
          <w:color w:val="auto"/>
          <w:sz w:val="21"/>
          <w:highlight w:val="none"/>
        </w:rPr>
      </w:pPr>
      <w:r>
        <w:rPr>
          <w:rFonts w:hint="eastAsia" w:hAnsi="宋体" w:cs="宋体"/>
          <w:color w:val="auto"/>
          <w:sz w:val="21"/>
          <w:highlight w:val="none"/>
        </w:rPr>
        <w:t>甲乙</w:t>
      </w:r>
      <w:r>
        <w:rPr>
          <w:rFonts w:hint="eastAsia" w:hAnsi="宋体" w:cs="宋体"/>
          <w:color w:val="auto"/>
          <w:sz w:val="21"/>
          <w:highlight w:val="none"/>
          <w:lang w:val="en-US" w:eastAsia="zh-CN"/>
        </w:rPr>
        <w:t>双</w:t>
      </w:r>
      <w:r>
        <w:rPr>
          <w:rFonts w:hint="eastAsia" w:hAnsi="宋体" w:cs="宋体"/>
          <w:color w:val="auto"/>
          <w:sz w:val="21"/>
          <w:highlight w:val="none"/>
        </w:rPr>
        <w:t>方在履行本协议过程中发生争议，由</w:t>
      </w:r>
      <w:r>
        <w:rPr>
          <w:rFonts w:hint="eastAsia" w:hAnsi="宋体" w:cs="宋体"/>
          <w:color w:val="auto"/>
          <w:sz w:val="21"/>
          <w:highlight w:val="none"/>
          <w:lang w:val="en-US" w:eastAsia="zh-CN"/>
        </w:rPr>
        <w:t>双</w:t>
      </w:r>
      <w:r>
        <w:rPr>
          <w:rFonts w:hint="eastAsia" w:hAnsi="宋体" w:cs="宋体"/>
          <w:color w:val="auto"/>
          <w:sz w:val="21"/>
          <w:highlight w:val="none"/>
        </w:rPr>
        <w:t>方当事人协商解决或</w:t>
      </w:r>
      <w:r>
        <w:rPr>
          <w:rFonts w:hint="eastAsia" w:hAnsi="宋体" w:cs="宋体"/>
          <w:color w:val="auto"/>
          <w:sz w:val="21"/>
          <w:highlight w:val="none"/>
          <w:lang w:val="en-US" w:eastAsia="zh-CN"/>
        </w:rPr>
        <w:t>双</w:t>
      </w:r>
      <w:r>
        <w:rPr>
          <w:rFonts w:hint="eastAsia" w:hAnsi="宋体" w:cs="宋体"/>
          <w:color w:val="auto"/>
          <w:sz w:val="21"/>
          <w:highlight w:val="none"/>
        </w:rPr>
        <w:t>方主管部门调解，协商或调解不成的，</w:t>
      </w:r>
      <w:r>
        <w:rPr>
          <w:rFonts w:hint="eastAsia" w:hAnsi="宋体" w:cs="宋体"/>
          <w:color w:val="auto"/>
          <w:sz w:val="21"/>
          <w:highlight w:val="none"/>
          <w:lang w:val="en-US" w:eastAsia="zh-CN"/>
        </w:rPr>
        <w:t>任意一方有权向甲方所在地有管辖权的人民法院起诉解决</w:t>
      </w:r>
      <w:r>
        <w:rPr>
          <w:rFonts w:hint="eastAsia" w:hAnsi="宋体" w:cs="宋体"/>
          <w:color w:val="auto"/>
          <w:sz w:val="21"/>
          <w:highlight w:val="none"/>
        </w:rPr>
        <w:t>。</w:t>
      </w:r>
    </w:p>
    <w:p>
      <w:pPr>
        <w:pageBreakBefore w:val="0"/>
        <w:kinsoku/>
        <w:wordWrap/>
        <w:overflowPunct/>
        <w:topLinePunct w:val="0"/>
        <w:bidi w:val="0"/>
        <w:adjustRightInd/>
        <w:snapToGrid/>
        <w:spacing w:before="0" w:after="0" w:line="360" w:lineRule="auto"/>
        <w:ind w:firstLine="420" w:firstLineChars="200"/>
        <w:outlineLvl w:val="9"/>
        <w:rPr>
          <w:rFonts w:hint="default" w:cs="宋体"/>
          <w:color w:val="auto"/>
          <w:sz w:val="21"/>
          <w:szCs w:val="21"/>
          <w:highlight w:val="none"/>
          <w:lang w:val="en-US" w:eastAsia="zh-CN"/>
        </w:rPr>
      </w:pPr>
      <w:r>
        <w:rPr>
          <w:rFonts w:hint="eastAsia" w:cs="宋体"/>
          <w:color w:val="auto"/>
          <w:sz w:val="21"/>
          <w:szCs w:val="21"/>
          <w:highlight w:val="none"/>
        </w:rPr>
        <w:t>第十</w:t>
      </w:r>
      <w:r>
        <w:rPr>
          <w:rFonts w:hint="eastAsia" w:cs="宋体"/>
          <w:color w:val="auto"/>
          <w:sz w:val="21"/>
          <w:szCs w:val="21"/>
          <w:highlight w:val="none"/>
          <w:lang w:val="en-US" w:eastAsia="zh-CN"/>
        </w:rPr>
        <w:t>二</w:t>
      </w:r>
      <w:r>
        <w:rPr>
          <w:rFonts w:hint="eastAsia" w:cs="宋体"/>
          <w:color w:val="auto"/>
          <w:sz w:val="21"/>
          <w:szCs w:val="21"/>
          <w:highlight w:val="none"/>
        </w:rPr>
        <w:t>条：</w:t>
      </w:r>
      <w:r>
        <w:rPr>
          <w:rFonts w:hint="eastAsia" w:cs="宋体"/>
          <w:color w:val="auto"/>
          <w:sz w:val="21"/>
          <w:szCs w:val="21"/>
          <w:highlight w:val="none"/>
          <w:lang w:val="en-US" w:eastAsia="zh-CN"/>
        </w:rPr>
        <w:t>通知</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双方各自指定履行本合同的联系人，一方资料、文件之交接及意见之传达、接收均通过联系人进行。</w:t>
      </w:r>
    </w:p>
    <w:p>
      <w:pPr>
        <w:spacing w:line="360" w:lineRule="auto"/>
        <w:ind w:firstLine="420" w:firstLineChars="200"/>
        <w:outlineLvl w:val="9"/>
        <w:rPr>
          <w:rFonts w:hint="eastAsia"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甲方指定联系人：                                                          </w:t>
      </w:r>
      <w:r>
        <w:rPr>
          <w:rFonts w:hint="eastAsia" w:cs="Times New Roman"/>
          <w:color w:val="auto"/>
          <w:szCs w:val="21"/>
          <w:highlight w:val="none"/>
          <w:lang w:val="en-US" w:eastAsia="zh-CN"/>
        </w:rPr>
        <w:t xml:space="preserve"> </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姓    名：_____________________________________________________</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联系电话：_____________________________________________________</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电子邮箱：_____________________________________________________</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通讯地址：____________________________________________________ </w:t>
      </w:r>
    </w:p>
    <w:p>
      <w:pPr>
        <w:spacing w:line="360" w:lineRule="auto"/>
        <w:outlineLvl w:val="9"/>
        <w:rPr>
          <w:rFonts w:hint="default" w:ascii="Times New Roman" w:hAnsi="Times New Roman" w:eastAsia="宋体" w:cs="Times New Roman"/>
          <w:color w:val="auto"/>
          <w:szCs w:val="21"/>
          <w:highlight w:val="none"/>
          <w:u w:val="single"/>
          <w:lang w:val="en-US" w:eastAsia="zh-CN"/>
        </w:rPr>
      </w:pPr>
      <w:r>
        <w:rPr>
          <w:rFonts w:hint="eastAsia" w:cs="Times New Roman"/>
          <w:color w:val="auto"/>
          <w:szCs w:val="21"/>
          <w:highlight w:val="none"/>
          <w:lang w:val="en-US" w:eastAsia="zh-CN"/>
        </w:rPr>
        <w:t xml:space="preserve">    甲方单位咨询电话：</w:t>
      </w:r>
      <w:r>
        <w:rPr>
          <w:rFonts w:hint="eastAsia" w:cs="Times New Roman"/>
          <w:color w:val="auto"/>
          <w:szCs w:val="21"/>
          <w:highlight w:val="none"/>
          <w:u w:val="single"/>
          <w:lang w:val="en-US" w:eastAsia="zh-CN"/>
        </w:rPr>
        <w:t xml:space="preserve">0769-23366373                                </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乙方指定联系人：                                                          </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姓    名：_____________________________________________________</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联系电话：_____________________________________________________</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电子邮箱：_____________________________________________________</w:t>
      </w:r>
    </w:p>
    <w:p>
      <w:pPr>
        <w:spacing w:line="360" w:lineRule="auto"/>
        <w:ind w:firstLine="420" w:firstLineChars="200"/>
        <w:outlineLvl w:val="9"/>
        <w:rPr>
          <w:rFonts w:hAnsi="宋体" w:cs="宋体"/>
          <w:color w:val="auto"/>
          <w:sz w:val="21"/>
          <w:highlight w:val="none"/>
        </w:rPr>
      </w:pPr>
      <w:r>
        <w:rPr>
          <w:rFonts w:hint="eastAsia" w:ascii="Times New Roman" w:hAnsi="Times New Roman" w:eastAsia="宋体" w:cs="Times New Roman"/>
          <w:color w:val="auto"/>
          <w:szCs w:val="21"/>
          <w:highlight w:val="none"/>
          <w:lang w:val="en-US" w:eastAsia="zh-CN"/>
        </w:rPr>
        <w:t>通讯地址：_____________________________________________________</w:t>
      </w:r>
    </w:p>
    <w:p>
      <w:pPr>
        <w:pageBreakBefore w:val="0"/>
        <w:kinsoku/>
        <w:wordWrap/>
        <w:overflowPunct/>
        <w:topLinePunct w:val="0"/>
        <w:bidi w:val="0"/>
        <w:adjustRightInd/>
        <w:snapToGrid/>
        <w:spacing w:before="0" w:after="0" w:line="360" w:lineRule="auto"/>
        <w:ind w:firstLine="420" w:firstLineChars="200"/>
        <w:outlineLvl w:val="9"/>
        <w:rPr>
          <w:rFonts w:hint="eastAsia" w:eastAsia="宋体" w:cs="宋体"/>
          <w:color w:val="auto"/>
          <w:sz w:val="21"/>
          <w:szCs w:val="21"/>
          <w:highlight w:val="none"/>
          <w:lang w:val="en-US" w:eastAsia="zh-CN"/>
        </w:rPr>
      </w:pPr>
      <w:r>
        <w:rPr>
          <w:rFonts w:hint="eastAsia" w:cs="宋体"/>
          <w:color w:val="auto"/>
          <w:sz w:val="21"/>
          <w:szCs w:val="21"/>
          <w:highlight w:val="none"/>
        </w:rPr>
        <w:t>第十</w:t>
      </w:r>
      <w:r>
        <w:rPr>
          <w:rFonts w:hint="eastAsia" w:cs="宋体"/>
          <w:color w:val="auto"/>
          <w:sz w:val="21"/>
          <w:szCs w:val="21"/>
          <w:highlight w:val="none"/>
          <w:lang w:val="en-US" w:eastAsia="zh-CN"/>
        </w:rPr>
        <w:t>三</w:t>
      </w:r>
      <w:r>
        <w:rPr>
          <w:rFonts w:hint="eastAsia" w:cs="宋体"/>
          <w:color w:val="auto"/>
          <w:sz w:val="21"/>
          <w:szCs w:val="21"/>
          <w:highlight w:val="none"/>
        </w:rPr>
        <w:t xml:space="preserve">条 </w:t>
      </w:r>
      <w:r>
        <w:rPr>
          <w:rFonts w:hint="eastAsia" w:cs="宋体"/>
          <w:color w:val="auto"/>
          <w:sz w:val="21"/>
          <w:szCs w:val="21"/>
          <w:highlight w:val="none"/>
          <w:lang w:val="en-US" w:eastAsia="zh-CN"/>
        </w:rPr>
        <w:t>其他</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本合同正文与下列附件共同构成本合同双方协商达成一致的全部内容：</w:t>
      </w:r>
    </w:p>
    <w:p>
      <w:pPr>
        <w:spacing w:line="360" w:lineRule="auto"/>
        <w:ind w:firstLine="420" w:firstLineChars="200"/>
        <w:outlineLvl w:val="9"/>
        <w:rPr>
          <w:rFonts w:cs="宋体"/>
          <w:bCs/>
          <w:color w:val="auto"/>
          <w:szCs w:val="21"/>
          <w:highlight w:val="none"/>
        </w:rPr>
      </w:pPr>
      <w:r>
        <w:rPr>
          <w:rFonts w:hint="eastAsia" w:ascii="Times New Roman" w:hAnsi="Times New Roman" w:eastAsia="宋体" w:cs="Times New Roman"/>
          <w:color w:val="auto"/>
          <w:szCs w:val="21"/>
          <w:highlight w:val="none"/>
          <w:lang w:val="en-US" w:eastAsia="zh-CN"/>
        </w:rPr>
        <w:t>附件1：</w:t>
      </w:r>
      <w:r>
        <w:rPr>
          <w:rFonts w:hint="eastAsia" w:hAnsi="宋体" w:cs="宋体"/>
          <w:color w:val="auto"/>
          <w:szCs w:val="21"/>
          <w:highlight w:val="none"/>
          <w:lang w:val="en-US" w:eastAsia="zh-CN"/>
        </w:rPr>
        <w:t>项目范围示意图</w:t>
      </w:r>
    </w:p>
    <w:p>
      <w:pPr>
        <w:spacing w:line="360" w:lineRule="auto"/>
        <w:ind w:left="0" w:leftChars="0" w:firstLine="420" w:firstLineChars="200"/>
        <w:outlineLvl w:val="9"/>
        <w:rPr>
          <w:rFonts w:hint="eastAsia" w:hAnsi="宋体" w:cs="宋体"/>
          <w:color w:val="auto"/>
          <w:szCs w:val="21"/>
          <w:highlight w:val="none"/>
          <w:lang w:val="en-US" w:eastAsia="zh-CN"/>
        </w:rPr>
      </w:pPr>
      <w:r>
        <w:rPr>
          <w:rFonts w:hint="eastAsia" w:ascii="Tahoma" w:hAnsi="宋体" w:eastAsia="宋体" w:cs="宋体"/>
          <w:color w:val="auto"/>
          <w:szCs w:val="21"/>
          <w:highlight w:val="none"/>
          <w:lang w:val="en-US" w:eastAsia="zh-CN"/>
        </w:rPr>
        <w:t>附件2：</w:t>
      </w:r>
      <w:r>
        <w:rPr>
          <w:rFonts w:hint="eastAsia" w:hAnsi="宋体" w:cs="宋体"/>
          <w:color w:val="auto"/>
          <w:szCs w:val="21"/>
          <w:highlight w:val="none"/>
          <w:lang w:val="en-US" w:eastAsia="zh-CN"/>
        </w:rPr>
        <w:t>阳光合作协议</w:t>
      </w:r>
    </w:p>
    <w:p>
      <w:pPr>
        <w:spacing w:line="360" w:lineRule="auto"/>
        <w:ind w:firstLine="420" w:firstLineChars="200"/>
        <w:outlineLvl w:val="9"/>
        <w:rPr>
          <w:rFonts w:hint="eastAsia" w:hAnsi="宋体" w:cs="宋体"/>
          <w:color w:val="auto"/>
          <w:szCs w:val="21"/>
          <w:highlight w:val="none"/>
        </w:rPr>
      </w:pPr>
      <w:r>
        <w:rPr>
          <w:rFonts w:hint="eastAsia" w:hAnsi="宋体" w:cs="宋体"/>
          <w:color w:val="auto"/>
          <w:szCs w:val="21"/>
          <w:highlight w:val="none"/>
        </w:rPr>
        <w:t>附件3：中标通知书</w:t>
      </w:r>
    </w:p>
    <w:p>
      <w:pPr>
        <w:spacing w:line="360" w:lineRule="auto"/>
        <w:ind w:firstLine="420" w:firstLineChars="200"/>
        <w:outlineLvl w:val="9"/>
        <w:rPr>
          <w:rFonts w:hint="eastAsia" w:hAnsi="宋体" w:cs="宋体"/>
          <w:color w:val="auto"/>
          <w:szCs w:val="21"/>
          <w:highlight w:val="none"/>
        </w:rPr>
      </w:pPr>
      <w:r>
        <w:rPr>
          <w:rFonts w:hint="eastAsia" w:hAnsi="宋体" w:cs="宋体"/>
          <w:color w:val="auto"/>
          <w:szCs w:val="21"/>
          <w:highlight w:val="none"/>
        </w:rPr>
        <w:t>附件4：履约担保凭证</w:t>
      </w:r>
    </w:p>
    <w:p>
      <w:pPr>
        <w:spacing w:line="360" w:lineRule="auto"/>
        <w:ind w:firstLine="420" w:firstLineChars="200"/>
        <w:outlineLvl w:val="9"/>
        <w:rPr>
          <w:rFonts w:hint="eastAsia" w:hAnsi="宋体" w:cs="宋体"/>
          <w:color w:val="auto"/>
          <w:szCs w:val="21"/>
          <w:highlight w:val="none"/>
        </w:rPr>
      </w:pPr>
      <w:r>
        <w:rPr>
          <w:rFonts w:hint="eastAsia" w:hAnsi="宋体" w:cs="宋体"/>
          <w:color w:val="auto"/>
          <w:szCs w:val="21"/>
          <w:highlight w:val="none"/>
        </w:rPr>
        <w:t>附件5：采购文件</w:t>
      </w:r>
    </w:p>
    <w:p>
      <w:pPr>
        <w:spacing w:line="360" w:lineRule="auto"/>
        <w:ind w:firstLine="420" w:firstLineChars="200"/>
        <w:outlineLvl w:val="9"/>
        <w:rPr>
          <w:rFonts w:hint="eastAsia" w:hAnsi="宋体" w:cs="宋体"/>
          <w:color w:val="auto"/>
          <w:szCs w:val="21"/>
          <w:highlight w:val="none"/>
        </w:rPr>
      </w:pPr>
      <w:r>
        <w:rPr>
          <w:rFonts w:hint="eastAsia" w:hAnsi="宋体" w:cs="宋体"/>
          <w:color w:val="auto"/>
          <w:szCs w:val="21"/>
          <w:highlight w:val="none"/>
        </w:rPr>
        <w:t>附件6：响应文件</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w:t>
      </w:r>
      <w:r>
        <w:rPr>
          <w:rFonts w:hint="eastAsia" w:ascii="Times New Roman" w:hAnsi="Times New Roman" w:eastAsia="宋体" w:cs="Times New Roman"/>
          <w:color w:val="auto"/>
          <w:szCs w:val="21"/>
          <w:highlight w:val="none"/>
          <w:lang w:val="en-US" w:eastAsia="zh-CN"/>
        </w:rPr>
        <w:t>本合同未尽事宜，经双方平等友好协商一致，可签订补充协议。</w:t>
      </w:r>
    </w:p>
    <w:p>
      <w:pPr>
        <w:spacing w:line="360" w:lineRule="auto"/>
        <w:ind w:firstLine="420" w:firstLineChars="200"/>
        <w:outlineLvl w:val="9"/>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w:t>
      </w:r>
      <w:r>
        <w:rPr>
          <w:rFonts w:hint="eastAsia" w:ascii="Times New Roman" w:hAnsi="Times New Roman" w:eastAsia="宋体" w:cs="Times New Roman"/>
          <w:color w:val="auto"/>
          <w:szCs w:val="21"/>
          <w:highlight w:val="none"/>
          <w:lang w:val="en-US" w:eastAsia="zh-CN"/>
        </w:rPr>
        <w:t>本合同自双方有权代表签字、单位盖章后生效。</w:t>
      </w:r>
    </w:p>
    <w:p>
      <w:pPr>
        <w:spacing w:line="360" w:lineRule="auto"/>
        <w:ind w:firstLine="420" w:firstLineChars="200"/>
        <w:outlineLvl w:val="9"/>
        <w:rPr>
          <w:rFonts w:cs="宋体"/>
          <w:bCs/>
          <w:color w:val="auto"/>
          <w:szCs w:val="21"/>
          <w:highlight w:val="none"/>
        </w:rPr>
      </w:pPr>
      <w:r>
        <w:rPr>
          <w:rFonts w:hint="eastAsia" w:cs="Times New Roman"/>
          <w:color w:val="auto"/>
          <w:szCs w:val="21"/>
          <w:highlight w:val="none"/>
          <w:lang w:val="en-US" w:eastAsia="zh-CN"/>
        </w:rPr>
        <w:t>4、</w:t>
      </w:r>
      <w:r>
        <w:rPr>
          <w:rFonts w:hint="eastAsia" w:ascii="Times New Roman" w:hAnsi="Times New Roman" w:eastAsia="宋体" w:cs="Times New Roman"/>
          <w:color w:val="auto"/>
          <w:szCs w:val="21"/>
          <w:highlight w:val="none"/>
          <w:lang w:val="en-US" w:eastAsia="zh-CN"/>
        </w:rPr>
        <w:t>合同一式【</w:t>
      </w:r>
      <w:r>
        <w:rPr>
          <w:rFonts w:hint="eastAsia" w:cs="Times New Roman"/>
          <w:color w:val="auto"/>
          <w:szCs w:val="21"/>
          <w:highlight w:val="none"/>
          <w:lang w:val="en-US" w:eastAsia="zh-CN"/>
        </w:rPr>
        <w:t>伍</w:t>
      </w:r>
      <w:r>
        <w:rPr>
          <w:rFonts w:hint="eastAsia" w:ascii="Times New Roman" w:hAnsi="Times New Roman" w:eastAsia="宋体" w:cs="Times New Roman"/>
          <w:color w:val="auto"/>
          <w:szCs w:val="21"/>
          <w:highlight w:val="none"/>
          <w:lang w:val="en-US" w:eastAsia="zh-CN"/>
        </w:rPr>
        <w:t>】份，甲方执【</w:t>
      </w:r>
      <w:r>
        <w:rPr>
          <w:rFonts w:hint="eastAsia" w:cs="Times New Roman"/>
          <w:color w:val="auto"/>
          <w:szCs w:val="21"/>
          <w:highlight w:val="none"/>
          <w:lang w:val="en-US" w:eastAsia="zh-CN"/>
        </w:rPr>
        <w:t>叁</w:t>
      </w:r>
      <w:r>
        <w:rPr>
          <w:rFonts w:hint="eastAsia" w:ascii="Times New Roman" w:hAnsi="Times New Roman" w:eastAsia="宋体" w:cs="Times New Roman"/>
          <w:color w:val="auto"/>
          <w:szCs w:val="21"/>
          <w:highlight w:val="none"/>
          <w:lang w:val="en-US" w:eastAsia="zh-CN"/>
        </w:rPr>
        <w:t>】份，乙方执【</w:t>
      </w:r>
      <w:r>
        <w:rPr>
          <w:rFonts w:hint="eastAsia" w:cs="Times New Roman"/>
          <w:color w:val="auto"/>
          <w:szCs w:val="21"/>
          <w:highlight w:val="none"/>
          <w:lang w:val="en-US" w:eastAsia="zh-CN"/>
        </w:rPr>
        <w:t>贰</w:t>
      </w:r>
      <w:r>
        <w:rPr>
          <w:rFonts w:hint="eastAsia" w:ascii="Times New Roman" w:hAnsi="Times New Roman" w:eastAsia="宋体" w:cs="Times New Roman"/>
          <w:color w:val="auto"/>
          <w:szCs w:val="21"/>
          <w:highlight w:val="none"/>
          <w:lang w:val="en-US" w:eastAsia="zh-CN"/>
        </w:rPr>
        <w:t>】份，各份具有同等法律效力。</w:t>
      </w:r>
    </w:p>
    <w:p>
      <w:pPr>
        <w:spacing w:line="360" w:lineRule="auto"/>
        <w:ind w:firstLine="420" w:firstLineChars="200"/>
        <w:outlineLvl w:val="9"/>
        <w:rPr>
          <w:rFonts w:hint="eastAsia" w:cs="宋体"/>
          <w:bCs/>
          <w:color w:val="auto"/>
          <w:szCs w:val="21"/>
          <w:highlight w:val="none"/>
        </w:rPr>
      </w:pPr>
    </w:p>
    <w:p>
      <w:pPr>
        <w:spacing w:line="360" w:lineRule="auto"/>
        <w:ind w:firstLine="420" w:firstLineChars="200"/>
        <w:outlineLvl w:val="9"/>
        <w:rPr>
          <w:color w:val="auto"/>
          <w:highlight w:val="none"/>
        </w:rPr>
      </w:pPr>
      <w:r>
        <w:rPr>
          <w:rFonts w:hint="eastAsia" w:cs="宋体"/>
          <w:bCs/>
          <w:color w:val="auto"/>
          <w:szCs w:val="21"/>
          <w:highlight w:val="none"/>
        </w:rPr>
        <w:t>（以下无正文）</w:t>
      </w:r>
    </w:p>
    <w:p>
      <w:pPr>
        <w:spacing w:before="166" w:beforeLines="50" w:after="166" w:afterLines="50"/>
        <w:ind w:firstLine="420" w:firstLineChars="200"/>
        <w:contextualSpacing/>
        <w:outlineLvl w:val="9"/>
        <w:rPr>
          <w:rFonts w:hint="eastAsia"/>
          <w:color w:val="auto"/>
          <w:highlight w:val="none"/>
        </w:rPr>
      </w:pPr>
    </w:p>
    <w:p>
      <w:pPr>
        <w:spacing w:before="166" w:beforeLines="50" w:after="166" w:afterLines="50"/>
        <w:ind w:firstLine="420" w:firstLineChars="200"/>
        <w:contextualSpacing/>
        <w:outlineLvl w:val="9"/>
        <w:rPr>
          <w:color w:val="auto"/>
          <w:highlight w:val="none"/>
        </w:rPr>
      </w:pPr>
      <w:r>
        <w:rPr>
          <w:rFonts w:hint="eastAsia"/>
          <w:color w:val="auto"/>
          <w:highlight w:val="none"/>
        </w:rPr>
        <w:t xml:space="preserve">甲方（盖章）：                   </w:t>
      </w:r>
      <w:r>
        <w:rPr>
          <w:color w:val="auto"/>
          <w:highlight w:val="none"/>
        </w:rPr>
        <w:t xml:space="preserve">    </w:t>
      </w:r>
    </w:p>
    <w:p>
      <w:pPr>
        <w:spacing w:before="166" w:beforeLines="50" w:after="166" w:afterLines="50"/>
        <w:ind w:firstLine="420" w:firstLineChars="200"/>
        <w:contextualSpacing/>
        <w:outlineLvl w:val="9"/>
        <w:rPr>
          <w:color w:val="auto"/>
          <w:highlight w:val="none"/>
        </w:rPr>
      </w:pPr>
    </w:p>
    <w:p>
      <w:pPr>
        <w:spacing w:before="166" w:beforeLines="50" w:after="166" w:afterLines="50"/>
        <w:ind w:firstLine="420" w:firstLineChars="200"/>
        <w:contextualSpacing/>
        <w:outlineLvl w:val="9"/>
        <w:rPr>
          <w:color w:val="auto"/>
          <w:highlight w:val="none"/>
        </w:rPr>
      </w:pPr>
      <w:r>
        <w:rPr>
          <w:rFonts w:hint="eastAsia"/>
          <w:color w:val="auto"/>
          <w:highlight w:val="none"/>
        </w:rPr>
        <w:t>法定代表人（授权代表）：</w:t>
      </w:r>
      <w:r>
        <w:rPr>
          <w:rFonts w:hint="eastAsia"/>
          <w:color w:val="auto"/>
          <w:highlight w:val="none"/>
        </w:rPr>
        <w:tab/>
      </w:r>
      <w:r>
        <w:rPr>
          <w:rFonts w:hint="eastAsia"/>
          <w:color w:val="auto"/>
          <w:highlight w:val="none"/>
        </w:rPr>
        <w:tab/>
      </w:r>
      <w:r>
        <w:rPr>
          <w:rFonts w:hint="eastAsia"/>
          <w:color w:val="auto"/>
          <w:highlight w:val="none"/>
        </w:rPr>
        <w:t xml:space="preserve">    </w:t>
      </w:r>
      <w:r>
        <w:rPr>
          <w:color w:val="auto"/>
          <w:highlight w:val="none"/>
        </w:rPr>
        <w:t xml:space="preserve">     </w:t>
      </w:r>
    </w:p>
    <w:p>
      <w:pPr>
        <w:spacing w:before="166" w:beforeLines="50" w:after="166" w:afterLines="50"/>
        <w:ind w:firstLine="420" w:firstLineChars="200"/>
        <w:contextualSpacing/>
        <w:outlineLvl w:val="9"/>
        <w:rPr>
          <w:color w:val="auto"/>
          <w:highlight w:val="none"/>
        </w:rPr>
      </w:pPr>
    </w:p>
    <w:p>
      <w:pPr>
        <w:spacing w:before="166" w:beforeLines="50" w:after="166" w:afterLines="50"/>
        <w:ind w:firstLine="420" w:firstLineChars="200"/>
        <w:contextualSpacing/>
        <w:outlineLvl w:val="9"/>
        <w:rPr>
          <w:color w:val="auto"/>
          <w:highlight w:val="none"/>
        </w:rPr>
      </w:pPr>
      <w:r>
        <w:rPr>
          <w:rFonts w:hint="eastAsia"/>
          <w:color w:val="auto"/>
          <w:highlight w:val="none"/>
        </w:rPr>
        <w:t>签约日期：   年   月   日</w:t>
      </w:r>
      <w:r>
        <w:rPr>
          <w:color w:val="auto"/>
          <w:highlight w:val="none"/>
        </w:rPr>
        <w:tab/>
      </w:r>
      <w:r>
        <w:rPr>
          <w:color w:val="auto"/>
          <w:highlight w:val="none"/>
        </w:rPr>
        <w:t xml:space="preserve">    </w:t>
      </w:r>
      <w:r>
        <w:rPr>
          <w:rFonts w:hint="eastAsia"/>
          <w:color w:val="auto"/>
          <w:highlight w:val="none"/>
        </w:rPr>
        <w:t xml:space="preserve">    </w:t>
      </w:r>
      <w:r>
        <w:rPr>
          <w:color w:val="auto"/>
          <w:highlight w:val="none"/>
        </w:rPr>
        <w:t xml:space="preserve"> </w:t>
      </w:r>
    </w:p>
    <w:p>
      <w:pPr>
        <w:outlineLvl w:val="9"/>
        <w:rPr>
          <w:color w:val="auto"/>
          <w:highlight w:val="none"/>
        </w:rPr>
      </w:pPr>
    </w:p>
    <w:p>
      <w:pPr>
        <w:outlineLvl w:val="9"/>
        <w:rPr>
          <w:color w:val="auto"/>
          <w:highlight w:val="none"/>
        </w:rPr>
      </w:pPr>
    </w:p>
    <w:p>
      <w:pPr>
        <w:spacing w:before="166" w:beforeLines="50" w:after="166" w:afterLines="50"/>
        <w:ind w:firstLine="420" w:firstLineChars="200"/>
        <w:contextualSpacing/>
        <w:outlineLvl w:val="9"/>
        <w:rPr>
          <w:color w:val="auto"/>
          <w:highlight w:val="none"/>
        </w:rPr>
      </w:pPr>
      <w:r>
        <w:rPr>
          <w:rFonts w:hint="eastAsia"/>
          <w:color w:val="auto"/>
          <w:highlight w:val="none"/>
        </w:rPr>
        <w:t xml:space="preserve">乙方（盖章）：                      </w:t>
      </w:r>
      <w:r>
        <w:rPr>
          <w:color w:val="auto"/>
          <w:highlight w:val="none"/>
        </w:rPr>
        <w:t xml:space="preserve"> </w:t>
      </w:r>
    </w:p>
    <w:p>
      <w:pPr>
        <w:spacing w:before="166" w:beforeLines="50" w:after="166" w:afterLines="50"/>
        <w:ind w:firstLine="420" w:firstLineChars="200"/>
        <w:contextualSpacing/>
        <w:outlineLvl w:val="9"/>
        <w:rPr>
          <w:color w:val="auto"/>
          <w:highlight w:val="none"/>
        </w:rPr>
      </w:pPr>
    </w:p>
    <w:p>
      <w:pPr>
        <w:spacing w:before="166" w:beforeLines="50" w:after="166" w:afterLines="50"/>
        <w:ind w:firstLine="420" w:firstLineChars="200"/>
        <w:contextualSpacing/>
        <w:outlineLvl w:val="9"/>
        <w:rPr>
          <w:color w:val="auto"/>
          <w:highlight w:val="none"/>
        </w:rPr>
      </w:pPr>
      <w:r>
        <w:rPr>
          <w:rFonts w:hint="eastAsia"/>
          <w:color w:val="auto"/>
          <w:highlight w:val="none"/>
        </w:rPr>
        <w:t>法定代表人（授权代表）：</w:t>
      </w:r>
      <w:r>
        <w:rPr>
          <w:rFonts w:hint="eastAsia"/>
          <w:color w:val="auto"/>
          <w:highlight w:val="none"/>
        </w:rPr>
        <w:tab/>
      </w:r>
      <w:r>
        <w:rPr>
          <w:rFonts w:hint="eastAsia"/>
          <w:color w:val="auto"/>
          <w:highlight w:val="none"/>
        </w:rPr>
        <w:tab/>
      </w:r>
      <w:r>
        <w:rPr>
          <w:rFonts w:hint="eastAsia"/>
          <w:color w:val="auto"/>
          <w:highlight w:val="none"/>
        </w:rPr>
        <w:t xml:space="preserve">   </w:t>
      </w:r>
    </w:p>
    <w:p>
      <w:pPr>
        <w:spacing w:before="166" w:beforeLines="50" w:after="166" w:afterLines="50"/>
        <w:ind w:firstLine="420" w:firstLineChars="200"/>
        <w:contextualSpacing/>
        <w:outlineLvl w:val="9"/>
        <w:rPr>
          <w:color w:val="auto"/>
          <w:highlight w:val="none"/>
        </w:rPr>
      </w:pPr>
    </w:p>
    <w:p>
      <w:pPr>
        <w:ind w:firstLine="420" w:firstLineChars="200"/>
        <w:outlineLvl w:val="9"/>
        <w:rPr>
          <w:rFonts w:hint="eastAsia"/>
          <w:color w:val="auto"/>
          <w:sz w:val="21"/>
          <w:szCs w:val="21"/>
          <w:highlight w:val="none"/>
        </w:rPr>
      </w:pPr>
      <w:r>
        <w:rPr>
          <w:rFonts w:hint="eastAsia"/>
          <w:color w:val="auto"/>
          <w:highlight w:val="none"/>
        </w:rPr>
        <w:t>签约日期：   年   月   日</w:t>
      </w:r>
      <w:r>
        <w:rPr>
          <w:rFonts w:hint="eastAsia"/>
          <w:color w:val="auto"/>
          <w:sz w:val="21"/>
          <w:szCs w:val="21"/>
          <w:highlight w:val="none"/>
        </w:rPr>
        <w:br w:type="page"/>
      </w:r>
    </w:p>
    <w:p>
      <w:pPr>
        <w:spacing w:line="360" w:lineRule="auto"/>
        <w:outlineLvl w:val="9"/>
        <w:rPr>
          <w:rFonts w:hint="default"/>
          <w:color w:val="auto"/>
          <w:sz w:val="21"/>
          <w:szCs w:val="21"/>
          <w:highlight w:val="none"/>
          <w:lang w:val="en-US" w:eastAsia="zh-CN"/>
        </w:rPr>
      </w:pPr>
      <w:r>
        <w:rPr>
          <w:rFonts w:hint="eastAsia"/>
          <w:color w:val="auto"/>
          <w:sz w:val="21"/>
          <w:szCs w:val="21"/>
          <w:highlight w:val="none"/>
        </w:rPr>
        <w:t>附件</w:t>
      </w:r>
      <w:r>
        <w:rPr>
          <w:rFonts w:hint="eastAsia"/>
          <w:color w:val="auto"/>
          <w:sz w:val="21"/>
          <w:szCs w:val="21"/>
          <w:highlight w:val="none"/>
          <w:lang w:val="en-US" w:eastAsia="zh-CN"/>
        </w:rPr>
        <w:t>1</w:t>
      </w:r>
      <w:r>
        <w:rPr>
          <w:rFonts w:hint="eastAsia"/>
          <w:color w:val="auto"/>
          <w:sz w:val="21"/>
          <w:szCs w:val="21"/>
          <w:highlight w:val="none"/>
        </w:rPr>
        <w:t>：</w:t>
      </w:r>
      <w:r>
        <w:rPr>
          <w:rFonts w:hint="eastAsia"/>
          <w:color w:val="auto"/>
          <w:sz w:val="21"/>
          <w:szCs w:val="21"/>
          <w:highlight w:val="none"/>
          <w:lang w:val="en-US" w:eastAsia="zh-CN"/>
        </w:rPr>
        <w:t>项目范围示意图</w:t>
      </w:r>
    </w:p>
    <w:p>
      <w:pPr>
        <w:spacing w:line="360" w:lineRule="auto"/>
        <w:jc w:val="center"/>
        <w:outlineLvl w:val="9"/>
        <w:rPr>
          <w:rFonts w:hint="eastAsia"/>
          <w:color w:val="auto"/>
          <w:sz w:val="21"/>
          <w:szCs w:val="21"/>
          <w:highlight w:val="none"/>
        </w:rPr>
      </w:pPr>
      <w:r>
        <w:rPr>
          <w:color w:val="auto"/>
          <w:highlight w:val="none"/>
        </w:rPr>
        <w:drawing>
          <wp:inline distT="0" distB="0" distL="114300" distR="114300">
            <wp:extent cx="5271135" cy="4065905"/>
            <wp:effectExtent l="0" t="0" r="571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71135" cy="4065905"/>
                    </a:xfrm>
                    <a:prstGeom prst="rect">
                      <a:avLst/>
                    </a:prstGeom>
                    <a:noFill/>
                    <a:ln>
                      <a:noFill/>
                    </a:ln>
                  </pic:spPr>
                </pic:pic>
              </a:graphicData>
            </a:graphic>
          </wp:inline>
        </w:drawing>
      </w:r>
    </w:p>
    <w:p>
      <w:pPr>
        <w:spacing w:line="360" w:lineRule="auto"/>
        <w:jc w:val="center"/>
        <w:outlineLvl w:val="9"/>
        <w:rPr>
          <w:rFonts w:hint="eastAsia"/>
          <w:color w:val="auto"/>
          <w:sz w:val="32"/>
          <w:szCs w:val="32"/>
          <w:highlight w:val="none"/>
        </w:rPr>
      </w:pPr>
      <w:r>
        <w:rPr>
          <w:rFonts w:hint="eastAsia"/>
          <w:color w:val="auto"/>
          <w:sz w:val="32"/>
          <w:szCs w:val="32"/>
          <w:highlight w:val="none"/>
          <w:lang w:val="en-US" w:eastAsia="zh-CN"/>
        </w:rPr>
        <w:t>项目范围示意图</w:t>
      </w:r>
    </w:p>
    <w:p>
      <w:pPr>
        <w:spacing w:line="360" w:lineRule="auto"/>
        <w:outlineLvl w:val="9"/>
        <w:rPr>
          <w:rFonts w:hint="eastAsia"/>
          <w:color w:val="auto"/>
          <w:sz w:val="21"/>
          <w:szCs w:val="21"/>
          <w:highlight w:val="none"/>
        </w:rPr>
      </w:pPr>
    </w:p>
    <w:p>
      <w:pPr>
        <w:spacing w:line="360" w:lineRule="auto"/>
        <w:outlineLvl w:val="9"/>
        <w:rPr>
          <w:rFonts w:hint="eastAsia"/>
          <w:color w:val="auto"/>
          <w:sz w:val="21"/>
          <w:szCs w:val="21"/>
          <w:highlight w:val="none"/>
        </w:rPr>
      </w:pPr>
    </w:p>
    <w:p>
      <w:pPr>
        <w:spacing w:line="360" w:lineRule="auto"/>
        <w:outlineLvl w:val="9"/>
        <w:rPr>
          <w:rFonts w:hint="eastAsia"/>
          <w:color w:val="auto"/>
          <w:sz w:val="21"/>
          <w:szCs w:val="21"/>
          <w:highlight w:val="none"/>
        </w:rPr>
      </w:pPr>
    </w:p>
    <w:p>
      <w:pPr>
        <w:spacing w:line="360" w:lineRule="auto"/>
        <w:outlineLvl w:val="9"/>
        <w:rPr>
          <w:rFonts w:hint="eastAsia"/>
          <w:color w:val="auto"/>
          <w:sz w:val="21"/>
          <w:szCs w:val="21"/>
          <w:highlight w:val="none"/>
        </w:rPr>
      </w:pPr>
    </w:p>
    <w:p>
      <w:pPr>
        <w:spacing w:line="360" w:lineRule="auto"/>
        <w:outlineLvl w:val="9"/>
        <w:rPr>
          <w:rFonts w:hint="eastAsia"/>
          <w:color w:val="auto"/>
          <w:sz w:val="21"/>
          <w:szCs w:val="21"/>
          <w:highlight w:val="none"/>
        </w:rPr>
      </w:pPr>
    </w:p>
    <w:p>
      <w:pPr>
        <w:spacing w:line="360" w:lineRule="auto"/>
        <w:outlineLvl w:val="9"/>
        <w:rPr>
          <w:rFonts w:hint="eastAsia"/>
          <w:color w:val="auto"/>
          <w:sz w:val="21"/>
          <w:szCs w:val="21"/>
          <w:highlight w:val="none"/>
        </w:rPr>
      </w:pPr>
    </w:p>
    <w:p>
      <w:pPr>
        <w:outlineLvl w:val="9"/>
        <w:rPr>
          <w:rFonts w:hint="eastAsia"/>
          <w:color w:val="auto"/>
          <w:sz w:val="21"/>
          <w:szCs w:val="21"/>
          <w:highlight w:val="none"/>
        </w:rPr>
      </w:pPr>
      <w:r>
        <w:rPr>
          <w:rFonts w:hint="eastAsia"/>
          <w:color w:val="auto"/>
          <w:sz w:val="21"/>
          <w:szCs w:val="21"/>
          <w:highlight w:val="none"/>
        </w:rPr>
        <w:br w:type="page"/>
      </w:r>
    </w:p>
    <w:p>
      <w:pPr>
        <w:spacing w:line="360" w:lineRule="auto"/>
        <w:outlineLvl w:val="9"/>
        <w:rPr>
          <w:color w:val="auto"/>
          <w:sz w:val="21"/>
          <w:szCs w:val="21"/>
          <w:highlight w:val="none"/>
        </w:rPr>
      </w:pPr>
      <w:r>
        <w:rPr>
          <w:rFonts w:hint="eastAsia"/>
          <w:color w:val="auto"/>
          <w:sz w:val="21"/>
          <w:szCs w:val="21"/>
          <w:highlight w:val="none"/>
        </w:rPr>
        <w:t>附件</w:t>
      </w:r>
      <w:r>
        <w:rPr>
          <w:rFonts w:hint="eastAsia"/>
          <w:color w:val="auto"/>
          <w:sz w:val="21"/>
          <w:szCs w:val="21"/>
          <w:highlight w:val="none"/>
          <w:lang w:val="en-US" w:eastAsia="zh-CN"/>
        </w:rPr>
        <w:t>2</w:t>
      </w:r>
      <w:r>
        <w:rPr>
          <w:rFonts w:hint="eastAsia"/>
          <w:color w:val="auto"/>
          <w:sz w:val="21"/>
          <w:szCs w:val="21"/>
          <w:highlight w:val="none"/>
        </w:rPr>
        <w:t>：阳光合作协议</w:t>
      </w:r>
    </w:p>
    <w:p>
      <w:pPr>
        <w:spacing w:line="360" w:lineRule="auto"/>
        <w:jc w:val="center"/>
        <w:outlineLvl w:val="9"/>
        <w:rPr>
          <w:rFonts w:ascii="方正小标宋简体" w:hAnsi="黑体" w:eastAsia="方正小标宋简体"/>
          <w:b/>
          <w:color w:val="auto"/>
          <w:sz w:val="44"/>
          <w:szCs w:val="44"/>
          <w:highlight w:val="none"/>
        </w:rPr>
      </w:pPr>
      <w:r>
        <w:rPr>
          <w:rFonts w:hint="eastAsia" w:eastAsia="仿宋_GB2312"/>
          <w:color w:val="auto"/>
          <w:sz w:val="32"/>
          <w:szCs w:val="32"/>
          <w:highlight w:val="none"/>
        </w:rPr>
        <w:t xml:space="preserve"> </w:t>
      </w:r>
      <w:r>
        <w:rPr>
          <w:rFonts w:hint="eastAsia" w:ascii="方正小标宋简体" w:hAnsi="黑体" w:eastAsia="方正小标宋简体"/>
          <w:b/>
          <w:color w:val="auto"/>
          <w:sz w:val="44"/>
          <w:szCs w:val="44"/>
          <w:highlight w:val="none"/>
        </w:rPr>
        <w:t>阳光合作协议</w:t>
      </w:r>
    </w:p>
    <w:p>
      <w:pPr>
        <w:spacing w:before="156" w:beforeLines="50" w:after="156" w:afterLines="50" w:line="360" w:lineRule="auto"/>
        <w:ind w:firstLine="420" w:firstLineChars="200"/>
        <w:contextualSpacing/>
        <w:outlineLvl w:val="9"/>
        <w:rPr>
          <w:rFonts w:hint="eastAsia" w:ascii="宋体" w:hAnsi="宋体" w:eastAsia="宋体"/>
          <w:color w:val="auto"/>
          <w:szCs w:val="21"/>
          <w:highlight w:val="none"/>
          <w:u w:val="single"/>
          <w:lang w:eastAsia="zh-CN"/>
        </w:rPr>
      </w:pPr>
      <w:r>
        <w:rPr>
          <w:rFonts w:hint="eastAsia" w:ascii="宋体" w:hAnsi="宋体"/>
          <w:color w:val="auto"/>
          <w:szCs w:val="21"/>
          <w:highlight w:val="none"/>
        </w:rPr>
        <w:t>甲方：</w:t>
      </w:r>
    </w:p>
    <w:p>
      <w:pPr>
        <w:spacing w:before="156" w:beforeLines="50" w:after="156" w:afterLines="50" w:line="360" w:lineRule="auto"/>
        <w:ind w:firstLine="420" w:firstLineChars="200"/>
        <w:contextualSpacing/>
        <w:outlineLvl w:val="9"/>
        <w:rPr>
          <w:color w:val="auto"/>
          <w:highlight w:val="none"/>
        </w:rPr>
      </w:pPr>
      <w:r>
        <w:rPr>
          <w:rFonts w:hint="eastAsia" w:ascii="宋体" w:hAnsi="宋体"/>
          <w:color w:val="auto"/>
          <w:szCs w:val="21"/>
          <w:highlight w:val="none"/>
        </w:rPr>
        <w:t>乙方：</w:t>
      </w:r>
    </w:p>
    <w:p>
      <w:pPr>
        <w:spacing w:line="360" w:lineRule="auto"/>
        <w:ind w:firstLine="420" w:firstLineChars="200"/>
        <w:contextualSpacing/>
        <w:outlineLvl w:val="9"/>
        <w:rPr>
          <w:rFonts w:ascii="宋体"/>
          <w:color w:val="auto"/>
          <w:highlight w:val="none"/>
        </w:rPr>
      </w:pPr>
      <w:r>
        <w:rPr>
          <w:rFonts w:hint="eastAsia" w:ascii="宋体" w:hAnsi="宋体"/>
          <w:color w:val="auto"/>
          <w:highlight w:val="none"/>
        </w:rPr>
        <w:t>甲、乙</w:t>
      </w:r>
      <w:r>
        <w:rPr>
          <w:rFonts w:hint="eastAsia" w:ascii="宋体" w:hAnsi="宋体"/>
          <w:color w:val="auto"/>
          <w:highlight w:val="none"/>
          <w:lang w:val="en-US" w:eastAsia="zh-CN"/>
        </w:rPr>
        <w:t>双</w:t>
      </w:r>
      <w:r>
        <w:rPr>
          <w:rFonts w:hint="eastAsia" w:ascii="宋体" w:hAnsi="宋体"/>
          <w:color w:val="auto"/>
          <w:highlight w:val="none"/>
        </w:rPr>
        <w:t>方于</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日签署了《</w:t>
      </w:r>
      <w:r>
        <w:rPr>
          <w:rFonts w:hint="eastAsia" w:ascii="宋体" w:hAnsi="宋体"/>
          <w:color w:val="auto"/>
          <w:highlight w:val="none"/>
          <w:lang w:val="en-US" w:eastAsia="zh-CN"/>
        </w:rPr>
        <w:t>企石镇霞朗-新南城中村改造</w:t>
      </w:r>
      <w:r>
        <w:rPr>
          <w:rFonts w:hint="eastAsia" w:ascii="宋体" w:hAnsi="宋体"/>
          <w:color w:val="auto"/>
          <w:highlight w:val="none"/>
        </w:rPr>
        <w:t>项目权籍调查</w:t>
      </w:r>
      <w:r>
        <w:rPr>
          <w:rFonts w:hint="eastAsia" w:ascii="宋体" w:hAnsi="宋体"/>
          <w:color w:val="auto"/>
          <w:highlight w:val="none"/>
          <w:lang w:val="en-US" w:eastAsia="zh-CN"/>
        </w:rPr>
        <w:t>审查</w:t>
      </w:r>
      <w:r>
        <w:rPr>
          <w:rFonts w:hint="eastAsia" w:ascii="宋体" w:hAnsi="宋体"/>
          <w:color w:val="auto"/>
          <w:highlight w:val="none"/>
        </w:rPr>
        <w:t>服务</w:t>
      </w:r>
      <w:r>
        <w:rPr>
          <w:rFonts w:hint="eastAsia" w:hAnsi="宋体"/>
          <w:color w:val="auto"/>
          <w:sz w:val="21"/>
          <w:highlight w:val="none"/>
          <w:u w:val="none"/>
          <w:lang w:val="en-US" w:eastAsia="zh-CN"/>
        </w:rPr>
        <w:t>合同</w:t>
      </w:r>
      <w:r>
        <w:rPr>
          <w:rFonts w:hint="eastAsia" w:ascii="宋体" w:hAnsi="宋体"/>
          <w:color w:val="auto"/>
          <w:highlight w:val="none"/>
        </w:rPr>
        <w:t>》（以下简称原合同），为加强</w:t>
      </w:r>
      <w:r>
        <w:rPr>
          <w:rFonts w:hint="eastAsia" w:ascii="宋体" w:hAnsi="宋体"/>
          <w:color w:val="auto"/>
          <w:highlight w:val="none"/>
          <w:lang w:val="en-US" w:eastAsia="zh-CN"/>
        </w:rPr>
        <w:t>双</w:t>
      </w:r>
      <w:r>
        <w:rPr>
          <w:rFonts w:hint="eastAsia" w:ascii="宋体" w:hAnsi="宋体"/>
          <w:color w:val="auto"/>
          <w:highlight w:val="none"/>
        </w:rPr>
        <w:t>方阳光合作，保证职员职业安全，甲、乙</w:t>
      </w:r>
      <w:r>
        <w:rPr>
          <w:rFonts w:hint="eastAsia" w:ascii="宋体" w:hAnsi="宋体"/>
          <w:color w:val="auto"/>
          <w:highlight w:val="none"/>
          <w:lang w:val="en-US" w:eastAsia="zh-CN"/>
        </w:rPr>
        <w:t>双</w:t>
      </w:r>
      <w:r>
        <w:rPr>
          <w:rFonts w:hint="eastAsia" w:ascii="宋体" w:hAnsi="宋体"/>
          <w:color w:val="auto"/>
          <w:highlight w:val="none"/>
        </w:rPr>
        <w:t>方经协商签订本协议并作为各方共同遵守的阳光合作行为准则。</w:t>
      </w:r>
    </w:p>
    <w:p>
      <w:pPr>
        <w:widowControl/>
        <w:spacing w:line="360" w:lineRule="auto"/>
        <w:ind w:left="420" w:leftChars="200"/>
        <w:contextualSpacing/>
        <w:jc w:val="left"/>
        <w:outlineLvl w:val="9"/>
        <w:rPr>
          <w:rFonts w:ascii="宋体" w:hAnsi="宋体"/>
          <w:b/>
          <w:color w:val="auto"/>
          <w:highlight w:val="none"/>
        </w:rPr>
      </w:pPr>
      <w:r>
        <w:rPr>
          <w:rFonts w:hint="eastAsia" w:ascii="宋体" w:hAnsi="宋体"/>
          <w:b/>
          <w:color w:val="auto"/>
          <w:highlight w:val="none"/>
        </w:rPr>
        <w:t>一、甲方责任</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1.甲方有责任向乙方介绍本单位有关采购管理通用原则和本协议的规定。</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2.甲方有责任对本单位相关人员进行阳光合作教育。</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4.甲方人员如违反阳光合作管理制度及本协议规定，甲方视情节轻重、影响大小给予行政及经济处罚。</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5．对于乙方举报甲方人员违反阳光合作规定的情况，甲方应及时进行调查，根据调查情况进行处理，并将调查结果向乙方反馈。</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6.接受举报的一方应为举报方保密，不得对举报方进行报复，对举报属实和严格遵守《阳光合作协议》的合作方，在同等条件下给予后续合作的优先权。</w:t>
      </w:r>
    </w:p>
    <w:p>
      <w:pPr>
        <w:widowControl/>
        <w:spacing w:line="360" w:lineRule="auto"/>
        <w:ind w:left="420" w:leftChars="200"/>
        <w:contextualSpacing/>
        <w:jc w:val="left"/>
        <w:outlineLvl w:val="9"/>
        <w:rPr>
          <w:rFonts w:ascii="宋体" w:hAnsi="宋体"/>
          <w:b/>
          <w:color w:val="auto"/>
          <w:highlight w:val="none"/>
        </w:rPr>
      </w:pPr>
      <w:r>
        <w:rPr>
          <w:rFonts w:hint="eastAsia" w:ascii="宋体" w:hAnsi="宋体"/>
          <w:b/>
          <w:color w:val="auto"/>
          <w:highlight w:val="none"/>
        </w:rPr>
        <w:t>二、乙方责任</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1.乙方应保证乙方人员了解甲方有关采购管理通用原则和及本协议的规定，并遵照执行。</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2.乙方不得以任何形式给予甲方人员回扣、赠送实物、现金、有价证券、礼券等有价物品或提供旅游等其他可能影响职务行为公正履行的活动（以下统称“财物”）。</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3.乙方有责任接受甲方对乙方在合作期间阳光合作管理执行情况的监督，并对甲方相关调查工作主动配合。</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 xml:space="preserve">5．甲方接受乙方实名或匿名举报，保证为举报者的信息保密，常设举报部门及电话： </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举报受理部门：东莞实业投资控股集团有限公司法律合规部</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东实集团举报邮箱：dgsyxf@163.com</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东实集团举报电话：0769-28820703（周一至周五9:00-12:00和14:00-18:00）</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邮寄地址：东莞市东城区八一路1号机关二号大院9号楼，东莞实业投资控股集团有限公司法律合规部收，邮编523000。</w:t>
      </w:r>
    </w:p>
    <w:p>
      <w:pPr>
        <w:widowControl/>
        <w:spacing w:line="360" w:lineRule="auto"/>
        <w:ind w:left="420" w:leftChars="200"/>
        <w:contextualSpacing/>
        <w:jc w:val="left"/>
        <w:outlineLvl w:val="9"/>
        <w:rPr>
          <w:rFonts w:ascii="宋体" w:hAnsi="宋体"/>
          <w:b/>
          <w:color w:val="auto"/>
          <w:highlight w:val="none"/>
        </w:rPr>
      </w:pPr>
      <w:r>
        <w:rPr>
          <w:rFonts w:hint="eastAsia" w:ascii="宋体" w:hAnsi="宋体"/>
          <w:b/>
          <w:color w:val="auto"/>
          <w:highlight w:val="none"/>
        </w:rPr>
        <w:t>三、其他</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1.本协议是原合同的补充协议，与原合同有同等法律效力。</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2.</w:t>
      </w:r>
      <w:r>
        <w:rPr>
          <w:rFonts w:ascii="宋体" w:hAnsi="宋体"/>
          <w:color w:val="auto"/>
          <w:highlight w:val="none"/>
        </w:rPr>
        <w:t>本</w:t>
      </w:r>
      <w:r>
        <w:rPr>
          <w:rFonts w:hint="eastAsia" w:ascii="宋体" w:hAnsi="宋体"/>
          <w:color w:val="auto"/>
          <w:highlight w:val="none"/>
        </w:rPr>
        <w:t>协议</w:t>
      </w:r>
      <w:r>
        <w:rPr>
          <w:rFonts w:ascii="宋体" w:hAnsi="宋体"/>
          <w:color w:val="auto"/>
          <w:highlight w:val="none"/>
        </w:rPr>
        <w:t>一式</w:t>
      </w:r>
      <w:r>
        <w:rPr>
          <w:rFonts w:hint="eastAsia" w:ascii="宋体" w:hAnsi="宋体"/>
          <w:color w:val="auto"/>
          <w:highlight w:val="none"/>
          <w:lang w:val="en-US" w:eastAsia="zh-CN"/>
        </w:rPr>
        <w:t>伍</w:t>
      </w:r>
      <w:r>
        <w:rPr>
          <w:rFonts w:ascii="宋体" w:hAnsi="宋体"/>
          <w:color w:val="auto"/>
          <w:highlight w:val="none"/>
        </w:rPr>
        <w:t>份，甲方执</w:t>
      </w:r>
      <w:r>
        <w:rPr>
          <w:rFonts w:hint="eastAsia" w:ascii="宋体" w:hAnsi="宋体"/>
          <w:color w:val="auto"/>
          <w:highlight w:val="none"/>
          <w:lang w:val="en-US" w:eastAsia="zh-CN"/>
        </w:rPr>
        <w:t>叁</w:t>
      </w:r>
      <w:r>
        <w:rPr>
          <w:rFonts w:ascii="宋体" w:hAnsi="宋体"/>
          <w:color w:val="auto"/>
          <w:highlight w:val="none"/>
        </w:rPr>
        <w:t>份，乙方执</w:t>
      </w:r>
      <w:r>
        <w:rPr>
          <w:rFonts w:hint="eastAsia" w:ascii="宋体" w:hAnsi="宋体"/>
          <w:color w:val="auto"/>
          <w:highlight w:val="none"/>
          <w:lang w:val="en-US" w:eastAsia="zh-CN"/>
        </w:rPr>
        <w:t>贰</w:t>
      </w:r>
      <w:r>
        <w:rPr>
          <w:rFonts w:ascii="宋体" w:hAnsi="宋体"/>
          <w:color w:val="auto"/>
          <w:highlight w:val="none"/>
        </w:rPr>
        <w:t>份</w:t>
      </w:r>
      <w:r>
        <w:rPr>
          <w:rFonts w:hint="eastAsia" w:ascii="宋体" w:hAnsi="宋体"/>
          <w:color w:val="auto"/>
          <w:highlight w:val="none"/>
        </w:rPr>
        <w:t>,具有同等法律效力。</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3.本协议经</w:t>
      </w:r>
      <w:r>
        <w:rPr>
          <w:rFonts w:hint="eastAsia" w:ascii="宋体" w:hAnsi="宋体"/>
          <w:color w:val="auto"/>
          <w:highlight w:val="none"/>
          <w:lang w:val="en-US" w:eastAsia="zh-CN"/>
        </w:rPr>
        <w:t>双</w:t>
      </w:r>
      <w:r>
        <w:rPr>
          <w:rFonts w:hint="eastAsia" w:ascii="宋体" w:hAnsi="宋体"/>
          <w:color w:val="auto"/>
          <w:highlight w:val="none"/>
        </w:rPr>
        <w:t>方签署后生效。</w:t>
      </w:r>
    </w:p>
    <w:p>
      <w:pPr>
        <w:spacing w:before="156" w:beforeLines="50" w:after="156" w:afterLines="50" w:line="360" w:lineRule="auto"/>
        <w:ind w:firstLine="420" w:firstLineChars="200"/>
        <w:contextualSpacing/>
        <w:outlineLvl w:val="9"/>
        <w:rPr>
          <w:rFonts w:ascii="宋体"/>
          <w:color w:val="auto"/>
          <w:highlight w:val="none"/>
        </w:rPr>
      </w:pPr>
      <w:r>
        <w:rPr>
          <w:rFonts w:hint="eastAsia" w:ascii="宋体" w:hAnsi="宋体"/>
          <w:color w:val="auto"/>
          <w:highlight w:val="none"/>
        </w:rPr>
        <w:t>甲方（盖章）：                      乙方（盖章）：</w:t>
      </w:r>
      <w:r>
        <w:rPr>
          <w:rFonts w:ascii="宋体"/>
          <w:color w:val="auto"/>
          <w:highlight w:val="none"/>
        </w:rPr>
        <w:t xml:space="preserve"> </w:t>
      </w:r>
    </w:p>
    <w:p>
      <w:pPr>
        <w:spacing w:before="156" w:beforeLines="50" w:after="156" w:afterLines="50" w:line="360" w:lineRule="auto"/>
        <w:ind w:firstLine="420" w:firstLineChars="200"/>
        <w:contextualSpacing/>
        <w:outlineLvl w:val="9"/>
        <w:rPr>
          <w:rFonts w:hint="eastAsia" w:ascii="宋体" w:hAnsi="宋体" w:eastAsia="宋体"/>
          <w:color w:val="auto"/>
          <w:highlight w:val="none"/>
          <w:lang w:eastAsia="zh-CN"/>
        </w:rPr>
      </w:pPr>
      <w:r>
        <w:rPr>
          <w:rFonts w:ascii="宋体" w:hAnsi="宋体"/>
          <w:color w:val="auto"/>
          <w:highlight w:val="none"/>
        </w:rPr>
        <w:t xml:space="preserve">      </w:t>
      </w:r>
      <w:r>
        <w:rPr>
          <w:rFonts w:hint="eastAsia" w:ascii="宋体" w:hAnsi="宋体"/>
          <w:color w:val="auto"/>
          <w:highlight w:val="none"/>
          <w:lang w:val="en-US" w:eastAsia="zh-CN"/>
        </w:rPr>
        <w:t xml:space="preserve"> </w:t>
      </w:r>
    </w:p>
    <w:p>
      <w:pPr>
        <w:spacing w:before="156" w:beforeLines="50" w:after="156" w:afterLines="50" w:line="360" w:lineRule="auto"/>
        <w:ind w:firstLine="420" w:firstLineChars="200"/>
        <w:contextualSpacing/>
        <w:outlineLvl w:val="9"/>
        <w:rPr>
          <w:rFonts w:ascii="宋体"/>
          <w:color w:val="auto"/>
          <w:highlight w:val="none"/>
        </w:rPr>
      </w:pPr>
      <w:r>
        <w:rPr>
          <w:rFonts w:hint="eastAsia" w:ascii="宋体" w:hAnsi="宋体"/>
          <w:color w:val="auto"/>
          <w:highlight w:val="none"/>
        </w:rPr>
        <w:t>法定代表人（授权代表）：</w:t>
      </w:r>
      <w:r>
        <w:rPr>
          <w:rFonts w:hint="eastAsia" w:ascii="宋体"/>
          <w:color w:val="auto"/>
          <w:highlight w:val="none"/>
        </w:rPr>
        <w:tab/>
      </w:r>
      <w:r>
        <w:rPr>
          <w:rFonts w:hint="eastAsia" w:ascii="宋体"/>
          <w:color w:val="auto"/>
          <w:highlight w:val="none"/>
        </w:rPr>
        <w:tab/>
      </w:r>
      <w:r>
        <w:rPr>
          <w:rFonts w:hint="eastAsia" w:ascii="宋体"/>
          <w:color w:val="auto"/>
          <w:highlight w:val="none"/>
        </w:rPr>
        <w:t xml:space="preserve">  </w:t>
      </w:r>
      <w:r>
        <w:rPr>
          <w:rFonts w:hint="eastAsia" w:ascii="宋体"/>
          <w:color w:val="auto"/>
          <w:highlight w:val="none"/>
        </w:rPr>
        <w:tab/>
      </w:r>
      <w:r>
        <w:rPr>
          <w:rFonts w:hint="eastAsia" w:ascii="宋体"/>
          <w:color w:val="auto"/>
          <w:highlight w:val="none"/>
        </w:rPr>
        <w:t xml:space="preserve">   </w:t>
      </w:r>
      <w:r>
        <w:rPr>
          <w:rFonts w:hint="eastAsia" w:ascii="宋体" w:hAnsi="宋体"/>
          <w:color w:val="auto"/>
          <w:highlight w:val="none"/>
        </w:rPr>
        <w:t>法定代表人（授权代表）：</w:t>
      </w:r>
    </w:p>
    <w:p>
      <w:pPr>
        <w:spacing w:before="156" w:beforeLines="50" w:after="156" w:afterLines="50" w:line="360" w:lineRule="auto"/>
        <w:ind w:firstLine="420" w:firstLineChars="200"/>
        <w:contextualSpacing/>
        <w:outlineLvl w:val="9"/>
        <w:rPr>
          <w:rFonts w:ascii="宋体" w:hAnsi="宋体"/>
          <w:color w:val="auto"/>
          <w:highlight w:val="none"/>
        </w:rPr>
      </w:pPr>
    </w:p>
    <w:p>
      <w:pPr>
        <w:spacing w:before="156" w:beforeLines="50" w:after="156" w:afterLines="50" w:line="360" w:lineRule="auto"/>
        <w:ind w:firstLine="420" w:firstLineChars="200"/>
        <w:contextualSpacing/>
        <w:outlineLvl w:val="9"/>
        <w:rPr>
          <w:rFonts w:ascii="宋体" w:hAnsi="宋体"/>
          <w:color w:val="auto"/>
          <w:highlight w:val="none"/>
        </w:rPr>
      </w:pPr>
      <w:r>
        <w:rPr>
          <w:rFonts w:hint="eastAsia" w:ascii="宋体" w:hAnsi="宋体"/>
          <w:color w:val="auto"/>
          <w:highlight w:val="none"/>
        </w:rPr>
        <w:t>签约日期：   年   月   日</w:t>
      </w:r>
      <w:r>
        <w:rPr>
          <w:color w:val="auto"/>
          <w:highlight w:val="none"/>
        </w:rPr>
        <w:tab/>
      </w:r>
      <w:r>
        <w:rPr>
          <w:color w:val="auto"/>
          <w:highlight w:val="none"/>
        </w:rPr>
        <w:t xml:space="preserve">    </w:t>
      </w:r>
      <w:r>
        <w:rPr>
          <w:rFonts w:hint="eastAsia"/>
          <w:color w:val="auto"/>
          <w:highlight w:val="none"/>
        </w:rPr>
        <w:t xml:space="preserve">   </w:t>
      </w:r>
      <w:r>
        <w:rPr>
          <w:rFonts w:hint="eastAsia" w:ascii="宋体" w:hAnsi="宋体"/>
          <w:color w:val="auto"/>
          <w:highlight w:val="none"/>
        </w:rPr>
        <w:t>签约日期：   年   月   日</w:t>
      </w:r>
    </w:p>
    <w:p>
      <w:pPr>
        <w:outlineLvl w:val="9"/>
        <w:rPr>
          <w:rFonts w:hint="eastAsia"/>
          <w:color w:val="auto"/>
          <w:sz w:val="28"/>
          <w:szCs w:val="28"/>
          <w:highlight w:val="none"/>
        </w:rPr>
      </w:pPr>
      <w:r>
        <w:rPr>
          <w:rFonts w:hint="eastAsia"/>
          <w:color w:val="auto"/>
          <w:sz w:val="28"/>
          <w:szCs w:val="28"/>
          <w:highlight w:val="none"/>
        </w:rPr>
        <w:br w:type="page"/>
      </w:r>
    </w:p>
    <w:p>
      <w:pPr>
        <w:pStyle w:val="2"/>
        <w:spacing w:before="0" w:after="0" w:line="240" w:lineRule="auto"/>
        <w:rPr>
          <w:color w:val="auto"/>
          <w:sz w:val="28"/>
          <w:szCs w:val="28"/>
          <w:highlight w:val="none"/>
        </w:rPr>
      </w:pPr>
      <w:bookmarkStart w:id="199" w:name="_Toc14767"/>
      <w:r>
        <w:rPr>
          <w:rFonts w:hint="eastAsia"/>
          <w:color w:val="auto"/>
          <w:sz w:val="28"/>
          <w:szCs w:val="28"/>
          <w:highlight w:val="none"/>
        </w:rPr>
        <w:t>第六部分</w:t>
      </w:r>
      <w:r>
        <w:rPr>
          <w:rFonts w:hint="eastAsia"/>
          <w:color w:val="auto"/>
          <w:sz w:val="28"/>
          <w:szCs w:val="28"/>
          <w:highlight w:val="none"/>
          <w:lang w:val="en-US" w:eastAsia="zh-CN"/>
        </w:rPr>
        <w:t xml:space="preserve"> </w:t>
      </w:r>
      <w:r>
        <w:rPr>
          <w:rFonts w:hint="eastAsia"/>
          <w:color w:val="auto"/>
          <w:sz w:val="28"/>
          <w:szCs w:val="28"/>
          <w:highlight w:val="none"/>
        </w:rPr>
        <w:t>附件－响应文件格式</w:t>
      </w:r>
      <w:bookmarkEnd w:id="198"/>
      <w:bookmarkEnd w:id="199"/>
    </w:p>
    <w:p>
      <w:pPr>
        <w:rPr>
          <w:color w:val="auto"/>
          <w:highlight w:val="none"/>
        </w:rPr>
      </w:pPr>
    </w:p>
    <w:p>
      <w:pPr>
        <w:pStyle w:val="5"/>
        <w:widowControl w:val="0"/>
        <w:overflowPunct w:val="0"/>
        <w:spacing w:line="240" w:lineRule="auto"/>
        <w:rPr>
          <w:rFonts w:ascii="宋体" w:hAnsi="宋体"/>
          <w:color w:val="auto"/>
          <w:sz w:val="21"/>
          <w:szCs w:val="21"/>
          <w:highlight w:val="none"/>
        </w:rPr>
      </w:pPr>
      <w:bookmarkStart w:id="200" w:name="_Toc2892"/>
      <w:bookmarkStart w:id="201" w:name="_Toc11461"/>
      <w:r>
        <w:rPr>
          <w:rFonts w:hint="eastAsia" w:ascii="宋体" w:hAnsi="宋体"/>
          <w:color w:val="auto"/>
          <w:sz w:val="21"/>
          <w:szCs w:val="21"/>
          <w:highlight w:val="none"/>
        </w:rPr>
        <w:t>响应文件目录</w:t>
      </w:r>
      <w:bookmarkEnd w:id="200"/>
      <w:bookmarkEnd w:id="201"/>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目录</w:t>
      </w: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1、供应商制作的响应文件应当具备目录。</w:t>
      </w:r>
      <w:r>
        <w:rPr>
          <w:rFonts w:ascii="宋体" w:hAnsi="宋体"/>
          <w:color w:val="auto"/>
          <w:szCs w:val="21"/>
          <w:highlight w:val="none"/>
        </w:rPr>
        <w:br w:type="page"/>
      </w:r>
    </w:p>
    <w:p>
      <w:pPr>
        <w:pStyle w:val="5"/>
        <w:widowControl w:val="0"/>
        <w:overflowPunct w:val="0"/>
        <w:spacing w:line="240" w:lineRule="auto"/>
        <w:rPr>
          <w:rFonts w:ascii="宋体" w:hAnsi="宋体"/>
          <w:color w:val="auto"/>
          <w:sz w:val="21"/>
          <w:szCs w:val="21"/>
          <w:highlight w:val="none"/>
        </w:rPr>
      </w:pPr>
      <w:bookmarkStart w:id="202" w:name="_Toc16660"/>
      <w:bookmarkStart w:id="203" w:name="_Toc18629"/>
      <w:r>
        <w:rPr>
          <w:rFonts w:hint="eastAsia" w:ascii="宋体" w:hAnsi="宋体"/>
          <w:color w:val="auto"/>
          <w:sz w:val="21"/>
          <w:szCs w:val="21"/>
          <w:highlight w:val="none"/>
        </w:rPr>
        <w:t>附件1.评分标准索引表</w:t>
      </w:r>
      <w:bookmarkEnd w:id="202"/>
      <w:bookmarkEnd w:id="203"/>
    </w:p>
    <w:p>
      <w:pPr>
        <w:adjustRightInd/>
        <w:snapToGrid/>
        <w:spacing w:line="276" w:lineRule="auto"/>
        <w:rPr>
          <w:rFonts w:ascii="宋体" w:hAnsi="宋体"/>
          <w:color w:val="auto"/>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704" w:type="dxa"/>
            <w:noWrap w:val="0"/>
            <w:vAlign w:val="center"/>
          </w:tcPr>
          <w:p>
            <w:pPr>
              <w:jc w:val="center"/>
              <w:rPr>
                <w:rFonts w:ascii="宋体" w:hAnsi="宋体" w:cs="宋体"/>
                <w:color w:val="auto"/>
                <w:highlight w:val="none"/>
              </w:rPr>
            </w:pPr>
            <w:r>
              <w:rPr>
                <w:rFonts w:hint="eastAsia" w:ascii="宋体" w:hAnsi="宋体" w:cs="宋体"/>
                <w:color w:val="auto"/>
                <w:highlight w:val="none"/>
              </w:rPr>
              <w:t>序号</w:t>
            </w:r>
          </w:p>
        </w:tc>
        <w:tc>
          <w:tcPr>
            <w:tcW w:w="1704" w:type="dxa"/>
            <w:noWrap w:val="0"/>
            <w:vAlign w:val="center"/>
          </w:tcPr>
          <w:p>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noWrap w:val="0"/>
            <w:vAlign w:val="center"/>
          </w:tcPr>
          <w:p>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noWrap w:val="0"/>
            <w:vAlign w:val="center"/>
          </w:tcPr>
          <w:p>
            <w:pPr>
              <w:jc w:val="center"/>
              <w:rPr>
                <w:rFonts w:ascii="宋体" w:hAnsi="宋体" w:cs="宋体"/>
                <w:color w:val="auto"/>
                <w:highlight w:val="none"/>
              </w:rPr>
            </w:pPr>
            <w:r>
              <w:rPr>
                <w:rFonts w:hint="eastAsia" w:ascii="宋体" w:hAnsi="宋体" w:cs="宋体"/>
                <w:color w:val="auto"/>
                <w:highlight w:val="none"/>
              </w:rPr>
              <w:t>分值</w:t>
            </w:r>
          </w:p>
        </w:tc>
        <w:tc>
          <w:tcPr>
            <w:tcW w:w="1705" w:type="dxa"/>
            <w:noWrap w:val="0"/>
            <w:vAlign w:val="center"/>
          </w:tcPr>
          <w:p>
            <w:pPr>
              <w:jc w:val="center"/>
              <w:rPr>
                <w:rFonts w:ascii="宋体" w:hAnsi="宋体" w:cs="宋体"/>
                <w:color w:val="auto"/>
                <w:highlight w:val="none"/>
              </w:rPr>
            </w:pPr>
            <w:r>
              <w:rPr>
                <w:rFonts w:hint="eastAsia" w:ascii="宋体" w:hAnsi="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noWrap w:val="0"/>
            <w:vAlign w:val="center"/>
          </w:tcPr>
          <w:p>
            <w:pPr>
              <w:rPr>
                <w:rFonts w:ascii="宋体" w:hAnsi="宋体" w:cs="宋体"/>
                <w:color w:val="auto"/>
                <w:highlight w:val="none"/>
              </w:rPr>
            </w:pPr>
            <w:r>
              <w:rPr>
                <w:rFonts w:hint="eastAsia" w:ascii="宋体" w:hAnsi="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noWrap w:val="0"/>
            <w:vAlign w:val="center"/>
          </w:tcPr>
          <w:p>
            <w:pPr>
              <w:rPr>
                <w:rFonts w:ascii="宋体" w:hAnsi="宋体" w:cs="宋体"/>
                <w:color w:val="auto"/>
                <w:highlight w:val="none"/>
              </w:rPr>
            </w:pPr>
            <w:r>
              <w:rPr>
                <w:rFonts w:hint="eastAsia" w:ascii="宋体" w:hAnsi="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p>
    <w:p>
      <w:pPr>
        <w:numPr>
          <w:ilvl w:val="0"/>
          <w:numId w:val="6"/>
        </w:numPr>
        <w:rPr>
          <w:rFonts w:ascii="宋体" w:hAnsi="宋体"/>
          <w:color w:val="auto"/>
          <w:szCs w:val="21"/>
          <w:highlight w:val="none"/>
        </w:rPr>
      </w:pPr>
      <w:r>
        <w:rPr>
          <w:rFonts w:hint="eastAsia" w:ascii="宋体" w:hAnsi="宋体"/>
          <w:color w:val="auto"/>
          <w:szCs w:val="21"/>
          <w:highlight w:val="none"/>
        </w:rPr>
        <w:t>该表格为参考格式，供应商可按实际情况自行制订评分标准索引表。</w:t>
      </w:r>
    </w:p>
    <w:p>
      <w:pPr>
        <w:pStyle w:val="11"/>
        <w:spacing w:before="0"/>
        <w:ind w:left="0"/>
        <w:rPr>
          <w:color w:val="auto"/>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pPr>
        <w:jc w:val="center"/>
        <w:rPr>
          <w:rFonts w:ascii="黑体" w:eastAsia="黑体"/>
          <w:color w:val="auto"/>
          <w:sz w:val="52"/>
          <w:szCs w:val="52"/>
          <w:highlight w:val="none"/>
        </w:rPr>
      </w:pPr>
      <w:bookmarkStart w:id="204" w:name="_Toc30918"/>
      <w:bookmarkStart w:id="205" w:name="_Toc18450"/>
      <w:bookmarkStart w:id="206" w:name="_Toc21746"/>
      <w:bookmarkStart w:id="207" w:name="_Toc20335"/>
      <w:bookmarkStart w:id="208" w:name="_Toc28154"/>
    </w:p>
    <w:p>
      <w:pPr>
        <w:pStyle w:val="2"/>
        <w:spacing w:before="0" w:after="0" w:line="360" w:lineRule="auto"/>
        <w:jc w:val="center"/>
        <w:rPr>
          <w:color w:val="auto"/>
          <w:sz w:val="72"/>
          <w:szCs w:val="72"/>
          <w:highlight w:val="none"/>
        </w:rPr>
      </w:pPr>
      <w:bookmarkStart w:id="209" w:name="_Toc32177"/>
      <w:bookmarkStart w:id="210" w:name="_Toc20701"/>
      <w:r>
        <w:rPr>
          <w:rFonts w:hint="eastAsia"/>
          <w:color w:val="auto"/>
          <w:sz w:val="72"/>
          <w:szCs w:val="72"/>
          <w:highlight w:val="none"/>
        </w:rPr>
        <w:t>价格文件</w:t>
      </w:r>
      <w:bookmarkEnd w:id="204"/>
      <w:bookmarkEnd w:id="205"/>
      <w:bookmarkEnd w:id="209"/>
      <w:bookmarkEnd w:id="210"/>
      <w:bookmarkStart w:id="211" w:name="_Hlt10519799"/>
      <w:bookmarkEnd w:id="211"/>
      <w:bookmarkStart w:id="212" w:name="_Hlt10456397"/>
      <w:bookmarkEnd w:id="212"/>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206"/>
      <w:bookmarkEnd w:id="207"/>
      <w:bookmarkEnd w:id="208"/>
    </w:p>
    <w:p>
      <w:pPr>
        <w:rPr>
          <w:color w:val="auto"/>
          <w:highlight w:val="none"/>
        </w:rPr>
      </w:pPr>
    </w:p>
    <w:p>
      <w:pPr>
        <w:pStyle w:val="11"/>
        <w:rPr>
          <w:color w:val="auto"/>
          <w:highlight w:val="none"/>
        </w:rPr>
      </w:pPr>
    </w:p>
    <w:p>
      <w:pPr>
        <w:pStyle w:val="10"/>
        <w:spacing w:before="0" w:after="0"/>
        <w:ind w:left="0"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0"/>
        </w:rPr>
        <w:t>项目名</w:t>
      </w:r>
      <w:r>
        <w:rPr>
          <w:rFonts w:hint="eastAsia" w:ascii="宋体" w:hAnsi="宋体" w:cs="宋体"/>
          <w:b/>
          <w:bCs/>
          <w:color w:val="auto"/>
          <w:spacing w:val="1"/>
          <w:kern w:val="0"/>
          <w:sz w:val="32"/>
          <w:szCs w:val="32"/>
          <w:highlight w:val="none"/>
          <w:fitText w:val="1600" w:id="0"/>
        </w:rPr>
        <w:t>称</w:t>
      </w:r>
      <w:r>
        <w:rPr>
          <w:rFonts w:hint="eastAsia" w:ascii="宋体" w:hAnsi="宋体" w:cs="宋体"/>
          <w:b/>
          <w:bCs/>
          <w:color w:val="auto"/>
          <w:spacing w:val="-6"/>
          <w:sz w:val="32"/>
          <w:szCs w:val="32"/>
          <w:highlight w:val="none"/>
        </w:rPr>
        <w:t>：</w:t>
      </w:r>
    </w:p>
    <w:p>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1"/>
        </w:rPr>
        <w:t>项目编</w:t>
      </w:r>
      <w:r>
        <w:rPr>
          <w:rFonts w:hint="eastAsia" w:ascii="宋体" w:hAnsi="宋体" w:cs="宋体"/>
          <w:b/>
          <w:bCs/>
          <w:color w:val="auto"/>
          <w:spacing w:val="1"/>
          <w:kern w:val="0"/>
          <w:sz w:val="32"/>
          <w:szCs w:val="32"/>
          <w:highlight w:val="none"/>
          <w:fitText w:val="1600" w:id="1"/>
        </w:rPr>
        <w:t>号</w:t>
      </w:r>
      <w:r>
        <w:rPr>
          <w:rFonts w:hint="eastAsia" w:ascii="宋体" w:hAnsi="宋体" w:cs="宋体"/>
          <w:b/>
          <w:bCs/>
          <w:color w:val="auto"/>
          <w:sz w:val="32"/>
          <w:szCs w:val="32"/>
          <w:highlight w:val="none"/>
        </w:rPr>
        <w:t>：</w:t>
      </w:r>
    </w:p>
    <w:p>
      <w:pPr>
        <w:pStyle w:val="28"/>
        <w:widowControl/>
        <w:adjustRightInd w:val="0"/>
        <w:snapToGrid w:val="0"/>
        <w:jc w:val="left"/>
        <w:rPr>
          <w:rFonts w:ascii="宋体" w:hAnsi="宋体" w:cs="宋体"/>
          <w:b/>
          <w:color w:val="auto"/>
          <w:spacing w:val="1280"/>
          <w:kern w:val="0"/>
          <w:sz w:val="32"/>
          <w:szCs w:val="32"/>
          <w:highlight w:val="none"/>
        </w:rPr>
      </w:pPr>
      <w:r>
        <w:rPr>
          <w:rFonts w:hint="eastAsia" w:ascii="宋体" w:hAnsi="宋体" w:cs="宋体"/>
          <w:b/>
          <w:color w:val="auto"/>
          <w:spacing w:val="106"/>
          <w:kern w:val="0"/>
          <w:sz w:val="32"/>
          <w:szCs w:val="32"/>
          <w:highlight w:val="none"/>
          <w:lang w:bidi="ar"/>
        </w:rPr>
        <w:t>包组号（如有）：</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
        </w:rPr>
        <w:t>供应商名称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3"/>
        </w:rPr>
        <w:t>日</w:t>
      </w:r>
      <w:r>
        <w:rPr>
          <w:rFonts w:ascii="宋体" w:hAnsi="宋体" w:cs="宋体"/>
          <w:b/>
          <w:color w:val="auto"/>
          <w:spacing w:val="32"/>
          <w:kern w:val="0"/>
          <w:sz w:val="32"/>
          <w:szCs w:val="32"/>
          <w:highlight w:val="none"/>
          <w:fitText w:val="1600" w:id="3"/>
        </w:rPr>
        <w:t xml:space="preserve">    </w:t>
      </w:r>
      <w:r>
        <w:rPr>
          <w:rFonts w:hint="eastAsia" w:ascii="宋体" w:hAnsi="宋体" w:cs="宋体"/>
          <w:b/>
          <w:color w:val="auto"/>
          <w:spacing w:val="0"/>
          <w:kern w:val="0"/>
          <w:sz w:val="32"/>
          <w:szCs w:val="32"/>
          <w:highlight w:val="none"/>
          <w:fitText w:val="1600" w:id="3"/>
        </w:rPr>
        <w:t>期</w:t>
      </w:r>
      <w:r>
        <w:rPr>
          <w:rFonts w:hint="eastAsia" w:ascii="宋体" w:hAnsi="宋体" w:cs="宋体"/>
          <w:b/>
          <w:color w:val="auto"/>
          <w:sz w:val="32"/>
          <w:szCs w:val="32"/>
          <w:highlight w:val="none"/>
        </w:rPr>
        <w:t>：</w:t>
      </w:r>
    </w:p>
    <w:p>
      <w:pPr>
        <w:rPr>
          <w:color w:val="auto"/>
          <w:highlight w:val="none"/>
        </w:rPr>
      </w:pPr>
    </w:p>
    <w:p>
      <w:pPr>
        <w:pStyle w:val="11"/>
        <w:rPr>
          <w:color w:val="auto"/>
          <w:highlight w:val="none"/>
        </w:rPr>
      </w:pPr>
    </w:p>
    <w:p>
      <w:pPr>
        <w:pStyle w:val="10"/>
        <w:ind w:firstLine="240"/>
        <w:rPr>
          <w:color w:val="auto"/>
          <w:highlight w:val="none"/>
        </w:rPr>
      </w:pPr>
    </w:p>
    <w:p>
      <w:pPr>
        <w:pStyle w:val="25"/>
        <w:rPr>
          <w:color w:val="auto"/>
          <w:highlight w:val="none"/>
        </w:rPr>
      </w:pPr>
    </w:p>
    <w:p>
      <w:pPr>
        <w:rPr>
          <w:color w:val="auto"/>
          <w:highlight w:val="none"/>
        </w:rPr>
      </w:pPr>
    </w:p>
    <w:p>
      <w:pPr>
        <w:pStyle w:val="11"/>
        <w:rPr>
          <w:color w:val="auto"/>
          <w:highlight w:val="none"/>
        </w:rPr>
      </w:pPr>
    </w:p>
    <w:p>
      <w:pPr>
        <w:pStyle w:val="10"/>
        <w:ind w:firstLine="240"/>
        <w:rPr>
          <w:color w:val="auto"/>
          <w:highlight w:val="none"/>
        </w:rPr>
      </w:pPr>
    </w:p>
    <w:p>
      <w:pPr>
        <w:pStyle w:val="25"/>
        <w:rPr>
          <w:color w:val="auto"/>
          <w:highlight w:val="none"/>
        </w:rPr>
      </w:pPr>
    </w:p>
    <w:p>
      <w:pPr>
        <w:pStyle w:val="25"/>
        <w:ind w:left="0"/>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pStyle w:val="5"/>
        <w:widowControl w:val="0"/>
        <w:overflowPunct w:val="0"/>
        <w:spacing w:line="240" w:lineRule="auto"/>
        <w:rPr>
          <w:rFonts w:ascii="宋体" w:hAnsi="宋体"/>
          <w:color w:val="auto"/>
          <w:sz w:val="21"/>
          <w:szCs w:val="21"/>
          <w:highlight w:val="none"/>
        </w:rPr>
      </w:pPr>
      <w:bookmarkStart w:id="213" w:name="_Toc9517"/>
      <w:bookmarkStart w:id="214" w:name="_Toc12478"/>
      <w:r>
        <w:rPr>
          <w:rFonts w:hint="eastAsia" w:ascii="宋体" w:hAnsi="宋体"/>
          <w:color w:val="auto"/>
          <w:sz w:val="21"/>
          <w:szCs w:val="21"/>
          <w:highlight w:val="none"/>
        </w:rPr>
        <w:t>附件2.首次</w:t>
      </w:r>
      <w:r>
        <w:rPr>
          <w:rFonts w:ascii="宋体" w:hAnsi="宋体"/>
          <w:color w:val="auto"/>
          <w:sz w:val="21"/>
          <w:szCs w:val="21"/>
          <w:highlight w:val="none"/>
        </w:rPr>
        <w:t>报价</w:t>
      </w:r>
      <w:r>
        <w:rPr>
          <w:rFonts w:hint="eastAsia" w:ascii="宋体" w:hAnsi="宋体"/>
          <w:color w:val="auto"/>
          <w:sz w:val="21"/>
          <w:szCs w:val="21"/>
          <w:highlight w:val="none"/>
        </w:rPr>
        <w:t>一览表格式</w:t>
      </w:r>
      <w:bookmarkEnd w:id="213"/>
      <w:bookmarkEnd w:id="214"/>
    </w:p>
    <w:p>
      <w:pPr>
        <w:jc w:val="center"/>
        <w:rPr>
          <w:rFonts w:ascii="黑体" w:eastAsia="黑体"/>
          <w:color w:val="auto"/>
          <w:sz w:val="32"/>
          <w:szCs w:val="32"/>
          <w:highlight w:val="none"/>
        </w:rPr>
      </w:pPr>
      <w:r>
        <w:rPr>
          <w:rFonts w:hint="eastAsia" w:ascii="黑体" w:eastAsia="黑体"/>
          <w:color w:val="auto"/>
          <w:sz w:val="32"/>
          <w:szCs w:val="32"/>
          <w:highlight w:val="none"/>
        </w:rPr>
        <w:t>首次报价一览表</w:t>
      </w:r>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t>供应商名称：</w:t>
      </w:r>
    </w:p>
    <w:p>
      <w:pPr>
        <w:rPr>
          <w:color w:val="auto"/>
          <w:highlight w:val="none"/>
        </w:rPr>
      </w:pPr>
      <w:r>
        <w:rPr>
          <w:rFonts w:hint="eastAsia" w:ascii="宋体" w:hAnsi="宋体"/>
          <w:color w:val="auto"/>
          <w:szCs w:val="21"/>
          <w:highlight w:val="none"/>
        </w:rPr>
        <w:t>采购项目编号：</w:t>
      </w:r>
    </w:p>
    <w:tbl>
      <w:tblPr>
        <w:tblStyle w:val="3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2928"/>
        <w:gridCol w:w="1602"/>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018"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2928"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含税响应总价（元）</w:t>
            </w:r>
          </w:p>
        </w:tc>
        <w:tc>
          <w:tcPr>
            <w:tcW w:w="1602"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税率</w:t>
            </w:r>
          </w:p>
        </w:tc>
        <w:tc>
          <w:tcPr>
            <w:tcW w:w="1974"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2018" w:type="dxa"/>
            <w:noWrap w:val="0"/>
            <w:vAlign w:val="center"/>
          </w:tcPr>
          <w:p>
            <w:pPr>
              <w:spacing w:line="240" w:lineRule="auto"/>
              <w:jc w:val="center"/>
              <w:rPr>
                <w:rFonts w:ascii="宋体" w:hAnsi="宋体" w:cs="宋体"/>
                <w:color w:val="auto"/>
                <w:szCs w:val="21"/>
                <w:highlight w:val="none"/>
              </w:rPr>
            </w:pPr>
          </w:p>
        </w:tc>
        <w:tc>
          <w:tcPr>
            <w:tcW w:w="2928" w:type="dxa"/>
            <w:noWrap w:val="0"/>
            <w:vAlign w:val="center"/>
          </w:tcPr>
          <w:p>
            <w:pPr>
              <w:rPr>
                <w:rFonts w:ascii="宋体" w:hAnsi="宋体" w:cs="宋体"/>
                <w:color w:val="auto"/>
                <w:szCs w:val="21"/>
                <w:highlight w:val="none"/>
                <w:u w:val="singl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p>
          <w:p>
            <w:pPr>
              <w:rPr>
                <w:rFonts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c>
          <w:tcPr>
            <w:tcW w:w="1602" w:type="dxa"/>
            <w:noWrap w:val="0"/>
            <w:vAlign w:val="center"/>
          </w:tcPr>
          <w:p>
            <w:pPr>
              <w:pStyle w:val="66"/>
              <w:jc w:val="center"/>
              <w:rPr>
                <w:rFonts w:hAnsi="宋体"/>
                <w:color w:val="auto"/>
                <w:sz w:val="21"/>
                <w:szCs w:val="21"/>
                <w:highlight w:val="none"/>
              </w:rPr>
            </w:pPr>
          </w:p>
        </w:tc>
        <w:tc>
          <w:tcPr>
            <w:tcW w:w="1974" w:type="dxa"/>
            <w:noWrap w:val="0"/>
            <w:vAlign w:val="center"/>
          </w:tcPr>
          <w:p>
            <w:pPr>
              <w:pStyle w:val="66"/>
              <w:jc w:val="center"/>
              <w:rPr>
                <w:rFonts w:hAnsi="宋体"/>
                <w:color w:val="auto"/>
                <w:sz w:val="21"/>
                <w:szCs w:val="21"/>
                <w:highlight w:val="none"/>
              </w:rPr>
            </w:pPr>
          </w:p>
        </w:tc>
      </w:tr>
    </w:tbl>
    <w:p>
      <w:pPr>
        <w:rPr>
          <w:rFonts w:ascii="宋体" w:hAnsi="宋体"/>
          <w:color w:val="auto"/>
          <w:szCs w:val="21"/>
          <w:highlight w:val="none"/>
        </w:rPr>
      </w:pPr>
    </w:p>
    <w:p>
      <w:pPr>
        <w:ind w:firstLine="359" w:firstLineChars="171"/>
        <w:rPr>
          <w:rFonts w:ascii="宋体" w:hAnsi="宋体"/>
          <w:color w:val="auto"/>
          <w:szCs w:val="21"/>
          <w:highlight w:val="none"/>
        </w:rPr>
      </w:pPr>
    </w:p>
    <w:p>
      <w:pPr>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pPr>
        <w:ind w:firstLine="359" w:firstLineChars="171"/>
        <w:rPr>
          <w:rFonts w:ascii="宋体" w:hAnsi="宋体"/>
          <w:color w:val="auto"/>
          <w:szCs w:val="21"/>
          <w:highlight w:val="none"/>
        </w:rPr>
      </w:pPr>
      <w:r>
        <w:rPr>
          <w:rFonts w:hint="eastAsia" w:ascii="宋体" w:hAnsi="宋体"/>
          <w:color w:val="auto"/>
          <w:szCs w:val="21"/>
          <w:highlight w:val="none"/>
        </w:rPr>
        <w:t>供应商盖章：</w:t>
      </w:r>
    </w:p>
    <w:p>
      <w:pPr>
        <w:ind w:firstLine="359" w:firstLineChars="171"/>
        <w:rPr>
          <w:rFonts w:ascii="宋体" w:hAnsi="宋体"/>
          <w:color w:val="auto"/>
          <w:szCs w:val="21"/>
          <w:highlight w:val="none"/>
        </w:rPr>
      </w:pPr>
      <w:r>
        <w:rPr>
          <w:rFonts w:hint="eastAsia" w:ascii="宋体" w:hAnsi="宋体"/>
          <w:color w:val="auto"/>
          <w:szCs w:val="21"/>
          <w:highlight w:val="none"/>
        </w:rPr>
        <w:t>日期：</w:t>
      </w:r>
    </w:p>
    <w:p>
      <w:pPr>
        <w:ind w:firstLine="359" w:firstLineChars="171"/>
        <w:rPr>
          <w:rFonts w:ascii="宋体" w:hAnsi="宋体"/>
          <w:color w:val="auto"/>
          <w:szCs w:val="21"/>
          <w:highlight w:val="none"/>
        </w:rPr>
      </w:pPr>
    </w:p>
    <w:p>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pPr>
        <w:ind w:firstLine="420" w:firstLineChars="200"/>
        <w:rPr>
          <w:rFonts w:ascii="宋体" w:hAnsi="宋体"/>
          <w:color w:val="auto"/>
          <w:szCs w:val="21"/>
          <w:highlight w:val="none"/>
        </w:rPr>
      </w:pPr>
      <w:r>
        <w:rPr>
          <w:rFonts w:hint="eastAsia" w:ascii="宋体" w:hAnsi="宋体"/>
          <w:color w:val="auto"/>
          <w:szCs w:val="21"/>
          <w:highlight w:val="none"/>
        </w:rPr>
        <w:t>1、响应总价栏须</w:t>
      </w:r>
      <w:r>
        <w:rPr>
          <w:rFonts w:ascii="宋体" w:hAnsi="宋体"/>
          <w:color w:val="auto"/>
          <w:szCs w:val="21"/>
          <w:highlight w:val="none"/>
        </w:rPr>
        <w:t>用</w:t>
      </w:r>
      <w:r>
        <w:rPr>
          <w:rFonts w:hint="eastAsia" w:ascii="宋体" w:hAnsi="宋体"/>
          <w:color w:val="auto"/>
          <w:szCs w:val="21"/>
          <w:highlight w:val="none"/>
        </w:rPr>
        <w:t>大写金额和小写金额两种方式</w:t>
      </w:r>
      <w:r>
        <w:rPr>
          <w:rFonts w:ascii="宋体" w:hAnsi="宋体"/>
          <w:color w:val="auto"/>
          <w:szCs w:val="21"/>
          <w:highlight w:val="none"/>
        </w:rPr>
        <w:t>表示的</w:t>
      </w:r>
      <w:r>
        <w:rPr>
          <w:rFonts w:hint="eastAsia" w:ascii="宋体" w:hAnsi="宋体"/>
          <w:color w:val="auto"/>
          <w:szCs w:val="21"/>
          <w:highlight w:val="none"/>
        </w:rPr>
        <w:t>磋商</w:t>
      </w:r>
      <w:r>
        <w:rPr>
          <w:rFonts w:ascii="宋体" w:hAnsi="宋体"/>
          <w:color w:val="auto"/>
          <w:szCs w:val="21"/>
          <w:highlight w:val="none"/>
        </w:rPr>
        <w:t>总价</w:t>
      </w:r>
      <w:r>
        <w:rPr>
          <w:rFonts w:hint="eastAsia" w:ascii="宋体" w:hAnsi="宋体"/>
          <w:color w:val="auto"/>
          <w:szCs w:val="21"/>
          <w:highlight w:val="none"/>
        </w:rPr>
        <w:t>，报价保留小数点后两位。响应总价大小写不一致，以大写为准。响应总价必须准确唯一且应包含磋商文件要求的所有费用。</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2、温馨提示：未按磋商文件要求报价、填写首次报价一览表是导致供应商废标的常见问题，请供应商仔细填写，认真核对。</w:t>
      </w:r>
    </w:p>
    <w:p>
      <w:pPr>
        <w:ind w:firstLine="0" w:firstLineChars="0"/>
        <w:rPr>
          <w:rFonts w:hint="eastAsia" w:ascii="宋体" w:hAnsi="宋体"/>
          <w:color w:val="auto"/>
          <w:szCs w:val="21"/>
          <w:highlight w:val="none"/>
        </w:rPr>
      </w:pPr>
      <w:r>
        <w:rPr>
          <w:rFonts w:hint="eastAsia" w:ascii="宋体" w:hAnsi="宋体"/>
          <w:color w:val="auto"/>
          <w:szCs w:val="21"/>
          <w:highlight w:val="none"/>
        </w:rPr>
        <w:br w:type="page"/>
      </w:r>
    </w:p>
    <w:p>
      <w:pPr>
        <w:pStyle w:val="5"/>
        <w:widowControl w:val="0"/>
        <w:overflowPunct w:val="0"/>
        <w:spacing w:line="240" w:lineRule="auto"/>
        <w:rPr>
          <w:rFonts w:ascii="宋体" w:hAnsi="宋体"/>
          <w:color w:val="auto"/>
          <w:sz w:val="21"/>
          <w:szCs w:val="21"/>
          <w:highlight w:val="none"/>
        </w:rPr>
      </w:pPr>
      <w:bookmarkStart w:id="215" w:name="_Toc1525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.报价明细表格式</w:t>
      </w:r>
      <w:bookmarkEnd w:id="215"/>
    </w:p>
    <w:p>
      <w:pPr>
        <w:widowControl/>
        <w:adjustRightInd w:val="0"/>
        <w:snapToGrid w:val="0"/>
        <w:spacing w:line="360" w:lineRule="auto"/>
        <w:jc w:val="center"/>
        <w:rPr>
          <w:rFonts w:hint="eastAsia" w:ascii="黑体" w:hAnsi="Tahoma" w:eastAsia="黑体" w:cs="Times New Roman"/>
          <w:color w:val="auto"/>
          <w:kern w:val="0"/>
          <w:sz w:val="32"/>
          <w:szCs w:val="32"/>
          <w:highlight w:val="none"/>
          <w:lang w:val="en-US" w:eastAsia="zh-CN"/>
        </w:rPr>
      </w:pPr>
      <w:r>
        <w:rPr>
          <w:rFonts w:hint="eastAsia" w:ascii="黑体" w:hAnsi="Tahoma" w:eastAsia="黑体" w:cs="Times New Roman"/>
          <w:color w:val="auto"/>
          <w:kern w:val="0"/>
          <w:sz w:val="32"/>
          <w:szCs w:val="32"/>
          <w:highlight w:val="none"/>
          <w:lang w:val="en-US" w:eastAsia="zh-CN"/>
        </w:rPr>
        <w:t>报价明细表</w:t>
      </w:r>
    </w:p>
    <w:p>
      <w:pPr>
        <w:spacing w:line="360" w:lineRule="auto"/>
        <w:rPr>
          <w:rFonts w:ascii="宋体" w:hAnsi="宋体"/>
          <w:color w:val="auto"/>
          <w:szCs w:val="21"/>
          <w:highlight w:val="none"/>
        </w:rPr>
      </w:pPr>
      <w:r>
        <w:rPr>
          <w:rFonts w:hint="eastAsia" w:ascii="宋体" w:hAnsi="宋体"/>
          <w:color w:val="auto"/>
          <w:szCs w:val="21"/>
          <w:highlight w:val="none"/>
        </w:rPr>
        <w:t>供应商名称：</w:t>
      </w:r>
    </w:p>
    <w:p>
      <w:pPr>
        <w:spacing w:line="360" w:lineRule="auto"/>
        <w:jc w:val="both"/>
        <w:rPr>
          <w:rFonts w:hint="eastAsia" w:ascii="宋体" w:hAnsi="宋体"/>
          <w:color w:val="auto"/>
          <w:szCs w:val="21"/>
          <w:highlight w:val="none"/>
        </w:rPr>
      </w:pPr>
      <w:r>
        <w:rPr>
          <w:rFonts w:hint="eastAsia" w:ascii="宋体" w:hAnsi="宋体"/>
          <w:color w:val="auto"/>
          <w:szCs w:val="21"/>
          <w:highlight w:val="none"/>
        </w:rPr>
        <w:t>采购项目编号：</w:t>
      </w:r>
    </w:p>
    <w:p>
      <w:pPr>
        <w:spacing w:line="360" w:lineRule="auto"/>
        <w:jc w:val="right"/>
        <w:rPr>
          <w:color w:val="auto"/>
          <w:highlight w:val="none"/>
        </w:rPr>
      </w:pPr>
      <w:r>
        <w:rPr>
          <w:rFonts w:hint="eastAsia" w:ascii="宋体" w:hAnsi="宋体"/>
          <w:color w:val="auto"/>
          <w:szCs w:val="21"/>
          <w:highlight w:val="none"/>
        </w:rPr>
        <w:t>[货币单位：人民币元]</w:t>
      </w:r>
    </w:p>
    <w:tbl>
      <w:tblPr>
        <w:tblStyle w:val="35"/>
        <w:tblW w:w="8336" w:type="dxa"/>
        <w:tblInd w:w="0" w:type="dxa"/>
        <w:shd w:val="clear" w:color="auto" w:fill="auto"/>
        <w:tblLayout w:type="fixed"/>
        <w:tblCellMar>
          <w:top w:w="0" w:type="dxa"/>
          <w:left w:w="0" w:type="dxa"/>
          <w:bottom w:w="0" w:type="dxa"/>
          <w:right w:w="0" w:type="dxa"/>
        </w:tblCellMar>
      </w:tblPr>
      <w:tblGrid>
        <w:gridCol w:w="467"/>
        <w:gridCol w:w="2789"/>
        <w:gridCol w:w="754"/>
        <w:gridCol w:w="1233"/>
        <w:gridCol w:w="1031"/>
        <w:gridCol w:w="1031"/>
        <w:gridCol w:w="1031"/>
      </w:tblGrid>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项目内容</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工作量</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含税单价</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含税总价</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Style w:val="89"/>
                <w:rFonts w:hint="eastAsia" w:ascii="宋体" w:hAnsi="宋体" w:eastAsia="宋体" w:cs="宋体"/>
                <w:lang w:val="en-US" w:eastAsia="zh-CN" w:bidi="ar"/>
              </w:rPr>
              <w:t>1:500</w:t>
            </w:r>
            <w:r>
              <w:rPr>
                <w:rStyle w:val="90"/>
                <w:rFonts w:hint="eastAsia" w:ascii="宋体" w:hAnsi="宋体" w:eastAsia="宋体" w:cs="宋体"/>
                <w:lang w:val="en-US" w:eastAsia="zh-CN" w:bidi="ar"/>
              </w:rPr>
              <w:t>地形测量</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幅</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Style w:val="89"/>
                <w:rFonts w:hint="eastAsia" w:ascii="宋体" w:hAnsi="宋体" w:eastAsia="宋体" w:cs="宋体"/>
                <w:lang w:val="en-US" w:eastAsia="zh-CN" w:bidi="ar"/>
              </w:rPr>
              <w:t>GPS E</w:t>
            </w:r>
            <w:r>
              <w:rPr>
                <w:rStyle w:val="90"/>
                <w:rFonts w:hint="eastAsia" w:ascii="宋体" w:hAnsi="宋体" w:eastAsia="宋体" w:cs="宋体"/>
                <w:lang w:val="en-US" w:eastAsia="zh-CN" w:bidi="ar"/>
              </w:rPr>
              <w:t>级控制点</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建筑物分类、统计及面积测算</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Style w:val="89"/>
                <w:rFonts w:hint="eastAsia" w:ascii="宋体" w:hAnsi="宋体" w:eastAsia="宋体" w:cs="宋体"/>
                <w:lang w:val="en-US" w:eastAsia="zh-CN" w:bidi="ar"/>
              </w:rPr>
              <w:t>m</w:t>
            </w:r>
            <w:r>
              <w:rPr>
                <w:rStyle w:val="90"/>
                <w:rFonts w:hint="eastAsia" w:ascii="宋体" w:hAnsi="宋体" w:eastAsia="宋体" w:cs="宋体"/>
                <w:lang w:val="en-US" w:eastAsia="zh-CN" w:bidi="ar"/>
              </w:rPr>
              <w:t>²</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386996.60 </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不动产权属整合及图件</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Style w:val="89"/>
                <w:rFonts w:hint="eastAsia" w:ascii="宋体" w:hAnsi="宋体" w:eastAsia="宋体" w:cs="宋体"/>
                <w:lang w:val="en-US" w:eastAsia="zh-CN" w:bidi="ar"/>
              </w:rPr>
              <w:t>m</w:t>
            </w:r>
            <w:r>
              <w:rPr>
                <w:rStyle w:val="90"/>
                <w:rFonts w:hint="eastAsia" w:ascii="宋体" w:hAnsi="宋体" w:eastAsia="宋体" w:cs="宋体"/>
                <w:lang w:val="en-US" w:eastAsia="zh-CN" w:bidi="ar"/>
              </w:rPr>
              <w:t>²</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351815.09 </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无人机航空摄影测量</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幅</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航摄片控制点连测</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房屋测绘（建筑物面积测绘）</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房屋附属物测量及青苗清点（含地面构筑物）</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m²</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386996.60 </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点、线、块状构筑物、附属物</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600.00 </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文字成果编写</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 </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成果组卷</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 </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67" w:hRule="atLeast"/>
        </w:trPr>
        <w:tc>
          <w:tcPr>
            <w:tcW w:w="627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hint="eastAsia" w:ascii="宋体" w:hAnsi="宋体" w:eastAsia="宋体" w:cs="宋体"/>
                <w:i w:val="0"/>
                <w:color w:val="000000"/>
                <w:sz w:val="19"/>
                <w:szCs w:val="19"/>
                <w:u w:val="none"/>
              </w:rPr>
            </w:pPr>
          </w:p>
        </w:tc>
      </w:tr>
    </w:tbl>
    <w:p>
      <w:pPr>
        <w:spacing w:line="360" w:lineRule="auto"/>
        <w:ind w:left="748" w:hanging="567"/>
        <w:jc w:val="left"/>
        <w:rPr>
          <w:rFonts w:ascii="宋体" w:hAnsi="宋体"/>
          <w:b/>
          <w:bCs/>
          <w:color w:val="auto"/>
          <w:sz w:val="21"/>
          <w:szCs w:val="21"/>
          <w:highlight w:val="none"/>
        </w:rPr>
      </w:pPr>
      <w:r>
        <w:rPr>
          <w:rFonts w:hint="eastAsia" w:ascii="宋体" w:hAnsi="宋体"/>
          <w:b/>
          <w:bCs/>
          <w:color w:val="auto"/>
          <w:sz w:val="21"/>
          <w:szCs w:val="21"/>
          <w:highlight w:val="none"/>
        </w:rPr>
        <w:t>注：以上报价请四舍五入，最多保留2位小数，否则视为无效报价。</w:t>
      </w:r>
    </w:p>
    <w:p>
      <w:pPr>
        <w:spacing w:line="360" w:lineRule="auto"/>
        <w:ind w:firstLine="359" w:firstLineChars="171"/>
        <w:rPr>
          <w:rFonts w:hint="eastAsia" w:ascii="宋体" w:hAnsi="宋体"/>
          <w:color w:val="auto"/>
          <w:szCs w:val="21"/>
          <w:highlight w:val="none"/>
        </w:rPr>
      </w:pP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供应商盖章：</w:t>
      </w: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日期：</w:t>
      </w:r>
    </w:p>
    <w:p>
      <w:pPr>
        <w:ind w:firstLine="0" w:firstLineChars="0"/>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br w:type="page"/>
      </w:r>
    </w:p>
    <w:p>
      <w:pPr>
        <w:rPr>
          <w:color w:val="auto"/>
          <w:sz w:val="52"/>
          <w:szCs w:val="52"/>
          <w:highlight w:val="none"/>
        </w:rPr>
      </w:pPr>
    </w:p>
    <w:p>
      <w:pPr>
        <w:outlineLvl w:val="9"/>
        <w:rPr>
          <w:color w:val="auto"/>
          <w:highlight w:val="none"/>
        </w:rPr>
      </w:pPr>
    </w:p>
    <w:p>
      <w:pPr>
        <w:pStyle w:val="2"/>
        <w:spacing w:before="0" w:after="0" w:line="360" w:lineRule="auto"/>
        <w:jc w:val="center"/>
        <w:rPr>
          <w:color w:val="auto"/>
          <w:sz w:val="72"/>
          <w:szCs w:val="72"/>
          <w:highlight w:val="none"/>
        </w:rPr>
      </w:pPr>
      <w:bookmarkStart w:id="216" w:name="_Toc14451"/>
      <w:bookmarkStart w:id="217" w:name="_Toc8925"/>
      <w:r>
        <w:rPr>
          <w:rFonts w:hint="eastAsia"/>
          <w:color w:val="auto"/>
          <w:sz w:val="72"/>
          <w:szCs w:val="72"/>
          <w:highlight w:val="none"/>
        </w:rPr>
        <w:t>商务文件</w:t>
      </w:r>
      <w:bookmarkEnd w:id="216"/>
      <w:bookmarkEnd w:id="217"/>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rPr>
          <w:color w:val="auto"/>
          <w:highlight w:val="none"/>
        </w:rPr>
      </w:pPr>
    </w:p>
    <w:p>
      <w:pPr>
        <w:pStyle w:val="11"/>
        <w:rPr>
          <w:color w:val="auto"/>
          <w:highlight w:val="none"/>
        </w:rPr>
      </w:pPr>
    </w:p>
    <w:p>
      <w:pPr>
        <w:pStyle w:val="10"/>
        <w:ind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4"/>
        </w:rPr>
        <w:t>项目名</w:t>
      </w:r>
      <w:r>
        <w:rPr>
          <w:rFonts w:hint="eastAsia" w:ascii="宋体" w:hAnsi="宋体" w:cs="宋体"/>
          <w:b/>
          <w:bCs/>
          <w:color w:val="auto"/>
          <w:spacing w:val="1"/>
          <w:kern w:val="0"/>
          <w:sz w:val="32"/>
          <w:szCs w:val="32"/>
          <w:highlight w:val="none"/>
          <w:fitText w:val="1600" w:id="4"/>
        </w:rPr>
        <w:t>称</w:t>
      </w:r>
      <w:r>
        <w:rPr>
          <w:rFonts w:hint="eastAsia" w:ascii="宋体" w:hAnsi="宋体" w:cs="宋体"/>
          <w:b/>
          <w:bCs/>
          <w:color w:val="auto"/>
          <w:spacing w:val="-6"/>
          <w:sz w:val="32"/>
          <w:szCs w:val="32"/>
          <w:highlight w:val="none"/>
        </w:rPr>
        <w:t>：</w:t>
      </w:r>
    </w:p>
    <w:p>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5"/>
        </w:rPr>
        <w:t>项目编</w:t>
      </w:r>
      <w:r>
        <w:rPr>
          <w:rFonts w:hint="eastAsia" w:ascii="宋体" w:hAnsi="宋体" w:cs="宋体"/>
          <w:b/>
          <w:bCs/>
          <w:color w:val="auto"/>
          <w:spacing w:val="1"/>
          <w:kern w:val="0"/>
          <w:sz w:val="32"/>
          <w:szCs w:val="32"/>
          <w:highlight w:val="none"/>
          <w:fitText w:val="1600" w:id="5"/>
        </w:rPr>
        <w:t>号</w:t>
      </w:r>
      <w:r>
        <w:rPr>
          <w:rFonts w:hint="eastAsia" w:ascii="宋体" w:hAnsi="宋体" w:cs="宋体"/>
          <w:b/>
          <w:bCs/>
          <w:color w:val="auto"/>
          <w:sz w:val="32"/>
          <w:szCs w:val="32"/>
          <w:highlight w:val="none"/>
        </w:rPr>
        <w:t>：</w:t>
      </w:r>
    </w:p>
    <w:p>
      <w:pPr>
        <w:rPr>
          <w:b/>
          <w:color w:val="auto"/>
          <w:spacing w:val="1280"/>
          <w:sz w:val="32"/>
          <w:szCs w:val="32"/>
          <w:highlight w:val="none"/>
        </w:rPr>
      </w:pPr>
      <w:r>
        <w:rPr>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6"/>
        </w:rPr>
        <w:t>供应商名称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7"/>
        </w:rPr>
        <w:t>日</w:t>
      </w:r>
      <w:r>
        <w:rPr>
          <w:rFonts w:ascii="宋体" w:hAnsi="宋体" w:cs="宋体"/>
          <w:b/>
          <w:color w:val="auto"/>
          <w:spacing w:val="32"/>
          <w:kern w:val="0"/>
          <w:sz w:val="32"/>
          <w:szCs w:val="32"/>
          <w:highlight w:val="none"/>
          <w:fitText w:val="1600" w:id="7"/>
        </w:rPr>
        <w:t xml:space="preserve">    </w:t>
      </w:r>
      <w:r>
        <w:rPr>
          <w:rFonts w:hint="eastAsia" w:ascii="宋体" w:hAnsi="宋体" w:cs="宋体"/>
          <w:b/>
          <w:color w:val="auto"/>
          <w:spacing w:val="0"/>
          <w:kern w:val="0"/>
          <w:sz w:val="32"/>
          <w:szCs w:val="32"/>
          <w:highlight w:val="none"/>
          <w:fitText w:val="1600" w:id="7"/>
        </w:rPr>
        <w:t>期</w:t>
      </w:r>
      <w:r>
        <w:rPr>
          <w:rFonts w:hint="eastAsia" w:ascii="宋体" w:hAnsi="宋体" w:cs="宋体"/>
          <w:b/>
          <w:color w:val="auto"/>
          <w:sz w:val="32"/>
          <w:szCs w:val="32"/>
          <w:highlight w:val="none"/>
        </w:rPr>
        <w:t>：</w:t>
      </w:r>
    </w:p>
    <w:p>
      <w:pPr>
        <w:pStyle w:val="11"/>
        <w:rPr>
          <w:b/>
          <w:color w:val="auto"/>
          <w:sz w:val="32"/>
          <w:szCs w:val="32"/>
          <w:highlight w:val="none"/>
        </w:rPr>
      </w:pPr>
    </w:p>
    <w:p>
      <w:pPr>
        <w:pStyle w:val="10"/>
        <w:ind w:firstLine="321"/>
        <w:rPr>
          <w:b/>
          <w:color w:val="auto"/>
          <w:sz w:val="32"/>
          <w:szCs w:val="32"/>
          <w:highlight w:val="none"/>
        </w:rPr>
      </w:pPr>
    </w:p>
    <w:p>
      <w:pPr>
        <w:pStyle w:val="25"/>
        <w:rPr>
          <w:rFonts w:ascii="宋体" w:hAnsi="宋体" w:cs="宋体"/>
          <w:b/>
          <w:color w:val="auto"/>
          <w:sz w:val="32"/>
          <w:szCs w:val="32"/>
          <w:highlight w:val="none"/>
        </w:rPr>
      </w:pPr>
    </w:p>
    <w:p>
      <w:pPr>
        <w:rPr>
          <w:rFonts w:ascii="宋体" w:hAnsi="宋体" w:cs="宋体"/>
          <w:b/>
          <w:color w:val="auto"/>
          <w:sz w:val="32"/>
          <w:szCs w:val="32"/>
          <w:highlight w:val="none"/>
        </w:rPr>
      </w:pPr>
    </w:p>
    <w:p>
      <w:pPr>
        <w:pStyle w:val="11"/>
        <w:rPr>
          <w:b/>
          <w:color w:val="auto"/>
          <w:sz w:val="32"/>
          <w:szCs w:val="32"/>
          <w:highlight w:val="none"/>
        </w:rPr>
      </w:pPr>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pStyle w:val="5"/>
        <w:widowControl w:val="0"/>
        <w:overflowPunct w:val="0"/>
        <w:spacing w:line="240" w:lineRule="auto"/>
        <w:rPr>
          <w:color w:val="auto"/>
          <w:highlight w:val="none"/>
        </w:rPr>
      </w:pPr>
      <w:bookmarkStart w:id="218" w:name="_Toc15677"/>
      <w:bookmarkStart w:id="219" w:name="_Toc2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.响应书格式</w:t>
      </w:r>
      <w:bookmarkEnd w:id="218"/>
      <w:bookmarkEnd w:id="219"/>
    </w:p>
    <w:p>
      <w:pPr>
        <w:jc w:val="center"/>
        <w:rPr>
          <w:rFonts w:ascii="宋体" w:hAnsi="宋体"/>
          <w:color w:val="auto"/>
          <w:szCs w:val="21"/>
          <w:highlight w:val="none"/>
        </w:rPr>
      </w:pPr>
      <w:r>
        <w:rPr>
          <w:rFonts w:hint="eastAsia" w:ascii="黑体" w:eastAsia="黑体"/>
          <w:color w:val="auto"/>
          <w:sz w:val="32"/>
          <w:szCs w:val="32"/>
          <w:highlight w:val="none"/>
        </w:rPr>
        <w:t>响应书</w:t>
      </w: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广西同泽工程项目管理股份有限公司</w:t>
      </w:r>
      <w:r>
        <w:rPr>
          <w:rFonts w:hint="eastAsia" w:ascii="宋体" w:hAnsi="宋体"/>
          <w:color w:val="auto"/>
          <w:szCs w:val="21"/>
          <w:highlight w:val="none"/>
        </w:rPr>
        <w:t>：</w:t>
      </w:r>
    </w:p>
    <w:p>
      <w:pPr>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项目磋商公告，签字代表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经正式授权并代表供应商</w:t>
      </w:r>
      <w:r>
        <w:rPr>
          <w:rFonts w:hint="eastAsia" w:ascii="宋体" w:hAnsi="宋体"/>
          <w:color w:val="auto"/>
          <w:szCs w:val="21"/>
          <w:highlight w:val="none"/>
          <w:u w:val="single"/>
        </w:rPr>
        <w:t>（供应商名称、地址）</w:t>
      </w:r>
      <w:r>
        <w:rPr>
          <w:rFonts w:hint="eastAsia" w:ascii="宋体" w:hAnsi="宋体"/>
          <w:color w:val="auto"/>
          <w:szCs w:val="21"/>
          <w:highlight w:val="none"/>
        </w:rPr>
        <w:t>提交响应文件及“唱标信封”：</w:t>
      </w:r>
    </w:p>
    <w:p>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我方将按磋商文件的规定履行合同责任和义务。 </w:t>
      </w:r>
    </w:p>
    <w:p>
      <w:pPr>
        <w:widowControl w:val="0"/>
        <w:numPr>
          <w:ilvl w:val="0"/>
          <w:numId w:val="7"/>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磋商文件的所有内容（包括澄清，以及所有已提供的参考资料和有关附件），并完全理解上述文件所表达的意思，该项目递交响应文件时间截止后，我方承诺不再对上述文件内容进行异议。</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本磋商有效期为自开标日起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我方保证遵守供应商须知中关于没收磋商保证金的规定。</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供应商邀请中所要求的资格条件，已清楚磋商文件所有要求及有关规定；并承诺参加本次采购活动中，如有违法、违规、弄虚作假行为，所造成的损失、不良后果及法律责任，一律由我方承担；</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我方同意提供按照贵方可能要求的与其磋商有关的一切数据或资料。</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与本磋商有关的一切正式信函请寄：</w:t>
      </w:r>
    </w:p>
    <w:p>
      <w:pPr>
        <w:rPr>
          <w:rFonts w:ascii="宋体" w:hAnsi="宋体"/>
          <w:color w:val="auto"/>
          <w:szCs w:val="21"/>
          <w:highlight w:val="none"/>
        </w:rPr>
      </w:pPr>
      <w:r>
        <w:rPr>
          <w:rFonts w:hint="eastAsia" w:ascii="宋体" w:hAnsi="宋体"/>
          <w:color w:val="auto"/>
          <w:szCs w:val="21"/>
          <w:highlight w:val="none"/>
        </w:rPr>
        <w:t>地址：　　　　　　　　　　　　　　　　　　　 电子邮箱：</w:t>
      </w:r>
    </w:p>
    <w:p>
      <w:pPr>
        <w:rPr>
          <w:rFonts w:ascii="宋体" w:hAnsi="宋体"/>
          <w:color w:val="auto"/>
          <w:szCs w:val="21"/>
          <w:highlight w:val="none"/>
        </w:rPr>
      </w:pPr>
      <w:r>
        <w:rPr>
          <w:rFonts w:hint="eastAsia" w:ascii="宋体" w:hAnsi="宋体"/>
          <w:color w:val="auto"/>
          <w:szCs w:val="21"/>
          <w:highlight w:val="none"/>
        </w:rPr>
        <w:t>电话/移动电话：　　　　　　　　　　　　　　　</w:t>
      </w:r>
    </w:p>
    <w:p>
      <w:pPr>
        <w:rPr>
          <w:rFonts w:ascii="宋体" w:hAnsi="宋体"/>
          <w:color w:val="auto"/>
          <w:szCs w:val="21"/>
          <w:highlight w:val="none"/>
        </w:rPr>
      </w:pPr>
      <w:r>
        <w:rPr>
          <w:rFonts w:hint="eastAsia" w:ascii="宋体" w:hAnsi="宋体"/>
          <w:color w:val="auto"/>
          <w:szCs w:val="21"/>
          <w:highlight w:val="none"/>
        </w:rPr>
        <w:t xml:space="preserve">供应商法定代表人（或其授权代表）签字： </w:t>
      </w:r>
    </w:p>
    <w:p>
      <w:pPr>
        <w:rPr>
          <w:rFonts w:ascii="宋体" w:hAnsi="宋体"/>
          <w:color w:val="auto"/>
          <w:szCs w:val="21"/>
          <w:highlight w:val="none"/>
        </w:rPr>
      </w:pPr>
      <w:r>
        <w:rPr>
          <w:rFonts w:hint="eastAsia" w:ascii="宋体" w:hAnsi="宋体"/>
          <w:color w:val="auto"/>
          <w:szCs w:val="21"/>
          <w:highlight w:val="none"/>
        </w:rPr>
        <w:t xml:space="preserve">供应商名称（全称）： </w:t>
      </w:r>
    </w:p>
    <w:p>
      <w:pPr>
        <w:rPr>
          <w:rFonts w:ascii="宋体" w:hAnsi="宋体"/>
          <w:color w:val="auto"/>
          <w:szCs w:val="21"/>
          <w:highlight w:val="none"/>
        </w:rPr>
      </w:pPr>
      <w:r>
        <w:rPr>
          <w:rFonts w:hint="eastAsia" w:ascii="宋体" w:hAnsi="宋体"/>
          <w:color w:val="auto"/>
          <w:szCs w:val="21"/>
          <w:highlight w:val="none"/>
        </w:rPr>
        <w:t xml:space="preserve">供应商盖章： </w:t>
      </w:r>
    </w:p>
    <w:p>
      <w:pPr>
        <w:rPr>
          <w:color w:val="auto"/>
          <w:highlight w:val="none"/>
        </w:rPr>
      </w:pPr>
      <w:r>
        <w:rPr>
          <w:rFonts w:hint="eastAsia" w:ascii="宋体" w:hAnsi="宋体"/>
          <w:color w:val="auto"/>
          <w:szCs w:val="21"/>
          <w:highlight w:val="none"/>
        </w:rPr>
        <w:t>日期：</w:t>
      </w:r>
      <w:r>
        <w:rPr>
          <w:color w:val="auto"/>
          <w:highlight w:val="none"/>
        </w:rPr>
        <w:br w:type="page"/>
      </w:r>
    </w:p>
    <w:p>
      <w:pPr>
        <w:pStyle w:val="5"/>
        <w:widowControl w:val="0"/>
        <w:overflowPunct w:val="0"/>
        <w:spacing w:line="240" w:lineRule="auto"/>
        <w:rPr>
          <w:rFonts w:ascii="宋体" w:hAnsi="宋体"/>
          <w:color w:val="auto"/>
          <w:sz w:val="21"/>
          <w:szCs w:val="21"/>
          <w:highlight w:val="none"/>
        </w:rPr>
      </w:pPr>
      <w:bookmarkStart w:id="220" w:name="_Toc18897"/>
      <w:bookmarkStart w:id="221" w:name="_Toc2863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.法定代表人证明书格式</w:t>
      </w:r>
      <w:bookmarkEnd w:id="220"/>
      <w:bookmarkEnd w:id="221"/>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pPr>
        <w:pStyle w:val="43"/>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广西同泽工程项目管理股份有限公司</w:t>
      </w:r>
    </w:p>
    <w:p>
      <w:pPr>
        <w:pStyle w:val="43"/>
        <w:spacing w:line="420" w:lineRule="atLeast"/>
        <w:ind w:firstLine="433"/>
        <w:rPr>
          <w:rFonts w:ascii="宋体" w:eastAsia="宋体"/>
          <w:color w:val="auto"/>
          <w:sz w:val="21"/>
          <w:szCs w:val="21"/>
          <w:highlight w:val="none"/>
        </w:rPr>
      </w:pPr>
    </w:p>
    <w:p>
      <w:pPr>
        <w:pStyle w:val="43"/>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供应商名称:</w:t>
      </w:r>
    </w:p>
    <w:p>
      <w:pPr>
        <w:pStyle w:val="43"/>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pPr>
        <w:pStyle w:val="43"/>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pPr>
        <w:pStyle w:val="43"/>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43"/>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43"/>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43"/>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pPr>
        <w:pStyle w:val="43"/>
        <w:spacing w:line="500" w:lineRule="atLeast"/>
        <w:ind w:firstLine="3517" w:firstLineChars="1675"/>
        <w:rPr>
          <w:rFonts w:ascii="宋体" w:eastAsia="宋体"/>
          <w:color w:val="auto"/>
          <w:sz w:val="21"/>
          <w:szCs w:val="21"/>
          <w:highlight w:val="none"/>
        </w:rPr>
      </w:pPr>
    </w:p>
    <w:p>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pPr>
        <w:pStyle w:val="43"/>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43"/>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35"/>
        <w:tblW w:w="83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517" w:hRule="atLeast"/>
          <w:jc w:val="center"/>
        </w:trPr>
        <w:tc>
          <w:tcPr>
            <w:tcW w:w="4182" w:type="dxa"/>
            <w:noWrap w:val="0"/>
            <w:vAlign w:val="center"/>
          </w:tcPr>
          <w:p>
            <w:pPr>
              <w:pStyle w:val="43"/>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noWrap w:val="0"/>
            <w:vAlign w:val="center"/>
          </w:tcPr>
          <w:p>
            <w:pPr>
              <w:pStyle w:val="43"/>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rPr>
          <w:color w:val="auto"/>
          <w:highlight w:val="none"/>
        </w:rPr>
      </w:pPr>
    </w:p>
    <w:p>
      <w:pPr>
        <w:adjustRightInd/>
        <w:snapToGrid/>
        <w:spacing w:line="276" w:lineRule="auto"/>
        <w:rPr>
          <w:rFonts w:ascii="楷体_GB2312" w:hAnsi="Cambria" w:eastAsia="楷体_GB2312" w:cs="Times New Roman"/>
          <w:b/>
          <w:bCs/>
          <w:color w:val="auto"/>
          <w:sz w:val="24"/>
          <w:szCs w:val="28"/>
          <w:highlight w:val="none"/>
        </w:rPr>
      </w:pPr>
      <w:r>
        <w:rPr>
          <w:rFonts w:ascii="楷体_GB2312" w:eastAsia="楷体_GB2312"/>
          <w:color w:val="auto"/>
          <w:sz w:val="24"/>
          <w:highlight w:val="none"/>
        </w:rPr>
        <w:br w:type="page"/>
      </w:r>
    </w:p>
    <w:p>
      <w:pPr>
        <w:pStyle w:val="5"/>
        <w:widowControl w:val="0"/>
        <w:overflowPunct w:val="0"/>
        <w:spacing w:line="240" w:lineRule="auto"/>
        <w:rPr>
          <w:color w:val="auto"/>
          <w:highlight w:val="none"/>
        </w:rPr>
      </w:pPr>
      <w:bookmarkStart w:id="222" w:name="_Toc25709"/>
      <w:bookmarkStart w:id="223" w:name="_Toc2123"/>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.法定代表人授权书格式</w:t>
      </w:r>
      <w:bookmarkEnd w:id="222"/>
      <w:bookmarkEnd w:id="223"/>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pPr>
        <w:pStyle w:val="43"/>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广西同泽工程项目管理股份有限公司</w:t>
      </w:r>
    </w:p>
    <w:p>
      <w:pPr>
        <w:pStyle w:val="43"/>
        <w:spacing w:line="420" w:lineRule="atLeast"/>
        <w:ind w:firstLine="433"/>
        <w:rPr>
          <w:rFonts w:ascii="宋体" w:eastAsia="宋体"/>
          <w:color w:val="auto"/>
          <w:sz w:val="21"/>
          <w:szCs w:val="21"/>
          <w:highlight w:val="none"/>
        </w:rPr>
      </w:pPr>
    </w:p>
    <w:p>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响应及参加项目磋商，以本单位名义处理一切与之有关的事务。</w:t>
      </w:r>
    </w:p>
    <w:p>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pPr>
        <w:pStyle w:val="43"/>
        <w:spacing w:line="500" w:lineRule="atLeast"/>
        <w:ind w:firstLine="3517" w:firstLineChars="1675"/>
        <w:rPr>
          <w:rFonts w:ascii="宋体" w:eastAsia="宋体"/>
          <w:color w:val="auto"/>
          <w:sz w:val="21"/>
          <w:szCs w:val="21"/>
          <w:highlight w:val="none"/>
        </w:rPr>
      </w:pPr>
    </w:p>
    <w:p>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43"/>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pPr>
        <w:pStyle w:val="43"/>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pPr>
        <w:pStyle w:val="43"/>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pPr>
        <w:pStyle w:val="43"/>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pStyle w:val="43"/>
        <w:spacing w:line="460" w:lineRule="exact"/>
        <w:ind w:firstLine="433"/>
        <w:rPr>
          <w:rFonts w:ascii="宋体" w:eastAsia="宋体"/>
          <w:color w:val="auto"/>
          <w:sz w:val="21"/>
          <w:szCs w:val="21"/>
          <w:highlight w:val="none"/>
        </w:rPr>
      </w:pPr>
    </w:p>
    <w:p>
      <w:pPr>
        <w:ind w:firstLine="420" w:firstLineChars="200"/>
        <w:rPr>
          <w:color w:val="auto"/>
          <w:highlight w:val="none"/>
        </w:rPr>
      </w:pPr>
      <w:r>
        <w:rPr>
          <w:rFonts w:hint="eastAsia" w:ascii="宋体" w:hAnsi="宋体"/>
          <w:color w:val="auto"/>
          <w:szCs w:val="21"/>
          <w:highlight w:val="none"/>
        </w:rPr>
        <w:t>须附：被授权人身份证复印件。</w:t>
      </w:r>
    </w:p>
    <w:tbl>
      <w:tblPr>
        <w:tblStyle w:val="35"/>
        <w:tblW w:w="84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661" w:hRule="atLeast"/>
          <w:jc w:val="center"/>
        </w:trPr>
        <w:tc>
          <w:tcPr>
            <w:tcW w:w="4232" w:type="dxa"/>
            <w:noWrap w:val="0"/>
            <w:vAlign w:val="center"/>
          </w:tcPr>
          <w:p>
            <w:pPr>
              <w:pStyle w:val="43"/>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noWrap w:val="0"/>
            <w:vAlign w:val="center"/>
          </w:tcPr>
          <w:p>
            <w:pPr>
              <w:pStyle w:val="43"/>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adjustRightInd/>
        <w:snapToGrid/>
        <w:spacing w:line="276" w:lineRule="auto"/>
        <w:rPr>
          <w:color w:val="auto"/>
          <w:highlight w:val="none"/>
        </w:rPr>
      </w:pPr>
      <w:bookmarkStart w:id="224" w:name="_Toc22486"/>
      <w:r>
        <w:rPr>
          <w:rFonts w:hint="eastAsia" w:ascii="宋体" w:hAnsi="宋体"/>
          <w:color w:val="auto"/>
          <w:szCs w:val="21"/>
          <w:highlight w:val="none"/>
        </w:rPr>
        <w:br w:type="page"/>
      </w:r>
    </w:p>
    <w:p>
      <w:pPr>
        <w:pStyle w:val="5"/>
        <w:widowControl w:val="0"/>
        <w:overflowPunct w:val="0"/>
        <w:spacing w:line="240" w:lineRule="auto"/>
        <w:rPr>
          <w:rFonts w:ascii="宋体" w:hAnsi="宋体"/>
          <w:color w:val="auto"/>
          <w:sz w:val="21"/>
          <w:szCs w:val="21"/>
          <w:highlight w:val="none"/>
        </w:rPr>
      </w:pPr>
      <w:bookmarkStart w:id="225" w:name="_Toc19945"/>
      <w:bookmarkStart w:id="226" w:name="_Toc2457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.资格申明</w:t>
      </w:r>
      <w:bookmarkEnd w:id="225"/>
      <w:bookmarkEnd w:id="226"/>
    </w:p>
    <w:p>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pPr>
        <w:pStyle w:val="43"/>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u w:val="single"/>
          <w:lang w:eastAsia="zh-CN"/>
        </w:rPr>
        <w:t>广西同泽工程项目管理股份有限公司</w:t>
      </w:r>
      <w:r>
        <w:rPr>
          <w:rFonts w:hint="eastAsia" w:ascii="宋体" w:eastAsia="宋体"/>
          <w:color w:val="auto"/>
          <w:sz w:val="21"/>
          <w:szCs w:val="21"/>
          <w:highlight w:val="none"/>
        </w:rPr>
        <w:t>：</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的磋商</w:t>
      </w:r>
      <w:r>
        <w:rPr>
          <w:rFonts w:ascii="宋体" w:hAnsi="宋体"/>
          <w:color w:val="auto"/>
          <w:szCs w:val="21"/>
          <w:highlight w:val="none"/>
        </w:rPr>
        <w:t>邀请，参与</w:t>
      </w:r>
      <w:r>
        <w:rPr>
          <w:rFonts w:hint="eastAsia" w:ascii="宋体" w:hAnsi="宋体"/>
          <w:color w:val="auto"/>
          <w:szCs w:val="21"/>
          <w:highlight w:val="none"/>
        </w:rPr>
        <w:t>响应</w:t>
      </w:r>
      <w:r>
        <w:rPr>
          <w:rFonts w:ascii="宋体" w:hAnsi="宋体"/>
          <w:color w:val="auto"/>
          <w:szCs w:val="21"/>
          <w:highlight w:val="none"/>
        </w:rPr>
        <w:t>，提供用户需求书中规定的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磋商文件</w:t>
      </w:r>
      <w:r>
        <w:rPr>
          <w:rFonts w:ascii="宋体" w:hAnsi="宋体"/>
          <w:color w:val="auto"/>
          <w:szCs w:val="21"/>
          <w:highlight w:val="none"/>
        </w:rPr>
        <w:t>要求提交所附资格文件且声明和保证如下：</w:t>
      </w:r>
    </w:p>
    <w:p>
      <w:pPr>
        <w:ind w:firstLine="420" w:firstLineChars="200"/>
        <w:rPr>
          <w:rFonts w:ascii="宋体" w:hAnsi="宋体"/>
          <w:color w:val="auto"/>
          <w:szCs w:val="21"/>
          <w:highlight w:val="none"/>
        </w:rPr>
      </w:pPr>
      <w:r>
        <w:rPr>
          <w:rFonts w:hint="eastAsia" w:ascii="宋体" w:hAnsi="宋体"/>
          <w:color w:val="auto"/>
          <w:szCs w:val="21"/>
          <w:highlight w:val="none"/>
        </w:rPr>
        <w:t>一、我方具备磋商邀请中所要求得资格条件，已清楚磋商文件所有要求及有关规定；并承诺参加本次采购活动中，如有违法、违规、弄虚作假行为，所造成的损失、不良后果及法律责任，一律由我方承担；</w:t>
      </w:r>
    </w:p>
    <w:p>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pPr>
        <w:pStyle w:val="43"/>
        <w:spacing w:line="500" w:lineRule="atLeast"/>
        <w:ind w:firstLine="3517" w:firstLineChars="1675"/>
        <w:rPr>
          <w:rFonts w:ascii="宋体" w:eastAsia="宋体"/>
          <w:color w:val="auto"/>
          <w:sz w:val="21"/>
          <w:szCs w:val="21"/>
          <w:highlight w:val="none"/>
        </w:rPr>
      </w:pPr>
    </w:p>
    <w:p>
      <w:pPr>
        <w:pStyle w:val="43"/>
        <w:spacing w:line="500" w:lineRule="atLeast"/>
        <w:ind w:firstLine="3517" w:firstLineChars="1675"/>
        <w:rPr>
          <w:rFonts w:ascii="宋体" w:eastAsia="宋体"/>
          <w:color w:val="auto"/>
          <w:sz w:val="21"/>
          <w:szCs w:val="21"/>
          <w:highlight w:val="none"/>
        </w:rPr>
      </w:pPr>
    </w:p>
    <w:p>
      <w:pPr>
        <w:pStyle w:val="43"/>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43"/>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pPr>
        <w:pStyle w:val="43"/>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43"/>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pPr>
        <w:pStyle w:val="5"/>
        <w:widowControl w:val="0"/>
        <w:overflowPunct w:val="0"/>
        <w:spacing w:line="240" w:lineRule="auto"/>
        <w:rPr>
          <w:rFonts w:ascii="宋体" w:hAnsi="宋体"/>
          <w:color w:val="auto"/>
          <w:sz w:val="21"/>
          <w:szCs w:val="21"/>
          <w:highlight w:val="none"/>
        </w:rPr>
      </w:pPr>
      <w:bookmarkStart w:id="227" w:name="_Toc15754"/>
      <w:bookmarkStart w:id="228" w:name="_Toc966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.营业执照</w:t>
      </w:r>
      <w:bookmarkEnd w:id="227"/>
      <w:bookmarkEnd w:id="228"/>
    </w:p>
    <w:p>
      <w:pPr>
        <w:jc w:val="center"/>
        <w:rPr>
          <w:rFonts w:ascii="黑体" w:eastAsia="黑体"/>
          <w:color w:val="auto"/>
          <w:sz w:val="28"/>
          <w:szCs w:val="28"/>
          <w:highlight w:val="none"/>
        </w:rPr>
      </w:pPr>
      <w:bookmarkStart w:id="229" w:name="_Toc4926"/>
      <w:bookmarkStart w:id="230" w:name="_Toc17470"/>
      <w:bookmarkStart w:id="231" w:name="_Toc5919"/>
      <w:bookmarkStart w:id="232" w:name="_Toc24210"/>
      <w:bookmarkStart w:id="233" w:name="_Toc1511"/>
      <w:r>
        <w:rPr>
          <w:rFonts w:hint="eastAsia" w:ascii="黑体" w:eastAsia="黑体"/>
          <w:color w:val="auto"/>
          <w:sz w:val="28"/>
          <w:szCs w:val="28"/>
          <w:highlight w:val="none"/>
        </w:rPr>
        <w:t>营业执照</w:t>
      </w:r>
      <w:bookmarkEnd w:id="229"/>
      <w:bookmarkEnd w:id="230"/>
      <w:bookmarkEnd w:id="231"/>
      <w:bookmarkEnd w:id="232"/>
      <w:bookmarkEnd w:id="233"/>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5"/>
        <w:widowControl w:val="0"/>
        <w:overflowPunct w:val="0"/>
        <w:spacing w:line="240" w:lineRule="auto"/>
        <w:rPr>
          <w:rFonts w:ascii="宋体" w:hAnsi="宋体"/>
          <w:color w:val="auto"/>
          <w:sz w:val="21"/>
          <w:szCs w:val="21"/>
          <w:highlight w:val="none"/>
        </w:rPr>
      </w:pPr>
      <w:bookmarkStart w:id="234" w:name="_Toc9448"/>
      <w:bookmarkStart w:id="235" w:name="_Toc690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.相关资质证明文件</w:t>
      </w:r>
      <w:bookmarkEnd w:id="234"/>
      <w:bookmarkEnd w:id="235"/>
    </w:p>
    <w:p>
      <w:pPr>
        <w:rPr>
          <w:color w:val="auto"/>
          <w:highlight w:val="none"/>
        </w:rPr>
      </w:pPr>
    </w:p>
    <w:p>
      <w:pPr>
        <w:jc w:val="center"/>
        <w:rPr>
          <w:rFonts w:ascii="黑体" w:eastAsia="黑体"/>
          <w:color w:val="auto"/>
          <w:sz w:val="28"/>
          <w:szCs w:val="28"/>
          <w:highlight w:val="none"/>
        </w:rPr>
      </w:pPr>
      <w:bookmarkStart w:id="236" w:name="_Toc16233"/>
      <w:bookmarkStart w:id="237" w:name="_Toc16698"/>
      <w:bookmarkStart w:id="238" w:name="_Toc30307"/>
      <w:bookmarkStart w:id="239" w:name="_Toc13458"/>
      <w:bookmarkStart w:id="240" w:name="_Toc9592"/>
      <w:r>
        <w:rPr>
          <w:rFonts w:hint="eastAsia" w:ascii="黑体" w:eastAsia="黑体"/>
          <w:color w:val="auto"/>
          <w:sz w:val="28"/>
          <w:szCs w:val="28"/>
          <w:highlight w:val="none"/>
        </w:rPr>
        <w:t>相关资质证明文件</w:t>
      </w:r>
      <w:bookmarkEnd w:id="224"/>
      <w:bookmarkEnd w:id="236"/>
      <w:bookmarkEnd w:id="237"/>
      <w:bookmarkEnd w:id="238"/>
      <w:bookmarkEnd w:id="239"/>
      <w:bookmarkEnd w:id="240"/>
    </w:p>
    <w:p>
      <w:pPr>
        <w:numPr>
          <w:ilvl w:val="0"/>
          <w:numId w:val="8"/>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符合磋商邀请书“供应商资格要求”其他要求对应的证明文件；</w:t>
      </w:r>
    </w:p>
    <w:p>
      <w:pPr>
        <w:numPr>
          <w:ilvl w:val="0"/>
          <w:numId w:val="8"/>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供应商认为必要的文件。</w:t>
      </w:r>
      <w:r>
        <w:rPr>
          <w:rFonts w:hint="eastAsia" w:ascii="宋体" w:hAnsi="宋体" w:cs="宋体"/>
          <w:b/>
          <w:bCs/>
          <w:color w:val="auto"/>
          <w:szCs w:val="21"/>
          <w:highlight w:val="none"/>
        </w:rPr>
        <w:br w:type="page"/>
      </w:r>
    </w:p>
    <w:p>
      <w:pPr>
        <w:pStyle w:val="5"/>
        <w:widowControl w:val="0"/>
        <w:overflowPunct w:val="0"/>
        <w:spacing w:line="240" w:lineRule="auto"/>
        <w:rPr>
          <w:rFonts w:ascii="楷体_GB2312" w:eastAsia="楷体_GB2312"/>
          <w:color w:val="auto"/>
          <w:highlight w:val="none"/>
        </w:rPr>
      </w:pPr>
      <w:bookmarkStart w:id="241" w:name="_Toc22535"/>
      <w:bookmarkStart w:id="242" w:name="_Toc9467"/>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.在经营活动中没有重大违法记录的书面声明格式</w:t>
      </w:r>
      <w:bookmarkEnd w:id="241"/>
      <w:bookmarkEnd w:id="242"/>
    </w:p>
    <w:p>
      <w:pPr>
        <w:rPr>
          <w:color w:val="auto"/>
          <w:highlight w:val="none"/>
        </w:rPr>
      </w:pPr>
    </w:p>
    <w:p>
      <w:pPr>
        <w:jc w:val="center"/>
        <w:rPr>
          <w:rFonts w:hint="eastAsia" w:ascii="黑体" w:eastAsia="黑体"/>
          <w:color w:val="auto"/>
          <w:sz w:val="28"/>
          <w:szCs w:val="28"/>
          <w:highlight w:val="none"/>
        </w:rPr>
      </w:pPr>
      <w:r>
        <w:rPr>
          <w:rFonts w:hint="eastAsia" w:ascii="黑体" w:eastAsia="黑体"/>
          <w:color w:val="auto"/>
          <w:sz w:val="28"/>
          <w:szCs w:val="28"/>
          <w:highlight w:val="none"/>
        </w:rPr>
        <w:t>供应商在经营活动中前三年内未有重大违法记录、没有不良</w:t>
      </w:r>
    </w:p>
    <w:p>
      <w:pPr>
        <w:jc w:val="center"/>
        <w:rPr>
          <w:rFonts w:ascii="黑体" w:eastAsia="黑体"/>
          <w:color w:val="auto"/>
          <w:sz w:val="28"/>
          <w:szCs w:val="28"/>
          <w:highlight w:val="none"/>
        </w:rPr>
      </w:pPr>
      <w:r>
        <w:rPr>
          <w:rFonts w:hint="eastAsia" w:ascii="黑体" w:eastAsia="黑体"/>
          <w:color w:val="auto"/>
          <w:sz w:val="28"/>
          <w:szCs w:val="28"/>
          <w:highlight w:val="none"/>
        </w:rPr>
        <w:t>信用记录的声明函</w:t>
      </w:r>
    </w:p>
    <w:p>
      <w:pPr>
        <w:ind w:firstLine="420" w:firstLineChars="200"/>
        <w:rPr>
          <w:rFonts w:ascii="宋体" w:hAnsi="宋体" w:cs="宋体"/>
          <w:color w:val="auto"/>
          <w:szCs w:val="21"/>
          <w:highlight w:val="none"/>
        </w:rPr>
      </w:pP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广西同泽工程项目管理股份有限公司</w:t>
      </w:r>
      <w:r>
        <w:rPr>
          <w:rFonts w:hint="eastAsia" w:ascii="宋体" w:hAnsi="宋体" w:cs="宋体"/>
          <w:color w:val="auto"/>
          <w:szCs w:val="21"/>
          <w:highlight w:val="none"/>
        </w:rPr>
        <w:t>：</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ascii="宋体" w:hAnsi="宋体" w:cs="宋体"/>
          <w:color w:val="auto"/>
          <w:szCs w:val="21"/>
          <w:highlight w:val="none"/>
          <w:u w:val="single"/>
        </w:rPr>
        <w:t xml:space="preserve">        </w:t>
      </w:r>
      <w:r>
        <w:rPr>
          <w:rFonts w:hint="eastAsia" w:ascii="宋体" w:hAnsi="宋体" w:cs="宋体"/>
          <w:color w:val="auto"/>
          <w:szCs w:val="21"/>
          <w:highlight w:val="none"/>
        </w:rPr>
        <w:t>）采购活动前三年内（设立不满三年的从设立之日计算），在经营活动中没有重大违法记录；至本项目提交响应文件截止时间止未被列入“信用中国”网站失信被执行人、重大税收违法失信主体、政府采购严重违法失信行为记录名单。</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pPr>
        <w:ind w:firstLine="420" w:firstLineChars="200"/>
        <w:rPr>
          <w:rFonts w:ascii="宋体" w:hAnsi="宋体" w:cs="宋体"/>
          <w:color w:val="auto"/>
          <w:szCs w:val="21"/>
          <w:highlight w:val="none"/>
        </w:rPr>
      </w:pPr>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供应商名称（盖章）：</w:t>
      </w:r>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pPr>
        <w:rPr>
          <w:color w:val="auto"/>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color w:val="auto"/>
          <w:highlight w:val="none"/>
        </w:rPr>
      </w:pPr>
    </w:p>
    <w:p>
      <w:pPr>
        <w:pStyle w:val="5"/>
        <w:widowControl w:val="0"/>
        <w:overflowPunct w:val="0"/>
        <w:spacing w:line="240" w:lineRule="auto"/>
        <w:rPr>
          <w:rFonts w:ascii="楷体_GB2312" w:eastAsia="楷体_GB2312"/>
          <w:color w:val="auto"/>
          <w:highlight w:val="none"/>
        </w:rPr>
      </w:pPr>
      <w:bookmarkStart w:id="243" w:name="_Toc14897"/>
      <w:bookmarkStart w:id="244" w:name="_Toc1419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.承诺书格式</w:t>
      </w:r>
      <w:bookmarkEnd w:id="243"/>
      <w:bookmarkEnd w:id="244"/>
    </w:p>
    <w:p>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pPr>
        <w:pStyle w:val="43"/>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广西同泽工程项目管理股份有限公司</w:t>
      </w:r>
      <w:r>
        <w:rPr>
          <w:rFonts w:hint="eastAsia" w:ascii="宋体" w:eastAsia="宋体" w:cs="宋体"/>
          <w:color w:val="auto"/>
          <w:sz w:val="21"/>
          <w:szCs w:val="21"/>
          <w:highlight w:val="none"/>
        </w:rPr>
        <w:t>：</w:t>
      </w:r>
    </w:p>
    <w:p>
      <w:pPr>
        <w:jc w:val="center"/>
        <w:rPr>
          <w:rFonts w:ascii="宋体" w:hAnsi="宋体" w:cs="宋体"/>
          <w:color w:val="auto"/>
          <w:szCs w:val="21"/>
          <w:highlight w:val="none"/>
        </w:rPr>
      </w:pPr>
    </w:p>
    <w:p>
      <w:pPr>
        <w:pStyle w:val="43"/>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）磋商文件的所有内容（包括澄清，以及所有已提供的参考资料和有关附件），并完全理解上述文件所表达的意思，该项目递交响应文件时间截止后，我方承诺不再对上述文件内容有异议。</w:t>
      </w:r>
      <w:r>
        <w:rPr>
          <w:rFonts w:hint="eastAsia" w:ascii="宋体" w:eastAsia="宋体" w:cs="宋体"/>
          <w:color w:val="auto"/>
          <w:sz w:val="21"/>
          <w:szCs w:val="21"/>
          <w:highlight w:val="none"/>
        </w:rPr>
        <w:cr/>
      </w:r>
    </w:p>
    <w:p>
      <w:pPr>
        <w:pStyle w:val="43"/>
        <w:spacing w:line="420" w:lineRule="exact"/>
        <w:ind w:firstLine="433"/>
        <w:rPr>
          <w:rFonts w:ascii="宋体" w:eastAsia="宋体" w:cs="宋体"/>
          <w:color w:val="auto"/>
          <w:sz w:val="21"/>
          <w:szCs w:val="21"/>
          <w:highlight w:val="none"/>
        </w:rPr>
      </w:pP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供应商名称（加盖公章）：</w:t>
      </w: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pPr>
        <w:rPr>
          <w:color w:val="auto"/>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color w:val="auto"/>
          <w:highlight w:val="none"/>
        </w:rPr>
      </w:pPr>
    </w:p>
    <w:p>
      <w:pPr>
        <w:pStyle w:val="5"/>
        <w:widowControl w:val="0"/>
        <w:overflowPunct w:val="0"/>
        <w:spacing w:line="240" w:lineRule="auto"/>
        <w:rPr>
          <w:rFonts w:ascii="宋体" w:hAnsi="宋体"/>
          <w:color w:val="auto"/>
          <w:sz w:val="21"/>
          <w:szCs w:val="21"/>
          <w:highlight w:val="none"/>
        </w:rPr>
      </w:pPr>
      <w:bookmarkStart w:id="245" w:name="_Toc14705"/>
      <w:bookmarkStart w:id="246" w:name="_Toc26744"/>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.商务需求条款偏离表格式</w:t>
      </w:r>
      <w:bookmarkEnd w:id="245"/>
      <w:bookmarkEnd w:id="246"/>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35"/>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08"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磋商实际响应</w:t>
            </w:r>
          </w:p>
        </w:tc>
        <w:tc>
          <w:tcPr>
            <w:tcW w:w="1133"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供应商代表签字：</w:t>
      </w:r>
    </w:p>
    <w:p>
      <w:pPr>
        <w:rPr>
          <w:rFonts w:ascii="宋体" w:hAnsi="宋体"/>
          <w:color w:val="auto"/>
          <w:szCs w:val="21"/>
          <w:highlight w:val="none"/>
        </w:rPr>
      </w:pPr>
      <w:r>
        <w:rPr>
          <w:rFonts w:hint="eastAsia" w:ascii="宋体" w:hAnsi="宋体"/>
          <w:color w:val="auto"/>
          <w:szCs w:val="21"/>
          <w:highlight w:val="none"/>
        </w:rPr>
        <w:t>供应商盖章：</w:t>
      </w:r>
    </w:p>
    <w:p>
      <w:pPr>
        <w:rPr>
          <w:rFonts w:ascii="宋体" w:hAnsi="宋体"/>
          <w:color w:val="auto"/>
          <w:szCs w:val="21"/>
          <w:highlight w:val="none"/>
        </w:rPr>
      </w:pPr>
    </w:p>
    <w:p>
      <w:pPr>
        <w:ind w:left="718" w:hanging="718" w:hangingChars="342"/>
        <w:rPr>
          <w:rFonts w:ascii="宋体" w:hAnsi="宋体"/>
          <w:color w:val="auto"/>
          <w:szCs w:val="21"/>
          <w:highlight w:val="none"/>
        </w:rPr>
      </w:pPr>
      <w:r>
        <w:rPr>
          <w:rFonts w:hint="eastAsia" w:ascii="宋体" w:hAnsi="宋体"/>
          <w:color w:val="auto"/>
          <w:szCs w:val="21"/>
          <w:highlight w:val="none"/>
        </w:rPr>
        <w:t>注：</w:t>
      </w:r>
    </w:p>
    <w:p>
      <w:pPr>
        <w:rPr>
          <w:rFonts w:ascii="宋体" w:hAnsi="宋体"/>
          <w:color w:val="auto"/>
          <w:szCs w:val="21"/>
          <w:highlight w:val="none"/>
        </w:rPr>
      </w:pPr>
      <w:r>
        <w:rPr>
          <w:rFonts w:hint="eastAsia" w:ascii="宋体" w:hAnsi="宋体"/>
          <w:color w:val="auto"/>
          <w:szCs w:val="21"/>
          <w:highlight w:val="none"/>
        </w:rPr>
        <w:t>1、供应商应对照磋商文件商务需求书中商务要求，说明已对磋商文件的商务内容做出了实质性的响应。</w:t>
      </w:r>
    </w:p>
    <w:p>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，供应商都被认为已清楚了解磋商文件“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需求书”的内容并对采购人所需的服务要求作全面响应，供应商必须承担完成“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，因此对供应商响应产生负面影响的，供应商自行承担后果。</w:t>
      </w:r>
    </w:p>
    <w:p>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如供应商差异内容较多可另附页说明。</w:t>
      </w:r>
    </w:p>
    <w:p>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如供应商对用户需求书商务要求的条款全部响应的，也可以在表格下面用文字总括性的说明。</w:t>
      </w:r>
    </w:p>
    <w:p>
      <w:pPr>
        <w:rPr>
          <w:rFonts w:ascii="宋体" w:hAnsi="宋体"/>
          <w:color w:val="auto"/>
          <w:szCs w:val="21"/>
          <w:highlight w:val="none"/>
        </w:rPr>
      </w:pPr>
      <w:r>
        <w:rPr>
          <w:rFonts w:hint="eastAsia" w:ascii="宋体" w:hAnsi="宋体"/>
          <w:color w:val="auto"/>
          <w:szCs w:val="21"/>
          <w:highlight w:val="none"/>
        </w:rPr>
        <w:br w:type="page"/>
      </w:r>
    </w:p>
    <w:p>
      <w:pPr>
        <w:pStyle w:val="5"/>
        <w:widowControl w:val="0"/>
        <w:overflowPunct w:val="0"/>
        <w:spacing w:line="240" w:lineRule="auto"/>
        <w:rPr>
          <w:rFonts w:ascii="宋体" w:hAnsi="宋体"/>
          <w:color w:val="auto"/>
          <w:sz w:val="30"/>
          <w:szCs w:val="30"/>
          <w:highlight w:val="none"/>
        </w:rPr>
      </w:pPr>
      <w:bookmarkStart w:id="247" w:name="_Toc13671"/>
      <w:bookmarkStart w:id="248" w:name="_Toc31448"/>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.业绩表</w:t>
      </w:r>
      <w:bookmarkEnd w:id="247"/>
      <w:bookmarkEnd w:id="248"/>
    </w:p>
    <w:p>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6"/>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967"/>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967"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项目合同签订时间</w:t>
            </w:r>
          </w:p>
        </w:tc>
        <w:tc>
          <w:tcPr>
            <w:tcW w:w="1435"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center"/>
          </w:tcPr>
          <w:p>
            <w:pPr>
              <w:adjustRightInd/>
              <w:snapToGrid/>
              <w:jc w:val="center"/>
              <w:rPr>
                <w:rFonts w:ascii="宋体" w:hAnsi="宋体"/>
                <w:color w:val="auto"/>
                <w:szCs w:val="21"/>
                <w:highlight w:val="none"/>
              </w:rPr>
            </w:pPr>
          </w:p>
        </w:tc>
        <w:tc>
          <w:tcPr>
            <w:tcW w:w="1705" w:type="dxa"/>
            <w:noWrap w:val="0"/>
            <w:vAlign w:val="center"/>
          </w:tcPr>
          <w:p>
            <w:pPr>
              <w:adjustRightInd/>
              <w:snapToGrid/>
              <w:jc w:val="center"/>
              <w:rPr>
                <w:rFonts w:ascii="宋体" w:hAnsi="宋体"/>
                <w:color w:val="auto"/>
                <w:szCs w:val="21"/>
                <w:highlight w:val="none"/>
              </w:rPr>
            </w:pPr>
          </w:p>
        </w:tc>
        <w:tc>
          <w:tcPr>
            <w:tcW w:w="1706" w:type="dxa"/>
            <w:noWrap w:val="0"/>
            <w:vAlign w:val="center"/>
          </w:tcPr>
          <w:p>
            <w:pPr>
              <w:adjustRightInd/>
              <w:snapToGrid/>
              <w:jc w:val="center"/>
              <w:rPr>
                <w:rFonts w:ascii="宋体" w:hAnsi="宋体"/>
                <w:color w:val="auto"/>
                <w:szCs w:val="21"/>
                <w:highlight w:val="none"/>
              </w:rPr>
            </w:pPr>
          </w:p>
        </w:tc>
        <w:tc>
          <w:tcPr>
            <w:tcW w:w="1967" w:type="dxa"/>
            <w:noWrap w:val="0"/>
            <w:vAlign w:val="center"/>
          </w:tcPr>
          <w:p>
            <w:pPr>
              <w:adjustRightInd/>
              <w:snapToGrid/>
              <w:jc w:val="center"/>
              <w:rPr>
                <w:rFonts w:ascii="宋体" w:hAnsi="宋体"/>
                <w:color w:val="auto"/>
                <w:szCs w:val="21"/>
                <w:highlight w:val="none"/>
              </w:rPr>
            </w:pPr>
          </w:p>
        </w:tc>
        <w:tc>
          <w:tcPr>
            <w:tcW w:w="1435" w:type="dxa"/>
            <w:noWrap w:val="0"/>
            <w:vAlign w:val="center"/>
          </w:tcPr>
          <w:p>
            <w:pPr>
              <w:adjustRightInd/>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bl>
    <w:p>
      <w:pPr>
        <w:pStyle w:val="57"/>
        <w:rPr>
          <w:rFonts w:ascii="宋体" w:hAnsi="宋体"/>
          <w:color w:val="auto"/>
          <w:szCs w:val="21"/>
          <w:highlight w:val="none"/>
        </w:rPr>
      </w:pPr>
    </w:p>
    <w:p>
      <w:pPr>
        <w:pStyle w:val="57"/>
        <w:rPr>
          <w:rFonts w:ascii="宋体" w:hAnsi="宋体"/>
          <w:color w:val="auto"/>
          <w:szCs w:val="21"/>
          <w:highlight w:val="none"/>
        </w:rPr>
      </w:pPr>
      <w:r>
        <w:rPr>
          <w:rFonts w:hint="eastAsia" w:ascii="宋体" w:hAnsi="宋体"/>
          <w:color w:val="auto"/>
          <w:szCs w:val="21"/>
          <w:highlight w:val="none"/>
        </w:rPr>
        <w:t>注：</w:t>
      </w:r>
    </w:p>
    <w:p>
      <w:pPr>
        <w:pStyle w:val="57"/>
        <w:numPr>
          <w:ilvl w:val="0"/>
          <w:numId w:val="9"/>
        </w:numPr>
        <w:rPr>
          <w:rFonts w:ascii="宋体" w:hAnsi="宋体"/>
          <w:color w:val="auto"/>
          <w:szCs w:val="21"/>
          <w:highlight w:val="none"/>
        </w:rPr>
      </w:pPr>
      <w:r>
        <w:rPr>
          <w:rFonts w:hint="eastAsia" w:ascii="宋体" w:hAnsi="宋体"/>
          <w:color w:val="auto"/>
          <w:szCs w:val="21"/>
          <w:highlight w:val="none"/>
        </w:rPr>
        <w:t>该表格为参考格式，供应商可按实际情况自行制订。</w:t>
      </w:r>
    </w:p>
    <w:p>
      <w:pPr>
        <w:pStyle w:val="57"/>
        <w:numPr>
          <w:ilvl w:val="0"/>
          <w:numId w:val="9"/>
        </w:numP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pPr>
        <w:rPr>
          <w:color w:val="auto"/>
          <w:szCs w:val="21"/>
          <w:highlight w:val="none"/>
        </w:rPr>
        <w:sectPr>
          <w:headerReference r:id="rId7" w:type="first"/>
          <w:footerReference r:id="rId9" w:type="first"/>
          <w:headerReference r:id="rId5" w:type="default"/>
          <w:footerReference r:id="rId8" w:type="default"/>
          <w:headerReference r:id="rId6" w:type="even"/>
          <w:pgSz w:w="11906" w:h="16838"/>
          <w:pgMar w:top="1440" w:right="1800" w:bottom="1276" w:left="1800" w:header="708" w:footer="708" w:gutter="0"/>
          <w:cols w:space="720" w:num="1"/>
          <w:titlePg/>
          <w:docGrid w:type="lines" w:linePitch="360" w:charSpace="0"/>
        </w:sectPr>
      </w:pPr>
    </w:p>
    <w:p>
      <w:pPr>
        <w:pStyle w:val="5"/>
        <w:widowControl w:val="0"/>
        <w:overflowPunct w:val="0"/>
        <w:spacing w:line="240" w:lineRule="auto"/>
        <w:rPr>
          <w:color w:val="auto"/>
          <w:highlight w:val="none"/>
        </w:rPr>
      </w:pPr>
      <w:bookmarkStart w:id="249" w:name="_Toc21395"/>
      <w:bookmarkStart w:id="250" w:name="_Toc30528"/>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.联合体协议书</w:t>
      </w:r>
      <w:r>
        <w:rPr>
          <w:rFonts w:hint="eastAsia"/>
          <w:color w:val="auto"/>
          <w:highlight w:val="none"/>
        </w:rPr>
        <w:t>（如有）</w:t>
      </w:r>
      <w:bookmarkEnd w:id="249"/>
      <w:bookmarkEnd w:id="250"/>
    </w:p>
    <w:p>
      <w:pPr>
        <w:rPr>
          <w:color w:val="auto"/>
          <w:highlight w:val="none"/>
        </w:rPr>
      </w:pPr>
    </w:p>
    <w:p>
      <w:pPr>
        <w:jc w:val="center"/>
        <w:rPr>
          <w:rFonts w:hAnsi="宋体" w:cs="宋体"/>
          <w:color w:val="auto"/>
          <w:highlight w:val="none"/>
        </w:rPr>
      </w:pPr>
      <w:r>
        <w:rPr>
          <w:rFonts w:hint="eastAsia" w:hAnsi="宋体" w:cs="宋体"/>
          <w:b/>
          <w:bCs/>
          <w:color w:val="auto"/>
          <w:highlight w:val="none"/>
        </w:rPr>
        <w:t>联合体共同投标协议书</w:t>
      </w:r>
    </w:p>
    <w:p>
      <w:pPr>
        <w:jc w:val="center"/>
        <w:rPr>
          <w:rFonts w:hAnsi="宋体" w:cs="宋体"/>
          <w:color w:val="auto"/>
          <w:highlight w:val="none"/>
        </w:rPr>
      </w:pPr>
    </w:p>
    <w:p>
      <w:pPr>
        <w:rPr>
          <w:rFonts w:hAnsi="宋体" w:cs="宋体"/>
          <w:color w:val="auto"/>
          <w:szCs w:val="21"/>
          <w:highlight w:val="none"/>
        </w:rPr>
      </w:pPr>
      <w:r>
        <w:rPr>
          <w:rFonts w:hint="eastAsia" w:hAnsi="宋体" w:cs="宋体"/>
          <w:color w:val="auto"/>
          <w:szCs w:val="21"/>
          <w:highlight w:val="none"/>
        </w:rPr>
        <w:t>立约方：（甲公司全称）</w:t>
      </w:r>
    </w:p>
    <w:p>
      <w:pPr>
        <w:rPr>
          <w:rFonts w:hAnsi="宋体" w:cs="宋体"/>
          <w:color w:val="auto"/>
          <w:szCs w:val="21"/>
          <w:highlight w:val="none"/>
        </w:rPr>
      </w:pPr>
      <w:r>
        <w:rPr>
          <w:rFonts w:hint="eastAsia" w:hAnsi="宋体" w:cs="宋体"/>
          <w:color w:val="auto"/>
          <w:szCs w:val="21"/>
          <w:highlight w:val="none"/>
        </w:rPr>
        <w:t>（乙公司全称）</w:t>
      </w:r>
    </w:p>
    <w:p>
      <w:pPr>
        <w:rPr>
          <w:rFonts w:hAnsi="宋体" w:cs="宋体"/>
          <w:color w:val="auto"/>
          <w:szCs w:val="21"/>
          <w:highlight w:val="none"/>
        </w:rPr>
      </w:pPr>
      <w:r>
        <w:rPr>
          <w:rFonts w:hint="eastAsia" w:hAnsi="宋体" w:cs="宋体"/>
          <w:color w:val="auto"/>
          <w:szCs w:val="21"/>
          <w:highlight w:val="none"/>
        </w:rPr>
        <w:t>（……公司全称）</w:t>
      </w:r>
    </w:p>
    <w:p>
      <w:pPr>
        <w:rPr>
          <w:rFonts w:hAnsi="宋体" w:cs="宋体"/>
          <w:color w:val="auto"/>
          <w:szCs w:val="21"/>
          <w:highlight w:val="none"/>
        </w:rPr>
      </w:pP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自愿组成联合体，以一个供应商的身份共同参加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的招标活动。经各方充分协商一致，就项目的投标和合同实施阶段的有关事务协商一致订立协议如下：</w:t>
      </w:r>
    </w:p>
    <w:p>
      <w:pPr>
        <w:rPr>
          <w:rFonts w:hAnsi="宋体" w:cs="宋体"/>
          <w:color w:val="auto"/>
          <w:szCs w:val="21"/>
          <w:highlight w:val="none"/>
        </w:rPr>
      </w:pPr>
      <w:r>
        <w:rPr>
          <w:rFonts w:hint="eastAsia" w:hAnsi="宋体" w:cs="宋体"/>
          <w:color w:val="auto"/>
          <w:szCs w:val="21"/>
          <w:highlight w:val="none"/>
        </w:rPr>
        <w:t>一、联合体各方关系</w:t>
      </w:r>
    </w:p>
    <w:p>
      <w:pPr>
        <w:rPr>
          <w:rFonts w:hAnsi="宋体" w:cs="宋体"/>
          <w:color w:val="auto"/>
          <w:szCs w:val="21"/>
          <w:highlight w:val="none"/>
        </w:rPr>
      </w:pPr>
      <w:r>
        <w:rPr>
          <w:rFonts w:hint="eastAsia" w:hAnsi="宋体" w:cs="宋体"/>
          <w:color w:val="auto"/>
          <w:szCs w:val="21"/>
          <w:highlight w:val="none"/>
          <w:u w:val="single"/>
        </w:rPr>
        <w:t>1.（甲公司全称）、（乙公司全称）、（……公司全称）</w:t>
      </w:r>
      <w:r>
        <w:rPr>
          <w:rFonts w:hint="eastAsia" w:hAnsi="宋体" w:cs="宋体"/>
          <w:color w:val="auto"/>
          <w:szCs w:val="21"/>
          <w:highlight w:val="none"/>
        </w:rPr>
        <w:t>共同组成一个联合体，以一个供应商的身份共同参加本项目的投标。</w:t>
      </w: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作为联合体成员，若成交，联合体各方共同与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pPr>
        <w:rPr>
          <w:rFonts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pPr>
        <w:rPr>
          <w:rFonts w:hAnsi="宋体" w:cs="宋体"/>
          <w:color w:val="auto"/>
          <w:szCs w:val="21"/>
          <w:highlight w:val="none"/>
        </w:rPr>
      </w:pPr>
      <w:r>
        <w:rPr>
          <w:rFonts w:hint="eastAsia" w:hAnsi="宋体" w:cs="宋体"/>
          <w:color w:val="auto"/>
          <w:szCs w:val="21"/>
          <w:highlight w:val="none"/>
        </w:rPr>
        <w:t>二、联合体内部有关事项约定如下：</w:t>
      </w:r>
    </w:p>
    <w:p>
      <w:pPr>
        <w:rPr>
          <w:rFonts w:hAnsi="宋体" w:cs="宋体"/>
          <w:color w:val="auto"/>
          <w:szCs w:val="21"/>
          <w:highlight w:val="none"/>
        </w:rPr>
      </w:pPr>
      <w:r>
        <w:rPr>
          <w:rFonts w:hint="eastAsia" w:hAnsi="宋体"/>
          <w:color w:val="auto"/>
          <w:szCs w:val="21"/>
          <w:highlight w:val="none"/>
        </w:rPr>
        <w:t>1.联合体牵头人合法代表联合体各成员，负责本项目响应文件编制和投标工作，并代表联合体成员递交和接受相关的资料、信息及指示，并处理与之有关的一切事务，负责合同实施阶段的主办、组织和协调工作。</w:t>
      </w:r>
    </w:p>
    <w:p>
      <w:pPr>
        <w:rPr>
          <w:rFonts w:hAnsi="宋体" w:cs="宋体"/>
          <w:color w:val="auto"/>
          <w:szCs w:val="21"/>
          <w:highlight w:val="none"/>
        </w:rPr>
      </w:pPr>
      <w:r>
        <w:rPr>
          <w:rFonts w:hint="eastAsia" w:hAnsi="宋体" w:cs="宋体"/>
          <w:color w:val="auto"/>
          <w:szCs w:val="21"/>
          <w:highlight w:val="none"/>
        </w:rPr>
        <w:t>2.联合体将严格按照文件的各项要求，递交响应文件，切实执行一切合同文件，共同承担合同规定的一切义务和责任，同时按照内部职责的划分，承担自身所负的责任和风险，在法律上承担连带责任。</w:t>
      </w:r>
    </w:p>
    <w:p>
      <w:pPr>
        <w:rPr>
          <w:rFonts w:hAnsi="宋体" w:cs="宋体"/>
          <w:color w:val="auto"/>
          <w:szCs w:val="21"/>
          <w:highlight w:val="none"/>
        </w:rPr>
      </w:pPr>
      <w:r>
        <w:rPr>
          <w:rFonts w:hint="eastAsia" w:hAnsi="宋体" w:cs="宋体"/>
          <w:color w:val="auto"/>
          <w:szCs w:val="21"/>
          <w:highlight w:val="none"/>
        </w:rPr>
        <w:t>3.如成交，联合体各方共同与（采购人）签订合同书，并就成交项目向采购人负有连带的和各自的法律责任；</w:t>
      </w:r>
    </w:p>
    <w:p>
      <w:pPr>
        <w:rPr>
          <w:rFonts w:hAnsi="宋体" w:cs="宋体"/>
          <w:color w:val="auto"/>
          <w:szCs w:val="21"/>
          <w:highlight w:val="none"/>
        </w:rPr>
      </w:pPr>
      <w:r>
        <w:rPr>
          <w:rFonts w:hint="eastAsia" w:hAnsi="宋体" w:cs="宋体"/>
          <w:color w:val="auto"/>
          <w:szCs w:val="21"/>
          <w:highlight w:val="none"/>
        </w:rPr>
        <w:t>4.联合体各成员单位内部的职责分工如下：</w:t>
      </w:r>
    </w:p>
    <w:p>
      <w:pPr>
        <w:rPr>
          <w:rFonts w:hAnsi="宋体" w:cs="宋体"/>
          <w:color w:val="auto"/>
          <w:szCs w:val="21"/>
          <w:highlight w:val="none"/>
        </w:rPr>
      </w:pPr>
      <w:r>
        <w:rPr>
          <w:rFonts w:hint="eastAsia" w:hAnsi="宋体" w:cs="宋体"/>
          <w:color w:val="auto"/>
          <w:szCs w:val="21"/>
          <w:highlight w:val="none"/>
        </w:rPr>
        <w:t>（1）</w:t>
      </w:r>
    </w:p>
    <w:p>
      <w:pPr>
        <w:rPr>
          <w:color w:val="auto"/>
          <w:highlight w:val="none"/>
        </w:rPr>
      </w:pPr>
      <w:r>
        <w:rPr>
          <w:rFonts w:hint="eastAsia" w:hAnsi="宋体" w:cs="宋体"/>
          <w:color w:val="auto"/>
          <w:szCs w:val="21"/>
          <w:highlight w:val="none"/>
        </w:rPr>
        <w:t>（2）</w:t>
      </w:r>
    </w:p>
    <w:p>
      <w:pPr>
        <w:rPr>
          <w:rFonts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rPr>
          <w:rFonts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pPr>
        <w:rPr>
          <w:rFonts w:hAnsi="宋体" w:cs="宋体"/>
          <w:color w:val="auto"/>
          <w:szCs w:val="21"/>
          <w:highlight w:val="none"/>
        </w:rPr>
      </w:pPr>
      <w:r>
        <w:rPr>
          <w:rFonts w:hint="eastAsia"/>
          <w:color w:val="auto"/>
          <w:szCs w:val="21"/>
          <w:highlight w:val="none"/>
        </w:rPr>
        <w:t>五、联合体成交后，本联合体协议是合同的附件，对联合体各成员单位有合同约束力。</w:t>
      </w:r>
    </w:p>
    <w:p>
      <w:pPr>
        <w:rPr>
          <w:rFonts w:hAnsi="宋体" w:cs="宋体"/>
          <w:color w:val="auto"/>
          <w:szCs w:val="21"/>
          <w:highlight w:val="none"/>
        </w:rPr>
      </w:pPr>
      <w:r>
        <w:rPr>
          <w:rFonts w:hint="eastAsia" w:hAnsi="宋体" w:cs="宋体"/>
          <w:color w:val="auto"/>
          <w:szCs w:val="21"/>
          <w:highlight w:val="none"/>
        </w:rPr>
        <w:t>六、本协议在自签署之日起生效，投标有效期内有效，如获成交资格，本协议有效期延续至合同履行完毕之日。</w:t>
      </w:r>
    </w:p>
    <w:p>
      <w:pPr>
        <w:rPr>
          <w:rFonts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pPr>
        <w:rPr>
          <w:rFonts w:hAnsi="宋体" w:cs="宋体"/>
          <w:color w:val="auto"/>
          <w:szCs w:val="21"/>
          <w:highlight w:val="none"/>
        </w:rPr>
      </w:pPr>
    </w:p>
    <w:p>
      <w:pPr>
        <w:pStyle w:val="11"/>
        <w:rPr>
          <w:color w:val="auto"/>
          <w:sz w:val="21"/>
          <w:szCs w:val="21"/>
          <w:highlight w:val="none"/>
        </w:rPr>
      </w:pPr>
      <w:r>
        <w:rPr>
          <w:rFonts w:hint="eastAsia"/>
          <w:color w:val="auto"/>
          <w:sz w:val="21"/>
          <w:szCs w:val="21"/>
          <w:highlight w:val="none"/>
        </w:rPr>
        <w:t>注：本协议书由委托人签字的，应附法定代表人签字的授权委托书。</w:t>
      </w:r>
    </w:p>
    <w:p>
      <w:pPr>
        <w:pStyle w:val="11"/>
        <w:rPr>
          <w:color w:val="auto"/>
          <w:sz w:val="21"/>
          <w:szCs w:val="21"/>
          <w:highlight w:val="none"/>
        </w:rPr>
      </w:pPr>
      <w:r>
        <w:rPr>
          <w:rFonts w:hint="eastAsia"/>
          <w:color w:val="auto"/>
          <w:sz w:val="21"/>
          <w:szCs w:val="21"/>
          <w:highlight w:val="none"/>
        </w:rPr>
        <w:t>牵头人名称：_______________________（盖单位公章）</w:t>
      </w:r>
    </w:p>
    <w:p>
      <w:pPr>
        <w:pStyle w:val="11"/>
        <w:rPr>
          <w:color w:val="auto"/>
          <w:sz w:val="21"/>
          <w:szCs w:val="21"/>
          <w:highlight w:val="none"/>
        </w:rPr>
      </w:pPr>
      <w:r>
        <w:rPr>
          <w:rFonts w:hint="eastAsia"/>
          <w:color w:val="auto"/>
          <w:sz w:val="21"/>
          <w:szCs w:val="21"/>
          <w:highlight w:val="none"/>
        </w:rPr>
        <w:t>法定代表人或其委托代理人：_____________（签字）</w:t>
      </w:r>
    </w:p>
    <w:p>
      <w:pPr>
        <w:pStyle w:val="11"/>
        <w:rPr>
          <w:color w:val="auto"/>
          <w:sz w:val="21"/>
          <w:szCs w:val="21"/>
          <w:highlight w:val="none"/>
        </w:rPr>
      </w:pPr>
    </w:p>
    <w:p>
      <w:pPr>
        <w:pStyle w:val="11"/>
        <w:rPr>
          <w:color w:val="auto"/>
          <w:sz w:val="21"/>
          <w:szCs w:val="21"/>
          <w:highlight w:val="none"/>
        </w:rPr>
      </w:pPr>
      <w:r>
        <w:rPr>
          <w:rFonts w:hint="eastAsia"/>
          <w:color w:val="auto"/>
          <w:sz w:val="21"/>
          <w:szCs w:val="21"/>
          <w:highlight w:val="none"/>
        </w:rPr>
        <w:t>成员一名称：_______________________（盖单位公章）</w:t>
      </w:r>
    </w:p>
    <w:p>
      <w:pPr>
        <w:pStyle w:val="11"/>
        <w:rPr>
          <w:color w:val="auto"/>
          <w:sz w:val="21"/>
          <w:szCs w:val="21"/>
          <w:highlight w:val="none"/>
        </w:rPr>
      </w:pPr>
      <w:r>
        <w:rPr>
          <w:rFonts w:hint="eastAsia"/>
          <w:color w:val="auto"/>
          <w:sz w:val="21"/>
          <w:szCs w:val="21"/>
          <w:highlight w:val="none"/>
        </w:rPr>
        <w:t>法定代表人或其委托代理人：_____________（签字）</w:t>
      </w:r>
    </w:p>
    <w:p>
      <w:pPr>
        <w:pStyle w:val="11"/>
        <w:rPr>
          <w:color w:val="auto"/>
          <w:sz w:val="21"/>
          <w:szCs w:val="21"/>
          <w:highlight w:val="none"/>
        </w:rPr>
      </w:pPr>
    </w:p>
    <w:p>
      <w:pPr>
        <w:pStyle w:val="11"/>
        <w:rPr>
          <w:color w:val="auto"/>
          <w:sz w:val="21"/>
          <w:szCs w:val="21"/>
          <w:highlight w:val="none"/>
        </w:rPr>
      </w:pPr>
      <w:r>
        <w:rPr>
          <w:rFonts w:hint="eastAsia"/>
          <w:color w:val="auto"/>
          <w:sz w:val="21"/>
          <w:szCs w:val="21"/>
          <w:highlight w:val="none"/>
        </w:rPr>
        <w:t>成员二名称：_______________________（盖单位公章）</w:t>
      </w:r>
    </w:p>
    <w:p>
      <w:pPr>
        <w:pStyle w:val="11"/>
        <w:rPr>
          <w:color w:val="auto"/>
          <w:sz w:val="21"/>
          <w:szCs w:val="21"/>
          <w:highlight w:val="none"/>
        </w:rPr>
      </w:pPr>
      <w:r>
        <w:rPr>
          <w:rFonts w:hint="eastAsia"/>
          <w:color w:val="auto"/>
          <w:sz w:val="21"/>
          <w:szCs w:val="21"/>
          <w:highlight w:val="none"/>
        </w:rPr>
        <w:t>法定代表人或其委托代理人：_____________（签字）</w:t>
      </w:r>
    </w:p>
    <w:p>
      <w:pPr>
        <w:pStyle w:val="11"/>
        <w:ind w:firstLine="210" w:firstLineChars="100"/>
        <w:jc w:val="both"/>
        <w:rPr>
          <w:color w:val="auto"/>
          <w:sz w:val="21"/>
          <w:szCs w:val="21"/>
          <w:highlight w:val="none"/>
        </w:rPr>
      </w:pPr>
      <w:r>
        <w:rPr>
          <w:rFonts w:hint="eastAsia"/>
          <w:color w:val="auto"/>
          <w:sz w:val="21"/>
          <w:szCs w:val="21"/>
          <w:highlight w:val="none"/>
        </w:rPr>
        <w:t>……</w:t>
      </w:r>
    </w:p>
    <w:p>
      <w:pPr>
        <w:pStyle w:val="11"/>
        <w:rPr>
          <w:color w:val="auto"/>
          <w:highlight w:val="none"/>
          <w:lang w:val="en-US"/>
        </w:rPr>
        <w:sectPr>
          <w:pgSz w:w="11906" w:h="16838"/>
          <w:pgMar w:top="1440" w:right="1800" w:bottom="1440" w:left="1800" w:header="708" w:footer="708" w:gutter="0"/>
          <w:cols w:space="720" w:num="1"/>
          <w:titlePg/>
          <w:docGrid w:type="lines" w:linePitch="360" w:charSpace="0"/>
        </w:sectPr>
      </w:pPr>
      <w:r>
        <w:rPr>
          <w:rFonts w:hint="eastAsia"/>
          <w:color w:val="auto"/>
          <w:sz w:val="21"/>
          <w:szCs w:val="21"/>
          <w:highlight w:val="none"/>
        </w:rPr>
        <w:t xml:space="preserve">        年     月     日</w:t>
      </w:r>
    </w:p>
    <w:p>
      <w:pPr>
        <w:pStyle w:val="11"/>
        <w:rPr>
          <w:color w:val="auto"/>
          <w:highlight w:val="none"/>
        </w:rPr>
      </w:pPr>
    </w:p>
    <w:p>
      <w:pPr>
        <w:pStyle w:val="2"/>
        <w:spacing w:before="0" w:after="0" w:line="360" w:lineRule="auto"/>
        <w:jc w:val="center"/>
        <w:rPr>
          <w:color w:val="auto"/>
          <w:sz w:val="72"/>
          <w:szCs w:val="72"/>
          <w:highlight w:val="none"/>
        </w:rPr>
      </w:pPr>
      <w:bookmarkStart w:id="251" w:name="_Toc1366"/>
      <w:bookmarkStart w:id="252" w:name="_Toc15266"/>
      <w:r>
        <w:rPr>
          <w:rFonts w:hint="eastAsia"/>
          <w:color w:val="auto"/>
          <w:sz w:val="72"/>
          <w:szCs w:val="72"/>
          <w:highlight w:val="none"/>
        </w:rPr>
        <w:t>技术文件</w:t>
      </w:r>
      <w:bookmarkEnd w:id="251"/>
      <w:bookmarkEnd w:id="252"/>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rPr>
          <w:color w:val="auto"/>
          <w:highlight w:val="none"/>
        </w:rPr>
      </w:pPr>
    </w:p>
    <w:p>
      <w:pPr>
        <w:pStyle w:val="11"/>
        <w:rPr>
          <w:color w:val="auto"/>
          <w:highlight w:val="none"/>
        </w:rPr>
      </w:pPr>
    </w:p>
    <w:p>
      <w:pPr>
        <w:pStyle w:val="10"/>
        <w:ind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8"/>
        </w:rPr>
        <w:t>项目名</w:t>
      </w:r>
      <w:r>
        <w:rPr>
          <w:rFonts w:hint="eastAsia" w:ascii="宋体" w:hAnsi="宋体" w:cs="宋体"/>
          <w:b/>
          <w:bCs/>
          <w:color w:val="auto"/>
          <w:spacing w:val="1"/>
          <w:kern w:val="0"/>
          <w:sz w:val="32"/>
          <w:szCs w:val="32"/>
          <w:highlight w:val="none"/>
          <w:fitText w:val="1600" w:id="8"/>
        </w:rPr>
        <w:t>称</w:t>
      </w:r>
      <w:r>
        <w:rPr>
          <w:rFonts w:hint="eastAsia" w:ascii="宋体" w:hAnsi="宋体" w:cs="宋体"/>
          <w:b/>
          <w:bCs/>
          <w:color w:val="auto"/>
          <w:spacing w:val="-6"/>
          <w:sz w:val="32"/>
          <w:szCs w:val="32"/>
          <w:highlight w:val="none"/>
        </w:rPr>
        <w:t>：</w:t>
      </w:r>
    </w:p>
    <w:p>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9"/>
        </w:rPr>
        <w:t>项目编</w:t>
      </w:r>
      <w:r>
        <w:rPr>
          <w:rFonts w:hint="eastAsia" w:ascii="宋体" w:hAnsi="宋体" w:cs="宋体"/>
          <w:b/>
          <w:bCs/>
          <w:color w:val="auto"/>
          <w:spacing w:val="1"/>
          <w:kern w:val="0"/>
          <w:sz w:val="32"/>
          <w:szCs w:val="32"/>
          <w:highlight w:val="none"/>
          <w:fitText w:val="1600" w:id="9"/>
        </w:rPr>
        <w:t>号</w:t>
      </w:r>
      <w:r>
        <w:rPr>
          <w:rFonts w:hint="eastAsia" w:ascii="宋体" w:hAnsi="宋体" w:cs="宋体"/>
          <w:b/>
          <w:bCs/>
          <w:color w:val="auto"/>
          <w:sz w:val="32"/>
          <w:szCs w:val="32"/>
          <w:highlight w:val="none"/>
        </w:rPr>
        <w:t>：</w:t>
      </w:r>
    </w:p>
    <w:p>
      <w:pPr>
        <w:pStyle w:val="11"/>
        <w:ind w:left="0"/>
        <w:rPr>
          <w:b/>
          <w:color w:val="auto"/>
          <w:spacing w:val="1280"/>
          <w:sz w:val="32"/>
          <w:szCs w:val="32"/>
          <w:highlight w:val="none"/>
        </w:rPr>
      </w:pPr>
      <w:r>
        <w:rPr>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0"/>
        </w:rPr>
        <w:t>供应商名称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11"/>
        </w:rPr>
        <w:t>日</w:t>
      </w:r>
      <w:r>
        <w:rPr>
          <w:rFonts w:ascii="宋体" w:hAnsi="宋体" w:cs="宋体"/>
          <w:b/>
          <w:color w:val="auto"/>
          <w:spacing w:val="32"/>
          <w:kern w:val="0"/>
          <w:sz w:val="32"/>
          <w:szCs w:val="32"/>
          <w:highlight w:val="none"/>
          <w:fitText w:val="1600" w:id="11"/>
        </w:rPr>
        <w:t xml:space="preserve">    </w:t>
      </w:r>
      <w:r>
        <w:rPr>
          <w:rFonts w:hint="eastAsia" w:ascii="宋体" w:hAnsi="宋体" w:cs="宋体"/>
          <w:b/>
          <w:color w:val="auto"/>
          <w:spacing w:val="0"/>
          <w:kern w:val="0"/>
          <w:sz w:val="32"/>
          <w:szCs w:val="32"/>
          <w:highlight w:val="none"/>
          <w:fitText w:val="1600" w:id="11"/>
        </w:rPr>
        <w:t>期</w:t>
      </w:r>
      <w:r>
        <w:rPr>
          <w:rFonts w:hint="eastAsia" w:ascii="宋体" w:hAnsi="宋体" w:cs="宋体"/>
          <w:b/>
          <w:color w:val="auto"/>
          <w:sz w:val="32"/>
          <w:szCs w:val="32"/>
          <w:highlight w:val="none"/>
        </w:rPr>
        <w:t>：</w:t>
      </w:r>
    </w:p>
    <w:p>
      <w:pPr>
        <w:rPr>
          <w:rFonts w:ascii="宋体" w:hAnsi="宋体"/>
          <w:color w:val="auto"/>
          <w:szCs w:val="21"/>
          <w:highlight w:val="none"/>
        </w:rPr>
      </w:pPr>
      <w:r>
        <w:rPr>
          <w:rFonts w:hint="eastAsia" w:ascii="宋体" w:hAnsi="宋体"/>
          <w:color w:val="auto"/>
          <w:szCs w:val="21"/>
          <w:highlight w:val="none"/>
        </w:rPr>
        <w:br w:type="page"/>
      </w:r>
    </w:p>
    <w:p>
      <w:pPr>
        <w:pStyle w:val="5"/>
        <w:widowControl w:val="0"/>
        <w:overflowPunct w:val="0"/>
        <w:spacing w:line="240" w:lineRule="auto"/>
        <w:rPr>
          <w:rFonts w:ascii="宋体" w:hAnsi="宋体"/>
          <w:color w:val="auto"/>
          <w:sz w:val="21"/>
          <w:szCs w:val="21"/>
          <w:highlight w:val="none"/>
        </w:rPr>
      </w:pPr>
      <w:bookmarkStart w:id="253" w:name="_Toc17385"/>
      <w:bookmarkStart w:id="254" w:name="_Toc1309"/>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.技术规格偏离表格式</w:t>
      </w:r>
      <w:bookmarkEnd w:id="253"/>
      <w:bookmarkEnd w:id="254"/>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838"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磋商实际响应</w:t>
            </w:r>
          </w:p>
        </w:tc>
        <w:tc>
          <w:tcPr>
            <w:tcW w:w="1239"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供应商代表签字：</w:t>
      </w:r>
    </w:p>
    <w:p>
      <w:pPr>
        <w:rPr>
          <w:rFonts w:ascii="宋体" w:hAnsi="宋体"/>
          <w:color w:val="auto"/>
          <w:szCs w:val="21"/>
          <w:highlight w:val="none"/>
        </w:rPr>
      </w:pPr>
      <w:r>
        <w:rPr>
          <w:rFonts w:hint="eastAsia" w:ascii="宋体" w:hAnsi="宋体"/>
          <w:color w:val="auto"/>
          <w:szCs w:val="21"/>
          <w:highlight w:val="none"/>
        </w:rPr>
        <w:t>供应商盖章：</w:t>
      </w:r>
    </w:p>
    <w:p>
      <w:pPr>
        <w:ind w:firstLine="178" w:firstLineChars="85"/>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p>
    <w:p>
      <w:pPr>
        <w:rPr>
          <w:rFonts w:ascii="宋体" w:hAnsi="宋体"/>
          <w:color w:val="auto"/>
          <w:szCs w:val="21"/>
          <w:highlight w:val="none"/>
        </w:rPr>
      </w:pPr>
      <w:r>
        <w:rPr>
          <w:rFonts w:hint="eastAsia" w:ascii="宋体" w:hAnsi="宋体"/>
          <w:color w:val="auto"/>
          <w:szCs w:val="21"/>
          <w:highlight w:val="none"/>
        </w:rPr>
        <w:t>1、供应商应对照磋商文件技术需求书中技术规格，说明所提供服务已对磋商文件的技术规格做出了实质性的响应，并申明与技术规格条文的偏差和例外。特别对有具体参数要求的指标，供应商必须提供所投设备的具体参数值。</w:t>
      </w:r>
    </w:p>
    <w:p>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，供应商都被认为已清楚了解磋商文件“技术需求书”的内容并对采购人所需的服务要求作全面响应，供应商必须承担完成“技术需求书”所描述内容的义务</w:t>
      </w:r>
      <w:r>
        <w:rPr>
          <w:rFonts w:hint="eastAsia" w:ascii="宋体" w:hAnsi="宋体"/>
          <w:color w:val="auto"/>
          <w:szCs w:val="21"/>
          <w:highlight w:val="none"/>
        </w:rPr>
        <w:t>，因此对供应商响应产生负面影响的，供应商自行承担后果。</w:t>
      </w:r>
    </w:p>
    <w:p>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如供应商差异内容较多可另附页说明。</w:t>
      </w:r>
    </w:p>
    <w:p>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如供应商对用户需求书商务要求的条款全部响应的，也可以在表格下面用文字总括性的说明。</w:t>
      </w:r>
    </w:p>
    <w:p>
      <w:pPr>
        <w:rPr>
          <w:rFonts w:ascii="宋体" w:hAnsi="宋体"/>
          <w:color w:val="auto"/>
          <w:szCs w:val="21"/>
          <w:highlight w:val="none"/>
        </w:rPr>
      </w:pPr>
      <w:bookmarkStart w:id="255" w:name="_Toc17691"/>
      <w:r>
        <w:rPr>
          <w:rFonts w:hint="eastAsia" w:ascii="宋体" w:hAnsi="宋体"/>
          <w:color w:val="auto"/>
          <w:szCs w:val="21"/>
          <w:highlight w:val="none"/>
        </w:rPr>
        <w:br w:type="page"/>
      </w:r>
    </w:p>
    <w:bookmarkEnd w:id="255"/>
    <w:p>
      <w:pPr>
        <w:pStyle w:val="5"/>
        <w:widowControl w:val="0"/>
        <w:overflowPunct w:val="0"/>
        <w:spacing w:line="240" w:lineRule="auto"/>
        <w:rPr>
          <w:rFonts w:ascii="宋体" w:hAnsi="宋体"/>
          <w:color w:val="auto"/>
          <w:sz w:val="21"/>
          <w:szCs w:val="21"/>
          <w:highlight w:val="none"/>
        </w:rPr>
      </w:pPr>
      <w:bookmarkStart w:id="256" w:name="_Toc25227"/>
      <w:bookmarkStart w:id="257" w:name="_Toc23158"/>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.项目实施方案格式</w:t>
      </w:r>
      <w:bookmarkEnd w:id="256"/>
      <w:bookmarkEnd w:id="257"/>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pPr>
        <w:jc w:val="center"/>
        <w:rPr>
          <w:rFonts w:ascii="黑体" w:eastAsia="黑体"/>
          <w:color w:val="auto"/>
          <w:sz w:val="32"/>
          <w:szCs w:val="32"/>
          <w:highlight w:val="none"/>
        </w:rPr>
      </w:pP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可</w:t>
      </w:r>
      <w:r>
        <w:rPr>
          <w:rFonts w:ascii="宋体" w:hAnsi="宋体"/>
          <w:color w:val="auto"/>
          <w:szCs w:val="21"/>
          <w:highlight w:val="none"/>
        </w:rPr>
        <w:t>包括但不限于如下内容：</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1、为完成本项目供应商临时投入的设备</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2、为完成本项目供应商投入的人员以及具体工作安排</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3、供应商为本项目制定的具体项目实施方案与项目实施流程</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pP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请</w:t>
      </w:r>
      <w:r>
        <w:rPr>
          <w:rFonts w:ascii="宋体" w:hAnsi="宋体"/>
          <w:color w:val="auto"/>
          <w:szCs w:val="21"/>
          <w:highlight w:val="none"/>
        </w:rPr>
        <w:t>供应商根据磋商文件要求</w:t>
      </w:r>
      <w:r>
        <w:rPr>
          <w:rFonts w:hint="eastAsia" w:ascii="宋体" w:hAnsi="宋体"/>
          <w:color w:val="auto"/>
          <w:szCs w:val="21"/>
          <w:highlight w:val="none"/>
        </w:rPr>
        <w:t>自行编写。</w:t>
      </w:r>
    </w:p>
    <w:p>
      <w:pPr>
        <w:ind w:left="718" w:leftChars="200" w:hanging="298" w:hangingChars="142"/>
        <w:rPr>
          <w:rFonts w:ascii="宋体" w:hAnsi="宋体"/>
          <w:color w:val="auto"/>
          <w:szCs w:val="21"/>
          <w:highlight w:val="none"/>
        </w:rPr>
      </w:pPr>
    </w:p>
    <w:p>
      <w:pPr>
        <w:ind w:left="718" w:leftChars="200" w:hanging="298" w:hangingChars="142"/>
        <w:rPr>
          <w:rFonts w:ascii="宋体" w:hAnsi="宋体"/>
          <w:color w:val="auto"/>
          <w:szCs w:val="21"/>
          <w:highlight w:val="none"/>
        </w:rPr>
      </w:pPr>
    </w:p>
    <w:p>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pPr>
        <w:pStyle w:val="5"/>
        <w:widowControl w:val="0"/>
        <w:overflowPunct w:val="0"/>
        <w:spacing w:line="240" w:lineRule="auto"/>
        <w:rPr>
          <w:rFonts w:ascii="宋体" w:hAnsi="宋体"/>
          <w:color w:val="auto"/>
          <w:sz w:val="21"/>
          <w:szCs w:val="21"/>
          <w:highlight w:val="none"/>
        </w:rPr>
      </w:pPr>
      <w:bookmarkStart w:id="258" w:name="_Toc9212"/>
      <w:bookmarkStart w:id="259" w:name="_Toc1376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.实施本项目的有关人员资料表格式</w:t>
      </w:r>
      <w:bookmarkEnd w:id="258"/>
      <w:bookmarkEnd w:id="259"/>
    </w:p>
    <w:p>
      <w:pPr>
        <w:jc w:val="center"/>
        <w:rPr>
          <w:rFonts w:ascii="宋体" w:hAnsi="宋体"/>
          <w:color w:val="auto"/>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35"/>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姓名</w:t>
            </w:r>
          </w:p>
        </w:tc>
        <w:tc>
          <w:tcPr>
            <w:tcW w:w="1861"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性别</w:t>
            </w:r>
          </w:p>
        </w:tc>
        <w:tc>
          <w:tcPr>
            <w:tcW w:w="7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年龄</w:t>
            </w:r>
          </w:p>
        </w:tc>
        <w:tc>
          <w:tcPr>
            <w:tcW w:w="1164"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专 业</w:t>
            </w:r>
          </w:p>
        </w:tc>
        <w:tc>
          <w:tcPr>
            <w:tcW w:w="1165"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bl>
    <w:p>
      <w:pPr>
        <w:ind w:firstLine="178" w:firstLineChars="85"/>
        <w:rPr>
          <w:rFonts w:ascii="宋体" w:hAnsi="宋体"/>
          <w:color w:val="auto"/>
          <w:szCs w:val="21"/>
          <w:highlight w:val="none"/>
        </w:rPr>
      </w:pPr>
    </w:p>
    <w:p>
      <w:pP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pPr>
        <w:ind w:firstLine="178" w:firstLineChars="85"/>
        <w:rPr>
          <w:rFonts w:ascii="宋体" w:hAnsi="宋体"/>
          <w:color w:val="auto"/>
          <w:szCs w:val="21"/>
          <w:highlight w:val="none"/>
        </w:rPr>
      </w:pPr>
      <w:r>
        <w:rPr>
          <w:rFonts w:hint="eastAsia" w:ascii="宋体" w:hAnsi="宋体"/>
          <w:color w:val="auto"/>
          <w:szCs w:val="21"/>
          <w:highlight w:val="none"/>
        </w:rPr>
        <w:t>供应商代表签字：</w:t>
      </w:r>
    </w:p>
    <w:p>
      <w:pPr>
        <w:ind w:firstLine="178" w:firstLineChars="85"/>
        <w:rPr>
          <w:rFonts w:ascii="宋体" w:hAnsi="宋体"/>
          <w:color w:val="auto"/>
          <w:szCs w:val="21"/>
          <w:highlight w:val="none"/>
        </w:rPr>
      </w:pPr>
      <w:r>
        <w:rPr>
          <w:rFonts w:hint="eastAsia" w:ascii="宋体" w:hAnsi="宋体"/>
          <w:color w:val="auto"/>
          <w:szCs w:val="21"/>
          <w:highlight w:val="none"/>
        </w:rPr>
        <w:t>供应商盖章：</w:t>
      </w:r>
    </w:p>
    <w:p>
      <w:pPr>
        <w:rPr>
          <w:rFonts w:ascii="宋体" w:hAnsi="宋体"/>
          <w:color w:val="auto"/>
          <w:szCs w:val="21"/>
          <w:highlight w:val="none"/>
        </w:rPr>
      </w:pPr>
      <w:r>
        <w:rPr>
          <w:rFonts w:hint="eastAsia" w:ascii="宋体" w:hAnsi="宋体"/>
          <w:color w:val="auto"/>
          <w:szCs w:val="21"/>
          <w:highlight w:val="none"/>
        </w:rPr>
        <w:t>注：</w:t>
      </w:r>
    </w:p>
    <w:p>
      <w:pPr>
        <w:pStyle w:val="57"/>
        <w:numPr>
          <w:ilvl w:val="0"/>
          <w:numId w:val="10"/>
        </w:numPr>
        <w:ind w:firstLineChars="0"/>
        <w:rPr>
          <w:rFonts w:ascii="宋体" w:hAnsi="宋体"/>
          <w:color w:val="auto"/>
          <w:szCs w:val="21"/>
          <w:highlight w:val="none"/>
        </w:rPr>
      </w:pPr>
      <w:r>
        <w:rPr>
          <w:rFonts w:hint="eastAsia" w:ascii="宋体" w:hAnsi="宋体"/>
          <w:color w:val="auto"/>
          <w:szCs w:val="21"/>
          <w:highlight w:val="none"/>
        </w:rPr>
        <w:t>供应商可按项目的实际需要提供本表格。</w:t>
      </w:r>
    </w:p>
    <w:p>
      <w:pPr>
        <w:pStyle w:val="57"/>
        <w:numPr>
          <w:ilvl w:val="0"/>
          <w:numId w:val="10"/>
        </w:numPr>
        <w:ind w:firstLineChars="0"/>
        <w:rPr>
          <w:rFonts w:ascii="宋体" w:hAnsi="宋体" w:cs="Times New Roman"/>
          <w:color w:val="auto"/>
          <w:szCs w:val="21"/>
          <w:highlight w:val="none"/>
        </w:rPr>
      </w:pPr>
      <w:r>
        <w:rPr>
          <w:rFonts w:hint="eastAsia" w:ascii="宋体" w:hAnsi="宋体"/>
          <w:color w:val="auto"/>
          <w:szCs w:val="21"/>
          <w:highlight w:val="none"/>
        </w:rPr>
        <w:t>该表格为参考格式，供应商可按实际情况自行制订。</w:t>
      </w:r>
    </w:p>
    <w:p>
      <w:pPr>
        <w:rPr>
          <w:rFonts w:ascii="宋体" w:hAnsi="宋体" w:cs="Times New Roman"/>
          <w:color w:val="auto"/>
          <w:szCs w:val="21"/>
          <w:highlight w:val="none"/>
        </w:rPr>
      </w:pPr>
      <w:r>
        <w:rPr>
          <w:rFonts w:hint="eastAsia" w:ascii="宋体" w:hAnsi="宋体"/>
          <w:color w:val="auto"/>
          <w:szCs w:val="21"/>
          <w:highlight w:val="none"/>
        </w:rPr>
        <w:t>3、供应商若未提供或未填写完整则视为完全响应磋商文件的人员要求，因此对供应商响应产生负面影响的，供应商自行承担后果。</w:t>
      </w:r>
    </w:p>
    <w:p>
      <w:pPr>
        <w:pStyle w:val="57"/>
        <w:numPr>
          <w:ilvl w:val="0"/>
          <w:numId w:val="0"/>
        </w:numPr>
        <w:ind w:leftChars="0"/>
        <w:rPr>
          <w:rFonts w:ascii="宋体" w:hAnsi="宋体" w:cs="Times New Roman"/>
          <w:color w:val="auto"/>
          <w:szCs w:val="21"/>
          <w:highlight w:val="none"/>
        </w:rPr>
      </w:pPr>
      <w:r>
        <w:rPr>
          <w:rFonts w:hint="eastAsia" w:ascii="宋体" w:hAnsi="宋体"/>
          <w:color w:val="auto"/>
          <w:szCs w:val="21"/>
          <w:highlight w:val="none"/>
        </w:rPr>
        <w:br w:type="page"/>
      </w:r>
    </w:p>
    <w:p>
      <w:pPr>
        <w:pStyle w:val="5"/>
        <w:widowControl w:val="0"/>
        <w:overflowPunct w:val="0"/>
        <w:spacing w:line="240" w:lineRule="auto"/>
        <w:rPr>
          <w:color w:val="auto"/>
          <w:highlight w:val="none"/>
        </w:rPr>
      </w:pPr>
      <w:bookmarkStart w:id="260" w:name="_Toc13343"/>
      <w:bookmarkStart w:id="261" w:name="_Toc3563"/>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.磋商保证金汇入情况说明格式</w:t>
      </w:r>
      <w:bookmarkEnd w:id="260"/>
      <w:bookmarkEnd w:id="261"/>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磋商保证金汇入情况说明</w:t>
      </w:r>
    </w:p>
    <w:p>
      <w:pP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广西同泽工程项目管理股份有限公司</w:t>
      </w:r>
      <w:r>
        <w:rPr>
          <w:rFonts w:hint="eastAsia" w:ascii="宋体" w:hAnsi="宋体"/>
          <w:color w:val="auto"/>
          <w:szCs w:val="21"/>
          <w:highlight w:val="none"/>
        </w:rPr>
        <w:t>：</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项目（采购项目编号：）的磋商文件要求，于年月日前以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本单位磋商保证金的汇款情况：（详见附件－磋商保证金进帐单）</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（必须是响应时使用的帐户名）   </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（必须是响应时使用的帐号）        </w:t>
      </w:r>
    </w:p>
    <w:p>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磋商保证金退回时，请按上述资料退回。</w:t>
      </w:r>
    </w:p>
    <w:p>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pPr>
        <w:spacing w:line="480" w:lineRule="auto"/>
        <w:rPr>
          <w:rFonts w:ascii="宋体" w:hAnsi="宋体"/>
          <w:color w:val="auto"/>
          <w:szCs w:val="21"/>
          <w:highlight w:val="none"/>
        </w:rPr>
      </w:pPr>
      <w:r>
        <w:rPr>
          <w:rFonts w:hint="eastAsia" w:ascii="宋体" w:hAnsi="宋体"/>
          <w:color w:val="auto"/>
          <w:szCs w:val="21"/>
          <w:highlight w:val="none"/>
        </w:rPr>
        <w:t>单位名称：</w:t>
      </w:r>
    </w:p>
    <w:p>
      <w:pPr>
        <w:spacing w:line="480" w:lineRule="auto"/>
        <w:rPr>
          <w:rFonts w:ascii="宋体" w:hAnsi="宋体"/>
          <w:color w:val="auto"/>
          <w:szCs w:val="21"/>
          <w:highlight w:val="none"/>
        </w:rPr>
      </w:pPr>
      <w:r>
        <w:rPr>
          <w:rFonts w:hint="eastAsia" w:ascii="宋体" w:hAnsi="宋体"/>
          <w:color w:val="auto"/>
          <w:szCs w:val="21"/>
          <w:highlight w:val="none"/>
        </w:rPr>
        <w:t>单位地址：</w:t>
      </w:r>
    </w:p>
    <w:p>
      <w:pPr>
        <w:spacing w:line="480" w:lineRule="auto"/>
        <w:rPr>
          <w:rFonts w:ascii="宋体" w:hAnsi="宋体"/>
          <w:color w:val="auto"/>
          <w:szCs w:val="21"/>
          <w:highlight w:val="none"/>
        </w:rPr>
      </w:pPr>
      <w:r>
        <w:rPr>
          <w:rFonts w:hint="eastAsia" w:ascii="宋体" w:hAnsi="宋体"/>
          <w:color w:val="auto"/>
          <w:szCs w:val="21"/>
          <w:highlight w:val="none"/>
        </w:rPr>
        <w:t>联系人：</w:t>
      </w:r>
    </w:p>
    <w:p>
      <w:pPr>
        <w:spacing w:line="480" w:lineRule="auto"/>
        <w:rPr>
          <w:rFonts w:ascii="宋体" w:hAnsi="宋体"/>
          <w:color w:val="auto"/>
          <w:szCs w:val="21"/>
          <w:highlight w:val="none"/>
        </w:rPr>
      </w:pPr>
      <w:r>
        <w:rPr>
          <w:rFonts w:hint="eastAsia" w:ascii="宋体" w:hAnsi="宋体"/>
          <w:color w:val="auto"/>
          <w:szCs w:val="21"/>
          <w:highlight w:val="none"/>
        </w:rPr>
        <w:t>单位电话： 联系人手机：</w:t>
      </w:r>
    </w:p>
    <w:p>
      <w:pPr>
        <w:rPr>
          <w:rFonts w:ascii="宋体" w:hAnsi="宋体"/>
          <w:color w:val="auto"/>
          <w:szCs w:val="21"/>
          <w:highlight w:val="none"/>
        </w:rPr>
      </w:pP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附：我方磋商保证金汇款凭证</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9" w:hRule="atLeast"/>
        </w:trPr>
        <w:tc>
          <w:tcPr>
            <w:tcW w:w="8522" w:type="dxa"/>
            <w:noWrap w:val="0"/>
            <w:vAlign w:val="center"/>
          </w:tcPr>
          <w:p>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复印件，并在骑缝上加盖供应商公章，或是直接把转账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注：此表既要装订在响应文件中，又要按供应商须知的规定与开标一览表、磋商保证金汇款底单复印件及授权委托书一同密封装入唱标信封，唱标信封单独提交。</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5"/>
        <w:numPr>
          <w:ilvl w:val="0"/>
          <w:numId w:val="0"/>
        </w:numPr>
        <w:tabs>
          <w:tab w:val="left" w:pos="720"/>
          <w:tab w:val="left" w:pos="3840"/>
        </w:tabs>
        <w:ind w:left="283"/>
        <w:jc w:val="both"/>
        <w:rPr>
          <w:rFonts w:ascii="宋体" w:hAnsi="宋体"/>
          <w:color w:val="auto"/>
          <w:sz w:val="21"/>
          <w:szCs w:val="21"/>
          <w:highlight w:val="none"/>
        </w:rPr>
      </w:pPr>
      <w:bookmarkStart w:id="262" w:name="_Toc29855"/>
      <w:bookmarkStart w:id="263" w:name="_Toc21254"/>
      <w:bookmarkStart w:id="264" w:name="_Toc25861"/>
      <w:bookmarkStart w:id="265" w:name="_Toc28623"/>
      <w:bookmarkStart w:id="266" w:name="_Toc14605"/>
      <w:bookmarkStart w:id="267" w:name="_Toc18296"/>
      <w:bookmarkStart w:id="268" w:name="_Toc19947"/>
      <w:bookmarkStart w:id="269" w:name="_Toc17028"/>
      <w:bookmarkStart w:id="270" w:name="_Toc2144"/>
      <w:bookmarkStart w:id="271" w:name="_Toc4866"/>
      <w:bookmarkStart w:id="272" w:name="_Toc170"/>
      <w:bookmarkStart w:id="273" w:name="_Toc156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.不可撤销履约保函</w:t>
      </w:r>
      <w:bookmarkEnd w:id="262"/>
      <w:bookmarkEnd w:id="263"/>
      <w:bookmarkEnd w:id="264"/>
      <w:bookmarkEnd w:id="265"/>
      <w:bookmarkEnd w:id="266"/>
      <w:bookmarkEnd w:id="267"/>
      <w:bookmarkEnd w:id="268"/>
      <w:bookmarkEnd w:id="269"/>
      <w:bookmarkEnd w:id="270"/>
      <w:bookmarkEnd w:id="271"/>
      <w:bookmarkEnd w:id="272"/>
      <w:bookmarkEnd w:id="273"/>
    </w:p>
    <w:p>
      <w:pPr>
        <w:spacing w:line="440" w:lineRule="exact"/>
        <w:ind w:firstLine="3080" w:firstLineChars="1100"/>
        <w:jc w:val="both"/>
        <w:textAlignment w:val="baseline"/>
        <w:outlineLvl w:val="9"/>
        <w:rPr>
          <w:rFonts w:hint="eastAsia" w:eastAsia="黑体"/>
          <w:color w:val="000000" w:themeColor="text1"/>
          <w:sz w:val="28"/>
          <w:szCs w:val="28"/>
          <w:highlight w:val="none"/>
          <w14:textFill>
            <w14:solidFill>
              <w14:schemeClr w14:val="tx1"/>
            </w14:solidFill>
          </w14:textFill>
        </w:rPr>
      </w:pPr>
      <w:bookmarkStart w:id="274" w:name="_Toc32416"/>
      <w:bookmarkStart w:id="275" w:name="_Toc5218"/>
      <w:bookmarkStart w:id="276" w:name="_Toc13567"/>
      <w:bookmarkStart w:id="277" w:name="_Toc15851"/>
      <w:bookmarkStart w:id="278" w:name="_Toc29181"/>
      <w:bookmarkStart w:id="279" w:name="_Toc6701"/>
      <w:r>
        <w:rPr>
          <w:rFonts w:hint="eastAsia" w:eastAsia="黑体"/>
          <w:color w:val="000000" w:themeColor="text1"/>
          <w:sz w:val="28"/>
          <w:szCs w:val="28"/>
          <w:highlight w:val="none"/>
          <w14:textFill>
            <w14:solidFill>
              <w14:schemeClr w14:val="tx1"/>
            </w14:solidFill>
          </w14:textFill>
        </w:rPr>
        <w:t>不可撤销</w:t>
      </w:r>
      <w:r>
        <w:rPr>
          <w:rFonts w:eastAsia="黑体"/>
          <w:color w:val="000000" w:themeColor="text1"/>
          <w:sz w:val="28"/>
          <w:szCs w:val="28"/>
          <w:highlight w:val="none"/>
          <w14:textFill>
            <w14:solidFill>
              <w14:schemeClr w14:val="tx1"/>
            </w14:solidFill>
          </w14:textFill>
        </w:rPr>
        <w:t>履约保</w:t>
      </w:r>
      <w:r>
        <w:rPr>
          <w:rFonts w:hint="eastAsia" w:eastAsia="黑体"/>
          <w:color w:val="000000" w:themeColor="text1"/>
          <w:sz w:val="28"/>
          <w:szCs w:val="28"/>
          <w:highlight w:val="none"/>
          <w14:textFill>
            <w14:solidFill>
              <w14:schemeClr w14:val="tx1"/>
            </w14:solidFill>
          </w14:textFill>
        </w:rPr>
        <w:t>函</w:t>
      </w:r>
      <w:bookmarkEnd w:id="274"/>
      <w:bookmarkEnd w:id="275"/>
      <w:bookmarkEnd w:id="276"/>
      <w:bookmarkEnd w:id="277"/>
      <w:bookmarkEnd w:id="278"/>
      <w:r>
        <w:rPr>
          <w:rFonts w:hint="eastAsia" w:eastAsia="黑体"/>
          <w:color w:val="000000" w:themeColor="text1"/>
          <w:sz w:val="28"/>
          <w:szCs w:val="28"/>
          <w:highlight w:val="none"/>
          <w14:textFill>
            <w14:solidFill>
              <w14:schemeClr w14:val="tx1"/>
            </w14:solidFill>
          </w14:textFill>
        </w:rPr>
        <w:t>（如有）</w:t>
      </w:r>
      <w:bookmarkEnd w:id="279"/>
    </w:p>
    <w:p>
      <w:pPr>
        <w:spacing w:line="360" w:lineRule="auto"/>
        <w:ind w:firstLine="6300"/>
        <w:textAlignment w:val="baseline"/>
        <w:rPr>
          <w:rFonts w:ascii="宋体" w:hAnsi="宋体"/>
          <w:color w:val="000000" w:themeColor="text1"/>
          <w:sz w:val="20"/>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保函编号：</w:t>
      </w:r>
      <w:r>
        <w:rPr>
          <w:rFonts w:hint="eastAsia" w:ascii="宋体" w:hAnsi="宋体"/>
          <w:color w:val="000000" w:themeColor="text1"/>
          <w:highlight w:val="none"/>
          <w:u w:val="single" w:color="000000"/>
          <w14:textFill>
            <w14:solidFill>
              <w14:schemeClr w14:val="tx1"/>
            </w14:solidFill>
          </w14:textFill>
        </w:rPr>
        <w:t xml:space="preserve">             </w:t>
      </w:r>
    </w:p>
    <w:p>
      <w:pPr>
        <w:spacing w:before="100" w:beforeAutospacing="1" w:after="100" w:afterAutospacing="1" w:line="360" w:lineRule="auto"/>
        <w:textAlignment w:val="baseline"/>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color="000000"/>
          <w14:textFill>
            <w14:solidFill>
              <w14:schemeClr w14:val="tx1"/>
            </w14:solidFill>
          </w14:textFill>
        </w:rPr>
        <w:t xml:space="preserve"> （发包人的名称）  </w:t>
      </w:r>
      <w:r>
        <w:rPr>
          <w:rFonts w:hint="eastAsia" w:ascii="宋体" w:hAnsi="宋体"/>
          <w:color w:val="000000" w:themeColor="text1"/>
          <w:highlight w:val="none"/>
          <w14:textFill>
            <w14:solidFill>
              <w14:schemeClr w14:val="tx1"/>
            </w14:solidFill>
          </w14:textFill>
        </w:rPr>
        <w:t>（下称“发包人”）</w:t>
      </w:r>
    </w:p>
    <w:p>
      <w:pPr>
        <w:spacing w:before="100" w:beforeAutospacing="1" w:after="100" w:afterAutospacing="1" w:line="360" w:lineRule="auto"/>
        <w:ind w:firstLine="437"/>
        <w:textAlignment w:val="baseline"/>
        <w:rPr>
          <w:rFonts w:hint="eastAsia"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鉴于</w:t>
      </w:r>
      <w:r>
        <w:rPr>
          <w:rFonts w:hint="eastAsia" w:ascii="宋体" w:hAnsi="宋体"/>
          <w:color w:val="000000" w:themeColor="text1"/>
          <w:highlight w:val="none"/>
          <w:u w:val="single" w:color="000000"/>
          <w14:textFill>
            <w14:solidFill>
              <w14:schemeClr w14:val="tx1"/>
            </w14:solidFill>
          </w14:textFill>
        </w:rPr>
        <w:t xml:space="preserve">  （承包人的名称与地址）  </w:t>
      </w:r>
      <w:r>
        <w:rPr>
          <w:rFonts w:hint="eastAsia" w:ascii="宋体" w:hAnsi="宋体"/>
          <w:color w:val="000000" w:themeColor="text1"/>
          <w:highlight w:val="none"/>
          <w14:textFill>
            <w14:solidFill>
              <w14:schemeClr w14:val="tx1"/>
            </w14:solidFill>
          </w14:textFill>
        </w:rPr>
        <w:t>（下称“承包人”），已保证按</w:t>
      </w:r>
      <w:r>
        <w:rPr>
          <w:rFonts w:hint="eastAsia" w:ascii="宋体" w:hAnsi="宋体"/>
          <w:color w:val="000000" w:themeColor="text1"/>
          <w:highlight w:val="none"/>
          <w:u w:val="single" w:color="000000"/>
          <w14:textFill>
            <w14:solidFill>
              <w14:schemeClr w14:val="tx1"/>
            </w14:solidFill>
          </w14:textFill>
        </w:rPr>
        <w:t xml:space="preserve">  （</w:t>
      </w:r>
      <w:r>
        <w:rPr>
          <w:rFonts w:hint="eastAsia" w:ascii="宋体" w:hAnsi="宋体"/>
          <w:color w:val="000000" w:themeColor="text1"/>
          <w:highlight w:val="none"/>
          <w:u w:val="single" w:color="000000"/>
          <w:lang w:eastAsia="zh-CN"/>
          <w14:textFill>
            <w14:solidFill>
              <w14:schemeClr w14:val="tx1"/>
            </w14:solidFill>
          </w14:textFill>
        </w:rPr>
        <w:t>采购</w:t>
      </w:r>
      <w:r>
        <w:rPr>
          <w:rFonts w:hint="eastAsia" w:ascii="宋体" w:hAnsi="宋体"/>
          <w:color w:val="000000" w:themeColor="text1"/>
          <w:highlight w:val="none"/>
          <w:u w:val="single" w:color="000000"/>
          <w14:textFill>
            <w14:solidFill>
              <w14:schemeClr w14:val="tx1"/>
            </w14:solidFill>
          </w14:textFill>
        </w:rPr>
        <w:t xml:space="preserve">项目名称）  </w:t>
      </w:r>
      <w:r>
        <w:rPr>
          <w:rFonts w:hint="eastAsia" w:ascii="宋体" w:hAnsi="宋体"/>
          <w:color w:val="000000" w:themeColor="text1"/>
          <w:highlight w:val="none"/>
          <w:lang w:eastAsia="zh-CN"/>
          <w14:textFill>
            <w14:solidFill>
              <w14:schemeClr w14:val="tx1"/>
            </w14:solidFill>
          </w14:textFill>
        </w:rPr>
        <w:t>采购</w:t>
      </w:r>
      <w:r>
        <w:rPr>
          <w:rFonts w:hint="eastAsia" w:ascii="宋体" w:hAnsi="宋体"/>
          <w:color w:val="000000" w:themeColor="text1"/>
          <w:highlight w:val="none"/>
          <w14:textFill>
            <w14:solidFill>
              <w14:schemeClr w14:val="tx1"/>
            </w14:solidFill>
          </w14:textFill>
        </w:rPr>
        <w:t>文件</w:t>
      </w:r>
      <w:r>
        <w:rPr>
          <w:rFonts w:hint="eastAsia" w:ascii="宋体" w:hAnsi="宋体"/>
          <w:color w:val="000000" w:themeColor="text1"/>
          <w:highlight w:val="none"/>
          <w:u w:val="single" w:color="000000"/>
          <w14:textFill>
            <w14:solidFill>
              <w14:schemeClr w14:val="tx1"/>
            </w14:solidFill>
          </w14:textFill>
        </w:rPr>
        <w:t>（</w:t>
      </w:r>
      <w:r>
        <w:rPr>
          <w:rFonts w:hint="eastAsia" w:ascii="宋体" w:hAnsi="宋体"/>
          <w:color w:val="000000" w:themeColor="text1"/>
          <w:highlight w:val="none"/>
          <w:u w:val="single" w:color="000000"/>
          <w:lang w:eastAsia="zh-CN"/>
          <w14:textFill>
            <w14:solidFill>
              <w14:schemeClr w14:val="tx1"/>
            </w14:solidFill>
          </w14:textFill>
        </w:rPr>
        <w:t>采购</w:t>
      </w:r>
      <w:r>
        <w:rPr>
          <w:rFonts w:hint="eastAsia" w:ascii="宋体" w:hAnsi="宋体"/>
          <w:color w:val="000000" w:themeColor="text1"/>
          <w:highlight w:val="none"/>
          <w:u w:val="single" w:color="000000"/>
          <w14:textFill>
            <w14:solidFill>
              <w14:schemeClr w14:val="tx1"/>
            </w14:solidFill>
          </w14:textFill>
        </w:rPr>
        <w:t xml:space="preserve">编号：   ） </w:t>
      </w:r>
      <w:r>
        <w:rPr>
          <w:rFonts w:hint="eastAsia" w:ascii="宋体" w:hAnsi="宋体"/>
          <w:color w:val="000000" w:themeColor="text1"/>
          <w:highlight w:val="none"/>
          <w14:textFill>
            <w14:solidFill>
              <w14:schemeClr w14:val="tx1"/>
            </w14:solidFill>
          </w14:textFill>
        </w:rPr>
        <w:t>及</w:t>
      </w:r>
      <w:r>
        <w:rPr>
          <w:rFonts w:hint="eastAsia" w:ascii="宋体" w:hAnsi="宋体"/>
          <w:color w:val="000000" w:themeColor="text1"/>
          <w:highlight w:val="none"/>
          <w:u w:val="single" w:color="000000"/>
          <w14:textFill>
            <w14:solidFill>
              <w14:schemeClr w14:val="tx1"/>
            </w14:solidFill>
          </w14:textFill>
        </w:rPr>
        <w:t xml:space="preserve">（合同名称） </w:t>
      </w:r>
      <w:r>
        <w:rPr>
          <w:rFonts w:hint="eastAsia" w:hAnsi="宋体"/>
          <w:color w:val="000000" w:themeColor="text1"/>
          <w:highlight w:val="none"/>
          <w:u w:val="single" w:color="000000"/>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合同</w:t>
      </w:r>
      <w:r>
        <w:rPr>
          <w:rFonts w:hint="eastAsia" w:ascii="宋体" w:hAnsi="宋体"/>
          <w:color w:val="000000" w:themeColor="text1"/>
          <w:highlight w:val="none"/>
          <w:u w:val="single" w:color="000000"/>
          <w14:textFill>
            <w14:solidFill>
              <w14:schemeClr w14:val="tx1"/>
            </w14:solidFill>
          </w14:textFill>
        </w:rPr>
        <w:t>（合同编号：   ）</w:t>
      </w:r>
      <w:r>
        <w:rPr>
          <w:rFonts w:hint="eastAsia" w:ascii="宋体" w:hAnsi="宋体"/>
          <w:color w:val="000000" w:themeColor="text1"/>
          <w:highlight w:val="none"/>
          <w14:textFill>
            <w14:solidFill>
              <w14:schemeClr w14:val="tx1"/>
            </w14:solidFill>
          </w14:textFill>
        </w:rPr>
        <w:t>中规定的义务履行合同。</w:t>
      </w:r>
    </w:p>
    <w:p>
      <w:pPr>
        <w:spacing w:before="100" w:beforeAutospacing="1" w:after="100" w:afterAutospacing="1" w:line="360" w:lineRule="auto"/>
        <w:ind w:firstLine="437"/>
        <w:textAlignment w:val="baseline"/>
        <w:rPr>
          <w:rFonts w:hint="eastAsia"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根据上述</w:t>
      </w:r>
      <w:r>
        <w:rPr>
          <w:rFonts w:hint="eastAsia" w:ascii="宋体" w:hAnsi="宋体"/>
          <w:color w:val="000000" w:themeColor="text1"/>
          <w:highlight w:val="none"/>
          <w:lang w:eastAsia="zh-CN"/>
          <w14:textFill>
            <w14:solidFill>
              <w14:schemeClr w14:val="tx1"/>
            </w14:solidFill>
          </w14:textFill>
        </w:rPr>
        <w:t>采购</w:t>
      </w:r>
      <w:r>
        <w:rPr>
          <w:rFonts w:hint="eastAsia" w:ascii="宋体" w:hAnsi="宋体"/>
          <w:color w:val="000000" w:themeColor="text1"/>
          <w:highlight w:val="none"/>
          <w14:textFill>
            <w14:solidFill>
              <w14:schemeClr w14:val="tx1"/>
            </w14:solidFill>
          </w14:textFill>
        </w:rPr>
        <w:t>文件及合同规定，承包人应向发包人提供一份金额为人民币（大写）</w:t>
      </w:r>
      <w:r>
        <w:rPr>
          <w:rFonts w:hint="eastAsia" w:ascii="宋体" w:hAnsi="宋体"/>
          <w:color w:val="000000" w:themeColor="text1"/>
          <w:highlight w:val="none"/>
          <w:u w:val="single" w:color="000000"/>
          <w14:textFill>
            <w14:solidFill>
              <w14:schemeClr w14:val="tx1"/>
            </w14:solidFill>
          </w14:textFill>
        </w:rPr>
        <w:t xml:space="preserve">   （</w:t>
      </w:r>
      <w:r>
        <w:rPr>
          <w:rFonts w:hint="eastAsia" w:ascii="宋体" w:hAnsi="宋体"/>
          <w:color w:val="000000" w:themeColor="text1"/>
          <w:szCs w:val="21"/>
          <w:highlight w:val="none"/>
          <w:u w:val="single" w:color="000000"/>
          <w14:textFill>
            <w14:solidFill>
              <w14:schemeClr w14:val="tx1"/>
            </w14:solidFill>
          </w14:textFill>
        </w:rPr>
        <w:t>￥     元</w:t>
      </w:r>
      <w:r>
        <w:rPr>
          <w:rFonts w:hint="eastAsia" w:ascii="宋体" w:hAnsi="宋体"/>
          <w:color w:val="000000" w:themeColor="text1"/>
          <w:highlight w:val="none"/>
          <w:u w:val="single" w:color="000000"/>
          <w14:textFill>
            <w14:solidFill>
              <w14:schemeClr w14:val="tx1"/>
            </w14:solidFill>
          </w14:textFill>
        </w:rPr>
        <w:t>）</w:t>
      </w:r>
      <w:r>
        <w:rPr>
          <w:rFonts w:hint="eastAsia" w:ascii="宋体" w:hAnsi="宋体"/>
          <w:color w:val="000000" w:themeColor="text1"/>
          <w:highlight w:val="none"/>
          <w14:textFill>
            <w14:solidFill>
              <w14:schemeClr w14:val="tx1"/>
            </w14:solidFill>
          </w14:textFill>
        </w:rPr>
        <w:t xml:space="preserve">的不可撤销银行履约保函，作为承包人履行上述合同的担保。 </w:t>
      </w:r>
    </w:p>
    <w:p>
      <w:pPr>
        <w:spacing w:before="100" w:beforeAutospacing="1" w:after="100" w:afterAutospacing="1" w:line="360" w:lineRule="auto"/>
        <w:ind w:firstLine="437"/>
        <w:textAlignment w:val="baseline"/>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我方</w:t>
      </w:r>
      <w:r>
        <w:rPr>
          <w:rFonts w:hint="eastAsia" w:ascii="宋体" w:hAnsi="宋体"/>
          <w:color w:val="000000" w:themeColor="text1"/>
          <w:highlight w:val="none"/>
          <w:u w:val="single" w:color="000000"/>
          <w14:textFill>
            <w14:solidFill>
              <w14:schemeClr w14:val="tx1"/>
            </w14:solidFill>
          </w14:textFill>
        </w:rPr>
        <w:t xml:space="preserve">  （银行名称）  </w:t>
      </w:r>
      <w:r>
        <w:rPr>
          <w:rFonts w:hint="eastAsia" w:ascii="宋体" w:hAnsi="宋体"/>
          <w:color w:val="000000" w:themeColor="text1"/>
          <w:highlight w:val="none"/>
          <w14:textFill>
            <w14:solidFill>
              <w14:schemeClr w14:val="tx1"/>
            </w14:solidFill>
          </w14:textFill>
        </w:rPr>
        <w:t>，受承包人的委托，作为连带责任保证人，无条件和不可撤销地同意在发包人提出因承包人没有履行上述</w:t>
      </w:r>
      <w:r>
        <w:rPr>
          <w:rFonts w:hint="eastAsia" w:ascii="宋体" w:hAnsi="宋体"/>
          <w:color w:val="000000" w:themeColor="text1"/>
          <w:highlight w:val="none"/>
          <w:lang w:eastAsia="zh-CN"/>
          <w14:textFill>
            <w14:solidFill>
              <w14:schemeClr w14:val="tx1"/>
            </w14:solidFill>
          </w14:textFill>
        </w:rPr>
        <w:t>采购</w:t>
      </w:r>
      <w:r>
        <w:rPr>
          <w:rFonts w:hint="eastAsia" w:ascii="宋体" w:hAnsi="宋体"/>
          <w:color w:val="000000" w:themeColor="text1"/>
          <w:highlight w:val="none"/>
          <w14:textFill>
            <w14:solidFill>
              <w14:schemeClr w14:val="tx1"/>
            </w14:solidFill>
          </w14:textFill>
        </w:rPr>
        <w:t>文件及合同规定，而要求扣划保证金的书面要求后，我方将在</w:t>
      </w:r>
      <w:r>
        <w:rPr>
          <w:rFonts w:hint="eastAsia" w:ascii="宋体" w:hAnsi="宋体"/>
          <w:color w:val="000000" w:themeColor="text1"/>
          <w:highlight w:val="none"/>
          <w:u w:val="single" w:color="000000"/>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个工作日内为发包人扣划金额不超过人民币（大写）</w:t>
      </w:r>
      <w:r>
        <w:rPr>
          <w:rFonts w:hint="eastAsia" w:ascii="宋体" w:hAnsi="宋体"/>
          <w:color w:val="000000" w:themeColor="text1"/>
          <w:highlight w:val="none"/>
          <w:u w:val="single" w:color="000000"/>
          <w14:textFill>
            <w14:solidFill>
              <w14:schemeClr w14:val="tx1"/>
            </w14:solidFill>
          </w14:textFill>
        </w:rPr>
        <w:t xml:space="preserve">     </w:t>
      </w:r>
      <w:r>
        <w:rPr>
          <w:rFonts w:hint="eastAsia" w:ascii="宋体" w:hAnsi="宋体"/>
          <w:color w:val="000000" w:themeColor="text1"/>
          <w:szCs w:val="21"/>
          <w:highlight w:val="none"/>
          <w:u w:val="single" w:color="000000"/>
          <w14:textFill>
            <w14:solidFill>
              <w14:schemeClr w14:val="tx1"/>
            </w14:solidFill>
          </w14:textFill>
        </w:rPr>
        <w:t>（￥    元）</w:t>
      </w:r>
      <w:r>
        <w:rPr>
          <w:rFonts w:hint="eastAsia" w:ascii="宋体" w:hAnsi="宋体"/>
          <w:color w:val="000000" w:themeColor="text1"/>
          <w:highlight w:val="none"/>
          <w14:textFill>
            <w14:solidFill>
              <w14:schemeClr w14:val="tx1"/>
            </w14:solidFill>
          </w14:textFill>
        </w:rPr>
        <w:t>的保证金。</w:t>
      </w:r>
    </w:p>
    <w:p>
      <w:pPr>
        <w:spacing w:before="100" w:beforeAutospacing="1" w:after="100" w:afterAutospacing="1" w:line="360" w:lineRule="auto"/>
        <w:ind w:firstLine="437"/>
        <w:textAlignment w:val="baseline"/>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我方还同意，任何发包人与承包人之间可能对合同条款的修改、规范或其他合同文件的变动补充，都不能免除我方按本保函所承担的责任。因此，有关上述变动、补充和修改无须通知我方。</w:t>
      </w:r>
    </w:p>
    <w:p>
      <w:pPr>
        <w:spacing w:line="360" w:lineRule="auto"/>
        <w:ind w:firstLine="480"/>
        <w:textAlignment w:val="baseline"/>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本保函从上述合同签订之日起至工程竣工验收合格并结算经双方签字确定后30日内保持有效。</w:t>
      </w:r>
    </w:p>
    <w:p>
      <w:pPr>
        <w:ind w:firstLine="482"/>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auto"/>
        <w:ind w:firstLine="3600"/>
        <w:textAlignment w:val="baseline"/>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保证人：（公章）</w:t>
      </w:r>
      <w:r>
        <w:rPr>
          <w:rFonts w:hint="eastAsia" w:ascii="宋体" w:hAnsi="宋体"/>
          <w:color w:val="000000" w:themeColor="text1"/>
          <w:highlight w:val="none"/>
          <w:u w:val="single" w:color="000000"/>
          <w14:textFill>
            <w14:solidFill>
              <w14:schemeClr w14:val="tx1"/>
            </w14:solidFill>
          </w14:textFill>
        </w:rPr>
        <w:t xml:space="preserve">                              </w:t>
      </w:r>
    </w:p>
    <w:p>
      <w:pPr>
        <w:spacing w:line="360" w:lineRule="auto"/>
        <w:ind w:firstLine="3600"/>
        <w:textAlignment w:val="baseline"/>
        <w:rPr>
          <w:rFonts w:ascii="宋体" w:hAnsi="宋体"/>
          <w:color w:val="000000" w:themeColor="text1"/>
          <w:sz w:val="20"/>
          <w:highlight w:val="none"/>
          <w:u w:val="single"/>
          <w14:textFill>
            <w14:solidFill>
              <w14:schemeClr w14:val="tx1"/>
            </w14:solidFill>
          </w14:textFill>
        </w:rPr>
      </w:pPr>
      <w:r>
        <w:rPr>
          <w:color w:val="000000" w:themeColor="text1"/>
          <w:szCs w:val="21"/>
          <w:highlight w:val="none"/>
          <w14:textFill>
            <w14:solidFill>
              <w14:schemeClr w14:val="tx1"/>
            </w14:solidFill>
          </w14:textFill>
        </w:rPr>
        <w:t>法定代表人或其委托代理人：（签字）</w:t>
      </w:r>
      <w:r>
        <w:rPr>
          <w:rFonts w:hint="eastAsia" w:ascii="宋体" w:hAnsi="宋体"/>
          <w:color w:val="000000" w:themeColor="text1"/>
          <w:highlight w:val="none"/>
          <w:u w:val="single" w:color="000000"/>
          <w14:textFill>
            <w14:solidFill>
              <w14:schemeClr w14:val="tx1"/>
            </w14:solidFill>
          </w14:textFill>
        </w:rPr>
        <w:t xml:space="preserve">            </w:t>
      </w:r>
    </w:p>
    <w:p>
      <w:pPr>
        <w:spacing w:line="360" w:lineRule="auto"/>
        <w:ind w:firstLine="3600"/>
        <w:textAlignment w:val="baseline"/>
        <w:rPr>
          <w:rFonts w:ascii="宋体" w:hAnsi="宋体"/>
          <w:color w:val="000000" w:themeColor="text1"/>
          <w:sz w:val="20"/>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联系电话：</w:t>
      </w:r>
      <w:r>
        <w:rPr>
          <w:rFonts w:hint="eastAsia" w:ascii="宋体" w:hAnsi="宋体"/>
          <w:color w:val="000000" w:themeColor="text1"/>
          <w:highlight w:val="none"/>
          <w:u w:val="single" w:color="000000"/>
          <w14:textFill>
            <w14:solidFill>
              <w14:schemeClr w14:val="tx1"/>
            </w14:solidFill>
          </w14:textFill>
        </w:rPr>
        <w:t xml:space="preserve">                                    </w:t>
      </w:r>
    </w:p>
    <w:p>
      <w:pPr>
        <w:spacing w:line="360" w:lineRule="auto"/>
        <w:ind w:firstLine="3600"/>
        <w:textAlignment w:val="baseline"/>
        <w:rPr>
          <w:color w:val="000000" w:themeColor="text1"/>
          <w:sz w:val="2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    址：</w:t>
      </w:r>
      <w:r>
        <w:rPr>
          <w:rFonts w:hint="eastAsia"/>
          <w:color w:val="000000" w:themeColor="text1"/>
          <w:szCs w:val="21"/>
          <w:highlight w:val="none"/>
          <w:u w:val="single" w:color="000000"/>
          <w14:textFill>
            <w14:solidFill>
              <w14:schemeClr w14:val="tx1"/>
            </w14:solidFill>
          </w14:textFill>
        </w:rPr>
        <w:t xml:space="preserve">                                    </w:t>
      </w:r>
    </w:p>
    <w:p>
      <w:pPr>
        <w:spacing w:line="360" w:lineRule="auto"/>
        <w:ind w:firstLine="3600"/>
        <w:textAlignment w:val="baseline"/>
        <w:rPr>
          <w:rFonts w:hint="eastAsia"/>
          <w:color w:val="000000" w:themeColor="text1"/>
          <w:szCs w:val="21"/>
          <w:highlight w:val="none"/>
          <w:u w:val="single" w:color="000000"/>
          <w14:textFill>
            <w14:solidFill>
              <w14:schemeClr w14:val="tx1"/>
            </w14:solidFill>
          </w14:textFill>
        </w:rPr>
      </w:pPr>
      <w:r>
        <w:rPr>
          <w:rFonts w:hint="eastAsia"/>
          <w:color w:val="000000" w:themeColor="text1"/>
          <w:szCs w:val="21"/>
          <w:highlight w:val="none"/>
          <w14:textFill>
            <w14:solidFill>
              <w14:schemeClr w14:val="tx1"/>
            </w14:solidFill>
          </w14:textFill>
        </w:rPr>
        <w:t>日    期：</w:t>
      </w:r>
      <w:r>
        <w:rPr>
          <w:rFonts w:hint="eastAsia"/>
          <w:color w:val="000000" w:themeColor="text1"/>
          <w:szCs w:val="21"/>
          <w:highlight w:val="none"/>
          <w:u w:val="single" w:color="000000"/>
          <w14:textFill>
            <w14:solidFill>
              <w14:schemeClr w14:val="tx1"/>
            </w14:solidFill>
          </w14:textFill>
        </w:rPr>
        <w:t xml:space="preserve">                                 </w:t>
      </w:r>
    </w:p>
    <w:p>
      <w:pPr>
        <w:rPr>
          <w:rFonts w:ascii="宋体" w:hAnsi="宋体"/>
          <w:color w:val="auto"/>
          <w:szCs w:val="21"/>
          <w:highlight w:val="none"/>
        </w:rPr>
      </w:pPr>
    </w:p>
    <w:p>
      <w:pPr>
        <w:rPr>
          <w:rFonts w:ascii="宋体" w:hAnsi="宋体"/>
          <w:color w:val="auto"/>
          <w:szCs w:val="21"/>
          <w:highlight w:val="none"/>
        </w:rPr>
        <w:sectPr>
          <w:pgSz w:w="11906" w:h="16838"/>
          <w:pgMar w:top="1440" w:right="1800" w:bottom="1440" w:left="1800" w:header="708" w:footer="708" w:gutter="0"/>
          <w:cols w:space="720" w:num="1"/>
          <w:titlePg/>
          <w:docGrid w:type="lines" w:linePitch="360" w:charSpace="0"/>
        </w:sectPr>
      </w:pPr>
    </w:p>
    <w:p>
      <w:pPr>
        <w:pStyle w:val="5"/>
        <w:numPr>
          <w:ilvl w:val="0"/>
          <w:numId w:val="0"/>
        </w:numPr>
        <w:tabs>
          <w:tab w:val="left" w:pos="720"/>
          <w:tab w:val="left" w:pos="3840"/>
        </w:tabs>
        <w:ind w:left="283"/>
        <w:jc w:val="both"/>
        <w:rPr>
          <w:rFonts w:ascii="宋体" w:hAnsi="宋体"/>
          <w:color w:val="auto"/>
          <w:sz w:val="21"/>
          <w:szCs w:val="21"/>
          <w:highlight w:val="none"/>
        </w:rPr>
      </w:pPr>
      <w:bookmarkStart w:id="280" w:name="_Toc14255"/>
      <w:bookmarkStart w:id="281" w:name="_Toc30004"/>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.预付款保函（</w:t>
      </w:r>
      <w:r>
        <w:rPr>
          <w:rFonts w:hint="eastAsia" w:ascii="宋体" w:hAnsi="宋体"/>
          <w:color w:val="auto"/>
          <w:sz w:val="21"/>
          <w:szCs w:val="21"/>
          <w:highlight w:val="none"/>
          <w:lang w:eastAsia="zh-CN"/>
        </w:rPr>
        <w:t>本项目不</w:t>
      </w:r>
      <w:r>
        <w:rPr>
          <w:rFonts w:hint="eastAsia" w:ascii="宋体" w:hAnsi="宋体"/>
          <w:color w:val="auto"/>
          <w:sz w:val="21"/>
          <w:szCs w:val="21"/>
          <w:highlight w:val="none"/>
        </w:rPr>
        <w:t>适用）</w:t>
      </w:r>
      <w:bookmarkEnd w:id="280"/>
      <w:bookmarkEnd w:id="281"/>
    </w:p>
    <w:p>
      <w:pPr>
        <w:pStyle w:val="14"/>
        <w:rPr>
          <w:color w:val="auto"/>
          <w:szCs w:val="24"/>
          <w:highlight w:val="none"/>
        </w:rPr>
      </w:pPr>
    </w:p>
    <w:p>
      <w:pPr>
        <w:jc w:val="center"/>
        <w:rPr>
          <w:rFonts w:ascii="黑体" w:eastAsia="黑体"/>
          <w:color w:val="auto"/>
          <w:sz w:val="28"/>
          <w:szCs w:val="28"/>
          <w:highlight w:val="none"/>
        </w:rPr>
      </w:pPr>
      <w:bookmarkStart w:id="282" w:name="_Toc10315"/>
      <w:bookmarkStart w:id="283" w:name="_Toc7374"/>
      <w:bookmarkStart w:id="284" w:name="_Toc29054"/>
      <w:bookmarkStart w:id="285" w:name="_Toc5034"/>
      <w:bookmarkStart w:id="286" w:name="_Toc20669"/>
      <w:bookmarkStart w:id="287" w:name="_Toc3295"/>
      <w:bookmarkStart w:id="288" w:name="_Toc1039"/>
      <w:bookmarkStart w:id="289" w:name="_Toc25494"/>
      <w:bookmarkStart w:id="290" w:name="_Toc6877"/>
      <w:bookmarkStart w:id="291" w:name="_Toc31418"/>
      <w:bookmarkStart w:id="292" w:name="_Toc29728"/>
      <w:bookmarkStart w:id="293" w:name="_Toc27545"/>
      <w:r>
        <w:rPr>
          <w:rFonts w:hint="eastAsia" w:ascii="黑体" w:eastAsia="黑体"/>
          <w:color w:val="auto"/>
          <w:sz w:val="28"/>
          <w:szCs w:val="28"/>
          <w:highlight w:val="none"/>
        </w:rPr>
        <w:t>不可撤销预付款保函</w:t>
      </w:r>
      <w:bookmarkEnd w:id="282"/>
      <w:bookmarkEnd w:id="283"/>
      <w:bookmarkEnd w:id="284"/>
      <w:bookmarkEnd w:id="285"/>
      <w:bookmarkEnd w:id="286"/>
      <w:bookmarkEnd w:id="287"/>
      <w:bookmarkEnd w:id="288"/>
      <w:bookmarkEnd w:id="289"/>
      <w:bookmarkEnd w:id="290"/>
      <w:bookmarkEnd w:id="291"/>
      <w:bookmarkEnd w:id="292"/>
      <w:bookmarkEnd w:id="293"/>
    </w:p>
    <w:p>
      <w:pPr>
        <w:ind w:firstLine="6300"/>
        <w:rPr>
          <w:color w:val="auto"/>
          <w:szCs w:val="21"/>
          <w:highlight w:val="none"/>
          <w:u w:val="single"/>
        </w:rPr>
      </w:pPr>
      <w:r>
        <w:rPr>
          <w:rFonts w:hint="eastAsia"/>
          <w:color w:val="auto"/>
          <w:szCs w:val="21"/>
          <w:highlight w:val="none"/>
        </w:rPr>
        <w:t>银行编号：</w:t>
      </w:r>
      <w:r>
        <w:rPr>
          <w:rFonts w:hint="eastAsia"/>
          <w:color w:val="auto"/>
          <w:szCs w:val="21"/>
          <w:highlight w:val="none"/>
          <w:u w:val="single"/>
        </w:rPr>
        <w:t xml:space="preserve">             </w:t>
      </w:r>
    </w:p>
    <w:p>
      <w:pPr>
        <w:ind w:firstLine="6300"/>
        <w:rPr>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（下称“采购人”）</w:t>
      </w:r>
    </w:p>
    <w:p>
      <w:pPr>
        <w:ind w:firstLine="437"/>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4"/>
          <w:highlight w:val="none"/>
          <w:u w:val="single"/>
        </w:rPr>
        <w:t>（地址：          ，下称 “中标人” ）</w:t>
      </w:r>
      <w:r>
        <w:rPr>
          <w:rFonts w:hint="eastAsia" w:ascii="宋体" w:hAnsi="宋体"/>
          <w:color w:val="auto"/>
          <w:szCs w:val="21"/>
          <w:highlight w:val="none"/>
        </w:rPr>
        <w:t>，已保证按</w:t>
      </w:r>
      <w:r>
        <w:rPr>
          <w:rFonts w:hint="eastAsia" w:ascii="宋体" w:hAnsi="宋体"/>
          <w:color w:val="auto"/>
          <w:szCs w:val="21"/>
          <w:highlight w:val="none"/>
          <w:u w:val="single"/>
        </w:rPr>
        <w:t xml:space="preserve">          承包合同书（合同编号：    ）</w:t>
      </w:r>
      <w:r>
        <w:rPr>
          <w:rFonts w:hint="eastAsia" w:ascii="宋体" w:hAnsi="宋体"/>
          <w:color w:val="auto"/>
          <w:szCs w:val="21"/>
          <w:highlight w:val="none"/>
        </w:rPr>
        <w:t>中规定的义务履行合同。</w:t>
      </w:r>
    </w:p>
    <w:p>
      <w:pPr>
        <w:ind w:firstLine="437"/>
        <w:rPr>
          <w:rFonts w:ascii="宋体" w:hAnsi="宋体"/>
          <w:color w:val="auto"/>
          <w:szCs w:val="21"/>
          <w:highlight w:val="none"/>
        </w:rPr>
      </w:pPr>
      <w:r>
        <w:rPr>
          <w:rFonts w:hint="eastAsia" w:ascii="宋体" w:hAnsi="宋体"/>
          <w:color w:val="auto"/>
          <w:szCs w:val="24"/>
          <w:highlight w:val="none"/>
        </w:rPr>
        <w:t>根据上述合同（招标文件）规定，中标人应向采购人提供一份金额为合同总价的</w:t>
      </w:r>
      <w:r>
        <w:rPr>
          <w:rFonts w:hint="eastAsia" w:ascii="宋体" w:hAnsi="宋体"/>
          <w:color w:val="auto"/>
          <w:szCs w:val="24"/>
          <w:highlight w:val="none"/>
          <w:u w:val="single"/>
        </w:rPr>
        <w:t xml:space="preserve">   </w:t>
      </w:r>
      <w:r>
        <w:rPr>
          <w:rFonts w:hint="eastAsia" w:ascii="宋体" w:hAnsi="宋体"/>
          <w:color w:val="auto"/>
          <w:szCs w:val="24"/>
          <w:highlight w:val="none"/>
        </w:rPr>
        <w:t>% 即人民币</w:t>
      </w:r>
      <w:r>
        <w:rPr>
          <w:rFonts w:hint="eastAsia" w:ascii="宋体" w:hAnsi="宋体"/>
          <w:color w:val="auto"/>
          <w:szCs w:val="21"/>
          <w:highlight w:val="none"/>
          <w:u w:val="single"/>
        </w:rPr>
        <w:t xml:space="preserve">      （RMB      元）</w:t>
      </w:r>
      <w:r>
        <w:rPr>
          <w:rFonts w:hint="eastAsia" w:ascii="宋体" w:hAnsi="宋体"/>
          <w:color w:val="auto"/>
          <w:szCs w:val="21"/>
          <w:highlight w:val="none"/>
        </w:rPr>
        <w:t>的不可撤销银行预付款保函，以保证中标人履行合同的相关条款。</w:t>
      </w:r>
    </w:p>
    <w:p>
      <w:pPr>
        <w:ind w:firstLine="437"/>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（银行名称）  </w:t>
      </w:r>
      <w:r>
        <w:rPr>
          <w:rFonts w:hint="eastAsia" w:ascii="宋体" w:hAnsi="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ind w:firstLine="437"/>
        <w:rPr>
          <w:rFonts w:ascii="宋体" w:hAnsi="宋体"/>
          <w:color w:val="auto"/>
          <w:szCs w:val="21"/>
          <w:highlight w:val="none"/>
        </w:rPr>
      </w:pPr>
      <w:r>
        <w:rPr>
          <w:rFonts w:hint="eastAsia" w:ascii="宋体" w:hAnsi="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ind w:firstLine="437"/>
        <w:rPr>
          <w:rFonts w:ascii="宋体" w:hAnsi="宋体"/>
          <w:color w:val="auto"/>
          <w:szCs w:val="21"/>
          <w:highlight w:val="none"/>
        </w:rPr>
      </w:pPr>
      <w:r>
        <w:rPr>
          <w:rFonts w:hint="eastAsia" w:ascii="宋体" w:hAnsi="宋体"/>
          <w:color w:val="auto"/>
          <w:szCs w:val="21"/>
          <w:highlight w:val="none"/>
        </w:rPr>
        <w:t>本保函有效期从保函开立之日起至采购人向中标人抵扣完所有预付款之日止。</w:t>
      </w:r>
    </w:p>
    <w:p>
      <w:pPr>
        <w:rPr>
          <w:rFonts w:ascii="宋体" w:hAnsi="宋体"/>
          <w:color w:val="auto"/>
          <w:szCs w:val="21"/>
          <w:highlight w:val="none"/>
        </w:rPr>
      </w:pPr>
    </w:p>
    <w:p>
      <w:pPr>
        <w:ind w:firstLine="437"/>
        <w:rPr>
          <w:rFonts w:ascii="宋体" w:hAnsi="宋体"/>
          <w:color w:val="auto"/>
          <w:szCs w:val="21"/>
          <w:highlight w:val="none"/>
        </w:rPr>
      </w:pPr>
    </w:p>
    <w:p>
      <w:pPr>
        <w:ind w:firstLine="4860"/>
        <w:rPr>
          <w:rFonts w:ascii="宋体" w:hAnsi="宋体"/>
          <w:color w:val="auto"/>
          <w:szCs w:val="21"/>
          <w:highlight w:val="none"/>
        </w:rPr>
      </w:pPr>
      <w:r>
        <w:rPr>
          <w:rFonts w:hint="eastAsia" w:ascii="宋体" w:hAnsi="宋体"/>
          <w:color w:val="auto"/>
          <w:szCs w:val="21"/>
          <w:highlight w:val="none"/>
        </w:rPr>
        <w:t>保证人：（公章）</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负责人：（签字）</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ind w:firstLine="486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pStyle w:val="14"/>
        <w:rPr>
          <w:color w:val="auto"/>
          <w:szCs w:val="21"/>
          <w:highlight w:val="none"/>
        </w:rPr>
      </w:pPr>
    </w:p>
    <w:p>
      <w:pPr>
        <w:pStyle w:val="14"/>
        <w:rPr>
          <w:color w:val="auto"/>
          <w:szCs w:val="21"/>
          <w:highlight w:val="none"/>
        </w:rPr>
      </w:pPr>
    </w:p>
    <w:p>
      <w:pPr>
        <w:ind w:firstLine="413" w:firstLineChars="196"/>
        <w:rPr>
          <w:rFonts w:ascii="宋体" w:hAnsi="宋体"/>
          <w:b/>
          <w:color w:val="auto"/>
          <w:szCs w:val="21"/>
          <w:highlight w:val="none"/>
        </w:rPr>
      </w:pPr>
      <w:r>
        <w:rPr>
          <w:rFonts w:hint="eastAsia" w:ascii="宋体" w:hAnsi="宋体"/>
          <w:b/>
          <w:color w:val="auto"/>
          <w:szCs w:val="21"/>
          <w:highlight w:val="none"/>
        </w:rPr>
        <w:t>说明：供应商在响应文件中盖供应商公章确认保函内容即可，如中标再由银行出具保函。</w:t>
      </w:r>
    </w:p>
    <w:p>
      <w:pPr>
        <w:rPr>
          <w:rFonts w:ascii="宋体" w:hAnsi="宋体"/>
          <w:color w:val="auto"/>
          <w:szCs w:val="21"/>
          <w:highlight w:val="none"/>
        </w:rPr>
        <w:sectPr>
          <w:pgSz w:w="11906" w:h="16838"/>
          <w:pgMar w:top="1440" w:right="1800" w:bottom="1440" w:left="1800" w:header="708" w:footer="708" w:gutter="0"/>
          <w:cols w:space="720" w:num="1"/>
          <w:titlePg/>
          <w:docGrid w:type="lines" w:linePitch="360" w:charSpace="0"/>
        </w:sectPr>
      </w:pPr>
    </w:p>
    <w:p>
      <w:pPr>
        <w:pStyle w:val="11"/>
        <w:rPr>
          <w:color w:val="auto"/>
          <w:highlight w:val="none"/>
        </w:rPr>
      </w:pPr>
      <w:bookmarkStart w:id="294" w:name="_Toc1968"/>
    </w:p>
    <w:p>
      <w:pPr>
        <w:jc w:val="center"/>
        <w:outlineLvl w:val="1"/>
        <w:rPr>
          <w:rFonts w:eastAsia="黑体"/>
          <w:color w:val="auto"/>
          <w:sz w:val="72"/>
          <w:szCs w:val="72"/>
          <w:highlight w:val="none"/>
        </w:rPr>
      </w:pPr>
      <w:bookmarkStart w:id="295" w:name="_Toc13897"/>
      <w:bookmarkStart w:id="296" w:name="_Toc30646"/>
      <w:r>
        <w:rPr>
          <w:rFonts w:hint="eastAsia" w:eastAsia="黑体"/>
          <w:color w:val="auto"/>
          <w:sz w:val="72"/>
          <w:szCs w:val="72"/>
          <w:highlight w:val="none"/>
        </w:rPr>
        <w:t>唱标信封</w:t>
      </w:r>
      <w:bookmarkEnd w:id="295"/>
      <w:bookmarkEnd w:id="296"/>
    </w:p>
    <w:p>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pPr>
        <w:rPr>
          <w:color w:val="auto"/>
          <w:highlight w:val="none"/>
        </w:rPr>
      </w:pPr>
    </w:p>
    <w:p>
      <w:pPr>
        <w:pStyle w:val="11"/>
        <w:rPr>
          <w:color w:val="auto"/>
          <w:highlight w:val="none"/>
        </w:rPr>
      </w:pPr>
    </w:p>
    <w:p>
      <w:pPr>
        <w:pStyle w:val="10"/>
        <w:ind w:firstLine="240"/>
        <w:rPr>
          <w:color w:val="auto"/>
          <w:highlight w:val="none"/>
        </w:rPr>
      </w:pPr>
    </w:p>
    <w:p>
      <w:pPr>
        <w:pStyle w:val="10"/>
        <w:ind w:firstLine="240"/>
        <w:rPr>
          <w:color w:val="auto"/>
          <w:highlight w:val="none"/>
        </w:rPr>
      </w:pPr>
    </w:p>
    <w:p>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pPr>
        <w:pStyle w:val="11"/>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z w:val="32"/>
          <w:szCs w:val="32"/>
          <w:highlight w:val="none"/>
        </w:rPr>
        <w:t>供应商名称：</w:t>
      </w:r>
    </w:p>
    <w:p>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pPr>
        <w:rPr>
          <w:color w:val="auto"/>
          <w:sz w:val="72"/>
          <w:szCs w:val="72"/>
          <w:highlight w:val="none"/>
        </w:rPr>
        <w:sectPr>
          <w:pgSz w:w="11906" w:h="16838"/>
          <w:pgMar w:top="1440" w:right="1800" w:bottom="1440" w:left="1800" w:header="708" w:footer="708" w:gutter="0"/>
          <w:cols w:space="720" w:num="1"/>
          <w:titlePg/>
          <w:docGrid w:type="lines" w:linePitch="360" w:charSpace="0"/>
        </w:sectPr>
      </w:pPr>
    </w:p>
    <w:bookmarkEnd w:id="294"/>
    <w:p>
      <w:pPr>
        <w:pStyle w:val="5"/>
        <w:numPr>
          <w:ilvl w:val="0"/>
          <w:numId w:val="0"/>
        </w:numPr>
        <w:tabs>
          <w:tab w:val="left" w:pos="720"/>
          <w:tab w:val="left" w:pos="3840"/>
        </w:tabs>
        <w:ind w:left="283"/>
        <w:jc w:val="both"/>
        <w:rPr>
          <w:rFonts w:ascii="宋体" w:hAnsi="宋体"/>
          <w:color w:val="auto"/>
          <w:sz w:val="21"/>
          <w:szCs w:val="21"/>
          <w:highlight w:val="none"/>
        </w:rPr>
      </w:pPr>
      <w:bookmarkStart w:id="297" w:name="_Toc1484"/>
      <w:bookmarkStart w:id="298" w:name="_Toc4040"/>
      <w:r>
        <w:rPr>
          <w:rFonts w:hint="eastAsia" w:ascii="宋体" w:hAnsi="宋体"/>
          <w:color w:val="auto"/>
          <w:sz w:val="21"/>
          <w:szCs w:val="21"/>
          <w:highlight w:val="none"/>
        </w:rPr>
        <w:t>附件2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.唱标信封内装（内容务必与响应文件正本一致）</w:t>
      </w:r>
      <w:bookmarkEnd w:id="297"/>
      <w:bookmarkEnd w:id="298"/>
    </w:p>
    <w:p>
      <w:pPr>
        <w:numPr>
          <w:ilvl w:val="0"/>
          <w:numId w:val="11"/>
        </w:numPr>
        <w:ind w:firstLineChars="200"/>
        <w:rPr>
          <w:rFonts w:hAnsi="宋体"/>
          <w:color w:val="auto"/>
          <w:szCs w:val="21"/>
          <w:highlight w:val="none"/>
        </w:rPr>
      </w:pPr>
      <w:r>
        <w:rPr>
          <w:rFonts w:hint="eastAsia" w:hAnsi="宋体"/>
          <w:color w:val="auto"/>
          <w:szCs w:val="21"/>
          <w:highlight w:val="none"/>
        </w:rPr>
        <w:t>开标一览表加盖公章；</w:t>
      </w:r>
    </w:p>
    <w:p>
      <w:pPr>
        <w:numPr>
          <w:ilvl w:val="0"/>
          <w:numId w:val="11"/>
        </w:numPr>
        <w:ind w:firstLineChars="200"/>
        <w:rPr>
          <w:rFonts w:hAnsi="宋体"/>
          <w:color w:val="auto"/>
          <w:szCs w:val="21"/>
          <w:highlight w:val="none"/>
        </w:rPr>
      </w:pPr>
      <w:r>
        <w:rPr>
          <w:rFonts w:hint="eastAsia" w:hAnsi="宋体"/>
          <w:color w:val="auto"/>
          <w:szCs w:val="21"/>
          <w:highlight w:val="none"/>
        </w:rPr>
        <w:t>法定代表人证明书加盖公章；</w:t>
      </w:r>
    </w:p>
    <w:p>
      <w:pPr>
        <w:numPr>
          <w:ilvl w:val="0"/>
          <w:numId w:val="11"/>
        </w:numPr>
        <w:ind w:firstLineChars="200"/>
        <w:rPr>
          <w:rFonts w:hAnsi="宋体"/>
          <w:color w:val="auto"/>
          <w:szCs w:val="21"/>
          <w:highlight w:val="none"/>
        </w:rPr>
      </w:pPr>
      <w:r>
        <w:rPr>
          <w:rFonts w:hint="eastAsia" w:hAnsi="宋体"/>
          <w:color w:val="auto"/>
          <w:szCs w:val="21"/>
          <w:highlight w:val="none"/>
        </w:rPr>
        <w:t>法定代表人授权委托书加盖公章（法定代表人投标的除外）；</w:t>
      </w:r>
    </w:p>
    <w:p>
      <w:pPr>
        <w:numPr>
          <w:ilvl w:val="0"/>
          <w:numId w:val="11"/>
        </w:numPr>
        <w:ind w:firstLineChars="200"/>
        <w:rPr>
          <w:rFonts w:hAnsi="宋体"/>
          <w:color w:val="auto"/>
          <w:szCs w:val="21"/>
          <w:highlight w:val="none"/>
        </w:rPr>
      </w:pPr>
      <w:r>
        <w:rPr>
          <w:rFonts w:hint="eastAsia" w:hAnsi="宋体"/>
          <w:color w:val="auto"/>
          <w:szCs w:val="21"/>
          <w:highlight w:val="none"/>
        </w:rPr>
        <w:t>磋商保证金汇入情况说明（含银行汇款凭证）或投标保函加盖公章；</w:t>
      </w:r>
    </w:p>
    <w:p>
      <w:pPr>
        <w:numPr>
          <w:ilvl w:val="0"/>
          <w:numId w:val="11"/>
        </w:numPr>
        <w:ind w:firstLineChars="200"/>
        <w:rPr>
          <w:rFonts w:hAnsi="宋体"/>
          <w:color w:val="auto"/>
          <w:szCs w:val="21"/>
          <w:highlight w:val="none"/>
        </w:rPr>
      </w:pPr>
      <w:r>
        <w:rPr>
          <w:rFonts w:hint="eastAsia" w:hAnsi="宋体"/>
          <w:color w:val="auto"/>
          <w:szCs w:val="21"/>
          <w:highlight w:val="none"/>
        </w:rPr>
        <w:t>响应文件电子文件（U盘，须含盖章版PDF响应文件和WORD版响应文件各一版，文字采用WORD文档，计算表格采用 EXCEL文档。）</w:t>
      </w:r>
    </w:p>
    <w:p>
      <w:pPr>
        <w:rPr>
          <w:rFonts w:ascii="宋体" w:hAnsi="宋体" w:cs="宋体"/>
          <w:color w:val="auto"/>
          <w:szCs w:val="21"/>
          <w:highlight w:val="none"/>
        </w:rPr>
      </w:pPr>
    </w:p>
    <w:p>
      <w:pPr>
        <w:pStyle w:val="11"/>
        <w:rPr>
          <w:color w:val="auto"/>
          <w:highlight w:val="none"/>
        </w:rPr>
      </w:pPr>
    </w:p>
    <w:sectPr>
      <w:pgSz w:w="11906" w:h="16838"/>
      <w:pgMar w:top="1440" w:right="1800" w:bottom="1440" w:left="1800" w:header="708" w:footer="708" w:gutter="0"/>
      <w:cols w:space="720"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29Up8WAgAAFQQAAA4AAABkcnMvZTJvRG9jLnhtbK1TzY7TMBC+I/EO&#10;lu80adGu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tvVKfFgIAABUEAAAOAAAAAAAA&#10;AAEAIAAAAB8BAABkcnMvZTJvRG9jLnhtbFBLBQYAAAAABgAGAFkBAACnBQAAAAA=&#10;">
              <v:fill on="f" focussize="0,0"/>
              <v:stroke on="f" weight="0.5pt"/>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013YU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zTXdhQCAAAVBAAADgAAAAAAAAAB&#10;ACAAAAAfAQAAZHJzL2Uyb0RvYy54bWxQSwUGAAAAAAYABgBZAQAApQUAAAAA&#10;">
              <v:fill on="f" focussize="0,0"/>
              <v:stroke on="f" weight="0.5pt"/>
              <v:imagedata o:title=""/>
              <o:lock v:ext="edit" aspectratio="f"/>
              <v:textbox inset="0mm,0mm,0mm,0mm" style="mso-fit-shape-to-text:t;">
                <w:txbxContent>
                  <w:p>
                    <w:pPr>
                      <w:pStyle w:val="2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posOffset>2092960</wp:posOffset>
              </wp:positionH>
              <wp:positionV relativeFrom="paragraph">
                <wp:posOffset>180340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a:effectLst/>
                    </wps:spPr>
                    <wps:txbx>
                      <w:txbxContent>
                        <w:p>
                          <w:pPr>
                            <w:pStyle w:val="2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wps:txbx>
                    <wps:bodyPr vert="horz" wrap="square" lIns="0" tIns="0" rIns="0" bIns="0" anchor="t" anchorCtr="0" upright="1">
                      <a:spAutoFit/>
                    </wps:bodyPr>
                  </wps:wsp>
                </a:graphicData>
              </a:graphic>
            </wp:anchor>
          </w:drawing>
        </mc:Choice>
        <mc:Fallback>
          <w:pict>
            <v:shape id="文本框 1026" o:spid="_x0000_s1026" o:spt="202" type="#_x0000_t202" style="position:absolute;left:0pt;margin-left:164.8pt;margin-top:14.2pt;height:144pt;width:85.7pt;mso-position-horizontal-relative:margin;z-index:251660288;mso-width-relative:page;mso-height-relative:page;" filled="f" stroked="f" coordsize="21600,21600" o:gfxdata="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1gNYAAAAKAQAADwAAAAAAAAABACAAAAAiAAAA&#10;ZHJzL2Rvd25yZXYueG1sUEsBAhQAFAAAAAgAh07iQGVHuF3QAQAAgwMAAA4AAAAAAAAAAQAgAAAA&#10;JQEAAGRycy9lMm9Eb2MueG1sUEsFBgAAAAAGAAYAWQEAAGcFAAAAAA==&#10;">
              <v:fill on="f" focussize="0,0"/>
              <v:stroke on="f"/>
              <v:imagedata o:title=""/>
              <o:lock v:ext="edit" aspectratio="f"/>
              <v:textbox inset="0mm,0mm,0mm,0mm" style="mso-fit-shape-to-text:t;">
                <w:txbxContent>
                  <w:p>
                    <w:pPr>
                      <w:pStyle w:val="2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a:effectLst/>
                    </wps:spPr>
                    <wps:txbx>
                      <w:txbxContent>
                        <w:p>
                          <w:pPr>
                            <w:pStyle w:val="2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wps:txbx>
                    <wps:bodyPr vert="horz" wrap="square" lIns="0" tIns="0" rIns="0" bIns="0" anchor="t" anchorCtr="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1312;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GCBIs0gAAAAUBAAAPAAAAAAAAAAEAIAAAACIAAABkcnMv&#10;ZG93bnJldi54bWxQSwECFAAUAAAACACHTuJANUSmJdABAACDAwAADgAAAAAAAAABACAAAAAhAQAA&#10;ZHJzL2Uyb0RvYy54bWxQSwUGAAAAAAYABgBZAQAAYwUAAAAA&#10;">
              <v:fill on="f" focussize="0,0"/>
              <v:stroke on="f"/>
              <v:imagedata o:title=""/>
              <o:lock v:ext="edit" aspectratio="f"/>
              <v:textbox inset="0mm,0mm,0mm,0mm" style="mso-fit-shape-to-text:t;">
                <w:txbxContent>
                  <w:p>
                    <w:pPr>
                      <w:pStyle w:val="2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5">
    <w:nsid w:val="20D2348B"/>
    <w:multiLevelType w:val="singleLevel"/>
    <w:tmpl w:val="20D2348B"/>
    <w:lvl w:ilvl="0" w:tentative="0">
      <w:start w:val="1"/>
      <w:numFmt w:val="chineseCounting"/>
      <w:suff w:val="nothing"/>
      <w:lvlText w:val="（%1）"/>
      <w:lvlJc w:val="left"/>
      <w:rPr>
        <w:rFonts w:hint="eastAsia"/>
      </w:rPr>
    </w:lvl>
  </w:abstractNum>
  <w:abstractNum w:abstractNumId="6">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3F88662E"/>
    <w:multiLevelType w:val="singleLevel"/>
    <w:tmpl w:val="3F88662E"/>
    <w:lvl w:ilvl="0" w:tentative="0">
      <w:start w:val="1"/>
      <w:numFmt w:val="decimal"/>
      <w:pStyle w:val="87"/>
      <w:suff w:val="space"/>
      <w:lvlText w:val="%1)"/>
      <w:lvlJc w:val="left"/>
    </w:lvl>
  </w:abstractNum>
  <w:abstractNum w:abstractNumId="8">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0">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6"/>
  </w:num>
  <w:num w:numId="4">
    <w:abstractNumId w:val="0"/>
  </w:num>
  <w:num w:numId="5">
    <w:abstractNumId w:val="4"/>
  </w:num>
  <w:num w:numId="6">
    <w:abstractNumId w:val="1"/>
  </w:num>
  <w:num w:numId="7">
    <w:abstractNumId w:val="3"/>
  </w:num>
  <w:num w:numId="8">
    <w:abstractNumId w:val="5"/>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ZjQ4OGQ1OGI5OTJmZGQ4NmM3MmIwODZkYWQ0YTQifQ=="/>
    <w:docVar w:name="KSO_WPS_MARK_KEY" w:val="2973aef7-98c6-45cd-8278-87609a4cadf0"/>
  </w:docVars>
  <w:rsids>
    <w:rsidRoot w:val="00172A27"/>
    <w:rsid w:val="00001330"/>
    <w:rsid w:val="00005A66"/>
    <w:rsid w:val="00006462"/>
    <w:rsid w:val="00011C71"/>
    <w:rsid w:val="000300E4"/>
    <w:rsid w:val="0003307E"/>
    <w:rsid w:val="000336BA"/>
    <w:rsid w:val="000359A1"/>
    <w:rsid w:val="00040F8B"/>
    <w:rsid w:val="000414F5"/>
    <w:rsid w:val="00041666"/>
    <w:rsid w:val="0005185D"/>
    <w:rsid w:val="0007500F"/>
    <w:rsid w:val="0008282E"/>
    <w:rsid w:val="00084F6D"/>
    <w:rsid w:val="00093A13"/>
    <w:rsid w:val="000A363F"/>
    <w:rsid w:val="000A42A8"/>
    <w:rsid w:val="000A5063"/>
    <w:rsid w:val="000A5DBD"/>
    <w:rsid w:val="000C4524"/>
    <w:rsid w:val="000D44A6"/>
    <w:rsid w:val="000E2CB7"/>
    <w:rsid w:val="000F0E98"/>
    <w:rsid w:val="000F1444"/>
    <w:rsid w:val="001049A5"/>
    <w:rsid w:val="001120E0"/>
    <w:rsid w:val="00121ADA"/>
    <w:rsid w:val="001242F3"/>
    <w:rsid w:val="001332BB"/>
    <w:rsid w:val="00134CAD"/>
    <w:rsid w:val="0013517C"/>
    <w:rsid w:val="001368B7"/>
    <w:rsid w:val="0013730B"/>
    <w:rsid w:val="00137853"/>
    <w:rsid w:val="00137E1C"/>
    <w:rsid w:val="00147012"/>
    <w:rsid w:val="001672DF"/>
    <w:rsid w:val="00172A27"/>
    <w:rsid w:val="00173126"/>
    <w:rsid w:val="00173905"/>
    <w:rsid w:val="00173938"/>
    <w:rsid w:val="00173E04"/>
    <w:rsid w:val="00175D29"/>
    <w:rsid w:val="001833A1"/>
    <w:rsid w:val="001844F4"/>
    <w:rsid w:val="00185039"/>
    <w:rsid w:val="001852D7"/>
    <w:rsid w:val="001A06D8"/>
    <w:rsid w:val="001A2D42"/>
    <w:rsid w:val="001A2EF7"/>
    <w:rsid w:val="001B1F14"/>
    <w:rsid w:val="001B41CF"/>
    <w:rsid w:val="001B5860"/>
    <w:rsid w:val="001C1135"/>
    <w:rsid w:val="001C15AE"/>
    <w:rsid w:val="001C4661"/>
    <w:rsid w:val="001C5689"/>
    <w:rsid w:val="001C6E4B"/>
    <w:rsid w:val="001F0070"/>
    <w:rsid w:val="001F2168"/>
    <w:rsid w:val="001F4B02"/>
    <w:rsid w:val="001F6BC7"/>
    <w:rsid w:val="002065A7"/>
    <w:rsid w:val="0021149E"/>
    <w:rsid w:val="00213021"/>
    <w:rsid w:val="00216BE9"/>
    <w:rsid w:val="00221E7A"/>
    <w:rsid w:val="0022503E"/>
    <w:rsid w:val="00225BB4"/>
    <w:rsid w:val="00226313"/>
    <w:rsid w:val="00231A8A"/>
    <w:rsid w:val="002373BB"/>
    <w:rsid w:val="00240F5F"/>
    <w:rsid w:val="00247224"/>
    <w:rsid w:val="00247AE0"/>
    <w:rsid w:val="00260AC1"/>
    <w:rsid w:val="0026312D"/>
    <w:rsid w:val="0027078E"/>
    <w:rsid w:val="0028395F"/>
    <w:rsid w:val="00284156"/>
    <w:rsid w:val="00285643"/>
    <w:rsid w:val="002867A1"/>
    <w:rsid w:val="002901F8"/>
    <w:rsid w:val="00290560"/>
    <w:rsid w:val="002920A4"/>
    <w:rsid w:val="002B4087"/>
    <w:rsid w:val="002B5F6C"/>
    <w:rsid w:val="002C6C78"/>
    <w:rsid w:val="002D1594"/>
    <w:rsid w:val="002D3F9C"/>
    <w:rsid w:val="002D503C"/>
    <w:rsid w:val="002D7E27"/>
    <w:rsid w:val="002E17E5"/>
    <w:rsid w:val="002E3F72"/>
    <w:rsid w:val="002E6B7E"/>
    <w:rsid w:val="002F0FC9"/>
    <w:rsid w:val="0030026E"/>
    <w:rsid w:val="0030669E"/>
    <w:rsid w:val="003101A3"/>
    <w:rsid w:val="00320CEA"/>
    <w:rsid w:val="00323B43"/>
    <w:rsid w:val="00326831"/>
    <w:rsid w:val="003274CE"/>
    <w:rsid w:val="003361E9"/>
    <w:rsid w:val="003430F6"/>
    <w:rsid w:val="0034618F"/>
    <w:rsid w:val="00353842"/>
    <w:rsid w:val="0035595E"/>
    <w:rsid w:val="003607C7"/>
    <w:rsid w:val="003665C5"/>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5440B"/>
    <w:rsid w:val="00460B31"/>
    <w:rsid w:val="00462105"/>
    <w:rsid w:val="00475A80"/>
    <w:rsid w:val="00475BB4"/>
    <w:rsid w:val="00490B9E"/>
    <w:rsid w:val="00497577"/>
    <w:rsid w:val="004A05D7"/>
    <w:rsid w:val="004A2B28"/>
    <w:rsid w:val="004A69F1"/>
    <w:rsid w:val="004B3550"/>
    <w:rsid w:val="004B3F06"/>
    <w:rsid w:val="004C4B76"/>
    <w:rsid w:val="004C547F"/>
    <w:rsid w:val="004C7FD6"/>
    <w:rsid w:val="004D08C0"/>
    <w:rsid w:val="004D1669"/>
    <w:rsid w:val="004D1736"/>
    <w:rsid w:val="004D4CC7"/>
    <w:rsid w:val="004D51A2"/>
    <w:rsid w:val="004D5AFB"/>
    <w:rsid w:val="004E04FD"/>
    <w:rsid w:val="004F1BB7"/>
    <w:rsid w:val="0050759C"/>
    <w:rsid w:val="00510827"/>
    <w:rsid w:val="005267F1"/>
    <w:rsid w:val="005269A9"/>
    <w:rsid w:val="00532034"/>
    <w:rsid w:val="00534255"/>
    <w:rsid w:val="00541C87"/>
    <w:rsid w:val="00545D9A"/>
    <w:rsid w:val="00546A42"/>
    <w:rsid w:val="0055408D"/>
    <w:rsid w:val="0057492D"/>
    <w:rsid w:val="0058523E"/>
    <w:rsid w:val="00590819"/>
    <w:rsid w:val="00593D68"/>
    <w:rsid w:val="00594253"/>
    <w:rsid w:val="005A208B"/>
    <w:rsid w:val="005A555E"/>
    <w:rsid w:val="005A7612"/>
    <w:rsid w:val="005B58A6"/>
    <w:rsid w:val="005C3548"/>
    <w:rsid w:val="005C57E1"/>
    <w:rsid w:val="005C702E"/>
    <w:rsid w:val="005D01B8"/>
    <w:rsid w:val="005D066B"/>
    <w:rsid w:val="005D2D85"/>
    <w:rsid w:val="005D52E7"/>
    <w:rsid w:val="005E16DE"/>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41FB"/>
    <w:rsid w:val="006476E3"/>
    <w:rsid w:val="00650DDC"/>
    <w:rsid w:val="0065189D"/>
    <w:rsid w:val="00652983"/>
    <w:rsid w:val="0065365D"/>
    <w:rsid w:val="006546D0"/>
    <w:rsid w:val="006576FD"/>
    <w:rsid w:val="00664F6B"/>
    <w:rsid w:val="006731D2"/>
    <w:rsid w:val="00680EB0"/>
    <w:rsid w:val="00682986"/>
    <w:rsid w:val="00684D92"/>
    <w:rsid w:val="00691701"/>
    <w:rsid w:val="00691AE0"/>
    <w:rsid w:val="006929C9"/>
    <w:rsid w:val="0069491E"/>
    <w:rsid w:val="006B004E"/>
    <w:rsid w:val="006B3E6C"/>
    <w:rsid w:val="006B4832"/>
    <w:rsid w:val="006B7878"/>
    <w:rsid w:val="006C14BD"/>
    <w:rsid w:val="006C28E5"/>
    <w:rsid w:val="006C5623"/>
    <w:rsid w:val="006C67A9"/>
    <w:rsid w:val="006D393E"/>
    <w:rsid w:val="006D43C5"/>
    <w:rsid w:val="006D4AD8"/>
    <w:rsid w:val="006E0B58"/>
    <w:rsid w:val="006E0C4B"/>
    <w:rsid w:val="006E664B"/>
    <w:rsid w:val="00701A6F"/>
    <w:rsid w:val="00704F7B"/>
    <w:rsid w:val="007110BA"/>
    <w:rsid w:val="00711465"/>
    <w:rsid w:val="00716E96"/>
    <w:rsid w:val="00723B11"/>
    <w:rsid w:val="00723DDA"/>
    <w:rsid w:val="007343A7"/>
    <w:rsid w:val="00734BB2"/>
    <w:rsid w:val="0073706B"/>
    <w:rsid w:val="00737823"/>
    <w:rsid w:val="00745216"/>
    <w:rsid w:val="0075028E"/>
    <w:rsid w:val="007528A6"/>
    <w:rsid w:val="007608B9"/>
    <w:rsid w:val="007724B4"/>
    <w:rsid w:val="0077462B"/>
    <w:rsid w:val="007863F1"/>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1698"/>
    <w:rsid w:val="00822299"/>
    <w:rsid w:val="00827E0A"/>
    <w:rsid w:val="0083486A"/>
    <w:rsid w:val="00837E35"/>
    <w:rsid w:val="00841378"/>
    <w:rsid w:val="00842B87"/>
    <w:rsid w:val="00845BEB"/>
    <w:rsid w:val="008472E6"/>
    <w:rsid w:val="00851296"/>
    <w:rsid w:val="008518B4"/>
    <w:rsid w:val="00853463"/>
    <w:rsid w:val="008548BD"/>
    <w:rsid w:val="008569D8"/>
    <w:rsid w:val="0086026F"/>
    <w:rsid w:val="008640F5"/>
    <w:rsid w:val="0087704E"/>
    <w:rsid w:val="008907DA"/>
    <w:rsid w:val="0089310C"/>
    <w:rsid w:val="008A0587"/>
    <w:rsid w:val="008A0843"/>
    <w:rsid w:val="008A7273"/>
    <w:rsid w:val="008B55B9"/>
    <w:rsid w:val="008B6F23"/>
    <w:rsid w:val="008B7726"/>
    <w:rsid w:val="008C05BA"/>
    <w:rsid w:val="008C49B1"/>
    <w:rsid w:val="008C5492"/>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2970"/>
    <w:rsid w:val="009A3070"/>
    <w:rsid w:val="009A6B4A"/>
    <w:rsid w:val="009A7058"/>
    <w:rsid w:val="009C19DE"/>
    <w:rsid w:val="009C23A6"/>
    <w:rsid w:val="009C5206"/>
    <w:rsid w:val="009C6AD9"/>
    <w:rsid w:val="009E398C"/>
    <w:rsid w:val="009E6F05"/>
    <w:rsid w:val="009F644E"/>
    <w:rsid w:val="009F6A05"/>
    <w:rsid w:val="00A013C0"/>
    <w:rsid w:val="00A01BE2"/>
    <w:rsid w:val="00A10906"/>
    <w:rsid w:val="00A12E66"/>
    <w:rsid w:val="00A13E78"/>
    <w:rsid w:val="00A14EEF"/>
    <w:rsid w:val="00A23304"/>
    <w:rsid w:val="00A275C2"/>
    <w:rsid w:val="00A3295D"/>
    <w:rsid w:val="00A373DB"/>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C56AC"/>
    <w:rsid w:val="00AD17DE"/>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C5D66"/>
    <w:rsid w:val="00BD4ED4"/>
    <w:rsid w:val="00BD630F"/>
    <w:rsid w:val="00BD7C1B"/>
    <w:rsid w:val="00BE0825"/>
    <w:rsid w:val="00BE2EE6"/>
    <w:rsid w:val="00BF17FD"/>
    <w:rsid w:val="00BF2820"/>
    <w:rsid w:val="00BF41D4"/>
    <w:rsid w:val="00BF5AFB"/>
    <w:rsid w:val="00C1552F"/>
    <w:rsid w:val="00C16734"/>
    <w:rsid w:val="00C17B47"/>
    <w:rsid w:val="00C25C77"/>
    <w:rsid w:val="00C303E7"/>
    <w:rsid w:val="00C319C2"/>
    <w:rsid w:val="00C33753"/>
    <w:rsid w:val="00C45F8B"/>
    <w:rsid w:val="00C4608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CE75D8"/>
    <w:rsid w:val="00D05388"/>
    <w:rsid w:val="00D114CD"/>
    <w:rsid w:val="00D14476"/>
    <w:rsid w:val="00D232FF"/>
    <w:rsid w:val="00D279AA"/>
    <w:rsid w:val="00D31215"/>
    <w:rsid w:val="00D34544"/>
    <w:rsid w:val="00D34841"/>
    <w:rsid w:val="00D42049"/>
    <w:rsid w:val="00D4444E"/>
    <w:rsid w:val="00D44A97"/>
    <w:rsid w:val="00D45C0C"/>
    <w:rsid w:val="00D508A5"/>
    <w:rsid w:val="00D5104B"/>
    <w:rsid w:val="00D555D8"/>
    <w:rsid w:val="00D60778"/>
    <w:rsid w:val="00D63EB2"/>
    <w:rsid w:val="00D64D28"/>
    <w:rsid w:val="00D6604D"/>
    <w:rsid w:val="00D661EB"/>
    <w:rsid w:val="00D677F1"/>
    <w:rsid w:val="00D74601"/>
    <w:rsid w:val="00D83E46"/>
    <w:rsid w:val="00D847B6"/>
    <w:rsid w:val="00D93958"/>
    <w:rsid w:val="00D951D3"/>
    <w:rsid w:val="00DA1DB9"/>
    <w:rsid w:val="00DA6169"/>
    <w:rsid w:val="00DA7B28"/>
    <w:rsid w:val="00DB5480"/>
    <w:rsid w:val="00DB6317"/>
    <w:rsid w:val="00DC22A0"/>
    <w:rsid w:val="00DC2FC5"/>
    <w:rsid w:val="00DC4D6D"/>
    <w:rsid w:val="00DC5AD9"/>
    <w:rsid w:val="00DC691F"/>
    <w:rsid w:val="00DD02DE"/>
    <w:rsid w:val="00DD07B7"/>
    <w:rsid w:val="00DD113C"/>
    <w:rsid w:val="00DD324C"/>
    <w:rsid w:val="00DE0BEB"/>
    <w:rsid w:val="00DE40A9"/>
    <w:rsid w:val="00DE4856"/>
    <w:rsid w:val="00DF485B"/>
    <w:rsid w:val="00E02627"/>
    <w:rsid w:val="00E0295D"/>
    <w:rsid w:val="00E042BC"/>
    <w:rsid w:val="00E132FE"/>
    <w:rsid w:val="00E21B77"/>
    <w:rsid w:val="00E23352"/>
    <w:rsid w:val="00E35BCC"/>
    <w:rsid w:val="00E40CAD"/>
    <w:rsid w:val="00E40DC7"/>
    <w:rsid w:val="00E4215F"/>
    <w:rsid w:val="00E57E9F"/>
    <w:rsid w:val="00E61D2E"/>
    <w:rsid w:val="00E62B7F"/>
    <w:rsid w:val="00E65447"/>
    <w:rsid w:val="00E7066D"/>
    <w:rsid w:val="00E726BC"/>
    <w:rsid w:val="00E72821"/>
    <w:rsid w:val="00E75C82"/>
    <w:rsid w:val="00E81DDC"/>
    <w:rsid w:val="00E81F67"/>
    <w:rsid w:val="00E83650"/>
    <w:rsid w:val="00E83A31"/>
    <w:rsid w:val="00E93BF5"/>
    <w:rsid w:val="00E962AD"/>
    <w:rsid w:val="00E97CC0"/>
    <w:rsid w:val="00EA22B8"/>
    <w:rsid w:val="00EA2524"/>
    <w:rsid w:val="00EA33E7"/>
    <w:rsid w:val="00EC092D"/>
    <w:rsid w:val="00EC0DF8"/>
    <w:rsid w:val="00EC1329"/>
    <w:rsid w:val="00EC7F91"/>
    <w:rsid w:val="00ED378B"/>
    <w:rsid w:val="00EE08F9"/>
    <w:rsid w:val="00EE70B3"/>
    <w:rsid w:val="00EF24AA"/>
    <w:rsid w:val="00EF728A"/>
    <w:rsid w:val="00EF7D0D"/>
    <w:rsid w:val="00F00FF7"/>
    <w:rsid w:val="00F02093"/>
    <w:rsid w:val="00F068E3"/>
    <w:rsid w:val="00F10B5F"/>
    <w:rsid w:val="00F218C1"/>
    <w:rsid w:val="00F3053C"/>
    <w:rsid w:val="00F321EB"/>
    <w:rsid w:val="00F32B00"/>
    <w:rsid w:val="00F346CF"/>
    <w:rsid w:val="00F3610C"/>
    <w:rsid w:val="00F36839"/>
    <w:rsid w:val="00F413C0"/>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208150E"/>
    <w:rsid w:val="02287D63"/>
    <w:rsid w:val="024179E7"/>
    <w:rsid w:val="0246437B"/>
    <w:rsid w:val="02985CD5"/>
    <w:rsid w:val="02A741FD"/>
    <w:rsid w:val="02C16E5D"/>
    <w:rsid w:val="02D964CF"/>
    <w:rsid w:val="02DE5ECF"/>
    <w:rsid w:val="03025B84"/>
    <w:rsid w:val="032E6AB8"/>
    <w:rsid w:val="03587E8E"/>
    <w:rsid w:val="03707410"/>
    <w:rsid w:val="039170C0"/>
    <w:rsid w:val="039240A3"/>
    <w:rsid w:val="03A0770F"/>
    <w:rsid w:val="03A27726"/>
    <w:rsid w:val="03A448B8"/>
    <w:rsid w:val="03B34A78"/>
    <w:rsid w:val="03C01631"/>
    <w:rsid w:val="03C656A9"/>
    <w:rsid w:val="03F33148"/>
    <w:rsid w:val="042F3419"/>
    <w:rsid w:val="0435283A"/>
    <w:rsid w:val="04491596"/>
    <w:rsid w:val="047B4012"/>
    <w:rsid w:val="04822497"/>
    <w:rsid w:val="04974587"/>
    <w:rsid w:val="049A0C65"/>
    <w:rsid w:val="04A07C4B"/>
    <w:rsid w:val="04DF1036"/>
    <w:rsid w:val="04E24985"/>
    <w:rsid w:val="04EB434C"/>
    <w:rsid w:val="050C01DF"/>
    <w:rsid w:val="05316537"/>
    <w:rsid w:val="053A5A77"/>
    <w:rsid w:val="0599183C"/>
    <w:rsid w:val="05993DE2"/>
    <w:rsid w:val="05A97DEC"/>
    <w:rsid w:val="05B23978"/>
    <w:rsid w:val="05C81981"/>
    <w:rsid w:val="05FC20B9"/>
    <w:rsid w:val="060043AE"/>
    <w:rsid w:val="060C3203"/>
    <w:rsid w:val="06281344"/>
    <w:rsid w:val="062D4EC8"/>
    <w:rsid w:val="0670183E"/>
    <w:rsid w:val="0687725F"/>
    <w:rsid w:val="069B4E4A"/>
    <w:rsid w:val="06A26008"/>
    <w:rsid w:val="06BC41F2"/>
    <w:rsid w:val="06F125FA"/>
    <w:rsid w:val="06F415CC"/>
    <w:rsid w:val="070E26CD"/>
    <w:rsid w:val="07197D08"/>
    <w:rsid w:val="071E5C55"/>
    <w:rsid w:val="075C1FE5"/>
    <w:rsid w:val="077005AB"/>
    <w:rsid w:val="078F4581"/>
    <w:rsid w:val="07A715F3"/>
    <w:rsid w:val="07BF027F"/>
    <w:rsid w:val="07F06C60"/>
    <w:rsid w:val="07F82746"/>
    <w:rsid w:val="08031A31"/>
    <w:rsid w:val="080E2872"/>
    <w:rsid w:val="08420CAE"/>
    <w:rsid w:val="089A5AE8"/>
    <w:rsid w:val="08CB57A5"/>
    <w:rsid w:val="08DC25A5"/>
    <w:rsid w:val="09061A75"/>
    <w:rsid w:val="090C09C5"/>
    <w:rsid w:val="09182241"/>
    <w:rsid w:val="09325D4D"/>
    <w:rsid w:val="095F1030"/>
    <w:rsid w:val="09855177"/>
    <w:rsid w:val="09877EDB"/>
    <w:rsid w:val="09A17D47"/>
    <w:rsid w:val="09C84998"/>
    <w:rsid w:val="09EE5125"/>
    <w:rsid w:val="0A3D7585"/>
    <w:rsid w:val="0A462748"/>
    <w:rsid w:val="0A4D0C81"/>
    <w:rsid w:val="0A723E95"/>
    <w:rsid w:val="0A733243"/>
    <w:rsid w:val="0A785903"/>
    <w:rsid w:val="0AA534D5"/>
    <w:rsid w:val="0AA650EB"/>
    <w:rsid w:val="0AA7129C"/>
    <w:rsid w:val="0AF47339"/>
    <w:rsid w:val="0B121934"/>
    <w:rsid w:val="0B1F4D52"/>
    <w:rsid w:val="0B22594B"/>
    <w:rsid w:val="0B27506F"/>
    <w:rsid w:val="0B3061AD"/>
    <w:rsid w:val="0B666362"/>
    <w:rsid w:val="0B9610F4"/>
    <w:rsid w:val="0BBF77A4"/>
    <w:rsid w:val="0BD16C8D"/>
    <w:rsid w:val="0BDF26F7"/>
    <w:rsid w:val="0C027DB2"/>
    <w:rsid w:val="0C2B4952"/>
    <w:rsid w:val="0C51228C"/>
    <w:rsid w:val="0C516C55"/>
    <w:rsid w:val="0C5D161C"/>
    <w:rsid w:val="0C6437E4"/>
    <w:rsid w:val="0C7B2220"/>
    <w:rsid w:val="0CB67D83"/>
    <w:rsid w:val="0CCF79BE"/>
    <w:rsid w:val="0CD20599"/>
    <w:rsid w:val="0CE34A98"/>
    <w:rsid w:val="0CE53018"/>
    <w:rsid w:val="0D0B5B12"/>
    <w:rsid w:val="0D133046"/>
    <w:rsid w:val="0D153F28"/>
    <w:rsid w:val="0D305390"/>
    <w:rsid w:val="0D3A0F98"/>
    <w:rsid w:val="0D5D37FD"/>
    <w:rsid w:val="0D6A4502"/>
    <w:rsid w:val="0D7415CA"/>
    <w:rsid w:val="0D890E47"/>
    <w:rsid w:val="0DC64A00"/>
    <w:rsid w:val="0DCF786E"/>
    <w:rsid w:val="0DEB5FFA"/>
    <w:rsid w:val="0DEF1579"/>
    <w:rsid w:val="0DF75C46"/>
    <w:rsid w:val="0DFC60BA"/>
    <w:rsid w:val="0E045D30"/>
    <w:rsid w:val="0E1C06B2"/>
    <w:rsid w:val="0E35000C"/>
    <w:rsid w:val="0E69691B"/>
    <w:rsid w:val="0E7900C2"/>
    <w:rsid w:val="0EBB5484"/>
    <w:rsid w:val="0EBD5AA3"/>
    <w:rsid w:val="0F085784"/>
    <w:rsid w:val="0F5723EF"/>
    <w:rsid w:val="0F7C5FF6"/>
    <w:rsid w:val="0FC63FBD"/>
    <w:rsid w:val="0FDD003F"/>
    <w:rsid w:val="0FF63282"/>
    <w:rsid w:val="0FF87EA4"/>
    <w:rsid w:val="0FFF7484"/>
    <w:rsid w:val="10007DD4"/>
    <w:rsid w:val="100B77ED"/>
    <w:rsid w:val="10305890"/>
    <w:rsid w:val="103D5A1A"/>
    <w:rsid w:val="105D28A8"/>
    <w:rsid w:val="106C564D"/>
    <w:rsid w:val="10767478"/>
    <w:rsid w:val="107B7B8F"/>
    <w:rsid w:val="107C67CE"/>
    <w:rsid w:val="10912D03"/>
    <w:rsid w:val="109D68CB"/>
    <w:rsid w:val="10A01FEC"/>
    <w:rsid w:val="10A949B8"/>
    <w:rsid w:val="10CB4D26"/>
    <w:rsid w:val="10F83127"/>
    <w:rsid w:val="11144AFE"/>
    <w:rsid w:val="11200D07"/>
    <w:rsid w:val="116705E6"/>
    <w:rsid w:val="116A3F32"/>
    <w:rsid w:val="11786AB5"/>
    <w:rsid w:val="118049D4"/>
    <w:rsid w:val="118561F8"/>
    <w:rsid w:val="11914FAF"/>
    <w:rsid w:val="11A8021A"/>
    <w:rsid w:val="11B21219"/>
    <w:rsid w:val="11B4024C"/>
    <w:rsid w:val="11DA73AF"/>
    <w:rsid w:val="11FC1ECD"/>
    <w:rsid w:val="12457C5E"/>
    <w:rsid w:val="124D097B"/>
    <w:rsid w:val="12511265"/>
    <w:rsid w:val="126561B4"/>
    <w:rsid w:val="127344C3"/>
    <w:rsid w:val="127A3FFC"/>
    <w:rsid w:val="127D0E25"/>
    <w:rsid w:val="127E0B34"/>
    <w:rsid w:val="1283614B"/>
    <w:rsid w:val="12856FF3"/>
    <w:rsid w:val="129671FB"/>
    <w:rsid w:val="12A576FF"/>
    <w:rsid w:val="12C60D80"/>
    <w:rsid w:val="12E579C3"/>
    <w:rsid w:val="130523B3"/>
    <w:rsid w:val="13097496"/>
    <w:rsid w:val="13154AD2"/>
    <w:rsid w:val="131F7A3A"/>
    <w:rsid w:val="132645D0"/>
    <w:rsid w:val="134312FF"/>
    <w:rsid w:val="13455ABC"/>
    <w:rsid w:val="1370322B"/>
    <w:rsid w:val="13BA0460"/>
    <w:rsid w:val="13BB41AE"/>
    <w:rsid w:val="13C031D9"/>
    <w:rsid w:val="13C24F9B"/>
    <w:rsid w:val="13C45A18"/>
    <w:rsid w:val="13C9247B"/>
    <w:rsid w:val="13C92A4D"/>
    <w:rsid w:val="13DE55D1"/>
    <w:rsid w:val="13E0285C"/>
    <w:rsid w:val="143B2E0B"/>
    <w:rsid w:val="147C1943"/>
    <w:rsid w:val="148054E9"/>
    <w:rsid w:val="14892735"/>
    <w:rsid w:val="14906D6C"/>
    <w:rsid w:val="14CC769D"/>
    <w:rsid w:val="14D764D5"/>
    <w:rsid w:val="14F43330"/>
    <w:rsid w:val="152509D7"/>
    <w:rsid w:val="15436F05"/>
    <w:rsid w:val="155541C5"/>
    <w:rsid w:val="15691FE3"/>
    <w:rsid w:val="158B5DDD"/>
    <w:rsid w:val="15A41986"/>
    <w:rsid w:val="15B11221"/>
    <w:rsid w:val="15C16EB3"/>
    <w:rsid w:val="15CB76C9"/>
    <w:rsid w:val="15D359D7"/>
    <w:rsid w:val="160E7A2C"/>
    <w:rsid w:val="16111028"/>
    <w:rsid w:val="161F7731"/>
    <w:rsid w:val="163C77BE"/>
    <w:rsid w:val="16573587"/>
    <w:rsid w:val="16647F88"/>
    <w:rsid w:val="1679588C"/>
    <w:rsid w:val="168C2855"/>
    <w:rsid w:val="16903443"/>
    <w:rsid w:val="169614F2"/>
    <w:rsid w:val="16994962"/>
    <w:rsid w:val="16A233CF"/>
    <w:rsid w:val="16A71041"/>
    <w:rsid w:val="16AA24BF"/>
    <w:rsid w:val="16DA7B9D"/>
    <w:rsid w:val="171510CA"/>
    <w:rsid w:val="171D3FE1"/>
    <w:rsid w:val="1742794A"/>
    <w:rsid w:val="17680CAB"/>
    <w:rsid w:val="176E4128"/>
    <w:rsid w:val="1783371F"/>
    <w:rsid w:val="17846F75"/>
    <w:rsid w:val="178D7563"/>
    <w:rsid w:val="17B61794"/>
    <w:rsid w:val="17C52CBF"/>
    <w:rsid w:val="17C93012"/>
    <w:rsid w:val="17D24A27"/>
    <w:rsid w:val="17E62B67"/>
    <w:rsid w:val="180F4499"/>
    <w:rsid w:val="182201B4"/>
    <w:rsid w:val="18221ECE"/>
    <w:rsid w:val="18303840"/>
    <w:rsid w:val="183C3D90"/>
    <w:rsid w:val="18504A07"/>
    <w:rsid w:val="1859036F"/>
    <w:rsid w:val="18681814"/>
    <w:rsid w:val="1877254A"/>
    <w:rsid w:val="18AE7C99"/>
    <w:rsid w:val="18B0649B"/>
    <w:rsid w:val="18B46A55"/>
    <w:rsid w:val="18C8297B"/>
    <w:rsid w:val="18D418FC"/>
    <w:rsid w:val="18FC7745"/>
    <w:rsid w:val="19027053"/>
    <w:rsid w:val="19085D7D"/>
    <w:rsid w:val="191677A6"/>
    <w:rsid w:val="191D75F9"/>
    <w:rsid w:val="19353F17"/>
    <w:rsid w:val="19DD405E"/>
    <w:rsid w:val="1A460CF5"/>
    <w:rsid w:val="1A7A6BB4"/>
    <w:rsid w:val="1A7F297D"/>
    <w:rsid w:val="1A9B268C"/>
    <w:rsid w:val="1A9D6244"/>
    <w:rsid w:val="1AAF6004"/>
    <w:rsid w:val="1AB16AC1"/>
    <w:rsid w:val="1ABF1CEA"/>
    <w:rsid w:val="1B014DDE"/>
    <w:rsid w:val="1B0320FB"/>
    <w:rsid w:val="1B034A52"/>
    <w:rsid w:val="1B45344E"/>
    <w:rsid w:val="1B5636D9"/>
    <w:rsid w:val="1B591D2B"/>
    <w:rsid w:val="1B5D76FB"/>
    <w:rsid w:val="1B683578"/>
    <w:rsid w:val="1B8C0040"/>
    <w:rsid w:val="1BBA4E52"/>
    <w:rsid w:val="1BD9519A"/>
    <w:rsid w:val="1BDE2F66"/>
    <w:rsid w:val="1C2A22B3"/>
    <w:rsid w:val="1C4E2600"/>
    <w:rsid w:val="1C750ECE"/>
    <w:rsid w:val="1C78116E"/>
    <w:rsid w:val="1CA56AF4"/>
    <w:rsid w:val="1CE1575A"/>
    <w:rsid w:val="1D196139"/>
    <w:rsid w:val="1D2E2708"/>
    <w:rsid w:val="1D547061"/>
    <w:rsid w:val="1D5E02D1"/>
    <w:rsid w:val="1D733B70"/>
    <w:rsid w:val="1D7B74A7"/>
    <w:rsid w:val="1D7F0ED0"/>
    <w:rsid w:val="1DA31EB7"/>
    <w:rsid w:val="1DA55D97"/>
    <w:rsid w:val="1DBB6100"/>
    <w:rsid w:val="1DBE6816"/>
    <w:rsid w:val="1DC67725"/>
    <w:rsid w:val="1DCB4FF1"/>
    <w:rsid w:val="1DDC11E4"/>
    <w:rsid w:val="1DF5452A"/>
    <w:rsid w:val="1E010AF7"/>
    <w:rsid w:val="1E1C405A"/>
    <w:rsid w:val="1E2E29E0"/>
    <w:rsid w:val="1E301173"/>
    <w:rsid w:val="1E884D18"/>
    <w:rsid w:val="1ED8781E"/>
    <w:rsid w:val="1EDD3235"/>
    <w:rsid w:val="1EE7283A"/>
    <w:rsid w:val="1F1102B0"/>
    <w:rsid w:val="1F2F1047"/>
    <w:rsid w:val="1F43381C"/>
    <w:rsid w:val="1F7D6A3D"/>
    <w:rsid w:val="1FA4148D"/>
    <w:rsid w:val="1FC10FAB"/>
    <w:rsid w:val="1FC65577"/>
    <w:rsid w:val="1FD82385"/>
    <w:rsid w:val="20121621"/>
    <w:rsid w:val="201636E2"/>
    <w:rsid w:val="202E3F6D"/>
    <w:rsid w:val="2032134B"/>
    <w:rsid w:val="20325F7E"/>
    <w:rsid w:val="204778B1"/>
    <w:rsid w:val="204778E7"/>
    <w:rsid w:val="204E554F"/>
    <w:rsid w:val="20546774"/>
    <w:rsid w:val="20590035"/>
    <w:rsid w:val="20851B47"/>
    <w:rsid w:val="209A2C3D"/>
    <w:rsid w:val="20E5011E"/>
    <w:rsid w:val="20FC799E"/>
    <w:rsid w:val="21286DA7"/>
    <w:rsid w:val="2134683B"/>
    <w:rsid w:val="215C18AC"/>
    <w:rsid w:val="21C82E72"/>
    <w:rsid w:val="21DE0801"/>
    <w:rsid w:val="21DE339D"/>
    <w:rsid w:val="22154DDD"/>
    <w:rsid w:val="221D4DB5"/>
    <w:rsid w:val="22336873"/>
    <w:rsid w:val="22396826"/>
    <w:rsid w:val="225471A3"/>
    <w:rsid w:val="225E34DC"/>
    <w:rsid w:val="227D1295"/>
    <w:rsid w:val="227E7C03"/>
    <w:rsid w:val="229B678A"/>
    <w:rsid w:val="22AB3B7D"/>
    <w:rsid w:val="22AF3A08"/>
    <w:rsid w:val="22F91328"/>
    <w:rsid w:val="22F92F75"/>
    <w:rsid w:val="239634D6"/>
    <w:rsid w:val="23BB4E7D"/>
    <w:rsid w:val="23C172D6"/>
    <w:rsid w:val="23CB1286"/>
    <w:rsid w:val="23CC6C08"/>
    <w:rsid w:val="23D77537"/>
    <w:rsid w:val="23E6195D"/>
    <w:rsid w:val="23F04F64"/>
    <w:rsid w:val="242654AA"/>
    <w:rsid w:val="247F5F5B"/>
    <w:rsid w:val="24814CBE"/>
    <w:rsid w:val="248A1EEC"/>
    <w:rsid w:val="24AC168B"/>
    <w:rsid w:val="24BB6664"/>
    <w:rsid w:val="24C468D6"/>
    <w:rsid w:val="24EC64CB"/>
    <w:rsid w:val="250E1318"/>
    <w:rsid w:val="25103738"/>
    <w:rsid w:val="253F46D8"/>
    <w:rsid w:val="254D0389"/>
    <w:rsid w:val="25884C5D"/>
    <w:rsid w:val="258C3BEC"/>
    <w:rsid w:val="25A03144"/>
    <w:rsid w:val="25B2479F"/>
    <w:rsid w:val="25C15C5D"/>
    <w:rsid w:val="25D329B9"/>
    <w:rsid w:val="25E5427A"/>
    <w:rsid w:val="26276A31"/>
    <w:rsid w:val="26366F9D"/>
    <w:rsid w:val="263B1230"/>
    <w:rsid w:val="2642752B"/>
    <w:rsid w:val="26485508"/>
    <w:rsid w:val="26554808"/>
    <w:rsid w:val="265E685B"/>
    <w:rsid w:val="26607D95"/>
    <w:rsid w:val="26700955"/>
    <w:rsid w:val="26A16AE9"/>
    <w:rsid w:val="26A605D9"/>
    <w:rsid w:val="26AD0500"/>
    <w:rsid w:val="26B121A3"/>
    <w:rsid w:val="26BE2324"/>
    <w:rsid w:val="26E464C3"/>
    <w:rsid w:val="272E3097"/>
    <w:rsid w:val="272E6F74"/>
    <w:rsid w:val="273B7A3B"/>
    <w:rsid w:val="275378F8"/>
    <w:rsid w:val="277E6655"/>
    <w:rsid w:val="2780046C"/>
    <w:rsid w:val="27933DEA"/>
    <w:rsid w:val="27B36A67"/>
    <w:rsid w:val="27D9633F"/>
    <w:rsid w:val="280B2E27"/>
    <w:rsid w:val="281E404F"/>
    <w:rsid w:val="28302479"/>
    <w:rsid w:val="2846581F"/>
    <w:rsid w:val="284A5CA4"/>
    <w:rsid w:val="286550ED"/>
    <w:rsid w:val="286602C8"/>
    <w:rsid w:val="28665C95"/>
    <w:rsid w:val="28736F5F"/>
    <w:rsid w:val="28B01D1E"/>
    <w:rsid w:val="28C2628C"/>
    <w:rsid w:val="28CC3373"/>
    <w:rsid w:val="28F47F99"/>
    <w:rsid w:val="28F579BA"/>
    <w:rsid w:val="290B3EB9"/>
    <w:rsid w:val="292728C1"/>
    <w:rsid w:val="292F0BBA"/>
    <w:rsid w:val="294E392A"/>
    <w:rsid w:val="2950768C"/>
    <w:rsid w:val="297A5FC4"/>
    <w:rsid w:val="29B51252"/>
    <w:rsid w:val="29E14657"/>
    <w:rsid w:val="29E474B8"/>
    <w:rsid w:val="29ED574B"/>
    <w:rsid w:val="29FA2D3E"/>
    <w:rsid w:val="29FE5CE6"/>
    <w:rsid w:val="2A743AE8"/>
    <w:rsid w:val="2A8D4F8F"/>
    <w:rsid w:val="2A917B34"/>
    <w:rsid w:val="2A9308A8"/>
    <w:rsid w:val="2A9F5AB8"/>
    <w:rsid w:val="2AB10C99"/>
    <w:rsid w:val="2AD74E8C"/>
    <w:rsid w:val="2AE3766F"/>
    <w:rsid w:val="2AEC612E"/>
    <w:rsid w:val="2B0268A7"/>
    <w:rsid w:val="2B060F9E"/>
    <w:rsid w:val="2B0E56AB"/>
    <w:rsid w:val="2B51141C"/>
    <w:rsid w:val="2B541787"/>
    <w:rsid w:val="2B590601"/>
    <w:rsid w:val="2B710DB7"/>
    <w:rsid w:val="2B7408CF"/>
    <w:rsid w:val="2B7E4054"/>
    <w:rsid w:val="2BBA6A76"/>
    <w:rsid w:val="2BC52ED8"/>
    <w:rsid w:val="2BCC03D1"/>
    <w:rsid w:val="2BDF1FBA"/>
    <w:rsid w:val="2C0C6D59"/>
    <w:rsid w:val="2C5B0D4B"/>
    <w:rsid w:val="2C8903AA"/>
    <w:rsid w:val="2C987C56"/>
    <w:rsid w:val="2CA156F3"/>
    <w:rsid w:val="2CC11460"/>
    <w:rsid w:val="2CC15BAA"/>
    <w:rsid w:val="2CC72A61"/>
    <w:rsid w:val="2CDC3153"/>
    <w:rsid w:val="2CDF621C"/>
    <w:rsid w:val="2CE136D7"/>
    <w:rsid w:val="2CFE7A11"/>
    <w:rsid w:val="2CFF149A"/>
    <w:rsid w:val="2D126EAE"/>
    <w:rsid w:val="2D201865"/>
    <w:rsid w:val="2D2B6EDE"/>
    <w:rsid w:val="2D322E1C"/>
    <w:rsid w:val="2D4B5CEA"/>
    <w:rsid w:val="2D4C5B4C"/>
    <w:rsid w:val="2D542188"/>
    <w:rsid w:val="2D652658"/>
    <w:rsid w:val="2D964A56"/>
    <w:rsid w:val="2DBF018D"/>
    <w:rsid w:val="2DC16E0A"/>
    <w:rsid w:val="2DC80C49"/>
    <w:rsid w:val="2DCA6355"/>
    <w:rsid w:val="2DF8018C"/>
    <w:rsid w:val="2E030E17"/>
    <w:rsid w:val="2E166748"/>
    <w:rsid w:val="2E2054A0"/>
    <w:rsid w:val="2E2C70F5"/>
    <w:rsid w:val="2E482374"/>
    <w:rsid w:val="2E491580"/>
    <w:rsid w:val="2E556F01"/>
    <w:rsid w:val="2E5B21F8"/>
    <w:rsid w:val="2E8345A7"/>
    <w:rsid w:val="2E8E20B4"/>
    <w:rsid w:val="2EAA7BAE"/>
    <w:rsid w:val="2EC1207D"/>
    <w:rsid w:val="2ED06066"/>
    <w:rsid w:val="2ED1223D"/>
    <w:rsid w:val="2F000139"/>
    <w:rsid w:val="2F1B303D"/>
    <w:rsid w:val="2F3F11F4"/>
    <w:rsid w:val="2F5E0754"/>
    <w:rsid w:val="2F9F42DC"/>
    <w:rsid w:val="2FBB4121"/>
    <w:rsid w:val="2FBC2844"/>
    <w:rsid w:val="2FBE3786"/>
    <w:rsid w:val="2FC32F68"/>
    <w:rsid w:val="2FC9559A"/>
    <w:rsid w:val="2FD6418B"/>
    <w:rsid w:val="2FD95B9C"/>
    <w:rsid w:val="2FF37AB3"/>
    <w:rsid w:val="30210B8A"/>
    <w:rsid w:val="30224DC7"/>
    <w:rsid w:val="303B4C3F"/>
    <w:rsid w:val="3073310C"/>
    <w:rsid w:val="309D6BE6"/>
    <w:rsid w:val="30AA1790"/>
    <w:rsid w:val="30AF1FC4"/>
    <w:rsid w:val="30EE385E"/>
    <w:rsid w:val="30F85AFE"/>
    <w:rsid w:val="31031402"/>
    <w:rsid w:val="310811F3"/>
    <w:rsid w:val="31170995"/>
    <w:rsid w:val="31264A30"/>
    <w:rsid w:val="312651F8"/>
    <w:rsid w:val="316B2774"/>
    <w:rsid w:val="31862EE3"/>
    <w:rsid w:val="31884E67"/>
    <w:rsid w:val="31A0275E"/>
    <w:rsid w:val="31A67308"/>
    <w:rsid w:val="31B91526"/>
    <w:rsid w:val="31BA7402"/>
    <w:rsid w:val="31EF0041"/>
    <w:rsid w:val="31F61FC1"/>
    <w:rsid w:val="320107F5"/>
    <w:rsid w:val="324175CB"/>
    <w:rsid w:val="326A0524"/>
    <w:rsid w:val="327A2E67"/>
    <w:rsid w:val="327B7EDF"/>
    <w:rsid w:val="32AB70C5"/>
    <w:rsid w:val="32EF2122"/>
    <w:rsid w:val="32F17F41"/>
    <w:rsid w:val="332038B4"/>
    <w:rsid w:val="33247607"/>
    <w:rsid w:val="333014B0"/>
    <w:rsid w:val="335D0AF5"/>
    <w:rsid w:val="336917EF"/>
    <w:rsid w:val="336B2EA4"/>
    <w:rsid w:val="336B3E67"/>
    <w:rsid w:val="3370088C"/>
    <w:rsid w:val="33872039"/>
    <w:rsid w:val="339A687B"/>
    <w:rsid w:val="33DC2F78"/>
    <w:rsid w:val="3428227C"/>
    <w:rsid w:val="343230D5"/>
    <w:rsid w:val="3439428E"/>
    <w:rsid w:val="34571EF7"/>
    <w:rsid w:val="347918A5"/>
    <w:rsid w:val="34802E4C"/>
    <w:rsid w:val="349D37D5"/>
    <w:rsid w:val="34A61BDE"/>
    <w:rsid w:val="34BB7B5F"/>
    <w:rsid w:val="3522586C"/>
    <w:rsid w:val="35572473"/>
    <w:rsid w:val="35602226"/>
    <w:rsid w:val="356B72E7"/>
    <w:rsid w:val="356D2AC8"/>
    <w:rsid w:val="3572424F"/>
    <w:rsid w:val="35734CF3"/>
    <w:rsid w:val="35866014"/>
    <w:rsid w:val="359E5CE0"/>
    <w:rsid w:val="35D275C3"/>
    <w:rsid w:val="35E50FBB"/>
    <w:rsid w:val="362B215D"/>
    <w:rsid w:val="36407D2B"/>
    <w:rsid w:val="366666CA"/>
    <w:rsid w:val="3667523C"/>
    <w:rsid w:val="367070F4"/>
    <w:rsid w:val="367801A9"/>
    <w:rsid w:val="36807FCC"/>
    <w:rsid w:val="369B334E"/>
    <w:rsid w:val="36AD519D"/>
    <w:rsid w:val="36B57705"/>
    <w:rsid w:val="36B93E53"/>
    <w:rsid w:val="36DC1DD3"/>
    <w:rsid w:val="36F3711D"/>
    <w:rsid w:val="36F541F6"/>
    <w:rsid w:val="36FC25DD"/>
    <w:rsid w:val="37090CD6"/>
    <w:rsid w:val="37122320"/>
    <w:rsid w:val="3754697A"/>
    <w:rsid w:val="37636A21"/>
    <w:rsid w:val="377662ED"/>
    <w:rsid w:val="377C03A4"/>
    <w:rsid w:val="37A103ED"/>
    <w:rsid w:val="37A367C3"/>
    <w:rsid w:val="37BD33EE"/>
    <w:rsid w:val="37CE0B2F"/>
    <w:rsid w:val="37E02B23"/>
    <w:rsid w:val="37E345A6"/>
    <w:rsid w:val="37EA5E6E"/>
    <w:rsid w:val="37EC6A58"/>
    <w:rsid w:val="37FB2268"/>
    <w:rsid w:val="37FF016F"/>
    <w:rsid w:val="382A6E2D"/>
    <w:rsid w:val="386E4145"/>
    <w:rsid w:val="387C5ABE"/>
    <w:rsid w:val="38B66D0C"/>
    <w:rsid w:val="38D41643"/>
    <w:rsid w:val="38EB6119"/>
    <w:rsid w:val="39044996"/>
    <w:rsid w:val="392C6D9B"/>
    <w:rsid w:val="393B020C"/>
    <w:rsid w:val="39506E15"/>
    <w:rsid w:val="396678D9"/>
    <w:rsid w:val="39790BE6"/>
    <w:rsid w:val="397A0ADB"/>
    <w:rsid w:val="39844799"/>
    <w:rsid w:val="39902D77"/>
    <w:rsid w:val="39954B2B"/>
    <w:rsid w:val="39A11A20"/>
    <w:rsid w:val="39DA2245"/>
    <w:rsid w:val="39E66E3B"/>
    <w:rsid w:val="39FD4CC2"/>
    <w:rsid w:val="3A51228C"/>
    <w:rsid w:val="3A545E48"/>
    <w:rsid w:val="3A552E60"/>
    <w:rsid w:val="3A5D642F"/>
    <w:rsid w:val="3A744447"/>
    <w:rsid w:val="3A7607F4"/>
    <w:rsid w:val="3A78219D"/>
    <w:rsid w:val="3A995C5C"/>
    <w:rsid w:val="3AB210FC"/>
    <w:rsid w:val="3ADB7381"/>
    <w:rsid w:val="3AE612FB"/>
    <w:rsid w:val="3AF04A37"/>
    <w:rsid w:val="3B043A1D"/>
    <w:rsid w:val="3B1E01C3"/>
    <w:rsid w:val="3B3E5B8A"/>
    <w:rsid w:val="3B793A48"/>
    <w:rsid w:val="3B7E3699"/>
    <w:rsid w:val="3B85393E"/>
    <w:rsid w:val="3BCA4B8A"/>
    <w:rsid w:val="3BCD72F7"/>
    <w:rsid w:val="3BF423D7"/>
    <w:rsid w:val="3BFC2F5F"/>
    <w:rsid w:val="3C37146A"/>
    <w:rsid w:val="3C3D3625"/>
    <w:rsid w:val="3C414142"/>
    <w:rsid w:val="3C5B725E"/>
    <w:rsid w:val="3C84047F"/>
    <w:rsid w:val="3C88055A"/>
    <w:rsid w:val="3C9E57AB"/>
    <w:rsid w:val="3CAF79B9"/>
    <w:rsid w:val="3CB35097"/>
    <w:rsid w:val="3CF737A2"/>
    <w:rsid w:val="3D10295A"/>
    <w:rsid w:val="3D184041"/>
    <w:rsid w:val="3D370C2A"/>
    <w:rsid w:val="3D414FC0"/>
    <w:rsid w:val="3D4F12A7"/>
    <w:rsid w:val="3D7B5F78"/>
    <w:rsid w:val="3D7D049C"/>
    <w:rsid w:val="3DB80161"/>
    <w:rsid w:val="3DE20EAE"/>
    <w:rsid w:val="3DEF3701"/>
    <w:rsid w:val="3E0572FD"/>
    <w:rsid w:val="3E0720FE"/>
    <w:rsid w:val="3E1D6BA4"/>
    <w:rsid w:val="3E2819F6"/>
    <w:rsid w:val="3E287A22"/>
    <w:rsid w:val="3E2E2DF0"/>
    <w:rsid w:val="3E5A7FE7"/>
    <w:rsid w:val="3E7D40EF"/>
    <w:rsid w:val="3E955A6A"/>
    <w:rsid w:val="3E964D81"/>
    <w:rsid w:val="3EE079CF"/>
    <w:rsid w:val="3EF66B2E"/>
    <w:rsid w:val="3EF76C87"/>
    <w:rsid w:val="3F217914"/>
    <w:rsid w:val="3F636838"/>
    <w:rsid w:val="3FD10810"/>
    <w:rsid w:val="3FD70BB0"/>
    <w:rsid w:val="3FFB55AC"/>
    <w:rsid w:val="40017152"/>
    <w:rsid w:val="401C5F9D"/>
    <w:rsid w:val="401C690C"/>
    <w:rsid w:val="401D7195"/>
    <w:rsid w:val="405C1C05"/>
    <w:rsid w:val="407A652F"/>
    <w:rsid w:val="40825D97"/>
    <w:rsid w:val="40836C36"/>
    <w:rsid w:val="40870EA3"/>
    <w:rsid w:val="408A343A"/>
    <w:rsid w:val="409928E7"/>
    <w:rsid w:val="40997CFE"/>
    <w:rsid w:val="40C34607"/>
    <w:rsid w:val="40CE3DC0"/>
    <w:rsid w:val="40D7455A"/>
    <w:rsid w:val="40E743E5"/>
    <w:rsid w:val="40EB4012"/>
    <w:rsid w:val="41075C9E"/>
    <w:rsid w:val="410A1661"/>
    <w:rsid w:val="412D5EA0"/>
    <w:rsid w:val="415A62F5"/>
    <w:rsid w:val="416D78C7"/>
    <w:rsid w:val="41734CBA"/>
    <w:rsid w:val="417F4E1A"/>
    <w:rsid w:val="418B0C8A"/>
    <w:rsid w:val="41A82190"/>
    <w:rsid w:val="41DE5999"/>
    <w:rsid w:val="41E1181A"/>
    <w:rsid w:val="41E32A20"/>
    <w:rsid w:val="41FA3241"/>
    <w:rsid w:val="420F7A65"/>
    <w:rsid w:val="4216611A"/>
    <w:rsid w:val="42310E70"/>
    <w:rsid w:val="42321B6A"/>
    <w:rsid w:val="423E300F"/>
    <w:rsid w:val="425656C8"/>
    <w:rsid w:val="4257273C"/>
    <w:rsid w:val="42687ACE"/>
    <w:rsid w:val="4270145E"/>
    <w:rsid w:val="429E6041"/>
    <w:rsid w:val="42BF4B02"/>
    <w:rsid w:val="42FC76D0"/>
    <w:rsid w:val="42FD694D"/>
    <w:rsid w:val="43034DFA"/>
    <w:rsid w:val="437D6687"/>
    <w:rsid w:val="438351F5"/>
    <w:rsid w:val="438D35EA"/>
    <w:rsid w:val="43BC1E57"/>
    <w:rsid w:val="43D23F8D"/>
    <w:rsid w:val="43D43F1D"/>
    <w:rsid w:val="43FA5777"/>
    <w:rsid w:val="44023422"/>
    <w:rsid w:val="44184A2D"/>
    <w:rsid w:val="441C1611"/>
    <w:rsid w:val="443C440B"/>
    <w:rsid w:val="44514F52"/>
    <w:rsid w:val="44543554"/>
    <w:rsid w:val="44761C8F"/>
    <w:rsid w:val="449722E3"/>
    <w:rsid w:val="449D7B09"/>
    <w:rsid w:val="44AE3FD4"/>
    <w:rsid w:val="44D0586F"/>
    <w:rsid w:val="44FA2D53"/>
    <w:rsid w:val="453C4912"/>
    <w:rsid w:val="455A546C"/>
    <w:rsid w:val="45687813"/>
    <w:rsid w:val="4571374F"/>
    <w:rsid w:val="458B1BB0"/>
    <w:rsid w:val="45A41560"/>
    <w:rsid w:val="45AD31D6"/>
    <w:rsid w:val="45B93426"/>
    <w:rsid w:val="45CF1361"/>
    <w:rsid w:val="464C6420"/>
    <w:rsid w:val="46552F9B"/>
    <w:rsid w:val="467A0297"/>
    <w:rsid w:val="468B7125"/>
    <w:rsid w:val="46B506EF"/>
    <w:rsid w:val="46C4691F"/>
    <w:rsid w:val="46CB53EF"/>
    <w:rsid w:val="46EE513F"/>
    <w:rsid w:val="470F5A71"/>
    <w:rsid w:val="47193906"/>
    <w:rsid w:val="473154FF"/>
    <w:rsid w:val="47685427"/>
    <w:rsid w:val="476C4065"/>
    <w:rsid w:val="4779499C"/>
    <w:rsid w:val="477B6530"/>
    <w:rsid w:val="47801172"/>
    <w:rsid w:val="479D1D34"/>
    <w:rsid w:val="47B609C0"/>
    <w:rsid w:val="47EC3B04"/>
    <w:rsid w:val="47EC6277"/>
    <w:rsid w:val="48021483"/>
    <w:rsid w:val="481A219B"/>
    <w:rsid w:val="482D31EA"/>
    <w:rsid w:val="48447D02"/>
    <w:rsid w:val="485970A0"/>
    <w:rsid w:val="486A6E89"/>
    <w:rsid w:val="48823516"/>
    <w:rsid w:val="48877686"/>
    <w:rsid w:val="488B498B"/>
    <w:rsid w:val="48B176C2"/>
    <w:rsid w:val="48B65C71"/>
    <w:rsid w:val="48D550F0"/>
    <w:rsid w:val="48FB1909"/>
    <w:rsid w:val="491F266E"/>
    <w:rsid w:val="492E6A57"/>
    <w:rsid w:val="495839AA"/>
    <w:rsid w:val="49700A6F"/>
    <w:rsid w:val="49771AFE"/>
    <w:rsid w:val="49802948"/>
    <w:rsid w:val="4986089F"/>
    <w:rsid w:val="498B5309"/>
    <w:rsid w:val="499F0AAB"/>
    <w:rsid w:val="49C154CE"/>
    <w:rsid w:val="49C33FF5"/>
    <w:rsid w:val="49DB11EC"/>
    <w:rsid w:val="49E31DD1"/>
    <w:rsid w:val="49F25A7F"/>
    <w:rsid w:val="4A0030EE"/>
    <w:rsid w:val="4A0568D6"/>
    <w:rsid w:val="4A0C4F3C"/>
    <w:rsid w:val="4A162478"/>
    <w:rsid w:val="4A171EC9"/>
    <w:rsid w:val="4A1A1689"/>
    <w:rsid w:val="4A484D41"/>
    <w:rsid w:val="4A6D15F8"/>
    <w:rsid w:val="4A7617B6"/>
    <w:rsid w:val="4A8C4FB8"/>
    <w:rsid w:val="4A9A25BD"/>
    <w:rsid w:val="4A9E0551"/>
    <w:rsid w:val="4AB542AE"/>
    <w:rsid w:val="4AF72FEA"/>
    <w:rsid w:val="4AFF2C73"/>
    <w:rsid w:val="4B1477B3"/>
    <w:rsid w:val="4B1F062C"/>
    <w:rsid w:val="4B243D9D"/>
    <w:rsid w:val="4B281425"/>
    <w:rsid w:val="4B491FAA"/>
    <w:rsid w:val="4B6F66A1"/>
    <w:rsid w:val="4B85213F"/>
    <w:rsid w:val="4B8C2DEB"/>
    <w:rsid w:val="4B912203"/>
    <w:rsid w:val="4BFA3C9F"/>
    <w:rsid w:val="4BFA7F6C"/>
    <w:rsid w:val="4C107F48"/>
    <w:rsid w:val="4C3117D0"/>
    <w:rsid w:val="4C3277BC"/>
    <w:rsid w:val="4C5C442D"/>
    <w:rsid w:val="4C6D42A9"/>
    <w:rsid w:val="4C716A38"/>
    <w:rsid w:val="4CB6767F"/>
    <w:rsid w:val="4CC0351C"/>
    <w:rsid w:val="4CC353EB"/>
    <w:rsid w:val="4CE64E14"/>
    <w:rsid w:val="4CE95EE5"/>
    <w:rsid w:val="4CF36F3C"/>
    <w:rsid w:val="4D006B89"/>
    <w:rsid w:val="4D007BC8"/>
    <w:rsid w:val="4D0602E5"/>
    <w:rsid w:val="4D0651AA"/>
    <w:rsid w:val="4D116C13"/>
    <w:rsid w:val="4D1470BD"/>
    <w:rsid w:val="4D154882"/>
    <w:rsid w:val="4D1C3C50"/>
    <w:rsid w:val="4D603399"/>
    <w:rsid w:val="4D6A7284"/>
    <w:rsid w:val="4D6E30E1"/>
    <w:rsid w:val="4D867EE1"/>
    <w:rsid w:val="4DBC4C65"/>
    <w:rsid w:val="4DC9105D"/>
    <w:rsid w:val="4DE2009B"/>
    <w:rsid w:val="4DF86974"/>
    <w:rsid w:val="4E0F235E"/>
    <w:rsid w:val="4E157689"/>
    <w:rsid w:val="4E471216"/>
    <w:rsid w:val="4E533FA5"/>
    <w:rsid w:val="4E550010"/>
    <w:rsid w:val="4E5F14CB"/>
    <w:rsid w:val="4E6808B0"/>
    <w:rsid w:val="4E780BC4"/>
    <w:rsid w:val="4EBA42F2"/>
    <w:rsid w:val="4EC00DDD"/>
    <w:rsid w:val="4ED908C5"/>
    <w:rsid w:val="4EF265BE"/>
    <w:rsid w:val="4EFB1C45"/>
    <w:rsid w:val="4F0C2A48"/>
    <w:rsid w:val="4F26273B"/>
    <w:rsid w:val="4F2D3A8A"/>
    <w:rsid w:val="4F32478A"/>
    <w:rsid w:val="4F3705F8"/>
    <w:rsid w:val="4F687F31"/>
    <w:rsid w:val="4F913A9A"/>
    <w:rsid w:val="4F9714A0"/>
    <w:rsid w:val="4FAA3F91"/>
    <w:rsid w:val="4FAC3540"/>
    <w:rsid w:val="4FCF1583"/>
    <w:rsid w:val="4FCF3A9D"/>
    <w:rsid w:val="4FD23E66"/>
    <w:rsid w:val="4FD44D1B"/>
    <w:rsid w:val="4FDC066D"/>
    <w:rsid w:val="4FFA7625"/>
    <w:rsid w:val="50453E7E"/>
    <w:rsid w:val="50594CF7"/>
    <w:rsid w:val="507D2599"/>
    <w:rsid w:val="5096229D"/>
    <w:rsid w:val="509E157D"/>
    <w:rsid w:val="50A6165E"/>
    <w:rsid w:val="50DC4184"/>
    <w:rsid w:val="50FB6146"/>
    <w:rsid w:val="512F4CA0"/>
    <w:rsid w:val="51361FFF"/>
    <w:rsid w:val="513D4C38"/>
    <w:rsid w:val="514C3EA7"/>
    <w:rsid w:val="51AC4D00"/>
    <w:rsid w:val="51FF3C99"/>
    <w:rsid w:val="520325EA"/>
    <w:rsid w:val="522A20E4"/>
    <w:rsid w:val="5233653E"/>
    <w:rsid w:val="52363D4D"/>
    <w:rsid w:val="524A2AC9"/>
    <w:rsid w:val="52521A20"/>
    <w:rsid w:val="528604EC"/>
    <w:rsid w:val="529E2C3A"/>
    <w:rsid w:val="52AC4ABC"/>
    <w:rsid w:val="52C201B9"/>
    <w:rsid w:val="52E1183E"/>
    <w:rsid w:val="52E57A12"/>
    <w:rsid w:val="52F20B62"/>
    <w:rsid w:val="52F27620"/>
    <w:rsid w:val="530D1577"/>
    <w:rsid w:val="531C4FCC"/>
    <w:rsid w:val="53827E49"/>
    <w:rsid w:val="538A6BB9"/>
    <w:rsid w:val="539964FD"/>
    <w:rsid w:val="539C1B81"/>
    <w:rsid w:val="539D7755"/>
    <w:rsid w:val="53A447B1"/>
    <w:rsid w:val="53AE750F"/>
    <w:rsid w:val="53BE40A3"/>
    <w:rsid w:val="53D224B3"/>
    <w:rsid w:val="53E27C66"/>
    <w:rsid w:val="53EB3560"/>
    <w:rsid w:val="53F81D96"/>
    <w:rsid w:val="541D5DE8"/>
    <w:rsid w:val="541F57C4"/>
    <w:rsid w:val="544B5214"/>
    <w:rsid w:val="546F523C"/>
    <w:rsid w:val="54782FBD"/>
    <w:rsid w:val="5483138F"/>
    <w:rsid w:val="5488523A"/>
    <w:rsid w:val="549A6BFA"/>
    <w:rsid w:val="54C341E7"/>
    <w:rsid w:val="54D933CD"/>
    <w:rsid w:val="54FE2E33"/>
    <w:rsid w:val="551751CF"/>
    <w:rsid w:val="5522558F"/>
    <w:rsid w:val="55244D7F"/>
    <w:rsid w:val="55305397"/>
    <w:rsid w:val="55362287"/>
    <w:rsid w:val="55432F3C"/>
    <w:rsid w:val="554B299D"/>
    <w:rsid w:val="55A37FFD"/>
    <w:rsid w:val="55AE22F1"/>
    <w:rsid w:val="55C3227E"/>
    <w:rsid w:val="55CE1AA9"/>
    <w:rsid w:val="55F6381F"/>
    <w:rsid w:val="55FA2961"/>
    <w:rsid w:val="5602250F"/>
    <w:rsid w:val="563D53C1"/>
    <w:rsid w:val="564220BA"/>
    <w:rsid w:val="565E7F4F"/>
    <w:rsid w:val="565F3DA6"/>
    <w:rsid w:val="56903F9A"/>
    <w:rsid w:val="56914056"/>
    <w:rsid w:val="56B61E36"/>
    <w:rsid w:val="56C36589"/>
    <w:rsid w:val="570D55B0"/>
    <w:rsid w:val="570E4AB5"/>
    <w:rsid w:val="57293C95"/>
    <w:rsid w:val="572A6381"/>
    <w:rsid w:val="572B41B4"/>
    <w:rsid w:val="57365868"/>
    <w:rsid w:val="573C1959"/>
    <w:rsid w:val="57554571"/>
    <w:rsid w:val="57A17808"/>
    <w:rsid w:val="57F65317"/>
    <w:rsid w:val="57FC2169"/>
    <w:rsid w:val="58024015"/>
    <w:rsid w:val="58096275"/>
    <w:rsid w:val="5819544F"/>
    <w:rsid w:val="582D6D32"/>
    <w:rsid w:val="582E6EF7"/>
    <w:rsid w:val="583278A5"/>
    <w:rsid w:val="584E30E6"/>
    <w:rsid w:val="58546EFD"/>
    <w:rsid w:val="5881703E"/>
    <w:rsid w:val="589871D6"/>
    <w:rsid w:val="58AB786E"/>
    <w:rsid w:val="58D0673C"/>
    <w:rsid w:val="58E26731"/>
    <w:rsid w:val="58EB1371"/>
    <w:rsid w:val="59091D98"/>
    <w:rsid w:val="590E4A97"/>
    <w:rsid w:val="591250FF"/>
    <w:rsid w:val="5920012C"/>
    <w:rsid w:val="593700E7"/>
    <w:rsid w:val="595578DE"/>
    <w:rsid w:val="597B384D"/>
    <w:rsid w:val="597D1A46"/>
    <w:rsid w:val="59996DA8"/>
    <w:rsid w:val="59C30F1B"/>
    <w:rsid w:val="59CE4759"/>
    <w:rsid w:val="59D06015"/>
    <w:rsid w:val="59D90B78"/>
    <w:rsid w:val="5A814766"/>
    <w:rsid w:val="5A8C20D0"/>
    <w:rsid w:val="5A931CE6"/>
    <w:rsid w:val="5ABC29E4"/>
    <w:rsid w:val="5AC7121C"/>
    <w:rsid w:val="5AD90B8D"/>
    <w:rsid w:val="5AE12927"/>
    <w:rsid w:val="5AE35472"/>
    <w:rsid w:val="5AF41CF3"/>
    <w:rsid w:val="5AF87CC9"/>
    <w:rsid w:val="5B07329F"/>
    <w:rsid w:val="5B12314B"/>
    <w:rsid w:val="5B4E1A44"/>
    <w:rsid w:val="5B873201"/>
    <w:rsid w:val="5B967767"/>
    <w:rsid w:val="5B9D1624"/>
    <w:rsid w:val="5BBF19C8"/>
    <w:rsid w:val="5BBF73E2"/>
    <w:rsid w:val="5BEE5378"/>
    <w:rsid w:val="5C0C2FF6"/>
    <w:rsid w:val="5C1241CC"/>
    <w:rsid w:val="5C286807"/>
    <w:rsid w:val="5C34339E"/>
    <w:rsid w:val="5C355656"/>
    <w:rsid w:val="5C370E72"/>
    <w:rsid w:val="5C446BC8"/>
    <w:rsid w:val="5C4B56E1"/>
    <w:rsid w:val="5C7146B1"/>
    <w:rsid w:val="5C7C2768"/>
    <w:rsid w:val="5CAD3BC1"/>
    <w:rsid w:val="5CAE62DC"/>
    <w:rsid w:val="5CB23AE6"/>
    <w:rsid w:val="5CED5863"/>
    <w:rsid w:val="5D0D6DF5"/>
    <w:rsid w:val="5D4A5E05"/>
    <w:rsid w:val="5D580A8A"/>
    <w:rsid w:val="5D7E6D71"/>
    <w:rsid w:val="5D893B14"/>
    <w:rsid w:val="5DB42C29"/>
    <w:rsid w:val="5E1219F7"/>
    <w:rsid w:val="5E18541D"/>
    <w:rsid w:val="5E291636"/>
    <w:rsid w:val="5E48511F"/>
    <w:rsid w:val="5E655B72"/>
    <w:rsid w:val="5E8B0770"/>
    <w:rsid w:val="5EA06921"/>
    <w:rsid w:val="5EBA259F"/>
    <w:rsid w:val="5EE1082B"/>
    <w:rsid w:val="5EE97BB4"/>
    <w:rsid w:val="5EEA135A"/>
    <w:rsid w:val="5EF55BC9"/>
    <w:rsid w:val="5F085DDA"/>
    <w:rsid w:val="5F2E2D52"/>
    <w:rsid w:val="5F54198B"/>
    <w:rsid w:val="5F6C74C2"/>
    <w:rsid w:val="5F9D1350"/>
    <w:rsid w:val="5FA44AD1"/>
    <w:rsid w:val="5FA50CDB"/>
    <w:rsid w:val="5FBE370A"/>
    <w:rsid w:val="5FC61F2E"/>
    <w:rsid w:val="5FC83407"/>
    <w:rsid w:val="5FD56E87"/>
    <w:rsid w:val="5FF0558C"/>
    <w:rsid w:val="60015A45"/>
    <w:rsid w:val="601A27F4"/>
    <w:rsid w:val="60292845"/>
    <w:rsid w:val="606D1789"/>
    <w:rsid w:val="606F2632"/>
    <w:rsid w:val="6071543B"/>
    <w:rsid w:val="607921FE"/>
    <w:rsid w:val="607E12CC"/>
    <w:rsid w:val="608F62AE"/>
    <w:rsid w:val="60B9251B"/>
    <w:rsid w:val="60E236C1"/>
    <w:rsid w:val="60E37983"/>
    <w:rsid w:val="60E54E33"/>
    <w:rsid w:val="61260B6B"/>
    <w:rsid w:val="612B3ABB"/>
    <w:rsid w:val="612E1A5D"/>
    <w:rsid w:val="614E5D7E"/>
    <w:rsid w:val="61816046"/>
    <w:rsid w:val="61BD04E4"/>
    <w:rsid w:val="61C81AB1"/>
    <w:rsid w:val="620B0059"/>
    <w:rsid w:val="62391564"/>
    <w:rsid w:val="624A22BE"/>
    <w:rsid w:val="6263230B"/>
    <w:rsid w:val="626E235A"/>
    <w:rsid w:val="626F60D5"/>
    <w:rsid w:val="62816669"/>
    <w:rsid w:val="6282086D"/>
    <w:rsid w:val="629007F7"/>
    <w:rsid w:val="62AB4D99"/>
    <w:rsid w:val="62B36CD7"/>
    <w:rsid w:val="62BA0953"/>
    <w:rsid w:val="62D03A7C"/>
    <w:rsid w:val="62F42FAE"/>
    <w:rsid w:val="62F648FE"/>
    <w:rsid w:val="63167A4F"/>
    <w:rsid w:val="631D2BD6"/>
    <w:rsid w:val="631F43A9"/>
    <w:rsid w:val="635356F3"/>
    <w:rsid w:val="637D5B70"/>
    <w:rsid w:val="63825E77"/>
    <w:rsid w:val="63A10995"/>
    <w:rsid w:val="63C23EFA"/>
    <w:rsid w:val="63D255DA"/>
    <w:rsid w:val="63EB2168"/>
    <w:rsid w:val="63F854C1"/>
    <w:rsid w:val="63FB5857"/>
    <w:rsid w:val="64076B79"/>
    <w:rsid w:val="640B7654"/>
    <w:rsid w:val="64116D46"/>
    <w:rsid w:val="643A070A"/>
    <w:rsid w:val="64410A96"/>
    <w:rsid w:val="644C573D"/>
    <w:rsid w:val="64507EFB"/>
    <w:rsid w:val="64D17CF2"/>
    <w:rsid w:val="65032F85"/>
    <w:rsid w:val="651304A7"/>
    <w:rsid w:val="65136B50"/>
    <w:rsid w:val="652E163D"/>
    <w:rsid w:val="6531690D"/>
    <w:rsid w:val="65320485"/>
    <w:rsid w:val="655A12F3"/>
    <w:rsid w:val="657E2A35"/>
    <w:rsid w:val="65A94E9D"/>
    <w:rsid w:val="65B96B3F"/>
    <w:rsid w:val="65BE1071"/>
    <w:rsid w:val="65C60A92"/>
    <w:rsid w:val="65D86946"/>
    <w:rsid w:val="65DB19DF"/>
    <w:rsid w:val="660451CE"/>
    <w:rsid w:val="664B3BEB"/>
    <w:rsid w:val="665346B7"/>
    <w:rsid w:val="667C7CCE"/>
    <w:rsid w:val="66A12460"/>
    <w:rsid w:val="66BE2423"/>
    <w:rsid w:val="66DD6702"/>
    <w:rsid w:val="66E612CF"/>
    <w:rsid w:val="66E856F1"/>
    <w:rsid w:val="66FB0BAD"/>
    <w:rsid w:val="671B1623"/>
    <w:rsid w:val="671E6EBA"/>
    <w:rsid w:val="6731269C"/>
    <w:rsid w:val="673528BF"/>
    <w:rsid w:val="675352AA"/>
    <w:rsid w:val="6759400B"/>
    <w:rsid w:val="675E528D"/>
    <w:rsid w:val="676C598C"/>
    <w:rsid w:val="67966EFB"/>
    <w:rsid w:val="679E7FA1"/>
    <w:rsid w:val="67A32389"/>
    <w:rsid w:val="67B768D0"/>
    <w:rsid w:val="67C779FD"/>
    <w:rsid w:val="67C85DAF"/>
    <w:rsid w:val="68281CFE"/>
    <w:rsid w:val="682A2352"/>
    <w:rsid w:val="682A2630"/>
    <w:rsid w:val="682E4A5B"/>
    <w:rsid w:val="682E7AFD"/>
    <w:rsid w:val="68707071"/>
    <w:rsid w:val="687A4379"/>
    <w:rsid w:val="687B015C"/>
    <w:rsid w:val="687E3889"/>
    <w:rsid w:val="6884222C"/>
    <w:rsid w:val="68A957C8"/>
    <w:rsid w:val="68AD17BB"/>
    <w:rsid w:val="68D6620B"/>
    <w:rsid w:val="68D94D22"/>
    <w:rsid w:val="68F06F2B"/>
    <w:rsid w:val="69011241"/>
    <w:rsid w:val="692B2E4A"/>
    <w:rsid w:val="696A0B34"/>
    <w:rsid w:val="69821807"/>
    <w:rsid w:val="698D6A17"/>
    <w:rsid w:val="699026E3"/>
    <w:rsid w:val="699E0BED"/>
    <w:rsid w:val="699F0522"/>
    <w:rsid w:val="69D37590"/>
    <w:rsid w:val="69EB543D"/>
    <w:rsid w:val="69F954C1"/>
    <w:rsid w:val="6A1E1E73"/>
    <w:rsid w:val="6A2031B6"/>
    <w:rsid w:val="6A2F57D7"/>
    <w:rsid w:val="6A3924BB"/>
    <w:rsid w:val="6A3C1D40"/>
    <w:rsid w:val="6A6432E1"/>
    <w:rsid w:val="6AA23DFF"/>
    <w:rsid w:val="6AAA6F38"/>
    <w:rsid w:val="6AC61F6F"/>
    <w:rsid w:val="6AD34E53"/>
    <w:rsid w:val="6AD83EA1"/>
    <w:rsid w:val="6ADE74F0"/>
    <w:rsid w:val="6B1D62E8"/>
    <w:rsid w:val="6B723594"/>
    <w:rsid w:val="6B805156"/>
    <w:rsid w:val="6B945E48"/>
    <w:rsid w:val="6B974A7B"/>
    <w:rsid w:val="6BD50977"/>
    <w:rsid w:val="6BE450D3"/>
    <w:rsid w:val="6BE60C84"/>
    <w:rsid w:val="6C2A7D61"/>
    <w:rsid w:val="6C4F0900"/>
    <w:rsid w:val="6C6C32E1"/>
    <w:rsid w:val="6C6E3E15"/>
    <w:rsid w:val="6C8B1F5D"/>
    <w:rsid w:val="6CA85D3A"/>
    <w:rsid w:val="6CAA3931"/>
    <w:rsid w:val="6CC81D46"/>
    <w:rsid w:val="6CD75953"/>
    <w:rsid w:val="6CE2512E"/>
    <w:rsid w:val="6CEA06D7"/>
    <w:rsid w:val="6CED265F"/>
    <w:rsid w:val="6CF70607"/>
    <w:rsid w:val="6D162FB8"/>
    <w:rsid w:val="6D325918"/>
    <w:rsid w:val="6D3933CA"/>
    <w:rsid w:val="6D401810"/>
    <w:rsid w:val="6D6261FE"/>
    <w:rsid w:val="6D7B222A"/>
    <w:rsid w:val="6D7B61EC"/>
    <w:rsid w:val="6D8E03AA"/>
    <w:rsid w:val="6DBB089F"/>
    <w:rsid w:val="6DC63038"/>
    <w:rsid w:val="6DDC5608"/>
    <w:rsid w:val="6DE30DE0"/>
    <w:rsid w:val="6DE6130A"/>
    <w:rsid w:val="6E09491E"/>
    <w:rsid w:val="6E0D3655"/>
    <w:rsid w:val="6E1A437E"/>
    <w:rsid w:val="6E3A144E"/>
    <w:rsid w:val="6E5606D3"/>
    <w:rsid w:val="6E5F4465"/>
    <w:rsid w:val="6E8B1663"/>
    <w:rsid w:val="6E8C54DA"/>
    <w:rsid w:val="6EB752BD"/>
    <w:rsid w:val="6EF11E03"/>
    <w:rsid w:val="6EF1241D"/>
    <w:rsid w:val="6EF36235"/>
    <w:rsid w:val="6EF82916"/>
    <w:rsid w:val="6F0B2DE7"/>
    <w:rsid w:val="6F111C62"/>
    <w:rsid w:val="6F2176E5"/>
    <w:rsid w:val="6F3A2A5F"/>
    <w:rsid w:val="6F4F7F03"/>
    <w:rsid w:val="6F5523A2"/>
    <w:rsid w:val="6F592303"/>
    <w:rsid w:val="6F5F5B74"/>
    <w:rsid w:val="6F682400"/>
    <w:rsid w:val="6F9600A4"/>
    <w:rsid w:val="6F98032D"/>
    <w:rsid w:val="6F9B1C65"/>
    <w:rsid w:val="6FA44937"/>
    <w:rsid w:val="6FAD3FB9"/>
    <w:rsid w:val="6FE82C9C"/>
    <w:rsid w:val="6FFB146E"/>
    <w:rsid w:val="70160742"/>
    <w:rsid w:val="7030610F"/>
    <w:rsid w:val="70612DB4"/>
    <w:rsid w:val="706516C3"/>
    <w:rsid w:val="70660714"/>
    <w:rsid w:val="70896E68"/>
    <w:rsid w:val="708A4844"/>
    <w:rsid w:val="70C94DCA"/>
    <w:rsid w:val="70E05E9D"/>
    <w:rsid w:val="71073061"/>
    <w:rsid w:val="711A201F"/>
    <w:rsid w:val="71215AE9"/>
    <w:rsid w:val="712864E5"/>
    <w:rsid w:val="71396ACC"/>
    <w:rsid w:val="715B60E9"/>
    <w:rsid w:val="716F0EE9"/>
    <w:rsid w:val="7196674D"/>
    <w:rsid w:val="719E245E"/>
    <w:rsid w:val="71BA3FE5"/>
    <w:rsid w:val="71DD2757"/>
    <w:rsid w:val="71EA1FED"/>
    <w:rsid w:val="72165C6B"/>
    <w:rsid w:val="722021E3"/>
    <w:rsid w:val="72290340"/>
    <w:rsid w:val="722C6DDA"/>
    <w:rsid w:val="72515945"/>
    <w:rsid w:val="729243CB"/>
    <w:rsid w:val="72E661B1"/>
    <w:rsid w:val="730313F6"/>
    <w:rsid w:val="730E4732"/>
    <w:rsid w:val="73370D24"/>
    <w:rsid w:val="73397FB3"/>
    <w:rsid w:val="73472C84"/>
    <w:rsid w:val="7359268C"/>
    <w:rsid w:val="735F327A"/>
    <w:rsid w:val="7366631C"/>
    <w:rsid w:val="736C263C"/>
    <w:rsid w:val="73723640"/>
    <w:rsid w:val="737311F5"/>
    <w:rsid w:val="739503EB"/>
    <w:rsid w:val="73A05B28"/>
    <w:rsid w:val="73C07D69"/>
    <w:rsid w:val="73C979D4"/>
    <w:rsid w:val="73DC335B"/>
    <w:rsid w:val="740B60EC"/>
    <w:rsid w:val="745E7D35"/>
    <w:rsid w:val="7465362D"/>
    <w:rsid w:val="7475188D"/>
    <w:rsid w:val="749E16A8"/>
    <w:rsid w:val="74B42AE4"/>
    <w:rsid w:val="74C54993"/>
    <w:rsid w:val="74EB68F6"/>
    <w:rsid w:val="750A429D"/>
    <w:rsid w:val="752739E7"/>
    <w:rsid w:val="753531E5"/>
    <w:rsid w:val="75474B47"/>
    <w:rsid w:val="75533AB0"/>
    <w:rsid w:val="75614792"/>
    <w:rsid w:val="75761866"/>
    <w:rsid w:val="75784473"/>
    <w:rsid w:val="75A242E2"/>
    <w:rsid w:val="75B10995"/>
    <w:rsid w:val="75B161B3"/>
    <w:rsid w:val="75DC6C44"/>
    <w:rsid w:val="75F05CC0"/>
    <w:rsid w:val="76104733"/>
    <w:rsid w:val="762C1A00"/>
    <w:rsid w:val="762F6A19"/>
    <w:rsid w:val="76341B33"/>
    <w:rsid w:val="76736B32"/>
    <w:rsid w:val="76807C04"/>
    <w:rsid w:val="76AF35EE"/>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012B52"/>
    <w:rsid w:val="782A3EA3"/>
    <w:rsid w:val="78490703"/>
    <w:rsid w:val="78A50513"/>
    <w:rsid w:val="78C43087"/>
    <w:rsid w:val="78D37FAF"/>
    <w:rsid w:val="78EF7AB5"/>
    <w:rsid w:val="790D6849"/>
    <w:rsid w:val="795767E3"/>
    <w:rsid w:val="79586707"/>
    <w:rsid w:val="796518DD"/>
    <w:rsid w:val="79724BEF"/>
    <w:rsid w:val="797264AC"/>
    <w:rsid w:val="79AA0532"/>
    <w:rsid w:val="79FA22BC"/>
    <w:rsid w:val="79FE1DDD"/>
    <w:rsid w:val="7A075767"/>
    <w:rsid w:val="7A0C15B3"/>
    <w:rsid w:val="7A212062"/>
    <w:rsid w:val="7A21595E"/>
    <w:rsid w:val="7A2522C9"/>
    <w:rsid w:val="7A282A11"/>
    <w:rsid w:val="7A3A59B8"/>
    <w:rsid w:val="7A5D0F75"/>
    <w:rsid w:val="7A715CD2"/>
    <w:rsid w:val="7A921E9A"/>
    <w:rsid w:val="7A9E53BF"/>
    <w:rsid w:val="7AA914B9"/>
    <w:rsid w:val="7ABF2475"/>
    <w:rsid w:val="7AC21562"/>
    <w:rsid w:val="7AD474A4"/>
    <w:rsid w:val="7AFC38DE"/>
    <w:rsid w:val="7B303E8C"/>
    <w:rsid w:val="7B7D6B6D"/>
    <w:rsid w:val="7B865D50"/>
    <w:rsid w:val="7B8D34C3"/>
    <w:rsid w:val="7B971D84"/>
    <w:rsid w:val="7BAB0CB7"/>
    <w:rsid w:val="7BB4028F"/>
    <w:rsid w:val="7BC1107E"/>
    <w:rsid w:val="7BF32F03"/>
    <w:rsid w:val="7BF50D2C"/>
    <w:rsid w:val="7C066F4E"/>
    <w:rsid w:val="7C1724A5"/>
    <w:rsid w:val="7C714CCE"/>
    <w:rsid w:val="7C8561DF"/>
    <w:rsid w:val="7CA54112"/>
    <w:rsid w:val="7CA553D9"/>
    <w:rsid w:val="7CAB27F5"/>
    <w:rsid w:val="7CAF438A"/>
    <w:rsid w:val="7CCC4E03"/>
    <w:rsid w:val="7CCE726D"/>
    <w:rsid w:val="7CD71EA3"/>
    <w:rsid w:val="7CE50CE4"/>
    <w:rsid w:val="7CE94EE1"/>
    <w:rsid w:val="7CF877E9"/>
    <w:rsid w:val="7D134762"/>
    <w:rsid w:val="7D244CB3"/>
    <w:rsid w:val="7D2E5ABF"/>
    <w:rsid w:val="7D4A45B8"/>
    <w:rsid w:val="7D535AC7"/>
    <w:rsid w:val="7D964A74"/>
    <w:rsid w:val="7DFB43EA"/>
    <w:rsid w:val="7E007625"/>
    <w:rsid w:val="7E0737C8"/>
    <w:rsid w:val="7E131C51"/>
    <w:rsid w:val="7E176B90"/>
    <w:rsid w:val="7E203B02"/>
    <w:rsid w:val="7E2142A2"/>
    <w:rsid w:val="7E240411"/>
    <w:rsid w:val="7E48335A"/>
    <w:rsid w:val="7E797DE5"/>
    <w:rsid w:val="7E7B0BF2"/>
    <w:rsid w:val="7E8D75B6"/>
    <w:rsid w:val="7E8E672B"/>
    <w:rsid w:val="7EA27DDF"/>
    <w:rsid w:val="7EB867D7"/>
    <w:rsid w:val="7EC67BB0"/>
    <w:rsid w:val="7ED809AD"/>
    <w:rsid w:val="7EE16853"/>
    <w:rsid w:val="7EF760EE"/>
    <w:rsid w:val="7EFF0D71"/>
    <w:rsid w:val="7F1C1F84"/>
    <w:rsid w:val="7F2536B5"/>
    <w:rsid w:val="7F2B0EE4"/>
    <w:rsid w:val="7F2C3CE7"/>
    <w:rsid w:val="7F5A01CA"/>
    <w:rsid w:val="7F652296"/>
    <w:rsid w:val="7F75661B"/>
    <w:rsid w:val="7FB17429"/>
    <w:rsid w:val="7FC237CA"/>
    <w:rsid w:val="7FF127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imes New Roman"/>
      <w:sz w:val="21"/>
      <w:szCs w:val="22"/>
      <w:lang w:val="en-US" w:eastAsia="zh-CN" w:bidi="ar-SA"/>
    </w:rPr>
  </w:style>
  <w:style w:type="paragraph" w:styleId="3">
    <w:name w:val="heading 1"/>
    <w:basedOn w:val="1"/>
    <w:next w:val="1"/>
    <w:link w:val="49"/>
    <w:qFormat/>
    <w:uiPriority w:val="9"/>
    <w:pPr>
      <w:keepNext/>
      <w:keepLines/>
      <w:spacing w:before="340" w:after="330" w:line="576" w:lineRule="auto"/>
      <w:outlineLvl w:val="0"/>
    </w:pPr>
    <w:rPr>
      <w:b/>
      <w:kern w:val="44"/>
      <w:sz w:val="44"/>
    </w:rPr>
  </w:style>
  <w:style w:type="paragraph" w:styleId="2">
    <w:name w:val="heading 2"/>
    <w:basedOn w:val="1"/>
    <w:next w:val="1"/>
    <w:link w:val="50"/>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4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9"/>
    <w:pPr>
      <w:keepNext/>
      <w:keepLines/>
      <w:outlineLvl w:val="3"/>
    </w:pPr>
    <w:rPr>
      <w:rFonts w:ascii="Cambria" w:hAnsi="Cambria" w:cs="Times New Roman"/>
      <w:b/>
      <w:bCs/>
      <w:sz w:val="24"/>
      <w:szCs w:val="28"/>
    </w:rPr>
  </w:style>
  <w:style w:type="paragraph" w:styleId="6">
    <w:name w:val="heading 5"/>
    <w:basedOn w:val="1"/>
    <w:next w:val="1"/>
    <w:link w:val="51"/>
    <w:unhideWhenUsed/>
    <w:qFormat/>
    <w:uiPriority w:val="9"/>
    <w:pPr>
      <w:keepNext/>
      <w:keepLines/>
      <w:spacing w:before="280" w:after="290" w:line="372" w:lineRule="auto"/>
      <w:outlineLvl w:val="4"/>
    </w:pPr>
    <w:rPr>
      <w:b/>
      <w:sz w:val="28"/>
    </w:rPr>
  </w:style>
  <w:style w:type="character" w:default="1" w:styleId="29">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39"/>
    <w:unhideWhenUsed/>
    <w:qFormat/>
    <w:uiPriority w:val="99"/>
    <w:rPr>
      <w:b/>
      <w:bCs/>
    </w:rPr>
  </w:style>
  <w:style w:type="paragraph" w:styleId="8">
    <w:name w:val="annotation text"/>
    <w:basedOn w:val="1"/>
    <w:link w:val="40"/>
    <w:unhideWhenUsed/>
    <w:qFormat/>
    <w:uiPriority w:val="0"/>
  </w:style>
  <w:style w:type="paragraph" w:styleId="9">
    <w:name w:val="toc 7"/>
    <w:basedOn w:val="1"/>
    <w:next w:val="1"/>
    <w:unhideWhenUsed/>
    <w:qFormat/>
    <w:uiPriority w:val="39"/>
    <w:pPr>
      <w:widowControl w:val="0"/>
      <w:adjustRightInd/>
      <w:snapToGrid/>
      <w:spacing w:line="240" w:lineRule="auto"/>
      <w:ind w:left="2520" w:leftChars="1200"/>
      <w:jc w:val="both"/>
    </w:pPr>
    <w:rPr>
      <w:rFonts w:ascii="Calibri" w:hAnsi="Calibri" w:eastAsia="宋体"/>
      <w:kern w:val="2"/>
    </w:rPr>
  </w:style>
  <w:style w:type="paragraph" w:styleId="10">
    <w:name w:val="Body Text First Indent"/>
    <w:basedOn w:val="11"/>
    <w:next w:val="12"/>
    <w:qFormat/>
    <w:uiPriority w:val="0"/>
    <w:pPr>
      <w:spacing w:after="120"/>
      <w:ind w:firstLine="420" w:firstLineChars="100"/>
    </w:pPr>
    <w:rPr>
      <w:bCs/>
      <w:szCs w:val="21"/>
    </w:rPr>
  </w:style>
  <w:style w:type="paragraph" w:styleId="11">
    <w:name w:val="Body Text"/>
    <w:basedOn w:val="1"/>
    <w:next w:val="10"/>
    <w:link w:val="47"/>
    <w:qFormat/>
    <w:uiPriority w:val="1"/>
    <w:pPr>
      <w:spacing w:before="161"/>
      <w:ind w:left="120"/>
    </w:pPr>
    <w:rPr>
      <w:rFonts w:ascii="宋体" w:hAnsi="宋体" w:cs="宋体"/>
      <w:sz w:val="24"/>
      <w:lang w:val="zh-CN" w:bidi="zh-CN"/>
    </w:rPr>
  </w:style>
  <w:style w:type="paragraph" w:customStyle="1" w:styleId="12">
    <w:name w:val="样式 正文首行缩进 + 首行缩进:  1 字符"/>
    <w:basedOn w:val="1"/>
    <w:next w:val="1"/>
    <w:qFormat/>
    <w:uiPriority w:val="0"/>
    <w:pPr>
      <w:ind w:firstLine="200" w:firstLineChars="200"/>
    </w:pPr>
    <w:rPr>
      <w:rFonts w:cs="宋体"/>
      <w:szCs w:val="20"/>
    </w:rPr>
  </w:style>
  <w:style w:type="paragraph" w:styleId="13">
    <w:name w:val="Normal Indent"/>
    <w:basedOn w:val="1"/>
    <w:qFormat/>
    <w:uiPriority w:val="0"/>
    <w:pPr>
      <w:widowControl/>
      <w:autoSpaceDE/>
      <w:autoSpaceDN/>
      <w:adjustRightInd/>
      <w:ind w:firstLine="420" w:firstLineChars="200"/>
    </w:pPr>
    <w:rPr>
      <w:rFonts w:ascii="Calibri"/>
      <w:sz w:val="20"/>
      <w:szCs w:val="20"/>
    </w:rPr>
  </w:style>
  <w:style w:type="paragraph" w:styleId="14">
    <w:name w:val="Body Text Indent"/>
    <w:basedOn w:val="1"/>
    <w:qFormat/>
    <w:uiPriority w:val="0"/>
    <w:pPr>
      <w:ind w:left="359" w:leftChars="171" w:firstLine="179" w:firstLineChars="85"/>
    </w:pPr>
    <w:rPr>
      <w:rFonts w:ascii="宋体" w:hAnsi="宋体"/>
      <w:b/>
      <w:bCs/>
      <w:szCs w:val="26"/>
    </w:rPr>
  </w:style>
  <w:style w:type="paragraph" w:styleId="15">
    <w:name w:val="toc 5"/>
    <w:basedOn w:val="1"/>
    <w:next w:val="1"/>
    <w:link w:val="46"/>
    <w:unhideWhenUsed/>
    <w:qFormat/>
    <w:uiPriority w:val="39"/>
    <w:pPr>
      <w:widowControl w:val="0"/>
      <w:adjustRightInd/>
      <w:snapToGrid/>
      <w:spacing w:line="240" w:lineRule="auto"/>
      <w:ind w:left="1680" w:leftChars="800"/>
      <w:jc w:val="both"/>
    </w:pPr>
    <w:rPr>
      <w:rFonts w:ascii="Calibri" w:hAnsi="Calibri" w:eastAsia="宋体"/>
      <w:kern w:val="2"/>
    </w:rPr>
  </w:style>
  <w:style w:type="paragraph" w:styleId="16">
    <w:name w:val="toc 3"/>
    <w:basedOn w:val="1"/>
    <w:next w:val="1"/>
    <w:unhideWhenUsed/>
    <w:qFormat/>
    <w:uiPriority w:val="39"/>
    <w:pPr>
      <w:tabs>
        <w:tab w:val="right" w:leader="dot" w:pos="8296"/>
      </w:tabs>
      <w:ind w:left="838" w:leftChars="381"/>
    </w:pPr>
    <w:rPr>
      <w:szCs w:val="21"/>
    </w:rPr>
  </w:style>
  <w:style w:type="paragraph" w:styleId="17">
    <w:name w:val="Plain Text"/>
    <w:basedOn w:val="1"/>
    <w:link w:val="52"/>
    <w:qFormat/>
    <w:uiPriority w:val="0"/>
    <w:pPr>
      <w:widowControl w:val="0"/>
      <w:adjustRightInd/>
      <w:snapToGrid/>
      <w:jc w:val="both"/>
    </w:pPr>
    <w:rPr>
      <w:rFonts w:ascii="宋体" w:hAnsi="Courier New" w:cs="Times New Roman"/>
      <w:b/>
      <w:kern w:val="2"/>
      <w:szCs w:val="20"/>
    </w:rPr>
  </w:style>
  <w:style w:type="paragraph" w:styleId="18">
    <w:name w:val="toc 8"/>
    <w:basedOn w:val="1"/>
    <w:next w:val="1"/>
    <w:unhideWhenUsed/>
    <w:qFormat/>
    <w:uiPriority w:val="39"/>
    <w:pPr>
      <w:widowControl w:val="0"/>
      <w:adjustRightInd/>
      <w:snapToGrid/>
      <w:spacing w:line="240" w:lineRule="auto"/>
      <w:ind w:left="2940" w:leftChars="1400"/>
      <w:jc w:val="both"/>
    </w:pPr>
    <w:rPr>
      <w:rFonts w:ascii="Calibri" w:hAnsi="Calibri" w:eastAsia="宋体"/>
      <w:kern w:val="2"/>
    </w:rPr>
  </w:style>
  <w:style w:type="paragraph" w:styleId="19">
    <w:name w:val="Balloon Text"/>
    <w:basedOn w:val="1"/>
    <w:link w:val="44"/>
    <w:unhideWhenUsed/>
    <w:qFormat/>
    <w:uiPriority w:val="99"/>
    <w:rPr>
      <w:sz w:val="18"/>
      <w:szCs w:val="18"/>
    </w:rPr>
  </w:style>
  <w:style w:type="paragraph" w:styleId="20">
    <w:name w:val="footer"/>
    <w:basedOn w:val="1"/>
    <w:link w:val="54"/>
    <w:unhideWhenUsed/>
    <w:qFormat/>
    <w:uiPriority w:val="99"/>
    <w:pPr>
      <w:tabs>
        <w:tab w:val="center" w:pos="4153"/>
        <w:tab w:val="right" w:pos="8306"/>
      </w:tabs>
    </w:pPr>
    <w:rPr>
      <w:sz w:val="18"/>
      <w:szCs w:val="18"/>
    </w:rPr>
  </w:style>
  <w:style w:type="paragraph" w:styleId="21">
    <w:name w:val="header"/>
    <w:basedOn w:val="1"/>
    <w:link w:val="55"/>
    <w:unhideWhenUsed/>
    <w:qFormat/>
    <w:uiPriority w:val="99"/>
    <w:pPr>
      <w:pBdr>
        <w:bottom w:val="single" w:color="auto" w:sz="6" w:space="1"/>
      </w:pBdr>
      <w:tabs>
        <w:tab w:val="center" w:pos="4153"/>
        <w:tab w:val="right" w:pos="8306"/>
      </w:tabs>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tabs>
        <w:tab w:val="right" w:leader="dot" w:pos="8296"/>
      </w:tabs>
      <w:spacing w:after="120"/>
      <w:ind w:left="1320" w:leftChars="600"/>
    </w:pPr>
  </w:style>
  <w:style w:type="paragraph" w:styleId="24">
    <w:name w:val="footnote text"/>
    <w:basedOn w:val="1"/>
    <w:unhideWhenUsed/>
    <w:qFormat/>
    <w:uiPriority w:val="99"/>
    <w:rPr>
      <w:sz w:val="18"/>
    </w:rPr>
  </w:style>
  <w:style w:type="paragraph" w:styleId="25">
    <w:name w:val="toc 6"/>
    <w:basedOn w:val="1"/>
    <w:next w:val="1"/>
    <w:qFormat/>
    <w:uiPriority w:val="39"/>
    <w:pPr>
      <w:ind w:left="1200"/>
    </w:pPr>
    <w:rPr>
      <w:rFonts w:ascii="Calibri" w:cs="Calibri"/>
      <w:sz w:val="18"/>
      <w:szCs w:val="18"/>
    </w:rPr>
  </w:style>
  <w:style w:type="paragraph" w:styleId="26">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7">
    <w:name w:val="toc 9"/>
    <w:basedOn w:val="1"/>
    <w:next w:val="1"/>
    <w:unhideWhenUsed/>
    <w:qFormat/>
    <w:uiPriority w:val="39"/>
    <w:pPr>
      <w:widowControl w:val="0"/>
      <w:adjustRightInd/>
      <w:snapToGrid/>
      <w:spacing w:line="240" w:lineRule="auto"/>
      <w:ind w:left="3360" w:leftChars="1600"/>
      <w:jc w:val="both"/>
    </w:pPr>
    <w:rPr>
      <w:rFonts w:ascii="Calibri" w:hAnsi="Calibri" w:eastAsia="宋体"/>
      <w:kern w:val="2"/>
    </w:rPr>
  </w:style>
  <w:style w:type="paragraph" w:styleId="28">
    <w:name w:val="Normal (Web)"/>
    <w:basedOn w:val="1"/>
    <w:link w:val="37"/>
    <w:qFormat/>
    <w:uiPriority w:val="0"/>
    <w:pPr>
      <w:widowControl w:val="0"/>
      <w:adjustRightInd/>
      <w:snapToGrid/>
      <w:jc w:val="both"/>
    </w:pPr>
    <w:rPr>
      <w:rFonts w:ascii="Calibri" w:hAnsi="Calibri"/>
      <w:kern w:val="2"/>
      <w:sz w:val="24"/>
      <w:szCs w:val="24"/>
    </w:rPr>
  </w:style>
  <w:style w:type="character" w:styleId="30">
    <w:name w:val="page number"/>
    <w:basedOn w:val="29"/>
    <w:qFormat/>
    <w:uiPriority w:val="0"/>
  </w:style>
  <w:style w:type="character" w:styleId="31">
    <w:name w:val="Emphasis"/>
    <w:basedOn w:val="29"/>
    <w:qFormat/>
    <w:uiPriority w:val="20"/>
    <w:rPr>
      <w:i/>
      <w:iCs/>
    </w:rPr>
  </w:style>
  <w:style w:type="character" w:styleId="32">
    <w:name w:val="Hyperlink"/>
    <w:qFormat/>
    <w:uiPriority w:val="99"/>
    <w:rPr>
      <w:rFonts w:hint="eastAsia" w:ascii="宋体" w:hAnsi="宋体" w:eastAsia="宋体" w:cs="宋体"/>
      <w:b/>
      <w:color w:val="0031C1"/>
      <w:kern w:val="0"/>
      <w:sz w:val="18"/>
      <w:szCs w:val="18"/>
      <w:u w:val="none"/>
      <w:lang w:eastAsia="en-US"/>
    </w:rPr>
  </w:style>
  <w:style w:type="character" w:styleId="33">
    <w:name w:val="annotation reference"/>
    <w:basedOn w:val="29"/>
    <w:unhideWhenUsed/>
    <w:qFormat/>
    <w:uiPriority w:val="99"/>
    <w:rPr>
      <w:sz w:val="21"/>
      <w:szCs w:val="21"/>
    </w:rPr>
  </w:style>
  <w:style w:type="character" w:styleId="34">
    <w:name w:val="footnote reference"/>
    <w:basedOn w:val="29"/>
    <w:unhideWhenUsed/>
    <w:qFormat/>
    <w:uiPriority w:val="99"/>
    <w:rPr>
      <w:vertAlign w:val="superscript"/>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普通(网站) 字符"/>
    <w:link w:val="28"/>
    <w:qFormat/>
    <w:uiPriority w:val="0"/>
    <w:rPr>
      <w:rFonts w:eastAsia="宋体"/>
      <w:kern w:val="2"/>
      <w:sz w:val="24"/>
      <w:szCs w:val="24"/>
    </w:rPr>
  </w:style>
  <w:style w:type="character" w:customStyle="1" w:styleId="38">
    <w:name w:val="样式 楷体_GB2312 小四"/>
    <w:qFormat/>
    <w:uiPriority w:val="0"/>
    <w:rPr>
      <w:rFonts w:ascii="楷体_GB2312" w:hAnsi="楷体_GB2312" w:eastAsia="仿宋_GB2312"/>
      <w:sz w:val="24"/>
    </w:rPr>
  </w:style>
  <w:style w:type="character" w:customStyle="1" w:styleId="39">
    <w:name w:val="批注主题 字符"/>
    <w:basedOn w:val="40"/>
    <w:link w:val="7"/>
    <w:semiHidden/>
    <w:qFormat/>
    <w:uiPriority w:val="99"/>
    <w:rPr>
      <w:rFonts w:ascii="Tahoma" w:hAnsi="Tahoma" w:eastAsia="微软雅黑" w:cs="Times New Roman"/>
      <w:b/>
      <w:bCs/>
      <w:sz w:val="22"/>
      <w:szCs w:val="22"/>
    </w:rPr>
  </w:style>
  <w:style w:type="character" w:customStyle="1" w:styleId="40">
    <w:name w:val="批注文字 字符"/>
    <w:basedOn w:val="29"/>
    <w:link w:val="8"/>
    <w:qFormat/>
    <w:uiPriority w:val="0"/>
    <w:rPr>
      <w:rFonts w:ascii="Tahoma" w:hAnsi="Tahoma" w:eastAsia="微软雅黑" w:cs="Times New Roman"/>
      <w:sz w:val="22"/>
      <w:szCs w:val="22"/>
    </w:rPr>
  </w:style>
  <w:style w:type="character" w:customStyle="1" w:styleId="41">
    <w:name w:val="正文缩进2格 Char Char"/>
    <w:qFormat/>
    <w:uiPriority w:val="0"/>
    <w:rPr>
      <w:rFonts w:ascii="仿宋_GB2312" w:hAnsi="宋体" w:eastAsia="仿宋_GB2312" w:cs="Times New Roman"/>
      <w:b/>
      <w:kern w:val="2"/>
      <w:sz w:val="31"/>
      <w:szCs w:val="28"/>
      <w:lang w:val="en-US" w:eastAsia="zh-CN" w:bidi="ar-SA"/>
    </w:rPr>
  </w:style>
  <w:style w:type="character" w:customStyle="1" w:styleId="42">
    <w:name w:val="正文缩进2格 Char"/>
    <w:link w:val="43"/>
    <w:qFormat/>
    <w:uiPriority w:val="0"/>
    <w:rPr>
      <w:rFonts w:ascii="仿宋_GB2312" w:hAnsi="宋体" w:eastAsia="仿宋_GB2312"/>
      <w:kern w:val="2"/>
      <w:sz w:val="31"/>
    </w:rPr>
  </w:style>
  <w:style w:type="paragraph" w:customStyle="1" w:styleId="43">
    <w:name w:val="正文缩进2格"/>
    <w:basedOn w:val="1"/>
    <w:link w:val="42"/>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character" w:customStyle="1" w:styleId="44">
    <w:name w:val="批注框文本 字符"/>
    <w:basedOn w:val="29"/>
    <w:link w:val="19"/>
    <w:semiHidden/>
    <w:qFormat/>
    <w:uiPriority w:val="99"/>
    <w:rPr>
      <w:rFonts w:ascii="Tahoma" w:hAnsi="Tahoma"/>
      <w:sz w:val="18"/>
      <w:szCs w:val="18"/>
    </w:rPr>
  </w:style>
  <w:style w:type="character" w:customStyle="1" w:styleId="45">
    <w:name w:val="标题 3 字符"/>
    <w:basedOn w:val="29"/>
    <w:link w:val="4"/>
    <w:qFormat/>
    <w:uiPriority w:val="9"/>
    <w:rPr>
      <w:rFonts w:ascii="Tahoma" w:hAnsi="Tahoma"/>
      <w:b/>
      <w:bCs/>
      <w:sz w:val="32"/>
      <w:szCs w:val="32"/>
    </w:rPr>
  </w:style>
  <w:style w:type="character" w:customStyle="1" w:styleId="46">
    <w:name w:val="目录 5 字符"/>
    <w:link w:val="15"/>
    <w:qFormat/>
    <w:uiPriority w:val="39"/>
    <w:rPr>
      <w:rFonts w:ascii="Calibri" w:hAnsi="Calibri" w:eastAsia="宋体" w:cs="Times New Roman"/>
      <w:kern w:val="2"/>
      <w:sz w:val="21"/>
      <w:szCs w:val="22"/>
    </w:rPr>
  </w:style>
  <w:style w:type="character" w:customStyle="1" w:styleId="47">
    <w:name w:val="正文文本 字符"/>
    <w:basedOn w:val="29"/>
    <w:link w:val="11"/>
    <w:qFormat/>
    <w:uiPriority w:val="1"/>
    <w:rPr>
      <w:rFonts w:ascii="宋体" w:hAnsi="宋体" w:cs="宋体"/>
      <w:sz w:val="24"/>
      <w:szCs w:val="22"/>
      <w:lang w:val="zh-CN" w:bidi="zh-CN"/>
    </w:rPr>
  </w:style>
  <w:style w:type="character" w:customStyle="1" w:styleId="48">
    <w:name w:val="标题 4 字符"/>
    <w:basedOn w:val="29"/>
    <w:link w:val="5"/>
    <w:qFormat/>
    <w:uiPriority w:val="9"/>
    <w:rPr>
      <w:rFonts w:ascii="Cambria" w:hAnsi="Cambria" w:eastAsia="宋体" w:cs="Times New Roman"/>
      <w:b/>
      <w:bCs/>
      <w:sz w:val="24"/>
      <w:szCs w:val="28"/>
    </w:rPr>
  </w:style>
  <w:style w:type="character" w:customStyle="1" w:styleId="49">
    <w:name w:val="标题 1 字符"/>
    <w:link w:val="3"/>
    <w:qFormat/>
    <w:uiPriority w:val="0"/>
    <w:rPr>
      <w:b/>
      <w:kern w:val="44"/>
      <w:sz w:val="44"/>
    </w:rPr>
  </w:style>
  <w:style w:type="character" w:customStyle="1" w:styleId="50">
    <w:name w:val="标题 2 字符"/>
    <w:basedOn w:val="29"/>
    <w:link w:val="2"/>
    <w:qFormat/>
    <w:uiPriority w:val="0"/>
    <w:rPr>
      <w:rFonts w:ascii="Cambria" w:hAnsi="Cambria" w:eastAsia="宋体" w:cs="Times New Roman"/>
      <w:b/>
      <w:bCs/>
      <w:sz w:val="32"/>
      <w:szCs w:val="32"/>
    </w:rPr>
  </w:style>
  <w:style w:type="character" w:customStyle="1" w:styleId="51">
    <w:name w:val="标题 5 字符"/>
    <w:link w:val="6"/>
    <w:qFormat/>
    <w:uiPriority w:val="0"/>
    <w:rPr>
      <w:b/>
      <w:sz w:val="28"/>
    </w:rPr>
  </w:style>
  <w:style w:type="character" w:customStyle="1" w:styleId="52">
    <w:name w:val="纯文本 字符"/>
    <w:basedOn w:val="29"/>
    <w:link w:val="17"/>
    <w:qFormat/>
    <w:uiPriority w:val="0"/>
    <w:rPr>
      <w:rFonts w:ascii="宋体" w:hAnsi="Courier New" w:eastAsia="宋体" w:cs="Courier New"/>
      <w:sz w:val="21"/>
      <w:szCs w:val="21"/>
    </w:rPr>
  </w:style>
  <w:style w:type="character" w:customStyle="1" w:styleId="53">
    <w:name w:val="纯文本 Char"/>
    <w:qFormat/>
    <w:uiPriority w:val="0"/>
    <w:rPr>
      <w:rFonts w:ascii="宋体" w:hAnsi="Courier New" w:eastAsia="宋体" w:cs="Times New Roman"/>
      <w:b/>
      <w:kern w:val="2"/>
      <w:sz w:val="21"/>
      <w:szCs w:val="20"/>
    </w:rPr>
  </w:style>
  <w:style w:type="character" w:customStyle="1" w:styleId="54">
    <w:name w:val="页脚 字符"/>
    <w:basedOn w:val="29"/>
    <w:link w:val="20"/>
    <w:qFormat/>
    <w:uiPriority w:val="99"/>
    <w:rPr>
      <w:rFonts w:ascii="Tahoma" w:hAnsi="Tahoma"/>
      <w:sz w:val="18"/>
      <w:szCs w:val="18"/>
    </w:rPr>
  </w:style>
  <w:style w:type="character" w:customStyle="1" w:styleId="55">
    <w:name w:val="页眉 字符"/>
    <w:basedOn w:val="29"/>
    <w:link w:val="21"/>
    <w:qFormat/>
    <w:uiPriority w:val="99"/>
    <w:rPr>
      <w:rFonts w:ascii="Tahoma" w:hAnsi="Tahoma"/>
      <w:sz w:val="18"/>
      <w:szCs w:val="18"/>
    </w:rPr>
  </w:style>
  <w:style w:type="character" w:customStyle="1" w:styleId="56">
    <w:name w:val="列出段落 字符"/>
    <w:link w:val="57"/>
    <w:qFormat/>
    <w:uiPriority w:val="0"/>
    <w:rPr>
      <w:rFonts w:ascii="Tahoma" w:hAnsi="Tahoma" w:eastAsia="微软雅黑" w:cs="Times New Roman"/>
      <w:sz w:val="22"/>
      <w:szCs w:val="22"/>
    </w:rPr>
  </w:style>
  <w:style w:type="paragraph" w:styleId="57">
    <w:name w:val="List Paragraph"/>
    <w:basedOn w:val="1"/>
    <w:link w:val="56"/>
    <w:qFormat/>
    <w:uiPriority w:val="0"/>
    <w:pPr>
      <w:ind w:firstLine="420" w:firstLineChars="200"/>
    </w:pPr>
  </w:style>
  <w:style w:type="character" w:customStyle="1" w:styleId="58">
    <w:name w:val="标题1"/>
    <w:qFormat/>
    <w:uiPriority w:val="0"/>
    <w:rPr>
      <w:rFonts w:ascii="Times New Roman" w:hAnsi="Times New Roman" w:eastAsia="宋体" w:cs="Times New Roman"/>
      <w:b/>
      <w:kern w:val="0"/>
      <w:sz w:val="24"/>
      <w:szCs w:val="20"/>
      <w:lang w:eastAsia="en-US"/>
    </w:rPr>
  </w:style>
  <w:style w:type="character" w:customStyle="1" w:styleId="59">
    <w:name w:val="标题 3.1 Char"/>
    <w:link w:val="60"/>
    <w:qFormat/>
    <w:uiPriority w:val="0"/>
    <w:rPr>
      <w:rFonts w:ascii="宋体" w:hAnsi="宋体" w:eastAsia="宋体"/>
      <w:b/>
      <w:color w:val="FF0000"/>
      <w:kern w:val="2"/>
      <w:sz w:val="32"/>
    </w:rPr>
  </w:style>
  <w:style w:type="paragraph" w:customStyle="1" w:styleId="60">
    <w:name w:val="标题 3.1"/>
    <w:basedOn w:val="4"/>
    <w:link w:val="59"/>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61">
    <w:name w:val="p141"/>
    <w:qFormat/>
    <w:uiPriority w:val="0"/>
    <w:rPr>
      <w:sz w:val="21"/>
      <w:szCs w:val="21"/>
    </w:rPr>
  </w:style>
  <w:style w:type="character" w:customStyle="1" w:styleId="62">
    <w:name w:val="font141"/>
    <w:qFormat/>
    <w:uiPriority w:val="0"/>
    <w:rPr>
      <w:rFonts w:hint="default" w:ascii="Times New Roman" w:hAnsi="Times New Roman" w:cs="Times New Roman"/>
      <w:color w:val="000000"/>
      <w:sz w:val="18"/>
      <w:szCs w:val="18"/>
      <w:u w:val="none"/>
    </w:rPr>
  </w:style>
  <w:style w:type="character" w:customStyle="1" w:styleId="63">
    <w:name w:val="font71"/>
    <w:qFormat/>
    <w:uiPriority w:val="0"/>
    <w:rPr>
      <w:rFonts w:hint="eastAsia" w:ascii="宋体" w:hAnsi="宋体" w:eastAsia="宋体" w:cs="宋体"/>
      <w:color w:val="000000"/>
      <w:sz w:val="18"/>
      <w:szCs w:val="18"/>
      <w:u w:val="none"/>
    </w:rPr>
  </w:style>
  <w:style w:type="character" w:customStyle="1" w:styleId="64">
    <w:name w:val="批注文字 字符1"/>
    <w:qFormat/>
    <w:uiPriority w:val="0"/>
    <w:rPr>
      <w:rFonts w:ascii="Times New Roman" w:hAnsi="Times New Roman" w:eastAsia="宋体" w:cs="Times New Roman"/>
      <w:kern w:val="2"/>
      <w:sz w:val="21"/>
      <w:szCs w:val="24"/>
      <w:lang w:val="en-US" w:eastAsia="zh-CN" w:bidi="ar-SA"/>
    </w:rPr>
  </w:style>
  <w:style w:type="character" w:customStyle="1" w:styleId="65">
    <w:name w:val="NormalCharacter"/>
    <w:semiHidden/>
    <w:qFormat/>
    <w:uiPriority w:val="0"/>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表格文字"/>
    <w:basedOn w:val="1"/>
    <w:qFormat/>
    <w:uiPriority w:val="0"/>
    <w:pPr>
      <w:adjustRightInd/>
      <w:spacing w:before="25" w:after="25"/>
    </w:pPr>
    <w:rPr>
      <w:rFonts w:ascii="Times New Roman"/>
      <w:bCs/>
      <w:spacing w:val="10"/>
      <w:szCs w:val="20"/>
    </w:rPr>
  </w:style>
  <w:style w:type="paragraph" w:customStyle="1" w:styleId="68">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paragraph" w:customStyle="1" w:styleId="69">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paragraph" w:customStyle="1" w:styleId="70">
    <w:name w:val="正文缩进4格"/>
    <w:basedOn w:val="43"/>
    <w:qFormat/>
    <w:uiPriority w:val="0"/>
    <w:pPr>
      <w:ind w:left="2" w:firstLine="538" w:firstLineChars="192"/>
    </w:pPr>
    <w:rPr>
      <w:color w:val="0000FF"/>
      <w:sz w:val="28"/>
    </w:rPr>
  </w:style>
  <w:style w:type="paragraph" w:customStyle="1" w:styleId="71">
    <w:name w:val="Char Char2 Char"/>
    <w:basedOn w:val="1"/>
    <w:qFormat/>
    <w:uiPriority w:val="0"/>
    <w:pPr>
      <w:widowControl w:val="0"/>
      <w:adjustRightInd/>
      <w:snapToGrid/>
      <w:jc w:val="both"/>
    </w:pPr>
    <w:rPr>
      <w:rFonts w:ascii="宋体" w:hAnsi="宋体" w:cs="Times New Roman"/>
      <w:b/>
      <w:kern w:val="2"/>
      <w:sz w:val="28"/>
      <w:szCs w:val="28"/>
    </w:rPr>
  </w:style>
  <w:style w:type="paragraph" w:customStyle="1" w:styleId="72">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paragraph" w:customStyle="1" w:styleId="73">
    <w:name w:val="纯文本1"/>
    <w:basedOn w:val="74"/>
    <w:qFormat/>
    <w:uiPriority w:val="0"/>
    <w:rPr>
      <w:rFonts w:ascii="宋体" w:hAnsi="Courier New"/>
      <w:szCs w:val="20"/>
    </w:rPr>
  </w:style>
  <w:style w:type="paragraph" w:customStyle="1" w:styleId="74">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5">
    <w:name w:val="_Style 1"/>
    <w:basedOn w:val="1"/>
    <w:qFormat/>
    <w:uiPriority w:val="0"/>
    <w:pPr>
      <w:ind w:firstLine="420" w:firstLineChars="200"/>
    </w:pPr>
  </w:style>
  <w:style w:type="paragraph" w:customStyle="1" w:styleId="76">
    <w:name w:val="正文文本缩进1"/>
    <w:basedOn w:val="74"/>
    <w:qFormat/>
    <w:uiPriority w:val="0"/>
    <w:pPr>
      <w:spacing w:after="120"/>
      <w:ind w:left="420" w:leftChars="200"/>
    </w:pPr>
  </w:style>
  <w:style w:type="paragraph" w:customStyle="1" w:styleId="77">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78">
    <w:name w:val="p0"/>
    <w:basedOn w:val="1"/>
    <w:qFormat/>
    <w:uiPriority w:val="0"/>
    <w:rPr>
      <w:szCs w:val="21"/>
    </w:rPr>
  </w:style>
  <w:style w:type="paragraph" w:customStyle="1" w:styleId="79">
    <w:name w:val="列出段落2"/>
    <w:basedOn w:val="1"/>
    <w:qFormat/>
    <w:uiPriority w:val="0"/>
    <w:pPr>
      <w:ind w:firstLine="420" w:firstLineChars="200"/>
    </w:pPr>
  </w:style>
  <w:style w:type="paragraph" w:customStyle="1" w:styleId="80">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1">
    <w:name w:val="Table Paragraph"/>
    <w:basedOn w:val="1"/>
    <w:qFormat/>
    <w:uiPriority w:val="0"/>
  </w:style>
  <w:style w:type="paragraph" w:customStyle="1" w:styleId="82">
    <w:name w:val="正文文本缩进 21"/>
    <w:basedOn w:val="1"/>
    <w:qFormat/>
    <w:uiPriority w:val="0"/>
    <w:pPr>
      <w:spacing w:line="480" w:lineRule="auto"/>
      <w:ind w:firstLine="540"/>
    </w:pPr>
    <w:rPr>
      <w:rFonts w:ascii="Calibri" w:hAnsi="Calibri"/>
      <w:sz w:val="20"/>
      <w:szCs w:val="20"/>
    </w:rPr>
  </w:style>
  <w:style w:type="paragraph" w:customStyle="1" w:styleId="83">
    <w:name w:val="纯文本2"/>
    <w:basedOn w:val="74"/>
    <w:qFormat/>
    <w:uiPriority w:val="0"/>
    <w:rPr>
      <w:rFonts w:ascii="宋体" w:hAnsi="Courier New"/>
      <w:szCs w:val="20"/>
    </w:rPr>
  </w:style>
  <w:style w:type="paragraph" w:customStyle="1" w:styleId="84">
    <w:name w:val="msolistparagraph"/>
    <w:basedOn w:val="1"/>
    <w:qFormat/>
    <w:uiPriority w:val="0"/>
    <w:pPr>
      <w:ind w:firstLine="420" w:firstLineChars="200"/>
    </w:pPr>
    <w:rPr>
      <w:rFonts w:hint="eastAsia" w:hAnsi="宋体"/>
    </w:rPr>
  </w:style>
  <w:style w:type="paragraph" w:customStyle="1" w:styleId="85">
    <w:name w:val="_Style 2"/>
    <w:basedOn w:val="1"/>
    <w:qFormat/>
    <w:uiPriority w:val="0"/>
    <w:pPr>
      <w:ind w:firstLine="420" w:firstLineChars="200"/>
    </w:pPr>
  </w:style>
  <w:style w:type="paragraph" w:customStyle="1" w:styleId="86">
    <w:name w:val="修订1"/>
    <w:semiHidden/>
    <w:qFormat/>
    <w:uiPriority w:val="99"/>
    <w:rPr>
      <w:rFonts w:ascii="Tahoma" w:hAnsi="Tahoma" w:eastAsia="宋体" w:cs="Times New Roman"/>
      <w:sz w:val="21"/>
      <w:szCs w:val="22"/>
      <w:lang w:val="en-US" w:eastAsia="zh-CN" w:bidi="ar-SA"/>
    </w:rPr>
  </w:style>
  <w:style w:type="paragraph" w:customStyle="1" w:styleId="87">
    <w:name w:val="样式 小四 加粗 行距: 多倍行距 1.25 字行"/>
    <w:basedOn w:val="1"/>
    <w:qFormat/>
    <w:uiPriority w:val="0"/>
    <w:pPr>
      <w:widowControl w:val="0"/>
      <w:numPr>
        <w:ilvl w:val="0"/>
        <w:numId w:val="1"/>
      </w:numPr>
      <w:tabs>
        <w:tab w:val="left" w:pos="425"/>
        <w:tab w:val="left" w:pos="1527"/>
      </w:tabs>
      <w:adjustRightInd/>
      <w:snapToGrid/>
      <w:spacing w:before="50" w:beforeLines="50" w:after="50" w:afterLines="50" w:line="300" w:lineRule="auto"/>
      <w:ind w:left="1527"/>
      <w:jc w:val="both"/>
    </w:pPr>
    <w:rPr>
      <w:rFonts w:ascii="Times New Roman" w:hAnsi="Times New Roman" w:cs="宋体"/>
      <w:b/>
      <w:bCs/>
      <w:kern w:val="2"/>
      <w:sz w:val="24"/>
      <w:szCs w:val="20"/>
    </w:rPr>
  </w:style>
  <w:style w:type="table" w:customStyle="1" w:styleId="88">
    <w:name w:val="Table Normal"/>
    <w:unhideWhenUsed/>
    <w:qFormat/>
    <w:uiPriority w:val="2"/>
    <w:tblPr>
      <w:tblLayout w:type="fixed"/>
      <w:tblCellMar>
        <w:top w:w="0" w:type="dxa"/>
        <w:left w:w="0" w:type="dxa"/>
        <w:bottom w:w="0" w:type="dxa"/>
        <w:right w:w="0" w:type="dxa"/>
      </w:tblCellMar>
    </w:tblPr>
  </w:style>
  <w:style w:type="character" w:customStyle="1" w:styleId="89">
    <w:name w:val="font41"/>
    <w:basedOn w:val="29"/>
    <w:qFormat/>
    <w:uiPriority w:val="0"/>
    <w:rPr>
      <w:rFonts w:hint="default" w:ascii="Times New Roman" w:hAnsi="Times New Roman" w:cs="Times New Roman"/>
      <w:color w:val="000000"/>
      <w:sz w:val="21"/>
      <w:szCs w:val="21"/>
      <w:u w:val="none"/>
    </w:rPr>
  </w:style>
  <w:style w:type="character" w:customStyle="1" w:styleId="90">
    <w:name w:val="font31"/>
    <w:basedOn w:val="2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33200</Words>
  <Characters>34953</Characters>
  <Lines>334</Lines>
  <Paragraphs>94</Paragraphs>
  <TotalTime>7</TotalTime>
  <ScaleCrop>false</ScaleCrop>
  <LinksUpToDate>false</LinksUpToDate>
  <CharactersWithSpaces>37170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2023-06-12T07:56:00Z</dcterms:created>
  <dc:creator>MyPC</dc:creator>
  <cp:lastModifiedBy>彬</cp:lastModifiedBy>
  <cp:lastPrinted>2023-07-07T08:19:00Z</cp:lastPrinted>
  <dcterms:modified xsi:type="dcterms:W3CDTF">2024-10-28T08:16:02Z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A324230B038241E3A0B6C370AE77146E_13</vt:lpwstr>
  </property>
</Properties>
</file>