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黑体" w:eastAsia="黑体"/>
          <w:color w:val="auto"/>
          <w:szCs w:val="21"/>
          <w:highlight w:val="none"/>
        </w:rPr>
      </w:pPr>
    </w:p>
    <w:p>
      <w:pPr>
        <w:pStyle w:val="67"/>
        <w:ind w:firstLine="400"/>
        <w:rPr>
          <w:color w:val="auto"/>
          <w:highlight w:val="none"/>
        </w:rPr>
      </w:pPr>
    </w:p>
    <w:p>
      <w:pPr>
        <w:rPr>
          <w:color w:val="auto"/>
          <w:highlight w:val="none"/>
        </w:rPr>
      </w:pPr>
    </w:p>
    <w:p>
      <w:pPr>
        <w:rPr>
          <w:color w:val="auto"/>
          <w:highlight w:val="none"/>
        </w:rPr>
      </w:pPr>
    </w:p>
    <w:p>
      <w:pPr>
        <w:rPr>
          <w:color w:val="auto"/>
          <w:highlight w:val="none"/>
        </w:rPr>
      </w:pPr>
    </w:p>
    <w:p>
      <w:pPr>
        <w:ind w:right="-28"/>
        <w:jc w:val="center"/>
        <w:textAlignment w:val="bottom"/>
        <w:rPr>
          <w:rFonts w:ascii="黑体" w:hAnsi="黑体" w:eastAsia="黑体" w:cs="黑体"/>
          <w:bCs/>
          <w:color w:val="auto"/>
          <w:spacing w:val="57"/>
          <w:sz w:val="96"/>
          <w:szCs w:val="96"/>
          <w:highlight w:val="none"/>
        </w:rPr>
      </w:pPr>
      <w:r>
        <w:rPr>
          <w:rFonts w:hint="eastAsia" w:ascii="黑体" w:hAnsi="黑体" w:eastAsia="黑体" w:cs="黑体"/>
          <w:bCs/>
          <w:color w:val="auto"/>
          <w:spacing w:val="57"/>
          <w:sz w:val="96"/>
          <w:szCs w:val="96"/>
          <w:highlight w:val="none"/>
        </w:rPr>
        <w:t>竞争性磋商文件</w:t>
      </w:r>
    </w:p>
    <w:p>
      <w:pPr>
        <w:rPr>
          <w:color w:val="auto"/>
          <w:highlight w:val="none"/>
        </w:rPr>
      </w:pPr>
    </w:p>
    <w:p>
      <w:pPr>
        <w:pStyle w:val="11"/>
        <w:rPr>
          <w:color w:val="auto"/>
          <w:highlight w:val="none"/>
        </w:rPr>
      </w:pPr>
    </w:p>
    <w:p>
      <w:pPr>
        <w:pStyle w:val="10"/>
        <w:rPr>
          <w:color w:val="auto"/>
          <w:highlight w:val="none"/>
        </w:rPr>
      </w:pPr>
    </w:p>
    <w:p>
      <w:pPr>
        <w:pStyle w:val="12"/>
        <w:rPr>
          <w:color w:val="auto"/>
          <w:highlight w:val="none"/>
        </w:rPr>
      </w:pPr>
    </w:p>
    <w:tbl>
      <w:tblPr>
        <w:tblStyle w:val="35"/>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7"/>
        <w:gridCol w:w="6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7"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东莞市莞城街道圳头“城中村”改造项目单元规划（含控规调整）编制服务（重新采购）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 w:val="0"/>
                <w:bCs/>
                <w:color w:val="auto"/>
                <w:sz w:val="32"/>
                <w:szCs w:val="24"/>
                <w:highlight w:val="none"/>
                <w:u w:val="single"/>
                <w:lang w:eastAsia="zh-CN"/>
              </w:rPr>
              <w:t>DGQS-</w:t>
            </w:r>
            <w:r>
              <w:rPr>
                <w:rFonts w:hint="eastAsia" w:ascii="黑体" w:hAnsi="黑体" w:eastAsia="黑体" w:cs="黑体"/>
                <w:b w:val="0"/>
                <w:bCs/>
                <w:color w:val="auto"/>
                <w:sz w:val="32"/>
                <w:szCs w:val="24"/>
                <w:highlight w:val="none"/>
                <w:u w:val="single"/>
                <w:lang w:val="en-US" w:eastAsia="zh-CN"/>
              </w:rPr>
              <w:t>ZT</w:t>
            </w:r>
            <w:r>
              <w:rPr>
                <w:rFonts w:hint="eastAsia" w:ascii="黑体" w:hAnsi="黑体" w:eastAsia="黑体" w:cs="黑体"/>
                <w:b w:val="0"/>
                <w:bCs/>
                <w:color w:val="auto"/>
                <w:sz w:val="32"/>
                <w:szCs w:val="24"/>
                <w:highlight w:val="none"/>
                <w:u w:val="single"/>
                <w:lang w:eastAsia="zh-CN"/>
              </w:rPr>
              <w:t>-03-0</w:t>
            </w:r>
            <w:r>
              <w:rPr>
                <w:rFonts w:hint="eastAsia" w:ascii="黑体" w:hAnsi="黑体" w:eastAsia="黑体" w:cs="黑体"/>
                <w:b w:val="0"/>
                <w:bCs/>
                <w:color w:val="auto"/>
                <w:sz w:val="32"/>
                <w:szCs w:val="24"/>
                <w:highlight w:val="none"/>
                <w:u w:val="single"/>
                <w:lang w:val="en-US" w:eastAsia="zh-CN"/>
              </w:rPr>
              <w:t>010</w:t>
            </w:r>
            <w:r>
              <w:rPr>
                <w:rFonts w:hint="eastAsia" w:ascii="黑体" w:hAnsi="黑体" w:eastAsia="黑体" w:cs="黑体"/>
                <w:b w:val="0"/>
                <w:bCs/>
                <w:color w:val="auto"/>
                <w:sz w:val="32"/>
                <w:szCs w:val="24"/>
                <w:highlight w:val="none"/>
                <w:u w:val="single"/>
                <w:lang w:eastAsia="zh-CN"/>
              </w:rPr>
              <w:t>-</w:t>
            </w:r>
            <w:r>
              <w:rPr>
                <w:rFonts w:hint="eastAsia" w:ascii="黑体" w:hAnsi="黑体" w:eastAsia="黑体" w:cs="黑体"/>
                <w:b w:val="0"/>
                <w:bCs/>
                <w:color w:val="auto"/>
                <w:sz w:val="32"/>
                <w:szCs w:val="24"/>
                <w:highlight w:val="none"/>
                <w:u w:val="single"/>
                <w:lang w:val="en-US" w:eastAsia="zh-CN"/>
              </w:rPr>
              <w:t>012</w:t>
            </w:r>
            <w:r>
              <w:rPr>
                <w:rFonts w:hint="eastAsia" w:ascii="黑体" w:hAnsi="黑体" w:eastAsia="黑体" w:cs="黑体"/>
                <w:b w:val="0"/>
                <w:bCs/>
                <w:color w:val="auto"/>
                <w:sz w:val="32"/>
                <w:szCs w:val="24"/>
                <w:highlight w:val="none"/>
                <w:u w:val="single"/>
                <w:lang w:eastAsia="zh-CN"/>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东莞市旗圳投资发展有限公司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采购代理：</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广西同泽工程项目管理股份有限公司</w:t>
            </w:r>
          </w:p>
        </w:tc>
      </w:tr>
    </w:tbl>
    <w:p>
      <w:pPr>
        <w:jc w:val="center"/>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spacing w:before="200"/>
        <w:jc w:val="center"/>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20</w:t>
      </w:r>
      <w:r>
        <w:rPr>
          <w:rFonts w:ascii="黑体" w:hAnsi="黑体" w:eastAsia="黑体" w:cs="黑体"/>
          <w:bCs/>
          <w:color w:val="auto"/>
          <w:sz w:val="32"/>
          <w:szCs w:val="24"/>
          <w:highlight w:val="none"/>
        </w:rPr>
        <w:t>2</w:t>
      </w:r>
      <w:r>
        <w:rPr>
          <w:rFonts w:hint="eastAsia" w:ascii="黑体" w:hAnsi="黑体" w:eastAsia="黑体" w:cs="黑体"/>
          <w:bCs/>
          <w:color w:val="auto"/>
          <w:sz w:val="32"/>
          <w:szCs w:val="24"/>
          <w:highlight w:val="none"/>
          <w:lang w:val="en-US" w:eastAsia="zh-CN"/>
        </w:rPr>
        <w:t>4</w:t>
      </w:r>
      <w:r>
        <w:rPr>
          <w:rFonts w:hint="eastAsia" w:ascii="黑体" w:hAnsi="黑体" w:eastAsia="黑体" w:cs="黑体"/>
          <w:bCs/>
          <w:color w:val="auto"/>
          <w:sz w:val="32"/>
          <w:szCs w:val="24"/>
          <w:highlight w:val="none"/>
        </w:rPr>
        <w:t>年</w:t>
      </w:r>
      <w:r>
        <w:rPr>
          <w:rFonts w:hint="eastAsia" w:ascii="黑体" w:hAnsi="黑体" w:eastAsia="黑体" w:cs="黑体"/>
          <w:bCs/>
          <w:color w:val="auto"/>
          <w:sz w:val="32"/>
          <w:szCs w:val="24"/>
          <w:highlight w:val="none"/>
          <w:lang w:val="en-US" w:eastAsia="zh-CN"/>
        </w:rPr>
        <w:t>10</w:t>
      </w:r>
      <w:r>
        <w:rPr>
          <w:rFonts w:hint="eastAsia" w:ascii="黑体" w:hAnsi="黑体" w:eastAsia="黑体" w:cs="黑体"/>
          <w:bCs/>
          <w:color w:val="auto"/>
          <w:sz w:val="32"/>
          <w:szCs w:val="24"/>
          <w:highlight w:val="none"/>
        </w:rPr>
        <w:t>月</w:t>
      </w:r>
    </w:p>
    <w:p>
      <w:pPr>
        <w:rPr>
          <w:color w:val="auto"/>
          <w:highlight w:val="none"/>
        </w:rPr>
        <w:sectPr>
          <w:footerReference r:id="rId4" w:type="first"/>
          <w:footerReference r:id="rId3" w:type="default"/>
          <w:pgSz w:w="11906" w:h="16838"/>
          <w:pgMar w:top="1440" w:right="1800" w:bottom="1440" w:left="1800" w:header="708" w:footer="708" w:gutter="0"/>
          <w:pgNumType w:start="1"/>
          <w:cols w:space="720"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
          <w:bCs/>
          <w:color w:val="auto"/>
          <w:sz w:val="20"/>
          <w:szCs w:val="20"/>
          <w:highlight w:val="none"/>
        </w:rPr>
        <w:fldChar w:fldCharType="begin"/>
      </w:r>
      <w:r>
        <w:rPr>
          <w:rFonts w:hint="eastAsia" w:ascii="宋体" w:hAnsi="宋体" w:eastAsia="宋体" w:cs="宋体"/>
          <w:b/>
          <w:bCs/>
          <w:color w:val="auto"/>
          <w:sz w:val="20"/>
          <w:szCs w:val="20"/>
          <w:highlight w:val="none"/>
        </w:rPr>
        <w:instrText xml:space="preserve"> TOC \o "1-4" \h \z \u </w:instrText>
      </w:r>
      <w:r>
        <w:rPr>
          <w:rFonts w:hint="eastAsia" w:ascii="宋体" w:hAnsi="宋体" w:eastAsia="宋体" w:cs="宋体"/>
          <w:b/>
          <w:bCs/>
          <w:color w:val="auto"/>
          <w:sz w:val="20"/>
          <w:szCs w:val="20"/>
          <w:highlight w:val="none"/>
        </w:rPr>
        <w:fldChar w:fldCharType="separate"/>
      </w: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_Toc23057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第一部分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磋商邀请</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_Toc23057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_Toc10955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磋商邀请书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_Toc10955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_Toc21437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第二部分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相关资料表格</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_Toc21437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_Toc12658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附表一：响应资料表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_Toc12658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_Toc20708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附表二：商务技术评分及价格权重表（满分100分）</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_Toc20708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_Toc16973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第三部分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用户需求书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_Toc16973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_Toc21119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第一章 商务需求书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_Toc21119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_Toc14740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第二章 技术需求书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_Toc14740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_Toc11910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第四部分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供应商须知</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_Toc11910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_Toc15758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一、 说明</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_Toc15758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_Toc16777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 适用范围</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_Toc16777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_Toc29264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 定义</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_Toc29264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_Toc31239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 货物和服务</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_Toc31239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_Toc25644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4. 磋商费用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_Toc25644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_Toc29586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5. 知识产权</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_Toc29586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_Toc9933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6. 关于联合体投标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_Toc9933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_Toc18436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7. 关于分支机构投标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_Toc18436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_Toc22046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8. 踏勘现场</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_Toc22046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_Toc12099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二、 磋商文件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_Toc12099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_Toc20325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9. 磋商文件的组成</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_Toc20325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_Toc2682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10. 磋商文件的澄清或修改</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_Toc2682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_Toc27708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三、 响应文件的编制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_Toc27708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_Toc7588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11. 响应文件的语言及度量衡单位</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_Toc7588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_Toc5710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12. 响应文件的组成</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_Toc5710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_Toc4827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13. 响应文件编制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_Toc4827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_Toc514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14. 磋商报价说明</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_Toc514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_Toc31957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15. 供应商所提供的服务或货物的证明文件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_Toc31957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_Toc3962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16. 磋商有效期</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_Toc3962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_Toc31330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17. 磋商保证金</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_Toc31330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_Toc3217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四、 响应文件的递交</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_Toc3217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_Toc27390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18. 响应文件的装订，签署，密封和标记</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_Toc27390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_Toc10171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19. 迟交的响应文件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_Toc10171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_Toc25764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20. 投标样品（如需提交）</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_Toc25764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_Toc8950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21. 磋商截止期</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_Toc8950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_Toc23944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22. 响应文件的补充、修改与撤回</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_Toc23944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_Toc3883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五、 开标与评标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_Toc3883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_Toc20585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23. 开标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_Toc20585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_Toc23471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24. 评标委员会及评标方法</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_Toc23471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_Toc6286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25. 评审原则及评标过程的保密</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_Toc6286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_Toc8907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26. 评标程序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_Toc8907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_Toc27321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27. 商务、技术、价格评审（具体评审项目详见响应资料表）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_Toc27321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_Toc9067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28. 纪律和保密事项</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_Toc9067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_Toc14990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六、 授予合同</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_Toc14990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_Toc6506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29. 合同授予标准</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_Toc6506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_Toc6202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30. 发布成交结果</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_Toc6202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_Toc28946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31. 资格后审</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_Toc28946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_Toc12389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32. 合同的签订与履行</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_Toc12389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_Toc30665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33. 履约担保</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_Toc30665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_Toc10425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34. 预付款保函（</w:t>
      </w:r>
      <w:r>
        <w:rPr>
          <w:rFonts w:hint="eastAsia" w:ascii="宋体" w:hAnsi="宋体" w:eastAsia="宋体" w:cs="宋体"/>
          <w:color w:val="auto"/>
          <w:sz w:val="20"/>
          <w:szCs w:val="20"/>
          <w:highlight w:val="none"/>
          <w:lang w:eastAsia="zh-CN"/>
        </w:rPr>
        <w:t>本项目不</w:t>
      </w:r>
      <w:r>
        <w:rPr>
          <w:rFonts w:hint="eastAsia" w:ascii="宋体" w:hAnsi="宋体" w:eastAsia="宋体" w:cs="宋体"/>
          <w:color w:val="auto"/>
          <w:sz w:val="20"/>
          <w:szCs w:val="20"/>
          <w:highlight w:val="none"/>
        </w:rPr>
        <w:t>适用）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_Toc10425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_Toc31493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七、 异议</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_Toc31493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_Toc9594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35. 异议</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_Toc9594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_Toc4092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八、 其他</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_Toc4092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_Toc26886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36. 磋商文件的解释权</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_Toc26886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_Toc20903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第五部分 合同条款格式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_Toc20903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_Toc17465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第六部分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附件－响应文件格式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_Toc17465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_Toc4115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响应文件目录</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_Toc4115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_Toc1797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附件1.评分标准索引表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_Toc1797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_Toc796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价格文件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_Toc796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_Toc23235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附件2.首次报价一览表格式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_Toc23235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_Toc25594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商务文件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_Toc25594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_Toc31746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3</w:t>
      </w:r>
      <w:r>
        <w:rPr>
          <w:rFonts w:hint="eastAsia" w:ascii="宋体" w:hAnsi="宋体" w:eastAsia="宋体" w:cs="宋体"/>
          <w:color w:val="auto"/>
          <w:sz w:val="20"/>
          <w:szCs w:val="20"/>
          <w:highlight w:val="none"/>
        </w:rPr>
        <w:t>.响应书格式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_Toc31746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_Toc11345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4</w:t>
      </w:r>
      <w:r>
        <w:rPr>
          <w:rFonts w:hint="eastAsia" w:ascii="宋体" w:hAnsi="宋体" w:eastAsia="宋体" w:cs="宋体"/>
          <w:color w:val="auto"/>
          <w:sz w:val="20"/>
          <w:szCs w:val="20"/>
          <w:highlight w:val="none"/>
        </w:rPr>
        <w:t>.法定代表人证明书格式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_Toc11345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_Toc14307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5</w:t>
      </w:r>
      <w:r>
        <w:rPr>
          <w:rFonts w:hint="eastAsia" w:ascii="宋体" w:hAnsi="宋体" w:eastAsia="宋体" w:cs="宋体"/>
          <w:color w:val="auto"/>
          <w:sz w:val="20"/>
          <w:szCs w:val="20"/>
          <w:highlight w:val="none"/>
        </w:rPr>
        <w:t>.法定代表人授权书格式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_Toc14307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_Toc28318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6</w:t>
      </w:r>
      <w:r>
        <w:rPr>
          <w:rFonts w:hint="eastAsia" w:ascii="宋体" w:hAnsi="宋体" w:eastAsia="宋体" w:cs="宋体"/>
          <w:color w:val="auto"/>
          <w:sz w:val="20"/>
          <w:szCs w:val="20"/>
          <w:highlight w:val="none"/>
        </w:rPr>
        <w:t>.资格申明</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_Toc28318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_Toc28997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7</w:t>
      </w:r>
      <w:r>
        <w:rPr>
          <w:rFonts w:hint="eastAsia" w:ascii="宋体" w:hAnsi="宋体" w:eastAsia="宋体" w:cs="宋体"/>
          <w:color w:val="auto"/>
          <w:sz w:val="20"/>
          <w:szCs w:val="20"/>
          <w:highlight w:val="none"/>
        </w:rPr>
        <w:t>.营业执照</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_Toc28997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_Toc6972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8</w:t>
      </w:r>
      <w:r>
        <w:rPr>
          <w:rFonts w:hint="eastAsia" w:ascii="宋体" w:hAnsi="宋体" w:eastAsia="宋体" w:cs="宋体"/>
          <w:color w:val="auto"/>
          <w:sz w:val="20"/>
          <w:szCs w:val="20"/>
          <w:highlight w:val="none"/>
        </w:rPr>
        <w:t>.相关资质证明文件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_Toc6972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_Toc21573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9</w:t>
      </w:r>
      <w:r>
        <w:rPr>
          <w:rFonts w:hint="eastAsia" w:ascii="宋体" w:hAnsi="宋体" w:eastAsia="宋体" w:cs="宋体"/>
          <w:color w:val="auto"/>
          <w:sz w:val="20"/>
          <w:szCs w:val="20"/>
          <w:highlight w:val="none"/>
        </w:rPr>
        <w:t>.在经营活动中没有重大违法记录的书面声明格式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_Toc21573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_Toc24145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0</w:t>
      </w:r>
      <w:r>
        <w:rPr>
          <w:rFonts w:hint="eastAsia" w:ascii="宋体" w:hAnsi="宋体" w:eastAsia="宋体" w:cs="宋体"/>
          <w:color w:val="auto"/>
          <w:sz w:val="20"/>
          <w:szCs w:val="20"/>
          <w:highlight w:val="none"/>
        </w:rPr>
        <w:t>.承诺书格式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_Toc24145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_Toc21222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1</w:t>
      </w:r>
      <w:r>
        <w:rPr>
          <w:rFonts w:hint="eastAsia" w:ascii="宋体" w:hAnsi="宋体" w:eastAsia="宋体" w:cs="宋体"/>
          <w:color w:val="auto"/>
          <w:sz w:val="20"/>
          <w:szCs w:val="20"/>
          <w:highlight w:val="none"/>
        </w:rPr>
        <w:t>.商务需求条款偏离表格式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_Toc21222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_Toc26213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2</w:t>
      </w:r>
      <w:r>
        <w:rPr>
          <w:rFonts w:hint="eastAsia" w:ascii="宋体" w:hAnsi="宋体" w:eastAsia="宋体" w:cs="宋体"/>
          <w:color w:val="auto"/>
          <w:sz w:val="20"/>
          <w:szCs w:val="20"/>
          <w:highlight w:val="none"/>
        </w:rPr>
        <w:t>.业绩表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_Toc26213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_Toc7138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3</w:t>
      </w:r>
      <w:r>
        <w:rPr>
          <w:rFonts w:hint="eastAsia" w:ascii="宋体" w:hAnsi="宋体" w:eastAsia="宋体" w:cs="宋体"/>
          <w:color w:val="auto"/>
          <w:sz w:val="20"/>
          <w:szCs w:val="20"/>
          <w:highlight w:val="none"/>
        </w:rPr>
        <w:t>.联合体协议书（如有）</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_Toc7138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_Toc8304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技术文件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_Toc8304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_Toc1251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4</w:t>
      </w:r>
      <w:r>
        <w:rPr>
          <w:rFonts w:hint="eastAsia" w:ascii="宋体" w:hAnsi="宋体" w:eastAsia="宋体" w:cs="宋体"/>
          <w:color w:val="auto"/>
          <w:sz w:val="20"/>
          <w:szCs w:val="20"/>
          <w:highlight w:val="none"/>
        </w:rPr>
        <w:t>. 技术规格偏离表格式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_Toc1251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_Toc7589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5</w:t>
      </w:r>
      <w:r>
        <w:rPr>
          <w:rFonts w:hint="eastAsia" w:ascii="宋体" w:hAnsi="宋体" w:eastAsia="宋体" w:cs="宋体"/>
          <w:color w:val="auto"/>
          <w:sz w:val="20"/>
          <w:szCs w:val="20"/>
          <w:highlight w:val="none"/>
        </w:rPr>
        <w:t>.项目实施方案格式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_Toc7589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_Toc27583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6</w:t>
      </w:r>
      <w:r>
        <w:rPr>
          <w:rFonts w:hint="eastAsia" w:ascii="宋体" w:hAnsi="宋体" w:eastAsia="宋体" w:cs="宋体"/>
          <w:color w:val="auto"/>
          <w:sz w:val="20"/>
          <w:szCs w:val="20"/>
          <w:highlight w:val="none"/>
        </w:rPr>
        <w:t>.实施本项目的有关人员资料表格式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_Toc27583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_Toc14403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7</w:t>
      </w:r>
      <w:r>
        <w:rPr>
          <w:rFonts w:hint="eastAsia" w:ascii="宋体" w:hAnsi="宋体" w:eastAsia="宋体" w:cs="宋体"/>
          <w:color w:val="auto"/>
          <w:sz w:val="20"/>
          <w:szCs w:val="20"/>
          <w:highlight w:val="none"/>
        </w:rPr>
        <w:t>.磋商保证金汇入情况说明格式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_Toc14403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_Toc28272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8</w:t>
      </w:r>
      <w:r>
        <w:rPr>
          <w:rFonts w:hint="eastAsia" w:ascii="宋体" w:hAnsi="宋体" w:eastAsia="宋体" w:cs="宋体"/>
          <w:color w:val="auto"/>
          <w:sz w:val="20"/>
          <w:szCs w:val="20"/>
          <w:highlight w:val="none"/>
        </w:rPr>
        <w:t>.不可撤销履约保函</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_Toc28272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_Toc30765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19</w:t>
      </w:r>
      <w:r>
        <w:rPr>
          <w:rFonts w:hint="eastAsia" w:ascii="宋体" w:hAnsi="宋体" w:eastAsia="宋体" w:cs="宋体"/>
          <w:color w:val="auto"/>
          <w:sz w:val="20"/>
          <w:szCs w:val="20"/>
          <w:highlight w:val="none"/>
        </w:rPr>
        <w:t>.预付款保函（本项目不适用）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_Toc30765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_Toc6103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唱标信封</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_Toc6103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_Toc32036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附件2</w:t>
      </w:r>
      <w:r>
        <w:rPr>
          <w:rFonts w:hint="eastAsia" w:ascii="宋体" w:hAnsi="宋体" w:eastAsia="宋体" w:cs="宋体"/>
          <w:color w:val="auto"/>
          <w:sz w:val="20"/>
          <w:szCs w:val="20"/>
          <w:highlight w:val="none"/>
          <w:lang w:val="en-US" w:eastAsia="zh-CN"/>
        </w:rPr>
        <w:t>0</w:t>
      </w:r>
      <w:r>
        <w:rPr>
          <w:rFonts w:hint="eastAsia" w:ascii="宋体" w:hAnsi="宋体" w:eastAsia="宋体" w:cs="宋体"/>
          <w:color w:val="auto"/>
          <w:sz w:val="20"/>
          <w:szCs w:val="20"/>
          <w:highlight w:val="none"/>
        </w:rPr>
        <w:t>.唱标信封内装（内容务必与响应文件正本一致）</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_Toc32036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ind w:left="0" w:leftChars="0"/>
        <w:textAlignment w:val="auto"/>
        <w:rPr>
          <w:rFonts w:cs="宋体"/>
          <w:color w:val="auto"/>
          <w:sz w:val="21"/>
          <w:szCs w:val="21"/>
          <w:highlight w:val="none"/>
        </w:rPr>
      </w:pPr>
      <w:r>
        <w:rPr>
          <w:rFonts w:hint="eastAsia" w:ascii="宋体" w:hAnsi="宋体" w:eastAsia="宋体" w:cs="宋体"/>
          <w:bCs/>
          <w:color w:val="auto"/>
          <w:sz w:val="20"/>
          <w:szCs w:val="20"/>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23057"/>
      <w:bookmarkStart w:id="1" w:name="_Toc13339"/>
      <w:r>
        <w:rPr>
          <w:rFonts w:hint="eastAsia"/>
          <w:color w:val="auto"/>
          <w:sz w:val="28"/>
          <w:szCs w:val="28"/>
          <w:highlight w:val="none"/>
        </w:rPr>
        <w:t>第一部分</w:t>
      </w:r>
      <w:r>
        <w:rPr>
          <w:rFonts w:hint="eastAsia"/>
          <w:color w:val="auto"/>
          <w:sz w:val="28"/>
          <w:szCs w:val="28"/>
          <w:highlight w:val="none"/>
          <w:lang w:val="en-US" w:eastAsia="zh-CN"/>
        </w:rPr>
        <w:t xml:space="preserve"> </w:t>
      </w:r>
      <w:r>
        <w:rPr>
          <w:rFonts w:hint="eastAsia"/>
          <w:color w:val="auto"/>
          <w:sz w:val="28"/>
          <w:szCs w:val="28"/>
          <w:highlight w:val="none"/>
        </w:rPr>
        <w:t>磋商邀请</w:t>
      </w:r>
      <w:bookmarkEnd w:id="0"/>
      <w:bookmarkEnd w:id="1"/>
    </w:p>
    <w:p>
      <w:pPr>
        <w:pStyle w:val="4"/>
        <w:spacing w:before="0" w:after="0" w:line="360" w:lineRule="auto"/>
        <w:jc w:val="center"/>
        <w:rPr>
          <w:rFonts w:ascii="宋体" w:hAnsi="宋体" w:cs="宋体"/>
          <w:color w:val="auto"/>
          <w:highlight w:val="none"/>
        </w:rPr>
      </w:pPr>
      <w:bookmarkStart w:id="2" w:name="_Toc10955"/>
      <w:bookmarkStart w:id="3" w:name="_Toc24991"/>
      <w:r>
        <w:rPr>
          <w:rFonts w:hint="eastAsia" w:ascii="宋体" w:hAnsi="宋体" w:cs="宋体"/>
          <w:color w:val="auto"/>
          <w:highlight w:val="none"/>
        </w:rPr>
        <w:t>磋商邀请书</w:t>
      </w:r>
      <w:bookmarkEnd w:id="2"/>
      <w:bookmarkEnd w:id="3"/>
    </w:p>
    <w:p>
      <w:pPr>
        <w:ind w:firstLine="422" w:firstLineChars="200"/>
        <w:rPr>
          <w:rFonts w:ascii="宋体" w:hAnsi="宋体"/>
          <w:color w:val="auto"/>
          <w:szCs w:val="21"/>
          <w:highlight w:val="none"/>
        </w:rPr>
      </w:pPr>
      <w:r>
        <w:rPr>
          <w:rFonts w:hint="eastAsia" w:ascii="宋体" w:hAnsi="宋体"/>
          <w:b/>
          <w:bCs/>
          <w:color w:val="auto"/>
          <w:szCs w:val="21"/>
          <w:highlight w:val="none"/>
          <w:u w:val="single"/>
          <w:lang w:eastAsia="zh-CN"/>
        </w:rPr>
        <w:t>广西同泽工程项目管理股份有限公司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东莞市旗圳投资发展有限公司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东莞市莞城街道圳头“城中村”改造项目单元规划（含控规调整）编制服务（重新采购）</w:t>
      </w:r>
      <w:r>
        <w:rPr>
          <w:rFonts w:hint="eastAsia" w:ascii="宋体" w:hAnsi="宋体"/>
          <w:color w:val="auto"/>
          <w:szCs w:val="21"/>
          <w:highlight w:val="none"/>
        </w:rPr>
        <w:t>（项目编号：</w:t>
      </w:r>
      <w:r>
        <w:rPr>
          <w:rFonts w:hint="eastAsia" w:ascii="宋体" w:hAnsi="宋体"/>
          <w:b/>
          <w:bCs/>
          <w:color w:val="auto"/>
          <w:szCs w:val="21"/>
          <w:highlight w:val="none"/>
          <w:lang w:eastAsia="zh-CN"/>
        </w:rPr>
        <w:t>DGQS-</w:t>
      </w:r>
      <w:r>
        <w:rPr>
          <w:rFonts w:hint="eastAsia" w:ascii="宋体" w:hAnsi="宋体"/>
          <w:b/>
          <w:bCs/>
          <w:color w:val="auto"/>
          <w:szCs w:val="21"/>
          <w:highlight w:val="none"/>
          <w:lang w:val="en-US" w:eastAsia="zh-CN"/>
        </w:rPr>
        <w:t>ZT</w:t>
      </w:r>
      <w:r>
        <w:rPr>
          <w:rFonts w:hint="eastAsia" w:ascii="宋体" w:hAnsi="宋体"/>
          <w:b/>
          <w:bCs/>
          <w:color w:val="auto"/>
          <w:szCs w:val="21"/>
          <w:highlight w:val="none"/>
          <w:lang w:eastAsia="zh-CN"/>
        </w:rPr>
        <w:t>-03-0</w:t>
      </w:r>
      <w:r>
        <w:rPr>
          <w:rFonts w:hint="eastAsia" w:ascii="宋体" w:hAnsi="宋体"/>
          <w:b/>
          <w:bCs/>
          <w:color w:val="auto"/>
          <w:szCs w:val="21"/>
          <w:highlight w:val="none"/>
          <w:lang w:val="en-US" w:eastAsia="zh-CN"/>
        </w:rPr>
        <w:t>010</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012</w:t>
      </w:r>
      <w:r>
        <w:rPr>
          <w:rFonts w:hint="eastAsia" w:ascii="宋体" w:hAnsi="宋体"/>
          <w:b/>
          <w:bCs/>
          <w:color w:val="auto"/>
          <w:szCs w:val="21"/>
          <w:highlight w:val="none"/>
          <w:lang w:eastAsia="zh-CN"/>
        </w:rPr>
        <w:t>（2024)</w:t>
      </w:r>
      <w:r>
        <w:rPr>
          <w:rFonts w:hint="eastAsia" w:ascii="宋体" w:hAnsi="宋体"/>
          <w:color w:val="auto"/>
          <w:szCs w:val="21"/>
          <w:highlight w:val="none"/>
        </w:rPr>
        <w:t>）</w:t>
      </w:r>
      <w:r>
        <w:rPr>
          <w:rFonts w:hint="eastAsia" w:ascii="宋体" w:hAnsi="宋体" w:cs="Times New Roman"/>
          <w:color w:val="auto"/>
          <w:szCs w:val="21"/>
          <w:highlight w:val="none"/>
        </w:rPr>
        <w:t>进行竞争性磋商采购</w:t>
      </w:r>
      <w:r>
        <w:rPr>
          <w:rFonts w:hint="eastAsia" w:ascii="宋体" w:hAnsi="宋体"/>
          <w:color w:val="auto"/>
          <w:szCs w:val="21"/>
          <w:highlight w:val="none"/>
        </w:rPr>
        <w:t>，欢迎符合磋商文件要求的国内供应商参加响应</w:t>
      </w:r>
      <w:r>
        <w:rPr>
          <w:rFonts w:ascii="宋体" w:hAnsi="宋体"/>
          <w:color w:val="auto"/>
          <w:szCs w:val="21"/>
          <w:highlight w:val="none"/>
        </w:rPr>
        <w:t>。有关事项如下：</w:t>
      </w:r>
    </w:p>
    <w:p>
      <w:pPr>
        <w:ind w:firstLine="413" w:firstLineChars="196"/>
        <w:rPr>
          <w:rFonts w:ascii="宋体" w:hAnsi="宋体"/>
          <w:b/>
          <w:color w:val="auto"/>
          <w:szCs w:val="21"/>
          <w:highlight w:val="none"/>
        </w:rPr>
      </w:pPr>
    </w:p>
    <w:p>
      <w:pPr>
        <w:ind w:firstLine="413"/>
        <w:rPr>
          <w:rFonts w:ascii="宋体" w:hAnsi="宋体"/>
          <w:b/>
          <w:color w:val="auto"/>
          <w:szCs w:val="21"/>
          <w:highlight w:val="none"/>
        </w:rPr>
      </w:pPr>
      <w:r>
        <w:rPr>
          <w:rFonts w:hint="eastAsia" w:ascii="宋体" w:hAnsi="宋体"/>
          <w:b/>
          <w:color w:val="auto"/>
          <w:szCs w:val="21"/>
          <w:highlight w:val="none"/>
        </w:rPr>
        <w:t>一、采购项目概况</w:t>
      </w:r>
    </w:p>
    <w:p>
      <w:pPr>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color w:val="auto"/>
          <w:szCs w:val="21"/>
          <w:highlight w:val="none"/>
          <w:u w:val="single"/>
          <w:lang w:eastAsia="zh-CN"/>
        </w:rPr>
        <w:t>东莞市莞城街道圳头“城中村”改造项目单元规划（含控规调整）编制服务（重新采购）</w:t>
      </w:r>
    </w:p>
    <w:p>
      <w:pPr>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预算金额（</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500</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0</w:t>
      </w:r>
      <w:r>
        <w:rPr>
          <w:rFonts w:hint="eastAsia" w:ascii="宋体" w:hAnsi="宋体"/>
          <w:color w:val="auto"/>
          <w:szCs w:val="21"/>
          <w:highlight w:val="none"/>
          <w:u w:val="single"/>
        </w:rPr>
        <w:t>00.00元</w:t>
      </w:r>
    </w:p>
    <w:p>
      <w:pPr>
        <w:ind w:firstLine="420" w:firstLineChars="200"/>
        <w:rPr>
          <w:rFonts w:ascii="宋体" w:hAnsi="宋体"/>
          <w:color w:val="auto"/>
          <w:szCs w:val="21"/>
          <w:highlight w:val="none"/>
        </w:rPr>
      </w:pPr>
      <w:r>
        <w:rPr>
          <w:rFonts w:hint="eastAsia" w:ascii="宋体" w:hAnsi="宋体"/>
          <w:color w:val="auto"/>
          <w:szCs w:val="21"/>
          <w:highlight w:val="none"/>
        </w:rPr>
        <w:t>3、最高</w:t>
      </w:r>
      <w:r>
        <w:rPr>
          <w:rFonts w:ascii="宋体" w:hAnsi="宋体"/>
          <w:color w:val="auto"/>
          <w:szCs w:val="21"/>
          <w:highlight w:val="none"/>
        </w:rPr>
        <w:t>限价</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500</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0</w:t>
      </w:r>
      <w:r>
        <w:rPr>
          <w:rFonts w:hint="eastAsia" w:ascii="宋体" w:hAnsi="宋体"/>
          <w:color w:val="auto"/>
          <w:szCs w:val="21"/>
          <w:highlight w:val="none"/>
          <w:u w:val="single"/>
        </w:rPr>
        <w:t>00.00元</w:t>
      </w:r>
    </w:p>
    <w:p>
      <w:pPr>
        <w:ind w:firstLine="420" w:firstLineChars="200"/>
        <w:rPr>
          <w:rFonts w:ascii="宋体" w:hAnsi="宋体"/>
          <w:color w:val="auto"/>
          <w:szCs w:val="21"/>
          <w:highlight w:val="none"/>
        </w:rPr>
      </w:pPr>
      <w:r>
        <w:rPr>
          <w:rFonts w:hint="eastAsia" w:ascii="宋体" w:hAnsi="宋体"/>
          <w:color w:val="auto"/>
          <w:szCs w:val="21"/>
          <w:highlight w:val="none"/>
        </w:rPr>
        <w:t>4、项目内容</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284"/>
        <w:gridCol w:w="1116"/>
        <w:gridCol w:w="4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68"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采购包号</w:t>
            </w:r>
          </w:p>
        </w:tc>
        <w:tc>
          <w:tcPr>
            <w:tcW w:w="2284"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项目内容</w:t>
            </w:r>
          </w:p>
        </w:tc>
        <w:tc>
          <w:tcPr>
            <w:tcW w:w="1116"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采购服务单位数量</w:t>
            </w:r>
          </w:p>
        </w:tc>
        <w:tc>
          <w:tcPr>
            <w:tcW w:w="4451"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668" w:type="dxa"/>
            <w:noWrap w:val="0"/>
            <w:vAlign w:val="center"/>
          </w:tcPr>
          <w:p>
            <w:pPr>
              <w:spacing w:line="360" w:lineRule="auto"/>
              <w:jc w:val="center"/>
              <w:rPr>
                <w:rFonts w:ascii="宋体" w:hAnsi="宋体" w:cs="宋体"/>
                <w:color w:val="auto"/>
                <w:szCs w:val="21"/>
                <w:highlight w:val="none"/>
              </w:rPr>
            </w:pPr>
            <w:r>
              <w:rPr>
                <w:rFonts w:ascii="宋体" w:hAnsi="宋体" w:cs="宋体"/>
                <w:color w:val="auto"/>
                <w:szCs w:val="21"/>
                <w:highlight w:val="none"/>
              </w:rPr>
              <w:t>/</w:t>
            </w:r>
          </w:p>
        </w:tc>
        <w:tc>
          <w:tcPr>
            <w:tcW w:w="2284" w:type="dxa"/>
            <w:noWrap w:val="0"/>
            <w:vAlign w:val="center"/>
          </w:tcPr>
          <w:p>
            <w:pPr>
              <w:spacing w:line="360" w:lineRule="auto"/>
              <w:jc w:val="center"/>
              <w:rPr>
                <w:rFonts w:hint="eastAsia" w:ascii="宋体" w:hAnsi="宋体" w:eastAsia="宋体" w:cs="宋体"/>
                <w:color w:val="auto"/>
                <w:szCs w:val="21"/>
                <w:highlight w:val="none"/>
                <w:lang w:eastAsia="zh-CN"/>
              </w:rPr>
            </w:pPr>
            <w:r>
              <w:rPr>
                <w:rFonts w:hint="eastAsia" w:ascii="宋体" w:hAnsi="宋体"/>
                <w:color w:val="auto"/>
                <w:szCs w:val="21"/>
                <w:highlight w:val="none"/>
                <w:u w:val="single"/>
                <w:lang w:eastAsia="zh-CN"/>
              </w:rPr>
              <w:t>东莞市莞城街道圳头“城中村”改造项目单元规划（含控规调整）编制服务（重新采购）</w:t>
            </w:r>
          </w:p>
        </w:tc>
        <w:tc>
          <w:tcPr>
            <w:tcW w:w="1116"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4451"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highlight w:val="none"/>
              </w:rPr>
              <w:t>本项目从</w:t>
            </w:r>
            <w:r>
              <w:rPr>
                <w:rFonts w:hint="eastAsia" w:ascii="宋体" w:hAnsi="宋体" w:cs="宋体"/>
                <w:color w:val="auto"/>
                <w:highlight w:val="none"/>
                <w:u w:val="single"/>
              </w:rPr>
              <w:t>本合同签订之日</w:t>
            </w:r>
            <w:r>
              <w:rPr>
                <w:rFonts w:hint="eastAsia" w:ascii="宋体" w:hAnsi="宋体" w:cs="宋体"/>
                <w:color w:val="auto"/>
                <w:highlight w:val="none"/>
              </w:rPr>
              <w:t>开始，</w:t>
            </w:r>
            <w:r>
              <w:rPr>
                <w:rFonts w:hint="eastAsia" w:ascii="宋体" w:hAnsi="宋体" w:cs="宋体"/>
                <w:color w:val="auto"/>
                <w:highlight w:val="none"/>
                <w:u w:val="single"/>
              </w:rPr>
              <w:t>90个工作日内</w:t>
            </w:r>
            <w:r>
              <w:rPr>
                <w:rFonts w:hint="eastAsia" w:ascii="宋体" w:hAnsi="宋体" w:cs="宋体"/>
                <w:color w:val="auto"/>
                <w:highlight w:val="none"/>
              </w:rPr>
              <w:t>提交正式成果报送市自然资源局/市政府备案（具体需结合政府部门审批时间为准）</w:t>
            </w:r>
            <w:r>
              <w:rPr>
                <w:rFonts w:hint="eastAsia" w:ascii="宋体" w:hAnsi="宋体" w:cs="宋体"/>
                <w:color w:val="auto"/>
                <w:szCs w:val="21"/>
                <w:highlight w:val="none"/>
              </w:rPr>
              <w:t>。</w:t>
            </w:r>
          </w:p>
        </w:tc>
      </w:tr>
    </w:tbl>
    <w:p>
      <w:pPr>
        <w:ind w:firstLine="420" w:firstLineChars="200"/>
        <w:rPr>
          <w:rFonts w:ascii="宋体" w:hAnsi="宋体"/>
          <w:color w:val="auto"/>
          <w:szCs w:val="21"/>
          <w:highlight w:val="none"/>
        </w:rPr>
      </w:pPr>
      <w:r>
        <w:rPr>
          <w:rFonts w:hint="eastAsia" w:ascii="宋体" w:hAnsi="宋体"/>
          <w:color w:val="auto"/>
          <w:szCs w:val="21"/>
          <w:highlight w:val="none"/>
        </w:rPr>
        <w:t>（注：本表格根据项目实际情况补充修改）</w:t>
      </w:r>
    </w:p>
    <w:p>
      <w:pPr>
        <w:ind w:firstLine="420" w:firstLineChars="200"/>
        <w:rPr>
          <w:rFonts w:ascii="宋体" w:hAnsi="宋体"/>
          <w:color w:val="auto"/>
          <w:szCs w:val="21"/>
          <w:highlight w:val="none"/>
        </w:rPr>
      </w:pPr>
      <w:r>
        <w:rPr>
          <w:rFonts w:hint="eastAsia" w:ascii="宋体" w:hAnsi="宋体"/>
          <w:color w:val="auto"/>
          <w:szCs w:val="21"/>
          <w:highlight w:val="none"/>
        </w:rPr>
        <w:t>5、项目需求</w:t>
      </w:r>
    </w:p>
    <w:p>
      <w:pPr>
        <w:ind w:firstLine="420" w:firstLineChars="200"/>
        <w:rPr>
          <w:rFonts w:ascii="宋体" w:hAnsi="宋体"/>
          <w:color w:val="auto"/>
          <w:szCs w:val="21"/>
          <w:highlight w:val="none"/>
        </w:rPr>
      </w:pPr>
      <w:r>
        <w:rPr>
          <w:rFonts w:hint="eastAsia" w:ascii="宋体" w:hAnsi="宋体"/>
          <w:color w:val="auto"/>
          <w:szCs w:val="21"/>
          <w:highlight w:val="none"/>
        </w:rPr>
        <w:t>详细内容请参阅磋商文件第三部分《用户需求书》。</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供应商须为在中华人民共和国境内登记注册的具有独立承担民事责任能力的法人或其他组织【提供《营业执照》复印件（加盖公章）或《事业单位法人证书》复印件（加盖公章）或其他主体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（3）供应商的单位负责人为同一人或者存在直接控股、管理关系的不同供应商，不得参加同一合同项下的采购活动。</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或政府采购严重违法失信行为”记录名单。以代理机构于投标截止日当天在“信用中国”网站查询结果为准，如相关失信记录已失效，供应商需提供相关证明资料。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（5）未被列入东实集团及下属企业相关领域黑名单。【以</w:t>
      </w:r>
      <w:r>
        <w:rPr>
          <w:rFonts w:hint="eastAsia" w:hAnsi="宋体" w:cs="宋体"/>
          <w:color w:val="auto"/>
          <w:kern w:val="2"/>
          <w:szCs w:val="21"/>
          <w:highlight w:val="none"/>
          <w:lang w:val="zh-CN"/>
        </w:rPr>
        <w:t>东莞实业投资控股集团有限公司</w:t>
      </w:r>
      <w:r>
        <w:rPr>
          <w:rFonts w:hint="eastAsia" w:ascii="宋体" w:hAnsi="宋体"/>
          <w:color w:val="auto"/>
          <w:szCs w:val="21"/>
          <w:highlight w:val="none"/>
        </w:rPr>
        <w:t>发文（东实通〔2021〕44号）、（东实通〔2021〕98号）、</w:t>
      </w:r>
      <w:r>
        <w:rPr>
          <w:rFonts w:ascii="宋体" w:hAnsi="宋体"/>
          <w:color w:val="auto"/>
          <w:szCs w:val="21"/>
          <w:highlight w:val="none"/>
        </w:rPr>
        <w:t>（东实通〔2022〕75号）</w:t>
      </w:r>
      <w:r>
        <w:rPr>
          <w:rFonts w:hint="eastAsia" w:ascii="宋体" w:hAnsi="宋体"/>
          <w:color w:val="auto"/>
          <w:szCs w:val="21"/>
          <w:highlight w:val="none"/>
        </w:rPr>
        <w:t>、（东实通〔2023〕37号）为准，如有最新发文通知，按最新文件执行。】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2、其他要求</w:t>
      </w:r>
    </w:p>
    <w:p>
      <w:pPr>
        <w:ind w:firstLine="420" w:firstLineChars="200"/>
        <w:rPr>
          <w:color w:val="auto"/>
          <w:highlight w:val="none"/>
        </w:rPr>
      </w:pPr>
      <w:r>
        <w:rPr>
          <w:rFonts w:hint="eastAsia" w:ascii="宋体" w:hAnsi="宋体" w:eastAsia="宋体" w:cs="宋体"/>
          <w:color w:val="auto"/>
          <w:highlight w:val="none"/>
          <w:u w:val="single"/>
        </w:rPr>
        <w:t>供应商须具备行政主管部门颁发的城乡规划编制乙级或以上资质。(如相关主管部门有最新政策，按最新政策执行</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若资质证书已过期且有相关政策文件说明资质继续延期有效的，需提供相关政策文件网页截图或复印件证明)。</w:t>
      </w:r>
      <w:r>
        <w:rPr>
          <w:rFonts w:hint="eastAsia"/>
          <w:color w:val="auto"/>
          <w:highlight w:val="none"/>
        </w:rPr>
        <w:t xml:space="preserve"> </w:t>
      </w:r>
    </w:p>
    <w:p>
      <w:pPr>
        <w:bidi w:val="0"/>
        <w:rPr>
          <w:rFonts w:hint="eastAsia"/>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三、获取磋商文件方式及要求：</w:t>
      </w:r>
    </w:p>
    <w:p>
      <w:pPr>
        <w:wordWrap w:val="0"/>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本项目不进行实名登记报名，拟参加投标的供应商可于磋商截止时间前自行网上下载磋商文件。</w:t>
      </w:r>
      <w:r>
        <w:rPr>
          <w:rFonts w:ascii="宋体" w:hAnsi="宋体" w:cs="宋体"/>
          <w:color w:val="auto"/>
          <w:szCs w:val="21"/>
          <w:highlight w:val="none"/>
        </w:rPr>
        <w:t>磋商文件下载地址：</w:t>
      </w:r>
      <w:r>
        <w:rPr>
          <w:rFonts w:hint="eastAsia" w:ascii="宋体" w:hAnsi="宋体" w:cs="宋体"/>
          <w:color w:val="auto"/>
          <w:szCs w:val="21"/>
          <w:highlight w:val="none"/>
          <w:u w:val="single"/>
        </w:rPr>
        <w:t>中国招标投标公共服务平台（http://www.cebpubservice.com/）、东莞实业投资控股集团有限公司-招标采购栏目（http://www.dgsy.com.cn/）</w:t>
      </w:r>
      <w:r>
        <w:rPr>
          <w:rFonts w:hint="eastAsia" w:ascii="宋体" w:hAnsi="宋体" w:cs="宋体"/>
          <w:color w:val="auto"/>
          <w:szCs w:val="21"/>
          <w:highlight w:val="none"/>
          <w:u w:val="single"/>
          <w:lang w:eastAsia="zh-CN"/>
        </w:rPr>
        <w:t>、广西同泽工程项目管理股份有限公司</w:t>
      </w:r>
      <w:r>
        <w:rPr>
          <w:rFonts w:hint="eastAsia" w:ascii="宋体" w:hAnsi="宋体" w:cs="宋体"/>
          <w:color w:val="auto"/>
          <w:szCs w:val="21"/>
          <w:highlight w:val="none"/>
          <w:u w:val="single"/>
        </w:rPr>
        <w:t>网站（http://www.gxtzfz.cn/）</w:t>
      </w:r>
      <w:r>
        <w:rPr>
          <w:rFonts w:hint="eastAsia" w:ascii="宋体" w:hAnsi="宋体" w:cs="宋体"/>
          <w:color w:val="auto"/>
          <w:szCs w:val="21"/>
          <w:highlight w:val="none"/>
        </w:rPr>
        <w:t>。</w:t>
      </w:r>
    </w:p>
    <w:p>
      <w:pPr>
        <w:rPr>
          <w:color w:val="auto"/>
          <w:highlight w:val="none"/>
        </w:rPr>
      </w:pPr>
    </w:p>
    <w:p>
      <w:pPr>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四、响应文件的递交</w:t>
      </w:r>
    </w:p>
    <w:p>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1、递交响应文件时间：</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 xml:space="preserve"> 10 </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 xml:space="preserve"> 25 </w:t>
      </w:r>
      <w:r>
        <w:rPr>
          <w:rFonts w:hint="eastAsia" w:ascii="宋体" w:hAnsi="宋体" w:eastAsia="宋体" w:cs="宋体"/>
          <w:color w:val="auto"/>
          <w:szCs w:val="21"/>
          <w:highlight w:val="none"/>
        </w:rPr>
        <w:t>日（北京时间）</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00</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rPr>
        <w:t>。</w:t>
      </w:r>
    </w:p>
    <w:p>
      <w:pPr>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2、递交响应文件截止及开标时间：202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 xml:space="preserve"> 10 </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 xml:space="preserve"> 25 </w:t>
      </w:r>
      <w:r>
        <w:rPr>
          <w:rFonts w:hint="eastAsia" w:ascii="宋体" w:hAnsi="宋体" w:eastAsia="宋体" w:cs="宋体"/>
          <w:color w:val="auto"/>
          <w:szCs w:val="21"/>
          <w:highlight w:val="none"/>
        </w:rPr>
        <w:t>日</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rPr>
        <w:t>（北京时间），所有响应文件应于截止时间之前递交，迟交或以电报、传真形式的响应文件将拒绝接收。</w:t>
      </w:r>
    </w:p>
    <w:p>
      <w:pPr>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3、开标地点：</w:t>
      </w:r>
      <w:r>
        <w:rPr>
          <w:rFonts w:hint="eastAsia" w:ascii="宋体" w:hAnsi="宋体" w:eastAsia="宋体" w:cs="宋体"/>
          <w:color w:val="auto"/>
          <w:szCs w:val="21"/>
          <w:highlight w:val="none"/>
          <w:u w:val="single"/>
        </w:rPr>
        <w:t>广东省东莞市南城街道胜和路3号胜和广场2栋100</w:t>
      </w:r>
      <w:r>
        <w:rPr>
          <w:rFonts w:hint="eastAsia" w:ascii="宋体" w:hAnsi="宋体" w:eastAsia="宋体" w:cs="宋体"/>
          <w:color w:val="auto"/>
          <w:szCs w:val="21"/>
          <w:highlight w:val="none"/>
          <w:u w:val="single"/>
          <w:lang w:val="en-US" w:eastAsia="zh-CN"/>
        </w:rPr>
        <w:t>7</w:t>
      </w:r>
      <w:r>
        <w:rPr>
          <w:rFonts w:hint="eastAsia" w:ascii="宋体" w:hAnsi="宋体" w:eastAsia="宋体" w:cs="宋体"/>
          <w:color w:val="auto"/>
          <w:szCs w:val="21"/>
          <w:highlight w:val="none"/>
          <w:u w:val="single"/>
        </w:rPr>
        <w:t>室。</w:t>
      </w:r>
    </w:p>
    <w:p>
      <w:pPr>
        <w:ind w:firstLine="411" w:firstLineChars="196"/>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4、开标事宜：</w:t>
      </w:r>
      <w:r>
        <w:rPr>
          <w:rFonts w:hint="eastAsia" w:ascii="宋体" w:hAnsi="宋体" w:eastAsia="宋体" w:cs="宋体"/>
          <w:b/>
          <w:bCs/>
          <w:color w:val="auto"/>
          <w:szCs w:val="21"/>
          <w:highlight w:val="none"/>
        </w:rPr>
        <w:t>届时请供应商的法定代表人或其授权代表务必携带有效身份证明出席开标会</w:t>
      </w:r>
      <w:r>
        <w:rPr>
          <w:rFonts w:hint="eastAsia" w:ascii="宋体" w:hAnsi="宋体" w:eastAsia="宋体" w:cs="宋体"/>
          <w:bCs/>
          <w:color w:val="auto"/>
          <w:szCs w:val="21"/>
          <w:highlight w:val="none"/>
        </w:rPr>
        <w:t>。</w:t>
      </w:r>
    </w:p>
    <w:p>
      <w:pPr>
        <w:pStyle w:val="6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5、出现以下情形时，采购代理机构不予接收投标（响应）文件：</w:t>
      </w:r>
    </w:p>
    <w:p>
      <w:pPr>
        <w:pStyle w:val="6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（1）逾期送达或者未送达指定地点的；</w:t>
      </w:r>
    </w:p>
    <w:p>
      <w:pPr>
        <w:pStyle w:val="6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（2）未按磋商文件要求密封的。</w:t>
      </w:r>
    </w:p>
    <w:p>
      <w:pPr>
        <w:pStyle w:val="67"/>
        <w:ind w:firstLine="400"/>
        <w:rPr>
          <w:color w:val="auto"/>
          <w:highlight w:val="none"/>
        </w:rPr>
      </w:pPr>
    </w:p>
    <w:p>
      <w:pPr>
        <w:pStyle w:val="67"/>
        <w:ind w:firstLine="422"/>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五</w:t>
      </w:r>
      <w:r>
        <w:rPr>
          <w:rFonts w:ascii="宋体" w:hAnsi="宋体" w:eastAsia="宋体" w:cs="Times New Roman"/>
          <w:b/>
          <w:color w:val="auto"/>
          <w:sz w:val="21"/>
          <w:szCs w:val="21"/>
          <w:highlight w:val="none"/>
        </w:rPr>
        <w:t>、发布公告的媒介</w:t>
      </w:r>
    </w:p>
    <w:p>
      <w:pPr>
        <w:pStyle w:val="67"/>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pPr>
        <w:pStyle w:val="67"/>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中国招标投标公共服务平台（http://www.cebpubservice.com/）、东莞实业投资控股集团有限公司-招标采购栏目（http://www.dgsy.com.cn/）</w:t>
      </w:r>
      <w:r>
        <w:rPr>
          <w:rFonts w:hint="eastAsia" w:ascii="宋体" w:hAnsi="宋体" w:eastAsia="宋体" w:cs="宋体"/>
          <w:color w:val="auto"/>
          <w:sz w:val="21"/>
          <w:szCs w:val="21"/>
          <w:highlight w:val="none"/>
          <w:u w:val="single"/>
          <w:lang w:eastAsia="zh-CN"/>
        </w:rPr>
        <w:t>、广西同泽工程项目管理股份有限公司</w:t>
      </w:r>
      <w:r>
        <w:rPr>
          <w:rFonts w:hint="eastAsia" w:ascii="宋体" w:hAnsi="宋体" w:eastAsia="宋体" w:cs="宋体"/>
          <w:color w:val="auto"/>
          <w:sz w:val="21"/>
          <w:szCs w:val="21"/>
          <w:highlight w:val="none"/>
          <w:u w:val="single"/>
        </w:rPr>
        <w:t>网站（http://www.gxtzfz.cn/）</w:t>
      </w:r>
      <w:r>
        <w:rPr>
          <w:rFonts w:hint="eastAsia" w:ascii="宋体" w:hAnsi="宋体" w:eastAsia="宋体" w:cs="宋体"/>
          <w:color w:val="auto"/>
          <w:sz w:val="21"/>
          <w:szCs w:val="21"/>
          <w:highlight w:val="none"/>
        </w:rPr>
        <w:t>。</w:t>
      </w:r>
    </w:p>
    <w:p>
      <w:pPr>
        <w:pStyle w:val="6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pPr>
        <w:pStyle w:val="67"/>
        <w:spacing w:line="360" w:lineRule="auto"/>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东莞实业投资控股集团有限公司-招标采购栏目（http://www.dgsy.com.cn/）。</w:t>
      </w:r>
    </w:p>
    <w:p>
      <w:pPr>
        <w:ind w:firstLine="413" w:firstLineChars="196"/>
        <w:rPr>
          <w:rFonts w:hint="eastAsia" w:ascii="宋体" w:hAnsi="宋体"/>
          <w:b/>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w:t>
      </w:r>
      <w:r>
        <w:rPr>
          <w:rFonts w:ascii="宋体" w:hAnsi="宋体"/>
          <w:bCs/>
          <w:color w:val="auto"/>
          <w:szCs w:val="21"/>
          <w:highlight w:val="none"/>
        </w:rPr>
        <w:t>名称</w:t>
      </w:r>
      <w:r>
        <w:rPr>
          <w:rFonts w:hint="eastAsia" w:ascii="宋体" w:hAnsi="宋体"/>
          <w:bCs/>
          <w:color w:val="auto"/>
          <w:szCs w:val="21"/>
          <w:highlight w:val="none"/>
        </w:rPr>
        <w:t>：</w:t>
      </w:r>
      <w:r>
        <w:rPr>
          <w:rFonts w:hint="eastAsia" w:ascii="宋体" w:hAnsi="宋体"/>
          <w:bCs/>
          <w:color w:val="auto"/>
          <w:szCs w:val="21"/>
          <w:highlight w:val="none"/>
          <w:lang w:eastAsia="zh-CN"/>
        </w:rPr>
        <w:t>东莞市旗圳投资发展有限公司</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吴先生</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采购人地址：东莞市东城区八一路机关二号大院9号楼</w:t>
      </w:r>
    </w:p>
    <w:p>
      <w:pPr>
        <w:ind w:firstLine="420" w:firstLineChars="200"/>
        <w:rPr>
          <w:rFonts w:ascii="宋体" w:hAnsi="宋体"/>
          <w:bCs/>
          <w:color w:val="auto"/>
          <w:szCs w:val="21"/>
          <w:highlight w:val="none"/>
        </w:rPr>
      </w:pPr>
      <w:r>
        <w:rPr>
          <w:rFonts w:hint="eastAsia" w:ascii="宋体" w:hAnsi="宋体"/>
          <w:bCs/>
          <w:color w:val="auto"/>
          <w:szCs w:val="21"/>
          <w:highlight w:val="none"/>
        </w:rPr>
        <w:t xml:space="preserve">采购人联系电话：0769-28681293 </w:t>
      </w:r>
      <w:r>
        <w:rPr>
          <w:rFonts w:hint="eastAsia" w:ascii="宋体" w:hAnsi="宋体"/>
          <w:bCs/>
          <w:color w:val="auto"/>
          <w:szCs w:val="21"/>
          <w:highlight w:val="none"/>
          <w:lang w:val="en-US" w:eastAsia="zh-CN"/>
        </w:rPr>
        <w:t xml:space="preserve"> </w:t>
      </w:r>
      <w:r>
        <w:rPr>
          <w:rFonts w:hint="eastAsia" w:ascii="宋体" w:hAnsi="宋体" w:cs="宋体"/>
          <w:color w:val="auto"/>
          <w:sz w:val="22"/>
          <w:highlight w:val="none"/>
        </w:rPr>
        <w:t xml:space="preserve"> </w:t>
      </w:r>
    </w:p>
    <w:p>
      <w:pPr>
        <w:ind w:firstLine="420" w:firstLineChars="200"/>
        <w:rPr>
          <w:rFonts w:ascii="宋体" w:hAnsi="宋体"/>
          <w:color w:val="auto"/>
          <w:szCs w:val="21"/>
          <w:highlight w:val="none"/>
        </w:rPr>
      </w:pP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采购代理机构名称：</w:t>
      </w:r>
      <w:r>
        <w:rPr>
          <w:rFonts w:hint="eastAsia" w:ascii="宋体" w:hAnsi="宋体" w:cs="宋体"/>
          <w:bCs/>
          <w:color w:val="auto"/>
          <w:szCs w:val="21"/>
          <w:highlight w:val="none"/>
          <w:lang w:eastAsia="zh-CN"/>
        </w:rPr>
        <w:t>广西同泽工程项目管理股份有限公司</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采购代理机构地址：</w:t>
      </w:r>
      <w:r>
        <w:rPr>
          <w:rFonts w:hint="eastAsia" w:ascii="宋体" w:hAnsi="宋体"/>
          <w:color w:val="auto"/>
          <w:szCs w:val="21"/>
          <w:highlight w:val="none"/>
          <w:u w:val="none"/>
        </w:rPr>
        <w:t>广东省东莞市南城街道胜和路3号胜和广场2栋1006室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s="宋体"/>
          <w:bCs/>
          <w:color w:val="auto"/>
          <w:szCs w:val="21"/>
          <w:highlight w:val="none"/>
          <w:lang w:val="en-US" w:eastAsia="zh-CN"/>
        </w:rPr>
        <w:t>张先生</w:t>
      </w:r>
    </w:p>
    <w:p>
      <w:pPr>
        <w:ind w:firstLine="420" w:firstLineChars="200"/>
        <w:rPr>
          <w:rFonts w:hint="default" w:ascii="宋体" w:hAnsi="宋体"/>
          <w:color w:val="auto"/>
          <w:szCs w:val="21"/>
          <w:highlight w:val="none"/>
          <w:lang w:val="en-US"/>
        </w:rPr>
      </w:pPr>
      <w:r>
        <w:rPr>
          <w:rFonts w:hint="eastAsia" w:ascii="宋体" w:hAnsi="宋体"/>
          <w:color w:val="auto"/>
          <w:szCs w:val="21"/>
          <w:highlight w:val="none"/>
        </w:rPr>
        <w:t>采购代理机构联系电话：</w:t>
      </w:r>
      <w:r>
        <w:rPr>
          <w:rFonts w:hint="eastAsia" w:ascii="宋体" w:hAnsi="宋体" w:cs="宋体"/>
          <w:bCs/>
          <w:color w:val="auto"/>
          <w:szCs w:val="21"/>
          <w:highlight w:val="none"/>
        </w:rPr>
        <w:t>0769-</w:t>
      </w:r>
      <w:r>
        <w:rPr>
          <w:rFonts w:hint="eastAsia" w:ascii="宋体" w:hAnsi="宋体" w:cs="宋体"/>
          <w:bCs/>
          <w:color w:val="auto"/>
          <w:szCs w:val="21"/>
          <w:highlight w:val="none"/>
          <w:lang w:val="en-US" w:eastAsia="zh-CN"/>
        </w:rPr>
        <w:t>21688191</w:t>
      </w:r>
    </w:p>
    <w:p>
      <w:pPr>
        <w:ind w:firstLine="420" w:firstLineChars="200"/>
        <w:rPr>
          <w:rFonts w:hint="default" w:eastAsia="宋体"/>
          <w:color w:val="auto"/>
          <w:highlight w:val="none"/>
          <w:lang w:val="en-US" w:eastAsia="zh-CN"/>
        </w:rPr>
      </w:pPr>
      <w:r>
        <w:rPr>
          <w:rFonts w:hint="eastAsia" w:ascii="宋体" w:hAnsi="宋体"/>
          <w:color w:val="auto"/>
          <w:szCs w:val="21"/>
          <w:highlight w:val="none"/>
        </w:rPr>
        <w:t>采购代理机构邮箱：</w:t>
      </w:r>
      <w:r>
        <w:rPr>
          <w:rFonts w:hint="eastAsia" w:ascii="宋体" w:hAnsi="宋体" w:cs="宋体"/>
          <w:bCs/>
          <w:color w:val="auto"/>
          <w:szCs w:val="21"/>
          <w:highlight w:val="none"/>
        </w:rPr>
        <w:t>2195953904</w:t>
      </w:r>
      <w:r>
        <w:rPr>
          <w:rFonts w:hint="eastAsia" w:ascii="宋体" w:hAnsi="宋体" w:cs="宋体"/>
          <w:bCs/>
          <w:color w:val="auto"/>
          <w:szCs w:val="21"/>
          <w:highlight w:val="none"/>
          <w:lang w:val="en-US" w:eastAsia="zh-CN"/>
        </w:rPr>
        <w:t>@qq.com</w:t>
      </w:r>
    </w:p>
    <w:p>
      <w:pPr>
        <w:ind w:firstLine="420" w:firstLineChars="200"/>
        <w:rPr>
          <w:color w:val="auto"/>
          <w:highlight w:val="none"/>
        </w:rPr>
      </w:pPr>
    </w:p>
    <w:p>
      <w:pPr>
        <w:ind w:right="752" w:rightChars="358"/>
        <w:jc w:val="right"/>
        <w:rPr>
          <w:color w:val="auto"/>
          <w:highlight w:val="none"/>
        </w:rPr>
      </w:pPr>
    </w:p>
    <w:p>
      <w:pPr>
        <w:ind w:right="752" w:rightChars="358"/>
        <w:jc w:val="right"/>
        <w:rPr>
          <w:rFonts w:hint="eastAsia" w:ascii="宋体" w:hAnsi="宋体" w:cs="宋体"/>
          <w:color w:val="auto"/>
          <w:szCs w:val="21"/>
          <w:highlight w:val="none"/>
          <w:lang w:eastAsia="zh-CN"/>
        </w:rPr>
      </w:pPr>
      <w:r>
        <w:rPr>
          <w:rFonts w:hint="eastAsia" w:ascii="宋体" w:hAnsi="宋体"/>
          <w:bCs/>
          <w:color w:val="auto"/>
          <w:szCs w:val="21"/>
          <w:highlight w:val="none"/>
          <w:lang w:eastAsia="zh-CN"/>
        </w:rPr>
        <w:t>东莞市旗圳投资发展有限公司</w:t>
      </w:r>
    </w:p>
    <w:p>
      <w:pPr>
        <w:ind w:right="752" w:rightChars="358"/>
        <w:jc w:val="right"/>
        <w:rPr>
          <w:rFonts w:hint="eastAsia" w:ascii="宋体" w:hAnsi="宋体" w:cs="宋体"/>
          <w:color w:val="auto"/>
          <w:szCs w:val="21"/>
          <w:highlight w:val="none"/>
          <w:lang w:eastAsia="zh-CN"/>
        </w:rPr>
      </w:pPr>
    </w:p>
    <w:p>
      <w:pPr>
        <w:ind w:right="752" w:rightChars="358"/>
        <w:jc w:val="right"/>
        <w:rPr>
          <w:rFonts w:hint="eastAsia" w:ascii="宋体" w:hAnsi="宋体" w:cs="宋体"/>
          <w:color w:val="auto"/>
          <w:szCs w:val="21"/>
          <w:highlight w:val="none"/>
          <w:lang w:eastAsia="zh-CN"/>
        </w:rPr>
      </w:pPr>
      <w:bookmarkStart w:id="299" w:name="_GoBack"/>
      <w:bookmarkEnd w:id="299"/>
    </w:p>
    <w:p>
      <w:pPr>
        <w:ind w:right="752" w:rightChars="358"/>
        <w:jc w:val="righ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广西同泽工程项目管理股份有限公司</w:t>
      </w: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 xml:space="preserve"> 10 </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 xml:space="preserve"> 14 </w:t>
      </w:r>
      <w:r>
        <w:rPr>
          <w:rFonts w:hint="eastAsia" w:ascii="宋体" w:hAnsi="宋体" w:cs="宋体"/>
          <w:color w:val="auto"/>
          <w:szCs w:val="21"/>
          <w:highlight w:val="none"/>
          <w:lang w:eastAsia="zh-CN"/>
        </w:rPr>
        <w:t>日</w:t>
      </w:r>
      <w:r>
        <w:rPr>
          <w:rFonts w:hint="eastAsia" w:ascii="宋体" w:hAnsi="宋体" w:cs="宋体"/>
          <w:color w:val="auto"/>
          <w:szCs w:val="21"/>
          <w:highlight w:val="none"/>
        </w:rPr>
        <w:t xml:space="preserve"> </w:t>
      </w:r>
    </w:p>
    <w:p>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4" w:name="_Toc21437"/>
      <w:bookmarkStart w:id="5" w:name="_Toc12350"/>
      <w:r>
        <w:rPr>
          <w:rFonts w:hint="eastAsia"/>
          <w:color w:val="auto"/>
          <w:sz w:val="28"/>
          <w:szCs w:val="28"/>
          <w:highlight w:val="none"/>
        </w:rPr>
        <w:t>第二部分</w:t>
      </w:r>
      <w:r>
        <w:rPr>
          <w:rFonts w:hint="eastAsia"/>
          <w:color w:val="auto"/>
          <w:sz w:val="28"/>
          <w:szCs w:val="28"/>
          <w:highlight w:val="none"/>
          <w:lang w:val="en-US" w:eastAsia="zh-CN"/>
        </w:rPr>
        <w:t xml:space="preserve"> </w:t>
      </w:r>
      <w:r>
        <w:rPr>
          <w:rFonts w:hint="eastAsia"/>
          <w:color w:val="auto"/>
          <w:sz w:val="28"/>
          <w:szCs w:val="28"/>
          <w:highlight w:val="none"/>
        </w:rPr>
        <w:t>相关资料表格</w:t>
      </w:r>
      <w:bookmarkEnd w:id="4"/>
      <w:bookmarkEnd w:id="5"/>
    </w:p>
    <w:p>
      <w:pPr>
        <w:pStyle w:val="4"/>
        <w:spacing w:before="0" w:after="0" w:line="240" w:lineRule="auto"/>
        <w:jc w:val="center"/>
        <w:rPr>
          <w:rFonts w:ascii="宋体" w:hAnsi="宋体" w:cs="宋体"/>
          <w:color w:val="auto"/>
          <w:sz w:val="24"/>
          <w:szCs w:val="24"/>
          <w:highlight w:val="none"/>
        </w:rPr>
      </w:pPr>
      <w:bookmarkStart w:id="6" w:name="_Toc27025"/>
      <w:bookmarkStart w:id="7" w:name="_Toc12658"/>
      <w:r>
        <w:rPr>
          <w:rFonts w:hint="eastAsia" w:ascii="宋体" w:hAnsi="宋体" w:cs="宋体"/>
          <w:color w:val="auto"/>
          <w:sz w:val="24"/>
          <w:szCs w:val="24"/>
          <w:highlight w:val="none"/>
        </w:rPr>
        <w:t>附表一：响应资料表</w:t>
      </w:r>
      <w:bookmarkEnd w:id="6"/>
      <w:bookmarkEnd w:id="7"/>
    </w:p>
    <w:tbl>
      <w:tblPr>
        <w:tblStyle w:val="34"/>
        <w:tblW w:w="867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518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31" w:hRule="atLeast"/>
          <w:jc w:val="center"/>
        </w:trPr>
        <w:tc>
          <w:tcPr>
            <w:tcW w:w="878" w:type="dxa"/>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794" w:type="dxa"/>
            <w:gridSpan w:val="2"/>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66"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项目最高限价（¥1,500,000.00元）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发包方式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color w:val="auto"/>
                <w:szCs w:val="21"/>
                <w:highlight w:val="none"/>
              </w:rPr>
              <w:sym w:font="Wingdings 2" w:char="F0A2"/>
            </w:r>
            <w:r>
              <w:rPr>
                <w:rFonts w:hint="eastAsia" w:ascii="宋体" w:hAnsi="宋体"/>
                <w:b/>
                <w:bCs/>
                <w:color w:val="auto"/>
                <w:szCs w:val="21"/>
                <w:highlight w:val="none"/>
              </w:rPr>
              <w:t>固定总价包干；</w:t>
            </w:r>
          </w:p>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固定单价暂定总价包干；</w:t>
            </w:r>
          </w:p>
          <w:p>
            <w:pPr>
              <w:rPr>
                <w:rFonts w:ascii="宋体" w:hAnsi="宋体"/>
                <w:b/>
                <w:bCs/>
                <w:color w:val="auto"/>
                <w:szCs w:val="21"/>
                <w:highlight w:val="none"/>
                <w:u w:val="single"/>
              </w:rPr>
            </w:pPr>
            <w:r>
              <w:rPr>
                <w:rFonts w:hint="eastAsia" w:ascii="宋体" w:hAnsi="宋体"/>
                <w:color w:val="auto"/>
                <w:szCs w:val="21"/>
                <w:highlight w:val="none"/>
              </w:rPr>
              <w:sym w:font="Wingdings 2" w:char="00A3"/>
            </w:r>
            <w:r>
              <w:rPr>
                <w:rFonts w:hint="eastAsia" w:ascii="宋体" w:hAnsi="宋体"/>
                <w:b/>
                <w:bCs/>
                <w:color w:val="auto"/>
                <w:szCs w:val="21"/>
                <w:highlight w:val="none"/>
              </w:rPr>
              <w:t>费率</w:t>
            </w:r>
            <w:r>
              <w:rPr>
                <w:rFonts w:hint="eastAsia" w:ascii="宋体" w:hAnsi="宋体"/>
                <w:b/>
                <w:bCs/>
                <w:color w:val="auto"/>
                <w:szCs w:val="21"/>
                <w:highlight w:val="none"/>
                <w:u w:val="single"/>
              </w:rPr>
              <w:t xml:space="preserve">         ；</w:t>
            </w:r>
          </w:p>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其他</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是否接受联合体投标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pStyle w:val="56"/>
              <w:ind w:firstLine="0" w:firstLineChars="0"/>
              <w:rPr>
                <w:rFonts w:ascii="宋体" w:hAnsi="宋体" w:cs="宋体"/>
                <w:color w:val="auto"/>
                <w:szCs w:val="21"/>
                <w:highlight w:val="none"/>
              </w:rPr>
            </w:pPr>
            <w:r>
              <w:rPr>
                <w:rFonts w:hint="eastAsia" w:ascii="宋体" w:hAnsi="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olor w:val="auto"/>
                <w:szCs w:val="21"/>
                <w:highlight w:val="none"/>
              </w:rPr>
              <w:t>联合体投标的，应满足下列要求：</w:t>
            </w:r>
            <w:r>
              <w:rPr>
                <w:rFonts w:ascii="宋体" w:hAnsi="宋体"/>
                <w:color w:val="auto"/>
                <w:szCs w:val="21"/>
                <w:highlight w:val="none"/>
                <w:u w:val="single"/>
              </w:rPr>
              <w:t xml:space="preserve">         </w:t>
            </w:r>
            <w:r>
              <w:rPr>
                <w:rFonts w:hint="eastAsia" w:ascii="宋体" w:hAnsi="宋体" w:cs="宋体"/>
                <w:color w:val="auto"/>
                <w:szCs w:val="21"/>
                <w:highlight w:val="none"/>
              </w:rPr>
              <w:t>；</w:t>
            </w:r>
          </w:p>
          <w:p>
            <w:pPr>
              <w:rPr>
                <w:rFonts w:ascii="宋体" w:hAnsi="宋体"/>
                <w:b/>
                <w:bCs/>
                <w:color w:val="auto"/>
                <w:szCs w:val="21"/>
                <w:highlight w:val="none"/>
              </w:rPr>
            </w:pPr>
            <w:r>
              <w:rPr>
                <w:rFonts w:hint="eastAsia" w:ascii="宋体" w:hAnsi="宋体"/>
                <w:color w:val="auto"/>
                <w:szCs w:val="21"/>
                <w:highlight w:val="none"/>
              </w:rPr>
              <w:sym w:font="Wingdings 2" w:char="F0A2"/>
            </w:r>
            <w:r>
              <w:rPr>
                <w:rFonts w:hint="eastAsia" w:ascii="宋体" w:hAnsi="宋体" w:cs="宋体"/>
                <w:color w:val="auto"/>
                <w:szCs w:val="21"/>
                <w:highlight w:val="none"/>
              </w:rPr>
              <w:t>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资金来源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color w:val="auto"/>
                <w:szCs w:val="21"/>
                <w:highlight w:val="none"/>
                <w:u w:val="none"/>
              </w:rPr>
              <w:t>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794" w:type="dxa"/>
            <w:gridSpan w:val="2"/>
            <w:tcBorders>
              <w:tl2br w:val="nil"/>
              <w:tr2bl w:val="nil"/>
            </w:tcBorders>
            <w:noWrap w:val="0"/>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Cs/>
                <w:color w:val="auto"/>
                <w:szCs w:val="21"/>
                <w:highlight w:val="none"/>
              </w:rPr>
            </w:pPr>
            <w:r>
              <w:rPr>
                <w:rFonts w:hint="eastAsia" w:ascii="宋体" w:hAnsi="宋体"/>
                <w:color w:val="auto"/>
                <w:szCs w:val="21"/>
                <w:highlight w:val="none"/>
              </w:rPr>
              <w:sym w:font="Wingdings 2" w:char="F0A2"/>
            </w:r>
            <w:r>
              <w:rPr>
                <w:rFonts w:hint="eastAsia" w:ascii="宋体" w:hAnsi="宋体"/>
                <w:bCs/>
                <w:color w:val="auto"/>
                <w:szCs w:val="21"/>
                <w:highlight w:val="none"/>
              </w:rPr>
              <w:t>不组织。</w:t>
            </w:r>
          </w:p>
          <w:p>
            <w:pPr>
              <w:rPr>
                <w:rFonts w:ascii="宋体" w:hAnsi="宋体"/>
                <w:bCs/>
                <w:color w:val="auto"/>
                <w:szCs w:val="21"/>
                <w:highlight w:val="none"/>
              </w:rPr>
            </w:pP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9"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二、响应文件的编制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794" w:type="dxa"/>
            <w:gridSpan w:val="2"/>
            <w:tcBorders>
              <w:tl2br w:val="nil"/>
              <w:tr2bl w:val="nil"/>
            </w:tcBorders>
            <w:noWrap w:val="0"/>
            <w:vAlign w:val="center"/>
          </w:tcPr>
          <w:p>
            <w:pPr>
              <w:rPr>
                <w:rFonts w:ascii="宋体" w:hAnsi="宋体"/>
                <w:b/>
                <w:color w:val="auto"/>
                <w:szCs w:val="21"/>
                <w:highlight w:val="none"/>
              </w:rPr>
            </w:pPr>
            <w:r>
              <w:rPr>
                <w:rFonts w:hint="eastAsia" w:ascii="宋体" w:hAnsi="宋体"/>
                <w:b/>
                <w:color w:val="auto"/>
                <w:szCs w:val="21"/>
                <w:highlight w:val="none"/>
              </w:rPr>
              <w:t>磋商</w:t>
            </w:r>
            <w:r>
              <w:rPr>
                <w:rFonts w:ascii="宋体" w:hAnsi="宋体"/>
                <w:b/>
                <w:color w:val="auto"/>
                <w:szCs w:val="21"/>
                <w:highlight w:val="none"/>
              </w:rPr>
              <w:t>的</w:t>
            </w:r>
            <w:r>
              <w:rPr>
                <w:rFonts w:hint="eastAsia" w:ascii="宋体" w:hAnsi="宋体"/>
                <w:b/>
                <w:color w:val="auto"/>
                <w:szCs w:val="21"/>
                <w:highlight w:val="none"/>
              </w:rPr>
              <w:t>语言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磋商报价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color w:val="auto"/>
                <w:szCs w:val="21"/>
                <w:highlight w:val="none"/>
              </w:rPr>
              <w:t>详见供应商须知。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0"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磋商保证金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0"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color w:val="auto"/>
                <w:szCs w:val="21"/>
                <w:highlight w:val="none"/>
              </w:rPr>
              <w:t>（1）磋商保证金金额：人民币</w:t>
            </w:r>
            <w:r>
              <w:rPr>
                <w:rFonts w:hint="eastAsia" w:ascii="宋体" w:hAnsi="宋体"/>
                <w:b/>
                <w:color w:val="auto"/>
                <w:szCs w:val="21"/>
                <w:highlight w:val="none"/>
              </w:rPr>
              <w:t>（大写）</w:t>
            </w:r>
            <w:r>
              <w:rPr>
                <w:rFonts w:hint="eastAsia" w:ascii="宋体" w:hAnsi="宋体"/>
                <w:b/>
                <w:color w:val="auto"/>
                <w:szCs w:val="21"/>
                <w:highlight w:val="none"/>
                <w:u w:val="single"/>
                <w:lang w:val="en-US" w:eastAsia="zh-CN"/>
              </w:rPr>
              <w:t>30</w:t>
            </w:r>
            <w:r>
              <w:rPr>
                <w:rFonts w:ascii="宋体" w:hAnsi="宋体"/>
                <w:b/>
                <w:color w:val="auto"/>
                <w:szCs w:val="21"/>
                <w:highlight w:val="none"/>
                <w:u w:val="single"/>
              </w:rPr>
              <w:t>,000.00</w:t>
            </w:r>
            <w:r>
              <w:rPr>
                <w:rFonts w:hint="eastAsia" w:ascii="宋体" w:hAnsi="宋体"/>
                <w:color w:val="auto"/>
                <w:szCs w:val="21"/>
                <w:highlight w:val="none"/>
              </w:rPr>
              <w:t>元（</w:t>
            </w:r>
            <w:r>
              <w:rPr>
                <w:rFonts w:hint="eastAsia" w:ascii="宋体" w:hAnsi="宋体"/>
                <w:b/>
                <w:bCs/>
                <w:color w:val="auto"/>
                <w:szCs w:val="21"/>
                <w:highlight w:val="none"/>
              </w:rPr>
              <w:t>￥</w:t>
            </w:r>
            <w:r>
              <w:rPr>
                <w:rFonts w:hint="eastAsia" w:ascii="宋体" w:hAnsi="宋体"/>
                <w:b/>
                <w:bCs/>
                <w:color w:val="auto"/>
                <w:szCs w:val="21"/>
                <w:highlight w:val="none"/>
                <w:u w:val="single"/>
                <w:lang w:val="en-US" w:eastAsia="zh-CN"/>
              </w:rPr>
              <w:t>叁万</w:t>
            </w:r>
            <w:r>
              <w:rPr>
                <w:rFonts w:hint="eastAsia" w:ascii="宋体" w:hAnsi="宋体"/>
                <w:b/>
                <w:color w:val="auto"/>
                <w:szCs w:val="21"/>
                <w:highlight w:val="none"/>
                <w:u w:val="single"/>
              </w:rPr>
              <w:t>元整</w:t>
            </w:r>
            <w:r>
              <w:rPr>
                <w:rFonts w:hint="eastAsia" w:ascii="宋体" w:hAnsi="宋体"/>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3"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tabs>
                <w:tab w:val="left" w:pos="567"/>
              </w:tabs>
              <w:jc w:val="both"/>
              <w:rPr>
                <w:rFonts w:hAnsi="宋体"/>
                <w:color w:val="auto"/>
                <w:kern w:val="2"/>
                <w:szCs w:val="21"/>
                <w:highlight w:val="none"/>
                <w:lang w:val="zh-CN"/>
              </w:rPr>
            </w:pPr>
            <w:r>
              <w:rPr>
                <w:rFonts w:hint="eastAsia" w:ascii="宋体" w:hAnsi="宋体"/>
                <w:color w:val="auto"/>
                <w:szCs w:val="21"/>
                <w:highlight w:val="none"/>
              </w:rPr>
              <w:t>（2）</w:t>
            </w:r>
            <w:r>
              <w:rPr>
                <w:rFonts w:hint="eastAsia" w:hAnsi="宋体"/>
                <w:color w:val="auto"/>
                <w:kern w:val="2"/>
                <w:szCs w:val="21"/>
                <w:highlight w:val="none"/>
                <w:lang w:val="zh-CN"/>
              </w:rPr>
              <w:t>磋商保证金采用转帐、电汇方式提交，应符合以下要求：采用银行转账、电汇方式提交的，保证金汇入以下磋商保证金专用账户，不接收由以供应商分支机构、私人帐户和其他单位转入的保证金。磋商保证金必须在响应文件递交截止前到账，磋商保证金未按规定时间到达指定账户或提交金额不足的，将被视为无效响应。且在备注或用途中注明本项目的项目编号。</w:t>
            </w:r>
          </w:p>
          <w:p>
            <w:pPr>
              <w:tabs>
                <w:tab w:val="left" w:pos="567"/>
              </w:tabs>
              <w:ind w:left="567" w:hanging="567"/>
              <w:jc w:val="both"/>
              <w:rPr>
                <w:rFonts w:hAnsi="宋体"/>
                <w:color w:val="auto"/>
                <w:kern w:val="2"/>
                <w:szCs w:val="21"/>
                <w:highlight w:val="none"/>
                <w:lang w:val="zh-CN"/>
              </w:rPr>
            </w:pPr>
            <w:r>
              <w:rPr>
                <w:rFonts w:hint="eastAsia" w:hAnsi="宋体"/>
                <w:color w:val="auto"/>
                <w:kern w:val="2"/>
                <w:szCs w:val="21"/>
                <w:highlight w:val="none"/>
                <w:lang w:val="zh-CN"/>
              </w:rPr>
              <w:t>磋商保证金专用账户如下：</w:t>
            </w:r>
          </w:p>
          <w:p>
            <w:pPr>
              <w:spacing w:line="360" w:lineRule="auto"/>
              <w:ind w:firstLine="422" w:firstLineChars="200"/>
              <w:rPr>
                <w:rFonts w:hint="default" w:ascii="宋体" w:eastAsia="宋体" w:cs="宋体"/>
                <w:b/>
                <w:bCs/>
                <w:color w:val="auto"/>
                <w:sz w:val="21"/>
                <w:szCs w:val="20"/>
                <w:highlight w:val="none"/>
                <w:u w:val="single"/>
                <w:lang w:val="en-US" w:eastAsia="zh-CN"/>
              </w:rPr>
            </w:pPr>
            <w:r>
              <w:rPr>
                <w:rFonts w:hint="eastAsia" w:ascii="宋体" w:cs="宋体"/>
                <w:b/>
                <w:bCs/>
                <w:color w:val="auto"/>
                <w:sz w:val="21"/>
                <w:szCs w:val="20"/>
                <w:highlight w:val="none"/>
                <w:u w:val="single"/>
              </w:rPr>
              <w:t>公司名称：</w:t>
            </w:r>
            <w:r>
              <w:rPr>
                <w:rFonts w:hint="eastAsia" w:ascii="宋体" w:cs="宋体"/>
                <w:b/>
                <w:bCs/>
                <w:color w:val="auto"/>
                <w:sz w:val="21"/>
                <w:szCs w:val="20"/>
                <w:highlight w:val="none"/>
                <w:u w:val="single"/>
                <w:lang w:eastAsia="zh-CN"/>
              </w:rPr>
              <w:t>广西同泽工程项目管理股份有限公司</w:t>
            </w:r>
            <w:r>
              <w:rPr>
                <w:rFonts w:hint="eastAsia" w:ascii="宋体" w:cs="宋体"/>
                <w:b/>
                <w:bCs/>
                <w:color w:val="auto"/>
                <w:sz w:val="21"/>
                <w:szCs w:val="20"/>
                <w:highlight w:val="none"/>
                <w:u w:val="single"/>
                <w:lang w:val="en-US" w:eastAsia="zh-CN"/>
              </w:rPr>
              <w:t>东莞分公司</w:t>
            </w:r>
          </w:p>
          <w:p>
            <w:pPr>
              <w:spacing w:line="360" w:lineRule="auto"/>
              <w:ind w:firstLine="422" w:firstLineChars="200"/>
              <w:rPr>
                <w:rFonts w:hint="eastAsia" w:ascii="宋体" w:cs="宋体"/>
                <w:b/>
                <w:bCs/>
                <w:color w:val="auto"/>
                <w:sz w:val="21"/>
                <w:szCs w:val="20"/>
                <w:highlight w:val="none"/>
                <w:u w:val="single"/>
              </w:rPr>
            </w:pPr>
            <w:r>
              <w:rPr>
                <w:rFonts w:hint="eastAsia" w:ascii="宋体" w:cs="宋体"/>
                <w:b/>
                <w:bCs/>
                <w:color w:val="auto"/>
                <w:sz w:val="21"/>
                <w:szCs w:val="20"/>
                <w:highlight w:val="none"/>
                <w:u w:val="single"/>
              </w:rPr>
              <w:t>开 户 行：中国民生银行东莞松山湖支行</w:t>
            </w:r>
          </w:p>
          <w:p>
            <w:pPr>
              <w:tabs>
                <w:tab w:val="left" w:pos="567"/>
              </w:tabs>
              <w:ind w:firstLine="422" w:firstLineChars="200"/>
              <w:jc w:val="both"/>
              <w:rPr>
                <w:rFonts w:hint="eastAsia" w:ascii="宋体" w:cs="宋体"/>
                <w:b/>
                <w:bCs/>
                <w:color w:val="auto"/>
                <w:sz w:val="21"/>
                <w:szCs w:val="20"/>
                <w:highlight w:val="none"/>
                <w:u w:val="single"/>
              </w:rPr>
            </w:pPr>
            <w:r>
              <w:rPr>
                <w:rFonts w:hint="eastAsia" w:ascii="宋体" w:cs="宋体"/>
                <w:b/>
                <w:bCs/>
                <w:color w:val="auto"/>
                <w:sz w:val="21"/>
                <w:szCs w:val="20"/>
                <w:highlight w:val="none"/>
                <w:u w:val="single"/>
              </w:rPr>
              <w:t xml:space="preserve">帐    号：641169654 </w:t>
            </w:r>
          </w:p>
          <w:p>
            <w:pPr>
              <w:tabs>
                <w:tab w:val="left" w:pos="567"/>
              </w:tabs>
              <w:ind w:firstLine="422" w:firstLineChars="200"/>
              <w:jc w:val="both"/>
              <w:rPr>
                <w:rFonts w:ascii="宋体" w:hAnsi="宋体"/>
                <w:b/>
                <w:color w:val="auto"/>
                <w:szCs w:val="21"/>
                <w:highlight w:val="none"/>
              </w:rPr>
            </w:pPr>
            <w:r>
              <w:rPr>
                <w:rFonts w:hint="eastAsia" w:hAnsi="宋体" w:cs="宋体"/>
                <w:b/>
                <w:color w:val="auto"/>
                <w:szCs w:val="21"/>
                <w:highlight w:val="none"/>
              </w:rPr>
              <w:t>（注：各供应商在转帐或电汇时须在用途栏上备注项目编号，及项目名称，如有字数限制项目名称可简写。）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0"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794" w:type="dxa"/>
            <w:gridSpan w:val="2"/>
            <w:tcBorders>
              <w:tl2br w:val="nil"/>
              <w:tr2bl w:val="nil"/>
            </w:tcBorders>
            <w:noWrap w:val="0"/>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磋商保证金退还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535"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）未成交的供应商的保证金应当在成交通知书发出后退还，成交</w:t>
            </w:r>
            <w:r>
              <w:rPr>
                <w:rFonts w:hint="eastAsia" w:ascii="宋体" w:hAnsi="宋体"/>
                <w:color w:val="auto"/>
                <w:szCs w:val="21"/>
                <w:highlight w:val="none"/>
              </w:rPr>
              <w:t>的</w:t>
            </w:r>
            <w:r>
              <w:rPr>
                <w:rFonts w:hint="eastAsia" w:ascii="宋体" w:hAnsi="宋体"/>
                <w:color w:val="auto"/>
                <w:szCs w:val="21"/>
                <w:highlight w:val="none"/>
                <w:lang w:val="zh-CN"/>
              </w:rPr>
              <w:t>供应商的保证金应当在采购合同签订</w:t>
            </w:r>
            <w:r>
              <w:rPr>
                <w:rFonts w:hint="eastAsia" w:ascii="宋体" w:hAnsi="宋体"/>
                <w:color w:val="auto"/>
                <w:szCs w:val="21"/>
                <w:highlight w:val="none"/>
              </w:rPr>
              <w:t>并缴纳履约保证金</w:t>
            </w:r>
            <w:r>
              <w:rPr>
                <w:rFonts w:hint="eastAsia" w:ascii="宋体" w:hAnsi="宋体"/>
                <w:color w:val="auto"/>
                <w:szCs w:val="21"/>
                <w:highlight w:val="none"/>
                <w:lang w:val="zh-CN"/>
              </w:rPr>
              <w:t>后退还。</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）为方便退还未成交的供应商的保证金，供应商应制作《磋商保证金汇入情况说明》随唱标信封一并递交。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磋商有效期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794" w:type="dxa"/>
            <w:gridSpan w:val="2"/>
            <w:tcBorders>
              <w:tl2br w:val="nil"/>
              <w:tr2bl w:val="nil"/>
            </w:tcBorders>
            <w:noWrap w:val="0"/>
            <w:vAlign w:val="center"/>
          </w:tcPr>
          <w:p>
            <w:pPr>
              <w:jc w:val="left"/>
              <w:rPr>
                <w:rFonts w:ascii="宋体" w:hAnsi="宋体"/>
                <w:b/>
                <w:color w:val="auto"/>
                <w:szCs w:val="21"/>
                <w:highlight w:val="none"/>
              </w:rPr>
            </w:pPr>
            <w:r>
              <w:rPr>
                <w:rFonts w:hint="eastAsia" w:ascii="宋体" w:hAnsi="宋体"/>
                <w:b/>
                <w:color w:val="auto"/>
                <w:szCs w:val="21"/>
                <w:highlight w:val="none"/>
              </w:rPr>
              <w:t>供应商应提交以下响应文件（响应文件由唱标信封、价格文件、商务文件、技术文件、电子文档五部分组成；价格文件、商务文件、技术文件分别单独装订成册，电子文档装入唱标信封一同封装；具体编制和封装要求详见第四部分供应商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唱标信封</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7"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sym w:font="Wingdings 2" w:char="F0A2"/>
            </w:r>
            <w:r>
              <w:rPr>
                <w:rFonts w:ascii="宋体" w:hAnsi="宋体"/>
                <w:b/>
                <w:color w:val="auto"/>
                <w:szCs w:val="21"/>
                <w:highlight w:val="none"/>
              </w:rPr>
              <w:t>3</w:t>
            </w:r>
            <w:r>
              <w:rPr>
                <w:rFonts w:hint="eastAsia" w:ascii="宋体" w:hAnsi="宋体"/>
                <w:b/>
                <w:color w:val="auto"/>
                <w:szCs w:val="21"/>
                <w:highlight w:val="none"/>
              </w:rPr>
              <w:t xml:space="preserve">  </w:t>
            </w:r>
            <w:r>
              <w:rPr>
                <w:rFonts w:hint="eastAsia" w:ascii="宋体" w:hAnsi="宋体"/>
                <w:b/>
                <w:color w:val="auto"/>
                <w:szCs w:val="21"/>
                <w:highlight w:val="none"/>
              </w:rPr>
              <w:sym w:font="Wingdings 2" w:char="00A3"/>
            </w:r>
            <w:r>
              <w:rPr>
                <w:rFonts w:ascii="宋体" w:hAnsi="宋体"/>
                <w:b/>
                <w:color w:val="auto"/>
                <w:szCs w:val="21"/>
                <w:highlight w:val="none"/>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vMerge w:val="restart"/>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vMerge w:val="continue"/>
            <w:tcBorders>
              <w:tl2br w:val="nil"/>
              <w:tr2bl w:val="nil"/>
            </w:tcBorders>
            <w:noWrap w:val="0"/>
            <w:vAlign w:val="center"/>
          </w:tcPr>
          <w:p>
            <w:pPr>
              <w:jc w:val="center"/>
              <w:rPr>
                <w:rFonts w:ascii="宋体" w:hAnsi="宋体"/>
                <w:b/>
                <w:color w:val="auto"/>
                <w:szCs w:val="21"/>
                <w:highlight w:val="none"/>
              </w:rPr>
            </w:pP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cs="Times New Roman"/>
                <w:b/>
                <w:color w:val="auto"/>
                <w:szCs w:val="21"/>
                <w:highlight w:val="none"/>
              </w:rPr>
              <w:t>U盘，须含盖章版PDF响应文件和WORD版响应文件各一版，文字采用WORD文档，计算表格采用 EXCEL文档。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94"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综合评分法评分因素和权重分值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color w:val="auto"/>
                <w:szCs w:val="21"/>
                <w:highlight w:val="none"/>
              </w:rPr>
              <w:t>见附表二。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b/>
                <w:color w:val="auto"/>
                <w:szCs w:val="21"/>
                <w:highlight w:val="none"/>
              </w:rPr>
              <w:t>评标委员会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color w:val="auto"/>
                <w:szCs w:val="21"/>
                <w:highlight w:val="none"/>
              </w:rPr>
              <w:t>评标委员会成员共</w:t>
            </w:r>
            <w:r>
              <w:rPr>
                <w:rFonts w:ascii="宋体" w:hAnsi="宋体"/>
                <w:color w:val="auto"/>
                <w:szCs w:val="21"/>
                <w:highlight w:val="none"/>
                <w:u w:val="single"/>
              </w:rPr>
              <w:t>3</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w:t>
            </w:r>
            <w:r>
              <w:rPr>
                <w:rFonts w:hint="eastAsia" w:ascii="宋体" w:hAnsi="宋体"/>
                <w:color w:val="auto"/>
                <w:szCs w:val="21"/>
                <w:highlight w:val="none"/>
              </w:rPr>
              <w:t>的</w:t>
            </w:r>
            <w:r>
              <w:rPr>
                <w:rFonts w:hint="eastAsia" w:ascii="宋体" w:hAnsi="宋体"/>
                <w:color w:val="auto"/>
                <w:szCs w:val="21"/>
                <w:highlight w:val="none"/>
                <w:lang w:val="zh-CN"/>
              </w:rPr>
              <w:t>代表和</w:t>
            </w:r>
            <w:r>
              <w:rPr>
                <w:rFonts w:hint="eastAsia" w:ascii="宋体" w:hAnsi="宋体"/>
                <w:color w:val="auto"/>
                <w:szCs w:val="21"/>
                <w:highlight w:val="none"/>
              </w:rPr>
              <w:t>有关方面的</w:t>
            </w:r>
            <w:r>
              <w:rPr>
                <w:rFonts w:hint="eastAsia" w:ascii="宋体" w:hAnsi="宋体"/>
                <w:color w:val="auto"/>
                <w:szCs w:val="21"/>
                <w:highlight w:val="none"/>
                <w:lang w:val="zh-CN"/>
              </w:rPr>
              <w:t>专家组成，</w:t>
            </w:r>
            <w:r>
              <w:rPr>
                <w:rFonts w:hint="eastAsia" w:ascii="宋体" w:hAnsi="宋体"/>
                <w:color w:val="auto"/>
                <w:szCs w:val="21"/>
                <w:highlight w:val="none"/>
              </w:rPr>
              <w:t>成员人数为三人或三人以上单数</w:t>
            </w:r>
            <w:r>
              <w:rPr>
                <w:rFonts w:hint="eastAsia" w:ascii="宋体" w:hAnsi="宋体"/>
                <w:color w:val="auto"/>
                <w:szCs w:val="21"/>
                <w:highlight w:val="none"/>
                <w:lang w:val="zh-CN"/>
              </w:rPr>
              <w:t>，其中专家不得少于成员总数的三分之二。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03"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9"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履约担保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0"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u w:val="single"/>
              </w:rPr>
            </w:pPr>
            <w:r>
              <w:rPr>
                <w:rFonts w:hint="eastAsia" w:ascii="宋体" w:hAnsi="宋体"/>
                <w:color w:val="auto"/>
                <w:szCs w:val="21"/>
                <w:highlight w:val="none"/>
              </w:rPr>
              <w:t>履约担保金额为：</w:t>
            </w:r>
            <w:r>
              <w:rPr>
                <w:rFonts w:hint="eastAsia" w:ascii="宋体" w:hAnsi="宋体"/>
                <w:color w:val="auto"/>
                <w:szCs w:val="21"/>
                <w:highlight w:val="none"/>
                <w:u w:val="single"/>
              </w:rPr>
              <w:t>合同金额的</w:t>
            </w:r>
            <w:r>
              <w:rPr>
                <w:rFonts w:ascii="宋体" w:hAnsi="宋体"/>
                <w:color w:val="auto"/>
                <w:szCs w:val="21"/>
                <w:highlight w:val="none"/>
                <w:u w:val="single"/>
              </w:rPr>
              <w:t>10%</w:t>
            </w:r>
            <w:r>
              <w:rPr>
                <w:rFonts w:hint="eastAsia" w:ascii="宋体" w:hAnsi="宋体"/>
                <w:color w:val="auto"/>
                <w:szCs w:val="21"/>
                <w:highlight w:val="none"/>
                <w:u w:val="single"/>
              </w:rPr>
              <w:t>。</w:t>
            </w:r>
          </w:p>
          <w:p>
            <w:pPr>
              <w:jc w:val="both"/>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履约保证金账户信息：</w:t>
            </w:r>
          </w:p>
          <w:p>
            <w:pPr>
              <w:ind w:firstLine="420" w:firstLineChars="200"/>
              <w:jc w:val="both"/>
              <w:rPr>
                <w:rFonts w:hint="eastAsia" w:ascii="宋体" w:hAnsi="宋体"/>
                <w:color w:val="auto"/>
                <w:szCs w:val="21"/>
                <w:highlight w:val="none"/>
              </w:rPr>
            </w:pPr>
            <w:r>
              <w:rPr>
                <w:rFonts w:hint="eastAsia" w:ascii="宋体" w:hAnsi="宋体"/>
                <w:color w:val="auto"/>
                <w:szCs w:val="21"/>
                <w:highlight w:val="none"/>
              </w:rPr>
              <w:t>账户名称：</w:t>
            </w:r>
            <w:r>
              <w:rPr>
                <w:rFonts w:hint="eastAsia" w:ascii="宋体" w:hAnsi="宋体"/>
                <w:color w:val="auto"/>
                <w:szCs w:val="21"/>
                <w:highlight w:val="none"/>
                <w:u w:val="single"/>
                <w:lang w:eastAsia="zh-CN"/>
              </w:rPr>
              <w:t>东莞市旗圳投资发展有限公司</w:t>
            </w:r>
            <w:r>
              <w:rPr>
                <w:rFonts w:hint="eastAsia" w:hAnsi="宋体" w:cs="宋体"/>
                <w:color w:val="auto"/>
                <w:kern w:val="2"/>
                <w:szCs w:val="21"/>
                <w:highlight w:val="none"/>
                <w:lang w:val="zh-CN"/>
              </w:rPr>
              <w:t>；</w:t>
            </w:r>
          </w:p>
          <w:p>
            <w:pPr>
              <w:ind w:firstLine="420" w:firstLineChars="200"/>
              <w:jc w:val="both"/>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u w:val="single"/>
              </w:rPr>
              <w:t>：</w:t>
            </w:r>
            <w:r>
              <w:rPr>
                <w:rFonts w:hint="eastAsia" w:ascii="宋体" w:hAnsi="宋体" w:eastAsia="宋体" w:cs="Times New Roman"/>
                <w:color w:val="auto"/>
                <w:sz w:val="21"/>
                <w:szCs w:val="21"/>
                <w:highlight w:val="none"/>
                <w:u w:val="single"/>
                <w:lang w:val="en-US" w:eastAsia="zh-CN"/>
              </w:rPr>
              <w:t>广发银行股份有限公司东莞华发支行</w:t>
            </w:r>
            <w:r>
              <w:rPr>
                <w:rFonts w:hint="eastAsia" w:ascii="宋体" w:hAnsi="宋体" w:cs="Times New Roman"/>
                <w:color w:val="auto"/>
                <w:kern w:val="0"/>
                <w:szCs w:val="21"/>
                <w:highlight w:val="none"/>
                <w:u w:val="single"/>
                <w:lang w:val="zh-CN"/>
              </w:rPr>
              <w:t>；</w:t>
            </w:r>
          </w:p>
          <w:p>
            <w:pPr>
              <w:ind w:firstLine="420" w:firstLineChars="200"/>
              <w:jc w:val="both"/>
              <w:rPr>
                <w:rFonts w:ascii="宋体" w:hAnsi="宋体"/>
                <w:color w:val="auto"/>
                <w:szCs w:val="21"/>
                <w:highlight w:val="none"/>
              </w:rPr>
            </w:pPr>
            <w:r>
              <w:rPr>
                <w:rFonts w:hint="eastAsia" w:ascii="宋体" w:hAnsi="宋体"/>
                <w:color w:val="auto"/>
                <w:szCs w:val="21"/>
                <w:highlight w:val="none"/>
              </w:rPr>
              <w:t>银行账号：</w:t>
            </w:r>
            <w:r>
              <w:rPr>
                <w:rFonts w:hint="eastAsia" w:ascii="宋体" w:hAnsi="宋体" w:eastAsia="宋体" w:cs="Times New Roman"/>
                <w:color w:val="auto"/>
                <w:sz w:val="21"/>
                <w:szCs w:val="21"/>
                <w:highlight w:val="none"/>
                <w:u w:val="single"/>
                <w:lang w:val="en-US" w:eastAsia="zh-CN"/>
              </w:rPr>
              <w:t>9550 8802 4639 6700 141</w:t>
            </w:r>
            <w:r>
              <w:rPr>
                <w:rFonts w:hint="eastAsia" w:ascii="宋体" w:hAnsi="宋体" w:cs="Times New Roman"/>
                <w:color w:val="auto"/>
                <w:kern w:val="0"/>
                <w:szCs w:val="21"/>
                <w:highlight w:val="none"/>
                <w:u w:val="single"/>
                <w:lang w:val="zh-CN"/>
              </w:rPr>
              <w:t>；</w:t>
            </w:r>
          </w:p>
          <w:p>
            <w:pPr>
              <w:jc w:val="both"/>
              <w:rPr>
                <w:rFonts w:ascii="宋体" w:hAnsi="宋体"/>
                <w:color w:val="auto"/>
                <w:szCs w:val="21"/>
                <w:highlight w:val="none"/>
              </w:rPr>
            </w:pPr>
            <w:r>
              <w:rPr>
                <w:rFonts w:hint="eastAsia" w:ascii="宋体" w:hAnsi="宋体"/>
                <w:color w:val="auto"/>
                <w:szCs w:val="21"/>
                <w:highlight w:val="none"/>
              </w:rPr>
              <w:t>3.成交人在采购（合同签署）时提交履约担保，履约担保金额不超过成交合同金额的10%，如果成交人提交的履约保函的有效期先于合同要求的履约保函有效期到达，成交人应在原提交的履约保函有效期满前15天，无条件办理保函延期手续。否则，视为成交人违约，采购人可在保函到期前将保函金额转为现金存入履约保证金帐户。</w:t>
            </w:r>
          </w:p>
          <w:p>
            <w:pPr>
              <w:jc w:val="both"/>
              <w:rPr>
                <w:rFonts w:ascii="宋体" w:hAnsi="宋体"/>
                <w:color w:val="auto"/>
                <w:szCs w:val="21"/>
                <w:highlight w:val="none"/>
              </w:rPr>
            </w:pPr>
            <w:r>
              <w:rPr>
                <w:rFonts w:hint="eastAsia" w:ascii="宋体" w:hAnsi="宋体"/>
                <w:color w:val="auto"/>
                <w:szCs w:val="21"/>
                <w:highlight w:val="none"/>
              </w:rPr>
              <w:t>4.履约担保期限从合同签订之日起至项目完工验收合格并结算完毕后，经各方签字</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30</w:t>
            </w:r>
            <w:r>
              <w:rPr>
                <w:rFonts w:hint="eastAsia" w:ascii="宋体" w:hAnsi="宋体"/>
                <w:color w:val="auto"/>
                <w:szCs w:val="21"/>
                <w:highlight w:val="none"/>
                <w:u w:val="single"/>
              </w:rPr>
              <w:t xml:space="preserve">  </w:t>
            </w:r>
            <w:r>
              <w:rPr>
                <w:rFonts w:hint="eastAsia" w:ascii="宋体" w:hAnsi="宋体"/>
                <w:color w:val="auto"/>
                <w:szCs w:val="21"/>
                <w:highlight w:val="none"/>
              </w:rPr>
              <w:t>天内保持有效。</w:t>
            </w:r>
          </w:p>
          <w:p>
            <w:pPr>
              <w:jc w:val="both"/>
              <w:rPr>
                <w:rFonts w:ascii="宋体" w:hAnsi="宋体"/>
                <w:color w:val="auto"/>
                <w:szCs w:val="21"/>
                <w:highlight w:val="none"/>
              </w:rPr>
            </w:pPr>
            <w:r>
              <w:rPr>
                <w:rFonts w:hint="eastAsia" w:ascii="宋体" w:hAnsi="宋体"/>
                <w:color w:val="auto"/>
                <w:szCs w:val="21"/>
                <w:highlight w:val="none"/>
              </w:rPr>
              <w:t>5、履约担保要求：</w:t>
            </w:r>
          </w:p>
          <w:p>
            <w:pPr>
              <w:jc w:val="both"/>
              <w:rPr>
                <w:rFonts w:ascii="宋体" w:hAnsi="宋体"/>
                <w:color w:val="auto"/>
                <w:szCs w:val="21"/>
                <w:highlight w:val="none"/>
              </w:rPr>
            </w:pPr>
            <w:r>
              <w:rPr>
                <w:rFonts w:hint="eastAsia" w:ascii="宋体" w:hAnsi="宋体"/>
                <w:color w:val="auto"/>
                <w:szCs w:val="21"/>
                <w:highlight w:val="none"/>
              </w:rPr>
              <w:t>（1）履约保函。如果成交人的履约担保是以银行保函形式提供的，则该银行保函应：</w:t>
            </w:r>
          </w:p>
          <w:p>
            <w:pPr>
              <w:jc w:val="both"/>
              <w:rPr>
                <w:rFonts w:ascii="宋体" w:hAnsi="宋体"/>
                <w:color w:val="auto"/>
                <w:szCs w:val="21"/>
                <w:highlight w:val="none"/>
              </w:rPr>
            </w:pPr>
            <w:r>
              <w:rPr>
                <w:rFonts w:hint="eastAsia" w:ascii="宋体" w:hAnsi="宋体"/>
                <w:color w:val="auto"/>
                <w:szCs w:val="21"/>
                <w:highlight w:val="none"/>
              </w:rPr>
              <w:t>①保函应由银行支行或以上银行机构开具。</w:t>
            </w:r>
          </w:p>
          <w:p>
            <w:pPr>
              <w:jc w:val="both"/>
              <w:rPr>
                <w:rFonts w:ascii="宋体" w:hAnsi="宋体"/>
                <w:color w:val="auto"/>
                <w:szCs w:val="21"/>
                <w:highlight w:val="none"/>
              </w:rPr>
            </w:pPr>
            <w:r>
              <w:rPr>
                <w:rFonts w:hint="eastAsia" w:ascii="宋体" w:hAnsi="宋体"/>
                <w:color w:val="auto"/>
                <w:szCs w:val="21"/>
                <w:highlight w:val="none"/>
              </w:rPr>
              <w:t>②保函的格式参考磋商文件附件中提供的无条件不可撤销履约保函格式，保函担保期内若项目未能按期竣工，保函必须延期，办理延期手续时在银行方面所产生费用由成交人负责。</w:t>
            </w:r>
          </w:p>
          <w:p>
            <w:pPr>
              <w:jc w:val="both"/>
              <w:rPr>
                <w:rFonts w:ascii="宋体" w:hAnsi="宋体"/>
                <w:color w:val="auto"/>
                <w:szCs w:val="21"/>
                <w:highlight w:val="none"/>
              </w:rPr>
            </w:pPr>
            <w:r>
              <w:rPr>
                <w:rFonts w:hint="eastAsia" w:ascii="宋体" w:hAnsi="宋体"/>
                <w:color w:val="auto"/>
                <w:szCs w:val="21"/>
                <w:highlight w:val="none"/>
              </w:rPr>
              <w:t>③履约保函必须打印，手写、涂改无效。</w:t>
            </w:r>
          </w:p>
          <w:p>
            <w:pPr>
              <w:jc w:val="both"/>
              <w:rPr>
                <w:rFonts w:ascii="宋体" w:hAnsi="宋体"/>
                <w:color w:val="auto"/>
                <w:szCs w:val="21"/>
                <w:highlight w:val="none"/>
              </w:rPr>
            </w:pPr>
            <w:r>
              <w:rPr>
                <w:rFonts w:hint="eastAsia" w:ascii="宋体" w:hAnsi="宋体"/>
                <w:color w:val="auto"/>
                <w:szCs w:val="21"/>
                <w:highlight w:val="none"/>
              </w:rPr>
              <w:t>（2）履约保证金。可采用电汇、银行汇票等银行转帐方式提交，但不可以采用现金方式提交。成交人必须保证履约保证金以成交人名称在签订合同前提交至采购人指定账户。</w:t>
            </w:r>
          </w:p>
          <w:p>
            <w:pPr>
              <w:jc w:val="both"/>
              <w:rPr>
                <w:rFonts w:ascii="宋体" w:hAnsi="宋体"/>
                <w:color w:val="auto"/>
                <w:szCs w:val="21"/>
                <w:highlight w:val="none"/>
              </w:rPr>
            </w:pPr>
            <w:r>
              <w:rPr>
                <w:rFonts w:hint="eastAsia" w:ascii="宋体" w:hAnsi="宋体"/>
                <w:color w:val="auto"/>
                <w:szCs w:val="21"/>
                <w:highlight w:val="none"/>
              </w:rPr>
              <w:t>（3）若成交人不能按本采购文件的规定提交履约保证金的，采购人将有权取消成交人的成交资格（采购人可以按照评标委员会提出的成交候选人名单排序依次确定其他成交候选人为成交人，也可以重新采购），磋商保证金不予退还，给采购人造成的损失如果超过磋商保证金数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（4）为取得履约担保所需的费用，由成交人承担；若工期延误，履约担保时间延长，延长费用由成交人承担。</w:t>
            </w:r>
          </w:p>
          <w:p>
            <w:pPr>
              <w:jc w:val="both"/>
              <w:rPr>
                <w:rFonts w:ascii="宋体" w:hAnsi="宋体"/>
                <w:color w:val="auto"/>
                <w:szCs w:val="21"/>
                <w:highlight w:val="none"/>
              </w:rPr>
            </w:pPr>
            <w:r>
              <w:rPr>
                <w:rFonts w:hint="eastAsia" w:ascii="宋体" w:hAnsi="宋体"/>
                <w:color w:val="auto"/>
                <w:szCs w:val="21"/>
                <w:highlight w:val="none"/>
              </w:rPr>
              <w:t>（5）若成交人在合同履行过程中出现项目质量事故、工期拖延、欠付工人工资、欠付材料款等情况，采购人在经核查属实后，有权将履约保函金额转为现金存入履约保证金账户；成交人造成采购人损失的，采购人有权立即没收其履约担保，若造成损失超过履约担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（6）下列任何情况发生时，采购人有权行使享有的担保权利：</w:t>
            </w:r>
          </w:p>
          <w:p>
            <w:pPr>
              <w:jc w:val="both"/>
              <w:rPr>
                <w:rFonts w:ascii="宋体" w:hAnsi="宋体"/>
                <w:color w:val="auto"/>
                <w:szCs w:val="21"/>
                <w:highlight w:val="none"/>
              </w:rPr>
            </w:pPr>
            <w:r>
              <w:rPr>
                <w:rFonts w:hint="eastAsia" w:ascii="宋体" w:hAnsi="宋体"/>
                <w:color w:val="auto"/>
                <w:szCs w:val="21"/>
                <w:highlight w:val="none"/>
              </w:rPr>
              <w:t>①成交人将本项目转让给他人，或者在响应文件中未说明，且未经采购人同意，将成交项目分包给他人的；</w:t>
            </w:r>
          </w:p>
          <w:p>
            <w:pPr>
              <w:jc w:val="both"/>
              <w:rPr>
                <w:rFonts w:ascii="宋体" w:hAnsi="宋体"/>
                <w:color w:val="auto"/>
                <w:szCs w:val="21"/>
                <w:highlight w:val="none"/>
              </w:rPr>
            </w:pPr>
            <w:r>
              <w:rPr>
                <w:rFonts w:hint="eastAsia" w:ascii="宋体" w:hAnsi="宋体"/>
                <w:color w:val="auto"/>
                <w:szCs w:val="21"/>
                <w:highlight w:val="none"/>
              </w:rPr>
              <w:t>②成交人在履行采购合同期间，违反有关法律法规的规定及合同约定的条款，损害了采购人的利益。</w:t>
            </w:r>
          </w:p>
          <w:p>
            <w:pPr>
              <w:jc w:val="both"/>
              <w:rPr>
                <w:rFonts w:ascii="宋体" w:hAnsi="宋体"/>
                <w:color w:val="auto"/>
                <w:szCs w:val="21"/>
                <w:highlight w:val="none"/>
              </w:rPr>
            </w:pPr>
            <w:r>
              <w:rPr>
                <w:rFonts w:hint="eastAsia" w:ascii="宋体" w:hAnsi="宋体"/>
                <w:color w:val="auto"/>
                <w:szCs w:val="21"/>
                <w:highlight w:val="none"/>
              </w:rPr>
              <w:t>（7）在整个项目验收合格后，成交人向采购人提交退回履约担保的申请，采购人办理履约担保退还手续。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成交服务费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本项目成交服务费由项目</w:t>
            </w:r>
            <w:r>
              <w:rPr>
                <w:rFonts w:hint="eastAsia" w:ascii="宋体" w:hAnsi="宋体"/>
                <w:color w:val="auto"/>
                <w:szCs w:val="21"/>
                <w:highlight w:val="none"/>
                <w:lang w:val="en-US" w:eastAsia="zh-CN"/>
              </w:rPr>
              <w:t>采购人</w:t>
            </w:r>
            <w:r>
              <w:rPr>
                <w:rFonts w:hint="eastAsia" w:ascii="宋体" w:hAnsi="宋体"/>
                <w:color w:val="auto"/>
                <w:szCs w:val="21"/>
                <w:highlight w:val="none"/>
              </w:rPr>
              <w:t>支付。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20" w:hRule="atLeast"/>
          <w:jc w:val="center"/>
        </w:trPr>
        <w:tc>
          <w:tcPr>
            <w:tcW w:w="8672" w:type="dxa"/>
            <w:gridSpan w:val="3"/>
            <w:tcBorders>
              <w:tl2br w:val="nil"/>
              <w:tr2bl w:val="nil"/>
            </w:tcBorders>
            <w:noWrap w:val="0"/>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注：本表关于要采购项目的具体资料，是对供应商须知的具体补充和修改，如有矛盾，应以本资料表为准。不满足磋商文件中 “★”条款的响应文件将作无效响应处理。</w:t>
            </w:r>
          </w:p>
        </w:tc>
      </w:tr>
    </w:tbl>
    <w:p>
      <w:pPr>
        <w:jc w:val="center"/>
        <w:rPr>
          <w:color w:val="auto"/>
          <w:highlight w:val="none"/>
        </w:rPr>
      </w:pPr>
      <w:r>
        <w:rPr>
          <w:rFonts w:hint="eastAsia"/>
          <w:color w:val="auto"/>
          <w:highlight w:val="none"/>
        </w:rPr>
        <w:br w:type="page"/>
      </w:r>
    </w:p>
    <w:p>
      <w:pPr>
        <w:pStyle w:val="4"/>
        <w:spacing w:before="0" w:after="0" w:line="240" w:lineRule="auto"/>
        <w:jc w:val="center"/>
        <w:rPr>
          <w:rFonts w:hAnsi="宋体" w:cs="宋体"/>
          <w:color w:val="auto"/>
          <w:sz w:val="21"/>
          <w:szCs w:val="21"/>
          <w:highlight w:val="none"/>
        </w:rPr>
      </w:pPr>
      <w:bookmarkStart w:id="8" w:name="_Toc3577"/>
      <w:bookmarkStart w:id="9" w:name="_Toc20708"/>
      <w:r>
        <w:rPr>
          <w:rFonts w:hint="eastAsia" w:ascii="宋体" w:hAnsi="宋体" w:cs="宋体"/>
          <w:color w:val="auto"/>
          <w:sz w:val="24"/>
          <w:szCs w:val="24"/>
          <w:highlight w:val="none"/>
        </w:rPr>
        <w:t>附表二：商务技术评分及价格权重表（满分100分）</w:t>
      </w:r>
      <w:bookmarkEnd w:id="8"/>
      <w:bookmarkEnd w:id="9"/>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
      <w:tblGrid>
        <w:gridCol w:w="674"/>
        <w:gridCol w:w="1157"/>
        <w:gridCol w:w="777"/>
        <w:gridCol w:w="5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457"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46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7"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企业管理体系</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en-US" w:eastAsia="zh-CN"/>
              </w:rPr>
              <w:t>供应商</w:t>
            </w:r>
            <w:r>
              <w:rPr>
                <w:rFonts w:hint="eastAsia" w:ascii="宋体" w:hAnsi="宋体" w:eastAsia="宋体" w:cs="宋体"/>
                <w:b w:val="0"/>
                <w:bCs/>
                <w:color w:val="auto"/>
                <w:sz w:val="21"/>
                <w:szCs w:val="21"/>
                <w:highlight w:val="none"/>
                <w:u w:val="single"/>
                <w:lang w:val="zh-CN"/>
              </w:rPr>
              <w:t>具有由国家认证认可监督管理部门批准设立的认证机构颁发并在有效期内的以下认证证书，每提供一个认证证书得</w:t>
            </w:r>
            <w:r>
              <w:rPr>
                <w:rFonts w:hint="eastAsia" w:ascii="宋体" w:hAnsi="宋体" w:eastAsia="宋体" w:cs="宋体"/>
                <w:b w:val="0"/>
                <w:bCs/>
                <w:color w:val="auto"/>
                <w:sz w:val="21"/>
                <w:szCs w:val="21"/>
                <w:highlight w:val="none"/>
                <w:u w:val="single"/>
                <w:lang w:val="en-US" w:eastAsia="zh-CN"/>
              </w:rPr>
              <w:t>1</w:t>
            </w:r>
            <w:r>
              <w:rPr>
                <w:rFonts w:hint="eastAsia" w:ascii="宋体" w:hAnsi="宋体" w:eastAsia="宋体" w:cs="宋体"/>
                <w:b w:val="0"/>
                <w:bCs/>
                <w:color w:val="auto"/>
                <w:sz w:val="21"/>
                <w:szCs w:val="21"/>
                <w:highlight w:val="none"/>
                <w:u w:val="single"/>
                <w:lang w:val="zh-CN"/>
              </w:rPr>
              <w:t>分，本项最高得</w:t>
            </w:r>
            <w:r>
              <w:rPr>
                <w:rFonts w:hint="eastAsia" w:ascii="宋体" w:hAnsi="宋体" w:eastAsia="宋体" w:cs="宋体"/>
                <w:b w:val="0"/>
                <w:bCs/>
                <w:color w:val="auto"/>
                <w:sz w:val="21"/>
                <w:szCs w:val="21"/>
                <w:highlight w:val="none"/>
                <w:u w:val="single"/>
                <w:lang w:val="en-US" w:eastAsia="zh-CN"/>
              </w:rPr>
              <w:t>3</w:t>
            </w:r>
            <w:r>
              <w:rPr>
                <w:rFonts w:hint="eastAsia" w:ascii="宋体" w:hAnsi="宋体" w:eastAsia="宋体" w:cs="宋体"/>
                <w:b w:val="0"/>
                <w:bCs/>
                <w:color w:val="auto"/>
                <w:sz w:val="21"/>
                <w:szCs w:val="21"/>
                <w:highlight w:val="none"/>
                <w:u w:val="single"/>
                <w:lang w:val="zh-CN"/>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zh-CN"/>
              </w:rPr>
              <w:t>（1）质量管理体系认证证书；</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zh-CN"/>
              </w:rPr>
              <w:t>（2）环境管理体系认证证书；</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zh-CN"/>
              </w:rPr>
              <w:t>（3）职业健康安全管理体系认证证书；</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
                <w:bCs w:val="0"/>
                <w:color w:val="auto"/>
                <w:sz w:val="21"/>
                <w:szCs w:val="21"/>
                <w:highlight w:val="none"/>
                <w:u w:val="single"/>
                <w:lang w:val="zh-CN"/>
              </w:rPr>
              <w:t>注：须提供在有效期内的证书复印件</w:t>
            </w:r>
            <w:r>
              <w:rPr>
                <w:rFonts w:hint="eastAsia" w:ascii="宋体" w:hAnsi="宋体" w:eastAsia="宋体" w:cs="宋体"/>
                <w:b/>
                <w:bCs w:val="0"/>
                <w:color w:val="auto"/>
                <w:sz w:val="21"/>
                <w:szCs w:val="21"/>
                <w:highlight w:val="none"/>
                <w:u w:val="single"/>
                <w:lang w:val="en-US" w:eastAsia="zh-CN"/>
              </w:rPr>
              <w:t>及</w:t>
            </w:r>
            <w:r>
              <w:rPr>
                <w:rFonts w:hint="eastAsia" w:ascii="宋体" w:hAnsi="宋体" w:eastAsia="宋体" w:cs="宋体"/>
                <w:b/>
                <w:bCs w:val="0"/>
                <w:color w:val="auto"/>
                <w:sz w:val="21"/>
                <w:szCs w:val="21"/>
                <w:highlight w:val="none"/>
                <w:u w:val="single"/>
                <w:lang w:val="zh-CN"/>
              </w:rPr>
              <w:t>国家认证认可监督管理委员会认证结果（http://www.cnca.gov.cn/）查询截图加盖</w:t>
            </w:r>
            <w:r>
              <w:rPr>
                <w:rFonts w:hint="eastAsia" w:ascii="宋体" w:hAnsi="宋体" w:eastAsia="宋体" w:cs="宋体"/>
                <w:b/>
                <w:bCs w:val="0"/>
                <w:color w:val="auto"/>
                <w:sz w:val="21"/>
                <w:szCs w:val="21"/>
                <w:highlight w:val="none"/>
                <w:u w:val="single"/>
                <w:lang w:val="en-US" w:eastAsia="zh-CN"/>
              </w:rPr>
              <w:t>供应商</w:t>
            </w:r>
            <w:r>
              <w:rPr>
                <w:rFonts w:hint="eastAsia" w:ascii="宋体" w:hAnsi="宋体" w:eastAsia="宋体" w:cs="宋体"/>
                <w:b/>
                <w:bCs w:val="0"/>
                <w:color w:val="auto"/>
                <w:sz w:val="21"/>
                <w:szCs w:val="21"/>
                <w:highlight w:val="none"/>
                <w:u w:val="single"/>
                <w:lang w:val="zh-CN"/>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vMerge w:val="restart"/>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p>
        </w:tc>
        <w:tc>
          <w:tcPr>
            <w:tcW w:w="1157" w:type="dxa"/>
            <w:vMerge w:val="restart"/>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业绩情况</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Cs/>
                <w:color w:val="auto"/>
                <w:sz w:val="21"/>
                <w:szCs w:val="21"/>
                <w:highlight w:val="none"/>
                <w:u w:val="single"/>
                <w:lang w:val="zh-CN"/>
              </w:rPr>
              <w:t>根据供应商自</w:t>
            </w:r>
            <w:r>
              <w:rPr>
                <w:rFonts w:hint="eastAsia" w:ascii="宋体" w:hAnsi="宋体" w:eastAsia="宋体" w:cs="宋体"/>
                <w:bCs/>
                <w:color w:val="auto"/>
                <w:sz w:val="21"/>
                <w:szCs w:val="21"/>
                <w:highlight w:val="none"/>
                <w:u w:val="single"/>
                <w:lang w:val="en-US" w:eastAsia="zh-CN"/>
              </w:rPr>
              <w:t>2020</w:t>
            </w:r>
            <w:r>
              <w:rPr>
                <w:rFonts w:hint="eastAsia" w:ascii="宋体" w:hAnsi="宋体" w:eastAsia="宋体" w:cs="宋体"/>
                <w:bCs/>
                <w:color w:val="auto"/>
                <w:sz w:val="21"/>
                <w:szCs w:val="21"/>
                <w:highlight w:val="none"/>
                <w:u w:val="single"/>
              </w:rPr>
              <w:t>年0</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月01日</w:t>
            </w:r>
            <w:r>
              <w:rPr>
                <w:rFonts w:hint="eastAsia" w:ascii="宋体" w:hAnsi="宋体" w:eastAsia="宋体" w:cs="宋体"/>
                <w:bCs/>
                <w:color w:val="auto"/>
                <w:sz w:val="21"/>
                <w:szCs w:val="21"/>
                <w:highlight w:val="none"/>
                <w:u w:val="single"/>
                <w:lang w:val="zh-CN"/>
              </w:rPr>
              <w:t>至磋商截止日前承担过用地规模</w:t>
            </w:r>
            <w:r>
              <w:rPr>
                <w:rFonts w:hint="eastAsia" w:ascii="宋体" w:hAnsi="宋体" w:eastAsia="宋体" w:cs="宋体"/>
                <w:bCs/>
                <w:color w:val="auto"/>
                <w:sz w:val="21"/>
                <w:szCs w:val="21"/>
                <w:highlight w:val="none"/>
                <w:u w:val="single"/>
                <w:lang w:val="en-US" w:eastAsia="zh-CN"/>
              </w:rPr>
              <w:t>9.7公顷</w:t>
            </w:r>
            <w:r>
              <w:rPr>
                <w:rFonts w:hint="eastAsia" w:ascii="宋体" w:hAnsi="宋体" w:eastAsia="宋体" w:cs="宋体"/>
                <w:bCs/>
                <w:color w:val="auto"/>
                <w:sz w:val="21"/>
                <w:szCs w:val="21"/>
                <w:highlight w:val="none"/>
                <w:u w:val="single"/>
                <w:lang w:val="zh-CN"/>
              </w:rPr>
              <w:t>或以上的单元规划</w:t>
            </w:r>
            <w:r>
              <w:rPr>
                <w:rFonts w:hint="eastAsia" w:ascii="宋体" w:hAnsi="宋体" w:eastAsia="宋体" w:cs="宋体"/>
                <w:bCs/>
                <w:color w:val="auto"/>
                <w:sz w:val="21"/>
                <w:szCs w:val="21"/>
                <w:highlight w:val="none"/>
                <w:u w:val="single"/>
                <w:lang w:val="en-US" w:eastAsia="zh-CN"/>
              </w:rPr>
              <w:t>或</w:t>
            </w:r>
            <w:r>
              <w:rPr>
                <w:rFonts w:hint="eastAsia" w:ascii="宋体" w:hAnsi="宋体" w:eastAsia="宋体" w:cs="宋体"/>
                <w:bCs/>
                <w:color w:val="auto"/>
                <w:sz w:val="21"/>
                <w:szCs w:val="21"/>
                <w:highlight w:val="none"/>
                <w:u w:val="single"/>
                <w:lang w:val="zh-CN"/>
              </w:rPr>
              <w:t>控规调整编制服务业绩情况进行评审，每提供一项业绩得1分，本项最高得5分。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highlight w:val="none"/>
                <w:u w:val="single"/>
              </w:rPr>
            </w:pPr>
            <w:r>
              <w:rPr>
                <w:rFonts w:hint="eastAsia" w:ascii="宋体" w:hAnsi="宋体" w:eastAsia="宋体" w:cs="宋体"/>
                <w:b/>
                <w:color w:val="auto"/>
                <w:sz w:val="21"/>
                <w:szCs w:val="21"/>
                <w:highlight w:val="none"/>
                <w:u w:val="single"/>
                <w:lang w:val="zh-CN"/>
              </w:rPr>
              <w:t>注：①须提供合同</w:t>
            </w:r>
            <w:r>
              <w:rPr>
                <w:rFonts w:hint="eastAsia" w:ascii="宋体" w:hAnsi="宋体" w:eastAsia="宋体" w:cs="宋体"/>
                <w:b/>
                <w:color w:val="auto"/>
                <w:sz w:val="21"/>
                <w:szCs w:val="21"/>
                <w:highlight w:val="none"/>
                <w:u w:val="single"/>
              </w:rPr>
              <w:t>关键页</w:t>
            </w:r>
            <w:r>
              <w:rPr>
                <w:rFonts w:hint="eastAsia" w:ascii="宋体" w:hAnsi="宋体" w:eastAsia="宋体" w:cs="宋体"/>
                <w:b/>
                <w:color w:val="auto"/>
                <w:sz w:val="21"/>
                <w:szCs w:val="21"/>
                <w:highlight w:val="none"/>
                <w:u w:val="single"/>
                <w:lang w:val="zh-CN"/>
              </w:rPr>
              <w:t>复印件（包含但不限于合同首页、合同金额页、合同签字页等）加盖供应商公章，日期以合同（或协议书）签订时间为准；②</w:t>
            </w:r>
            <w:r>
              <w:rPr>
                <w:rFonts w:hint="eastAsia" w:ascii="宋体" w:hAnsi="宋体" w:eastAsia="宋体" w:cs="宋体"/>
                <w:b/>
                <w:color w:val="auto"/>
                <w:sz w:val="21"/>
                <w:szCs w:val="21"/>
                <w:highlight w:val="none"/>
                <w:u w:val="single"/>
              </w:rPr>
              <w:t>该合同期内任意一期</w:t>
            </w:r>
            <w:r>
              <w:rPr>
                <w:rFonts w:hint="eastAsia" w:ascii="宋体" w:hAnsi="宋体" w:eastAsia="宋体" w:cs="宋体"/>
                <w:b/>
                <w:color w:val="auto"/>
                <w:sz w:val="21"/>
                <w:szCs w:val="21"/>
                <w:highlight w:val="none"/>
                <w:u w:val="single"/>
                <w:lang w:val="zh-CN"/>
              </w:rPr>
              <w:t>发票</w:t>
            </w:r>
            <w:r>
              <w:rPr>
                <w:rFonts w:hint="eastAsia" w:ascii="宋体" w:hAnsi="宋体" w:eastAsia="宋体" w:cs="宋体"/>
                <w:b/>
                <w:color w:val="auto"/>
                <w:sz w:val="21"/>
                <w:szCs w:val="21"/>
                <w:highlight w:val="none"/>
                <w:u w:val="single"/>
              </w:rPr>
              <w:t>复印件并加盖供应商公章</w:t>
            </w:r>
            <w:r>
              <w:rPr>
                <w:rFonts w:hint="eastAsia" w:ascii="宋体" w:hAnsi="宋体" w:eastAsia="宋体" w:cs="宋体"/>
                <w:b/>
                <w:color w:val="auto"/>
                <w:sz w:val="21"/>
                <w:szCs w:val="21"/>
                <w:highlight w:val="none"/>
                <w:u w:val="single"/>
                <w:lang w:val="zh-CN"/>
              </w:rPr>
              <w:t>。如提供的合同（或协议书）无法体现项目面积指标的，可提供供应商另行出具的有效证明材料复印件；③同一项目的业绩不能重复计分，如重复时按高分值计取。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vMerge w:val="continue"/>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p>
        </w:tc>
        <w:tc>
          <w:tcPr>
            <w:tcW w:w="1157" w:type="dxa"/>
            <w:vMerge w:val="continue"/>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highlight w:val="none"/>
                <w:u w:val="single"/>
              </w:rPr>
            </w:pPr>
            <w:r>
              <w:rPr>
                <w:rFonts w:hint="eastAsia" w:ascii="宋体" w:hAnsi="宋体" w:eastAsia="宋体" w:cs="宋体"/>
                <w:color w:val="auto"/>
                <w:sz w:val="21"/>
                <w:szCs w:val="21"/>
                <w:highlight w:val="none"/>
                <w:u w:val="none"/>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根据供应商自</w:t>
            </w:r>
            <w:r>
              <w:rPr>
                <w:rFonts w:hint="eastAsia" w:ascii="宋体" w:hAnsi="宋体" w:eastAsia="宋体" w:cs="宋体"/>
                <w:bCs/>
                <w:color w:val="auto"/>
                <w:sz w:val="21"/>
                <w:szCs w:val="21"/>
                <w:highlight w:val="none"/>
                <w:u w:val="single"/>
                <w:lang w:val="en-US" w:eastAsia="zh-CN"/>
              </w:rPr>
              <w:t>2020</w:t>
            </w:r>
            <w:r>
              <w:rPr>
                <w:rFonts w:hint="eastAsia" w:ascii="宋体" w:hAnsi="宋体" w:eastAsia="宋体" w:cs="宋体"/>
                <w:bCs/>
                <w:color w:val="auto"/>
                <w:sz w:val="21"/>
                <w:szCs w:val="21"/>
                <w:highlight w:val="none"/>
                <w:u w:val="single"/>
              </w:rPr>
              <w:t>年0</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月01日至磋商截止日前承担过城市更新政策或编制指引或控规改革政策制定与研究的业绩情况进行评审，每提供一项业绩得1分，本项最高得5分。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
                <w:color w:val="auto"/>
                <w:sz w:val="21"/>
                <w:szCs w:val="21"/>
                <w:highlight w:val="none"/>
                <w:u w:val="single"/>
                <w:lang w:val="zh-CN"/>
              </w:rPr>
              <w:t>注：①须提供合同</w:t>
            </w:r>
            <w:r>
              <w:rPr>
                <w:rFonts w:hint="eastAsia" w:ascii="宋体" w:hAnsi="宋体" w:eastAsia="宋体" w:cs="宋体"/>
                <w:b/>
                <w:color w:val="auto"/>
                <w:sz w:val="21"/>
                <w:szCs w:val="21"/>
                <w:highlight w:val="none"/>
                <w:u w:val="single"/>
              </w:rPr>
              <w:t>关键页</w:t>
            </w:r>
            <w:r>
              <w:rPr>
                <w:rFonts w:hint="eastAsia" w:ascii="宋体" w:hAnsi="宋体" w:eastAsia="宋体" w:cs="宋体"/>
                <w:b/>
                <w:color w:val="auto"/>
                <w:sz w:val="21"/>
                <w:szCs w:val="21"/>
                <w:highlight w:val="none"/>
                <w:u w:val="single"/>
                <w:lang w:val="zh-CN"/>
              </w:rPr>
              <w:t>复印件（包含但不限于合同首页、合同金额页、合同签字页等）加盖供应商公章，日期以合同（或协议书）签订时间为准；②</w:t>
            </w:r>
            <w:r>
              <w:rPr>
                <w:rFonts w:hint="eastAsia" w:ascii="宋体" w:hAnsi="宋体" w:eastAsia="宋体" w:cs="宋体"/>
                <w:b/>
                <w:color w:val="auto"/>
                <w:sz w:val="21"/>
                <w:szCs w:val="21"/>
                <w:highlight w:val="none"/>
                <w:u w:val="single"/>
              </w:rPr>
              <w:t>该合同期内任意一期</w:t>
            </w:r>
            <w:r>
              <w:rPr>
                <w:rFonts w:hint="eastAsia" w:ascii="宋体" w:hAnsi="宋体" w:eastAsia="宋体" w:cs="宋体"/>
                <w:b/>
                <w:color w:val="auto"/>
                <w:sz w:val="21"/>
                <w:szCs w:val="21"/>
                <w:highlight w:val="none"/>
                <w:u w:val="single"/>
                <w:lang w:val="zh-CN"/>
              </w:rPr>
              <w:t>发票</w:t>
            </w:r>
            <w:r>
              <w:rPr>
                <w:rFonts w:hint="eastAsia" w:ascii="宋体" w:hAnsi="宋体" w:eastAsia="宋体" w:cs="宋体"/>
                <w:b/>
                <w:color w:val="auto"/>
                <w:sz w:val="21"/>
                <w:szCs w:val="21"/>
                <w:highlight w:val="none"/>
                <w:u w:val="single"/>
              </w:rPr>
              <w:t>复印件并加盖供应商公章</w:t>
            </w:r>
            <w:r>
              <w:rPr>
                <w:rFonts w:hint="eastAsia" w:ascii="宋体" w:hAnsi="宋体" w:eastAsia="宋体" w:cs="宋体"/>
                <w:b/>
                <w:color w:val="auto"/>
                <w:sz w:val="21"/>
                <w:szCs w:val="21"/>
                <w:highlight w:val="none"/>
                <w:u w:val="single"/>
                <w:lang w:val="zh-CN"/>
              </w:rPr>
              <w:t>。③同一项目的业绩不能重复计分，如重复时按高分值计取。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p>
        </w:tc>
        <w:tc>
          <w:tcPr>
            <w:tcW w:w="1157"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color w:val="auto"/>
                <w:sz w:val="21"/>
                <w:szCs w:val="21"/>
                <w:highlight w:val="none"/>
                <w:u w:val="single"/>
                <w:lang w:val="en-US" w:eastAsia="zh-CN"/>
              </w:rPr>
              <w:t>拟投入本项目负责人情况</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color w:val="auto"/>
                <w:kern w:val="2"/>
                <w:sz w:val="21"/>
                <w:szCs w:val="21"/>
                <w:highlight w:val="none"/>
                <w:u w:val="single"/>
                <w:lang w:eastAsia="zh-CN"/>
              </w:rPr>
              <w:t>供应商</w:t>
            </w:r>
            <w:r>
              <w:rPr>
                <w:rFonts w:hint="eastAsia" w:ascii="宋体" w:hAnsi="宋体" w:eastAsia="宋体" w:cs="宋体"/>
                <w:color w:val="auto"/>
                <w:kern w:val="2"/>
                <w:sz w:val="21"/>
                <w:szCs w:val="21"/>
                <w:highlight w:val="none"/>
                <w:u w:val="single"/>
              </w:rPr>
              <w:t>拟派本项目的</w:t>
            </w:r>
            <w:r>
              <w:rPr>
                <w:rFonts w:hint="eastAsia" w:ascii="宋体" w:hAnsi="宋体" w:eastAsia="宋体" w:cs="宋体"/>
                <w:color w:val="auto"/>
                <w:szCs w:val="21"/>
                <w:highlight w:val="none"/>
                <w:u w:val="single"/>
                <w:lang w:val="en-US" w:eastAsia="zh-CN"/>
              </w:rPr>
              <w:t>项目负责人：</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（1）项目负责人具有城乡规划专业高级职称及国家注册城市（城乡）规划师资格证书的，得</w:t>
            </w:r>
            <w:r>
              <w:rPr>
                <w:rFonts w:hint="eastAsia" w:ascii="宋体" w:hAnsi="宋体" w:eastAsia="宋体" w:cs="宋体"/>
                <w:bCs/>
                <w:color w:val="auto"/>
                <w:sz w:val="21"/>
                <w:szCs w:val="21"/>
                <w:highlight w:val="none"/>
                <w:u w:val="single"/>
                <w:lang w:val="en-US" w:eastAsia="zh-CN"/>
              </w:rPr>
              <w:t>2</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Cs/>
                <w:color w:val="auto"/>
                <w:sz w:val="21"/>
                <w:szCs w:val="21"/>
                <w:highlight w:val="none"/>
                <w:u w:val="single"/>
              </w:rPr>
              <w:t>（2）项目负责人</w:t>
            </w:r>
            <w:r>
              <w:rPr>
                <w:rFonts w:hint="eastAsia" w:ascii="宋体" w:hAnsi="宋体" w:eastAsia="宋体" w:cs="宋体"/>
                <w:bCs/>
                <w:color w:val="auto"/>
                <w:sz w:val="21"/>
                <w:szCs w:val="21"/>
                <w:highlight w:val="none"/>
                <w:u w:val="single"/>
                <w:lang w:val="en-US" w:eastAsia="zh-CN"/>
              </w:rPr>
              <w:t>2020</w:t>
            </w:r>
            <w:r>
              <w:rPr>
                <w:rFonts w:hint="eastAsia" w:ascii="宋体" w:hAnsi="宋体" w:eastAsia="宋体" w:cs="宋体"/>
                <w:bCs/>
                <w:color w:val="auto"/>
                <w:sz w:val="21"/>
                <w:szCs w:val="21"/>
                <w:highlight w:val="none"/>
                <w:u w:val="single"/>
              </w:rPr>
              <w:t>年</w:t>
            </w:r>
            <w:r>
              <w:rPr>
                <w:rFonts w:hint="eastAsia" w:ascii="宋体" w:hAnsi="宋体" w:eastAsia="宋体" w:cs="宋体"/>
                <w:bCs/>
                <w:color w:val="auto"/>
                <w:sz w:val="21"/>
                <w:szCs w:val="21"/>
                <w:highlight w:val="none"/>
                <w:u w:val="single"/>
                <w:lang w:val="en-US" w:eastAsia="zh-CN"/>
              </w:rPr>
              <w:t>09</w:t>
            </w:r>
            <w:r>
              <w:rPr>
                <w:rFonts w:hint="eastAsia" w:ascii="宋体" w:hAnsi="宋体" w:eastAsia="宋体" w:cs="宋体"/>
                <w:bCs/>
                <w:color w:val="auto"/>
                <w:sz w:val="21"/>
                <w:szCs w:val="21"/>
                <w:highlight w:val="none"/>
                <w:u w:val="single"/>
              </w:rPr>
              <w:t>月01日至磋商截止日前参与过城市更新政策或编制指引或控规改革政策制定与研究，或主持过</w:t>
            </w:r>
            <w:r>
              <w:rPr>
                <w:rFonts w:hint="eastAsia" w:ascii="宋体" w:hAnsi="宋体" w:eastAsia="宋体" w:cs="宋体"/>
                <w:bCs/>
                <w:color w:val="auto"/>
                <w:sz w:val="21"/>
                <w:szCs w:val="21"/>
                <w:highlight w:val="none"/>
                <w:u w:val="single"/>
                <w:lang w:val="zh-CN"/>
              </w:rPr>
              <w:t>用地规模</w:t>
            </w:r>
            <w:r>
              <w:rPr>
                <w:rFonts w:hint="eastAsia" w:ascii="宋体" w:hAnsi="宋体" w:eastAsia="宋体" w:cs="宋体"/>
                <w:bCs/>
                <w:color w:val="auto"/>
                <w:sz w:val="21"/>
                <w:szCs w:val="21"/>
                <w:highlight w:val="none"/>
                <w:u w:val="single"/>
                <w:lang w:val="en-US" w:eastAsia="zh-CN"/>
              </w:rPr>
              <w:t>9.7公顷</w:t>
            </w:r>
            <w:r>
              <w:rPr>
                <w:rFonts w:hint="eastAsia" w:ascii="宋体" w:hAnsi="宋体" w:eastAsia="宋体" w:cs="宋体"/>
                <w:bCs/>
                <w:color w:val="auto"/>
                <w:sz w:val="21"/>
                <w:szCs w:val="21"/>
                <w:highlight w:val="none"/>
                <w:u w:val="single"/>
                <w:lang w:val="zh-CN"/>
              </w:rPr>
              <w:t>或以上的单元规划</w:t>
            </w:r>
            <w:r>
              <w:rPr>
                <w:rFonts w:hint="eastAsia" w:ascii="宋体" w:hAnsi="宋体" w:eastAsia="宋体" w:cs="宋体"/>
                <w:bCs/>
                <w:color w:val="auto"/>
                <w:sz w:val="21"/>
                <w:szCs w:val="21"/>
                <w:highlight w:val="none"/>
                <w:u w:val="single"/>
                <w:lang w:val="en-US" w:eastAsia="zh-CN"/>
              </w:rPr>
              <w:t>或</w:t>
            </w:r>
            <w:r>
              <w:rPr>
                <w:rFonts w:hint="eastAsia" w:ascii="宋体" w:hAnsi="宋体" w:eastAsia="宋体" w:cs="宋体"/>
                <w:bCs/>
                <w:color w:val="auto"/>
                <w:sz w:val="21"/>
                <w:szCs w:val="21"/>
                <w:highlight w:val="none"/>
                <w:u w:val="single"/>
                <w:lang w:val="zh-CN"/>
              </w:rPr>
              <w:t>控规调整编制服务项目</w:t>
            </w:r>
            <w:r>
              <w:rPr>
                <w:rFonts w:hint="eastAsia" w:ascii="宋体" w:hAnsi="宋体" w:eastAsia="宋体" w:cs="宋体"/>
                <w:bCs/>
                <w:color w:val="auto"/>
                <w:sz w:val="21"/>
                <w:szCs w:val="21"/>
                <w:highlight w:val="none"/>
                <w:u w:val="single"/>
              </w:rPr>
              <w:t>，每提供一项目得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分，本</w:t>
            </w:r>
            <w:r>
              <w:rPr>
                <w:rFonts w:hint="eastAsia" w:ascii="宋体" w:hAnsi="宋体" w:eastAsia="宋体" w:cs="宋体"/>
                <w:bCs/>
                <w:color w:val="auto"/>
                <w:sz w:val="21"/>
                <w:szCs w:val="21"/>
                <w:highlight w:val="none"/>
                <w:u w:val="single"/>
                <w:lang w:val="en-US" w:eastAsia="zh-CN"/>
              </w:rPr>
              <w:t>小</w:t>
            </w:r>
            <w:r>
              <w:rPr>
                <w:rFonts w:hint="eastAsia" w:ascii="宋体" w:hAnsi="宋体" w:eastAsia="宋体" w:cs="宋体"/>
                <w:bCs/>
                <w:color w:val="auto"/>
                <w:sz w:val="21"/>
                <w:szCs w:val="21"/>
                <w:highlight w:val="none"/>
                <w:u w:val="single"/>
              </w:rPr>
              <w:t>项最高得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highlight w:val="none"/>
              </w:rPr>
            </w:pPr>
            <w:r>
              <w:rPr>
                <w:rFonts w:hint="eastAsia" w:ascii="宋体" w:hAnsi="宋体" w:eastAsia="宋体" w:cs="宋体"/>
                <w:b/>
                <w:color w:val="auto"/>
                <w:sz w:val="21"/>
                <w:szCs w:val="21"/>
                <w:highlight w:val="none"/>
                <w:u w:val="single"/>
              </w:rPr>
              <w:t>注：①需提供相关证书复印件，作为评审依据，否则不得分。②拟派从事本项目服务人员须提供近半年（不含开标当月）内供应商为其购买的连续不少于3个月购买社保证明并加盖供应商公章，可以是在供应商总公司或分公司的社保缴纳证明文件。③业绩证明资料须提供合同（或协议书）关键页复印件及与项目相关的发票（张数不限）。④时间以合同（或协议书）签订时间为准。⑤如提供的合同（或协议书）无法体现用地规模指标和项目负责人的，可提供供应商另行出具的有效证明材料复印件。⑥同一项目的业绩不能重复计分，如重复时按高分值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57"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color w:val="auto"/>
                <w:sz w:val="21"/>
                <w:szCs w:val="21"/>
                <w:highlight w:val="none"/>
                <w:u w:val="single"/>
                <w:lang w:val="en-US" w:eastAsia="zh-CN"/>
              </w:rPr>
              <w:t>拟投入本项目主要人员配置</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60" w:lineRule="auto"/>
              <w:ind w:firstLine="0" w:firstLineChars="0"/>
              <w:rPr>
                <w:rFonts w:hint="eastAsia" w:ascii="宋体" w:hAnsi="宋体" w:eastAsia="宋体" w:cs="宋体"/>
                <w:bCs/>
                <w:color w:val="auto"/>
                <w:sz w:val="21"/>
                <w:szCs w:val="21"/>
                <w:highlight w:val="none"/>
                <w:u w:val="singl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拟派本项目的技术人员（项目负责人除外）：</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1）具有城市规划专业高级职称证书的项目主要技术人员（不包括项目负责人）不少于3人，在此基础上每增加一个同时具有城市规划专业高级职称证书及国家注册规划师资格证书的人员得1分；本小项累计最高得4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（2）项目成员（项目负责人除外）中具有城市规划除外的建筑类、交通类、电气类、给排水类专业高级职称证书的技术人员，每提供一类专业人员的得</w:t>
            </w:r>
            <w:r>
              <w:rPr>
                <w:rFonts w:hint="eastAsia" w:ascii="宋体" w:hAnsi="宋体" w:eastAsia="宋体" w:cs="宋体"/>
                <w:bCs/>
                <w:color w:val="auto"/>
                <w:sz w:val="21"/>
                <w:szCs w:val="21"/>
                <w:highlight w:val="none"/>
                <w:u w:val="single"/>
                <w:lang w:val="en-US" w:eastAsia="zh-CN"/>
              </w:rPr>
              <w:t>0.5</w:t>
            </w:r>
            <w:r>
              <w:rPr>
                <w:rFonts w:hint="eastAsia" w:ascii="宋体" w:hAnsi="宋体" w:eastAsia="宋体" w:cs="宋体"/>
                <w:bCs/>
                <w:color w:val="auto"/>
                <w:sz w:val="21"/>
                <w:szCs w:val="21"/>
                <w:highlight w:val="none"/>
                <w:u w:val="single"/>
              </w:rPr>
              <w:t>分，本小项累计最高得</w:t>
            </w:r>
            <w:r>
              <w:rPr>
                <w:rFonts w:hint="eastAsia" w:ascii="宋体" w:hAnsi="宋体" w:eastAsia="宋体" w:cs="宋体"/>
                <w:bCs/>
                <w:color w:val="auto"/>
                <w:sz w:val="21"/>
                <w:szCs w:val="21"/>
                <w:highlight w:val="none"/>
                <w:u w:val="single"/>
                <w:lang w:val="en-US" w:eastAsia="zh-CN"/>
              </w:rPr>
              <w:t>2</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u w:val="single"/>
              </w:rPr>
              <w:t>（注：以上须提供人员</w:t>
            </w:r>
            <w:r>
              <w:rPr>
                <w:rFonts w:hint="eastAsia" w:ascii="宋体" w:hAnsi="宋体" w:eastAsia="宋体" w:cs="宋体"/>
                <w:b/>
                <w:color w:val="auto"/>
                <w:sz w:val="21"/>
                <w:szCs w:val="21"/>
                <w:highlight w:val="none"/>
                <w:u w:val="single"/>
                <w:lang w:val="en-US" w:eastAsia="zh-CN"/>
              </w:rPr>
              <w:t>相关</w:t>
            </w:r>
            <w:r>
              <w:rPr>
                <w:rFonts w:hint="eastAsia" w:ascii="宋体" w:hAnsi="宋体" w:eastAsia="宋体" w:cs="宋体"/>
                <w:b/>
                <w:color w:val="auto"/>
                <w:sz w:val="21"/>
                <w:szCs w:val="21"/>
                <w:highlight w:val="none"/>
                <w:u w:val="single"/>
              </w:rPr>
              <w:t>证书</w:t>
            </w:r>
            <w:r>
              <w:rPr>
                <w:rFonts w:hint="eastAsia" w:ascii="宋体" w:hAnsi="宋体" w:eastAsia="宋体" w:cs="宋体"/>
                <w:b/>
                <w:color w:val="auto"/>
                <w:sz w:val="21"/>
                <w:szCs w:val="21"/>
                <w:highlight w:val="none"/>
                <w:u w:val="single"/>
                <w:lang w:val="en-US" w:eastAsia="zh-CN"/>
              </w:rPr>
              <w:t>复印件</w:t>
            </w:r>
            <w:r>
              <w:rPr>
                <w:rFonts w:hint="eastAsia" w:ascii="宋体" w:hAnsi="宋体" w:eastAsia="宋体" w:cs="宋体"/>
                <w:b/>
                <w:color w:val="auto"/>
                <w:sz w:val="21"/>
                <w:szCs w:val="21"/>
                <w:highlight w:val="none"/>
                <w:u w:val="single"/>
              </w:rPr>
              <w:t>及近半年（不含开标当月）内供应商为其购买的连续不少于3个月购买社保证明并加盖供应商公章</w:t>
            </w:r>
            <w:r>
              <w:rPr>
                <w:rFonts w:hint="eastAsia" w:ascii="宋体" w:hAnsi="宋体" w:eastAsia="宋体" w:cs="宋体"/>
                <w:b/>
                <w:color w:val="auto"/>
                <w:sz w:val="21"/>
                <w:szCs w:val="21"/>
                <w:highlight w:val="none"/>
                <w:u w:val="single"/>
                <w:lang w:eastAsia="zh-CN"/>
              </w:rPr>
              <w:t>，</w:t>
            </w:r>
            <w:r>
              <w:rPr>
                <w:rFonts w:hint="eastAsia" w:ascii="宋体" w:hAnsi="宋体" w:eastAsia="宋体" w:cs="宋体"/>
                <w:b/>
                <w:color w:val="auto"/>
                <w:sz w:val="21"/>
                <w:szCs w:val="21"/>
                <w:highlight w:val="none"/>
                <w:u w:val="single"/>
              </w:rPr>
              <w:t>可以是在供应商总公司或分公司的社保缴纳证明文件，同一人员的多个专业职称证明材料不重复得分，不提供相关证明材料不得分。）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157"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获奖情况</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w:t>
            </w:r>
            <w:r>
              <w:rPr>
                <w:rFonts w:hint="eastAsia" w:ascii="宋体" w:hAnsi="宋体" w:eastAsia="宋体" w:cs="宋体"/>
                <w:bCs/>
                <w:color w:val="auto"/>
                <w:sz w:val="21"/>
                <w:szCs w:val="21"/>
                <w:highlight w:val="none"/>
                <w:u w:val="single"/>
                <w:lang w:val="zh-CN"/>
              </w:rPr>
              <w:t>供应商自</w:t>
            </w:r>
            <w:r>
              <w:rPr>
                <w:rFonts w:hint="eastAsia" w:ascii="宋体" w:hAnsi="宋体" w:eastAsia="宋体" w:cs="宋体"/>
                <w:bCs/>
                <w:color w:val="auto"/>
                <w:sz w:val="21"/>
                <w:szCs w:val="21"/>
                <w:highlight w:val="none"/>
                <w:u w:val="single"/>
              </w:rPr>
              <w:t>20</w:t>
            </w:r>
            <w:r>
              <w:rPr>
                <w:rFonts w:hint="eastAsia" w:ascii="宋体" w:hAnsi="宋体" w:eastAsia="宋体" w:cs="宋体"/>
                <w:bCs/>
                <w:color w:val="auto"/>
                <w:sz w:val="21"/>
                <w:szCs w:val="21"/>
                <w:highlight w:val="none"/>
                <w:u w:val="single"/>
                <w:lang w:val="en-US" w:eastAsia="zh-CN"/>
              </w:rPr>
              <w:t>20</w:t>
            </w:r>
            <w:r>
              <w:rPr>
                <w:rFonts w:hint="eastAsia" w:ascii="宋体" w:hAnsi="宋体" w:eastAsia="宋体" w:cs="宋体"/>
                <w:bCs/>
                <w:color w:val="auto"/>
                <w:sz w:val="21"/>
                <w:szCs w:val="21"/>
                <w:highlight w:val="none"/>
                <w:u w:val="single"/>
              </w:rPr>
              <w:t>年0</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月01日</w:t>
            </w:r>
            <w:r>
              <w:rPr>
                <w:rFonts w:hint="eastAsia" w:ascii="宋体" w:hAnsi="宋体" w:eastAsia="宋体" w:cs="宋体"/>
                <w:bCs/>
                <w:color w:val="auto"/>
                <w:sz w:val="21"/>
                <w:szCs w:val="21"/>
                <w:highlight w:val="none"/>
                <w:u w:val="single"/>
                <w:lang w:val="zh-CN"/>
              </w:rPr>
              <w:t>至磋商截止日前</w:t>
            </w:r>
            <w:r>
              <w:rPr>
                <w:rFonts w:hint="eastAsia" w:ascii="宋体" w:hAnsi="宋体" w:eastAsia="宋体" w:cs="宋体"/>
                <w:bCs/>
                <w:color w:val="auto"/>
                <w:sz w:val="21"/>
                <w:szCs w:val="21"/>
                <w:highlight w:val="none"/>
                <w:u w:val="single"/>
              </w:rPr>
              <w:t>承担过的项目获得的奖项情况进行评审:</w:t>
            </w:r>
          </w:p>
          <w:p>
            <w:pPr>
              <w:pStyle w:val="42"/>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u w:val="single"/>
              </w:rPr>
              <w:t>获得过国家级优秀城乡规划设计奖的，每提供一项得3 分；获得过省级优秀城乡规划设计奖的，每提供一项得2 分；获得过市级优秀城乡规划设计奖的，每提供一项得1分；本项最高得6分。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u w:val="single"/>
              </w:rPr>
              <w:t>注：毎个项目不重复算分，提供获奖证书或公示截图加盖</w:t>
            </w:r>
            <w:r>
              <w:rPr>
                <w:rFonts w:hint="eastAsia" w:ascii="宋体" w:hAnsi="宋体" w:eastAsia="宋体" w:cs="宋体"/>
                <w:b/>
                <w:color w:val="auto"/>
                <w:sz w:val="21"/>
                <w:szCs w:val="21"/>
                <w:highlight w:val="none"/>
                <w:u w:val="single"/>
                <w:lang w:val="en-US" w:eastAsia="zh-CN"/>
              </w:rPr>
              <w:t>供应商</w:t>
            </w:r>
            <w:r>
              <w:rPr>
                <w:rFonts w:hint="eastAsia" w:ascii="宋体" w:hAnsi="宋体" w:eastAsia="宋体" w:cs="宋体"/>
                <w:b/>
                <w:color w:val="auto"/>
                <w:sz w:val="21"/>
                <w:szCs w:val="21"/>
                <w:highlight w:val="none"/>
                <w:u w:val="single"/>
              </w:rPr>
              <w:t>公章作为证明材料，获奖时间以获奖证书或公示截图为准。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Cs w:val="21"/>
                <w:highlight w:val="none"/>
                <w:u w:val="single"/>
              </w:rPr>
            </w:pPr>
            <w:r>
              <w:rPr>
                <w:rFonts w:hint="eastAsia" w:ascii="宋体" w:hAnsi="宋体" w:eastAsia="宋体" w:cs="宋体"/>
                <w:color w:val="auto"/>
                <w:sz w:val="21"/>
                <w:szCs w:val="21"/>
                <w:highlight w:val="none"/>
                <w:u w:val="single"/>
              </w:rPr>
              <w:t>对招标项目</w:t>
            </w:r>
            <w:r>
              <w:rPr>
                <w:rFonts w:hint="eastAsia" w:ascii="宋体" w:hAnsi="宋体" w:eastAsia="宋体" w:cs="宋体"/>
                <w:color w:val="auto"/>
                <w:sz w:val="21"/>
                <w:szCs w:val="21"/>
                <w:highlight w:val="none"/>
                <w:u w:val="single"/>
                <w:lang w:eastAsia="zh-CN"/>
              </w:rPr>
              <w:t>政策背景</w:t>
            </w:r>
            <w:r>
              <w:rPr>
                <w:rFonts w:hint="eastAsia" w:ascii="宋体" w:hAnsi="宋体" w:eastAsia="宋体" w:cs="宋体"/>
                <w:color w:val="auto"/>
                <w:sz w:val="21"/>
                <w:szCs w:val="21"/>
                <w:highlight w:val="none"/>
                <w:u w:val="single"/>
              </w:rPr>
              <w:t>的认识</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根据各供应商对项目</w:t>
            </w:r>
            <w:r>
              <w:rPr>
                <w:rFonts w:hint="eastAsia" w:ascii="宋体" w:hAnsi="宋体" w:eastAsia="宋体" w:cs="宋体"/>
                <w:bCs/>
                <w:color w:val="auto"/>
                <w:sz w:val="21"/>
                <w:szCs w:val="21"/>
                <w:highlight w:val="none"/>
                <w:u w:val="single"/>
                <w:lang w:eastAsia="zh-CN"/>
              </w:rPr>
              <w:t>政策背景、</w:t>
            </w:r>
            <w:r>
              <w:rPr>
                <w:rFonts w:hint="eastAsia" w:ascii="宋体" w:hAnsi="宋体" w:eastAsia="宋体" w:cs="宋体"/>
                <w:bCs/>
                <w:color w:val="auto"/>
                <w:sz w:val="21"/>
                <w:szCs w:val="21"/>
                <w:highlight w:val="none"/>
                <w:u w:val="single"/>
              </w:rPr>
              <w:t>现状及规划的熟悉程度进行评审：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①对项目</w:t>
            </w:r>
            <w:r>
              <w:rPr>
                <w:rFonts w:hint="eastAsia" w:ascii="宋体" w:hAnsi="宋体" w:eastAsia="宋体" w:cs="宋体"/>
                <w:bCs/>
                <w:color w:val="auto"/>
                <w:sz w:val="21"/>
                <w:szCs w:val="21"/>
                <w:highlight w:val="none"/>
                <w:u w:val="single"/>
                <w:lang w:eastAsia="zh-CN"/>
              </w:rPr>
              <w:t>政策背景的认识、</w:t>
            </w:r>
            <w:r>
              <w:rPr>
                <w:rFonts w:hint="eastAsia" w:ascii="宋体" w:hAnsi="宋体" w:eastAsia="宋体" w:cs="宋体"/>
                <w:bCs/>
                <w:color w:val="auto"/>
                <w:sz w:val="21"/>
                <w:szCs w:val="21"/>
                <w:highlight w:val="none"/>
                <w:u w:val="single"/>
              </w:rPr>
              <w:t>现状特征分析清晰、现行规划分析到位的，得</w:t>
            </w:r>
            <w:r>
              <w:rPr>
                <w:rFonts w:hint="eastAsia" w:ascii="宋体" w:hAnsi="宋体" w:eastAsia="宋体" w:cs="宋体"/>
                <w:bCs/>
                <w:color w:val="auto"/>
                <w:sz w:val="21"/>
                <w:szCs w:val="21"/>
                <w:highlight w:val="none"/>
                <w:u w:val="single"/>
                <w:lang w:val="en-US" w:eastAsia="zh-CN"/>
              </w:rPr>
              <w:t>8</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②对项目</w:t>
            </w:r>
            <w:r>
              <w:rPr>
                <w:rFonts w:hint="eastAsia" w:ascii="宋体" w:hAnsi="宋体" w:eastAsia="宋体" w:cs="宋体"/>
                <w:bCs/>
                <w:color w:val="auto"/>
                <w:sz w:val="21"/>
                <w:szCs w:val="21"/>
                <w:highlight w:val="none"/>
                <w:u w:val="single"/>
                <w:lang w:eastAsia="zh-CN"/>
              </w:rPr>
              <w:t>政策背景的认识、</w:t>
            </w:r>
            <w:r>
              <w:rPr>
                <w:rFonts w:hint="eastAsia" w:ascii="宋体" w:hAnsi="宋体" w:eastAsia="宋体" w:cs="宋体"/>
                <w:bCs/>
                <w:color w:val="auto"/>
                <w:sz w:val="21"/>
                <w:szCs w:val="21"/>
                <w:highlight w:val="none"/>
                <w:u w:val="single"/>
              </w:rPr>
              <w:t>现状特征分析基本清晰、对现行规划分析基本到位的，得</w:t>
            </w:r>
            <w:r>
              <w:rPr>
                <w:rFonts w:hint="eastAsia" w:ascii="宋体" w:hAnsi="宋体" w:eastAsia="宋体" w:cs="宋体"/>
                <w:bCs/>
                <w:color w:val="auto"/>
                <w:sz w:val="21"/>
                <w:szCs w:val="21"/>
                <w:highlight w:val="none"/>
                <w:u w:val="single"/>
                <w:lang w:val="en-US" w:eastAsia="zh-CN"/>
              </w:rPr>
              <w:t>5</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③对项目</w:t>
            </w:r>
            <w:r>
              <w:rPr>
                <w:rFonts w:hint="eastAsia" w:ascii="宋体" w:hAnsi="宋体" w:eastAsia="宋体" w:cs="宋体"/>
                <w:bCs/>
                <w:color w:val="auto"/>
                <w:sz w:val="21"/>
                <w:szCs w:val="21"/>
                <w:highlight w:val="none"/>
                <w:u w:val="single"/>
                <w:lang w:eastAsia="zh-CN"/>
              </w:rPr>
              <w:t>政策背景的认识、</w:t>
            </w:r>
            <w:r>
              <w:rPr>
                <w:rFonts w:hint="eastAsia" w:ascii="宋体" w:hAnsi="宋体" w:eastAsia="宋体" w:cs="宋体"/>
                <w:bCs/>
                <w:color w:val="auto"/>
                <w:sz w:val="21"/>
                <w:szCs w:val="21"/>
                <w:highlight w:val="none"/>
                <w:u w:val="single"/>
              </w:rPr>
              <w:t>现状特征分析不够清晰、对现行规划分析不到位，得2分。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④未提供相关表述的得0分。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项目的初步分析</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根据各供应商对项目</w:t>
            </w:r>
            <w:r>
              <w:rPr>
                <w:rFonts w:hint="eastAsia" w:ascii="宋体" w:hAnsi="宋体" w:eastAsia="宋体" w:cs="宋体"/>
                <w:bCs/>
                <w:color w:val="auto"/>
                <w:sz w:val="21"/>
                <w:szCs w:val="21"/>
                <w:highlight w:val="none"/>
                <w:u w:val="single"/>
                <w:lang w:eastAsia="zh-CN"/>
              </w:rPr>
              <w:t>的需求理解、初步认识及分析</w:t>
            </w:r>
            <w:r>
              <w:rPr>
                <w:rFonts w:hint="eastAsia" w:ascii="宋体" w:hAnsi="宋体" w:eastAsia="宋体" w:cs="宋体"/>
                <w:bCs/>
                <w:color w:val="auto"/>
                <w:sz w:val="21"/>
                <w:szCs w:val="21"/>
                <w:highlight w:val="none"/>
                <w:u w:val="single"/>
              </w:rPr>
              <w:t>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①对项目</w:t>
            </w:r>
            <w:r>
              <w:rPr>
                <w:rFonts w:hint="eastAsia" w:ascii="宋体" w:hAnsi="宋体" w:eastAsia="宋体" w:cs="宋体"/>
                <w:bCs/>
                <w:color w:val="auto"/>
                <w:sz w:val="21"/>
                <w:szCs w:val="21"/>
                <w:highlight w:val="none"/>
                <w:u w:val="single"/>
                <w:lang w:eastAsia="zh-CN"/>
              </w:rPr>
              <w:t>的需求理解全面、初步认识深刻、项目基本情况</w:t>
            </w:r>
            <w:r>
              <w:rPr>
                <w:rFonts w:hint="eastAsia" w:ascii="宋体" w:hAnsi="宋体" w:eastAsia="宋体" w:cs="宋体"/>
                <w:bCs/>
                <w:color w:val="auto"/>
                <w:sz w:val="21"/>
                <w:szCs w:val="21"/>
                <w:highlight w:val="none"/>
                <w:u w:val="single"/>
              </w:rPr>
              <w:t>分析到位的，得</w:t>
            </w:r>
            <w:r>
              <w:rPr>
                <w:rFonts w:hint="eastAsia" w:ascii="宋体" w:hAnsi="宋体" w:eastAsia="宋体" w:cs="宋体"/>
                <w:bCs/>
                <w:color w:val="auto"/>
                <w:sz w:val="21"/>
                <w:szCs w:val="21"/>
                <w:highlight w:val="none"/>
                <w:u w:val="single"/>
                <w:lang w:val="en-US" w:eastAsia="zh-CN"/>
              </w:rPr>
              <w:t>6</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②对项目</w:t>
            </w:r>
            <w:r>
              <w:rPr>
                <w:rFonts w:hint="eastAsia" w:ascii="宋体" w:hAnsi="宋体" w:eastAsia="宋体" w:cs="宋体"/>
                <w:bCs/>
                <w:color w:val="auto"/>
                <w:sz w:val="21"/>
                <w:szCs w:val="21"/>
                <w:highlight w:val="none"/>
                <w:u w:val="single"/>
                <w:lang w:eastAsia="zh-CN"/>
              </w:rPr>
              <w:t>的需求理解较为全面、初步认识较为深刻、项目基本情况</w:t>
            </w:r>
            <w:r>
              <w:rPr>
                <w:rFonts w:hint="eastAsia" w:ascii="宋体" w:hAnsi="宋体" w:eastAsia="宋体" w:cs="宋体"/>
                <w:bCs/>
                <w:color w:val="auto"/>
                <w:sz w:val="21"/>
                <w:szCs w:val="21"/>
                <w:highlight w:val="none"/>
                <w:u w:val="single"/>
              </w:rPr>
              <w:t>分析</w:t>
            </w:r>
            <w:r>
              <w:rPr>
                <w:rFonts w:hint="eastAsia" w:ascii="宋体" w:hAnsi="宋体" w:eastAsia="宋体" w:cs="宋体"/>
                <w:bCs/>
                <w:color w:val="auto"/>
                <w:sz w:val="21"/>
                <w:szCs w:val="21"/>
                <w:highlight w:val="none"/>
                <w:u w:val="single"/>
                <w:lang w:eastAsia="zh-CN"/>
              </w:rPr>
              <w:t>基本</w:t>
            </w:r>
            <w:r>
              <w:rPr>
                <w:rFonts w:hint="eastAsia" w:ascii="宋体" w:hAnsi="宋体" w:eastAsia="宋体" w:cs="宋体"/>
                <w:bCs/>
                <w:color w:val="auto"/>
                <w:sz w:val="21"/>
                <w:szCs w:val="21"/>
                <w:highlight w:val="none"/>
                <w:u w:val="single"/>
              </w:rPr>
              <w:t>到位的，得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③对项目</w:t>
            </w:r>
            <w:r>
              <w:rPr>
                <w:rFonts w:hint="eastAsia" w:ascii="宋体" w:hAnsi="宋体" w:eastAsia="宋体" w:cs="宋体"/>
                <w:bCs/>
                <w:color w:val="auto"/>
                <w:sz w:val="21"/>
                <w:szCs w:val="21"/>
                <w:highlight w:val="none"/>
                <w:u w:val="single"/>
                <w:lang w:eastAsia="zh-CN"/>
              </w:rPr>
              <w:t>的需求理解不够全面、初步认识不够深刻、项目基本情况</w:t>
            </w:r>
            <w:r>
              <w:rPr>
                <w:rFonts w:hint="eastAsia" w:ascii="宋体" w:hAnsi="宋体" w:eastAsia="宋体" w:cs="宋体"/>
                <w:bCs/>
                <w:color w:val="auto"/>
                <w:sz w:val="21"/>
                <w:szCs w:val="21"/>
                <w:highlight w:val="none"/>
                <w:u w:val="single"/>
              </w:rPr>
              <w:t>分析</w:t>
            </w:r>
            <w:r>
              <w:rPr>
                <w:rFonts w:hint="eastAsia" w:ascii="宋体" w:hAnsi="宋体" w:eastAsia="宋体" w:cs="宋体"/>
                <w:bCs/>
                <w:color w:val="auto"/>
                <w:sz w:val="21"/>
                <w:szCs w:val="21"/>
                <w:highlight w:val="none"/>
                <w:u w:val="single"/>
                <w:lang w:eastAsia="zh-CN"/>
              </w:rPr>
              <w:t>一般</w:t>
            </w:r>
            <w:r>
              <w:rPr>
                <w:rFonts w:hint="eastAsia" w:ascii="宋体" w:hAnsi="宋体" w:eastAsia="宋体" w:cs="宋体"/>
                <w:bCs/>
                <w:color w:val="auto"/>
                <w:sz w:val="21"/>
                <w:szCs w:val="21"/>
                <w:highlight w:val="none"/>
                <w:u w:val="single"/>
              </w:rPr>
              <w:t>的，得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④未提供相关表述的得0分。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项目实施方案</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根据各供应商对本项目实施方案（包括但不限于单元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控规调整方案）进行</w:t>
            </w:r>
            <w:r>
              <w:rPr>
                <w:rFonts w:hint="eastAsia" w:ascii="宋体" w:hAnsi="宋体" w:eastAsia="宋体" w:cs="宋体"/>
                <w:bCs/>
                <w:color w:val="auto"/>
                <w:sz w:val="21"/>
                <w:szCs w:val="21"/>
                <w:highlight w:val="none"/>
                <w:u w:val="single"/>
                <w:lang w:eastAsia="zh-CN"/>
              </w:rPr>
              <w:t>评审</w:t>
            </w:r>
            <w:r>
              <w:rPr>
                <w:rFonts w:hint="eastAsia" w:ascii="宋体" w:hAnsi="宋体" w:eastAsia="宋体" w:cs="宋体"/>
                <w:bCs/>
                <w:color w:val="auto"/>
                <w:sz w:val="21"/>
                <w:szCs w:val="21"/>
                <w:highlight w:val="none"/>
                <w:u w:val="single"/>
              </w:rPr>
              <w:t>：</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①充分结合项目特点，单元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控规调整方案完善、合理，同时首期实施单元安排及管控条件合理且可行性强的，得</w:t>
            </w:r>
            <w:r>
              <w:rPr>
                <w:rFonts w:hint="eastAsia" w:ascii="宋体" w:hAnsi="宋体" w:eastAsia="宋体" w:cs="宋体"/>
                <w:bCs/>
                <w:color w:val="auto"/>
                <w:sz w:val="21"/>
                <w:szCs w:val="21"/>
                <w:highlight w:val="none"/>
                <w:u w:val="single"/>
                <w:lang w:val="en-US" w:eastAsia="zh-CN"/>
              </w:rPr>
              <w:t>6</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②能结合项目特点，单元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控规调整方案较完善、较合理，且首期实施单元安排及管控条件较合理且可行性一般的，得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③基本能结合项目特点，单元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控规调整方案基本完整、基本合理，但首期实施单元安排及管控条件可行性差的，得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④未提供对应方案的得</w:t>
            </w:r>
            <w:r>
              <w:rPr>
                <w:rFonts w:hint="eastAsia" w:ascii="宋体" w:hAnsi="宋体" w:eastAsia="宋体" w:cs="宋体"/>
                <w:bCs/>
                <w:color w:val="auto"/>
                <w:sz w:val="21"/>
                <w:szCs w:val="21"/>
                <w:highlight w:val="none"/>
                <w:u w:val="single"/>
                <w:lang w:val="en-US" w:eastAsia="zh-CN"/>
              </w:rPr>
              <w:t>0</w:t>
            </w:r>
            <w:r>
              <w:rPr>
                <w:rFonts w:hint="eastAsia" w:ascii="宋体" w:hAnsi="宋体" w:eastAsia="宋体" w:cs="宋体"/>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Cs w:val="21"/>
                <w:highlight w:val="none"/>
                <w:u w:val="single"/>
              </w:rPr>
            </w:pPr>
            <w:r>
              <w:rPr>
                <w:rFonts w:hint="eastAsia" w:ascii="宋体" w:hAnsi="宋体" w:eastAsia="宋体" w:cs="宋体"/>
                <w:color w:val="auto"/>
                <w:sz w:val="21"/>
                <w:szCs w:val="21"/>
                <w:highlight w:val="none"/>
                <w:u w:val="single"/>
              </w:rPr>
              <w:t>项目重点</w:t>
            </w:r>
            <w:r>
              <w:rPr>
                <w:rFonts w:hint="eastAsia" w:ascii="宋体" w:hAnsi="宋体" w:eastAsia="宋体" w:cs="宋体"/>
                <w:color w:val="auto"/>
                <w:sz w:val="21"/>
                <w:szCs w:val="21"/>
                <w:highlight w:val="none"/>
                <w:u w:val="single"/>
                <w:lang w:eastAsia="zh-CN"/>
              </w:rPr>
              <w:t>、难点解决方案</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根据各供应商对项目重点</w:t>
            </w:r>
            <w:r>
              <w:rPr>
                <w:rFonts w:hint="eastAsia" w:ascii="宋体" w:hAnsi="宋体" w:eastAsia="宋体" w:cs="宋体"/>
                <w:bCs/>
                <w:color w:val="auto"/>
                <w:sz w:val="21"/>
                <w:szCs w:val="21"/>
                <w:highlight w:val="none"/>
                <w:u w:val="single"/>
                <w:lang w:eastAsia="zh-CN"/>
              </w:rPr>
              <w:t>、难点解决</w:t>
            </w:r>
            <w:r>
              <w:rPr>
                <w:rFonts w:hint="eastAsia" w:ascii="宋体" w:hAnsi="宋体" w:eastAsia="宋体" w:cs="宋体"/>
                <w:bCs/>
                <w:color w:val="auto"/>
                <w:sz w:val="21"/>
                <w:szCs w:val="21"/>
                <w:highlight w:val="none"/>
                <w:u w:val="single"/>
              </w:rPr>
              <w:t>方案进行评审：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①对项目</w:t>
            </w:r>
            <w:r>
              <w:rPr>
                <w:rFonts w:hint="eastAsia" w:ascii="宋体" w:hAnsi="宋体" w:eastAsia="宋体" w:cs="宋体"/>
                <w:bCs/>
                <w:color w:val="auto"/>
                <w:sz w:val="21"/>
                <w:szCs w:val="21"/>
                <w:highlight w:val="none"/>
                <w:u w:val="single"/>
                <w:lang w:eastAsia="zh-CN"/>
              </w:rPr>
              <w:t>重点、难点解决方案</w:t>
            </w:r>
            <w:r>
              <w:rPr>
                <w:rFonts w:hint="eastAsia" w:ascii="宋体" w:hAnsi="宋体" w:eastAsia="宋体" w:cs="宋体"/>
                <w:bCs/>
                <w:color w:val="auto"/>
                <w:sz w:val="21"/>
                <w:szCs w:val="21"/>
                <w:highlight w:val="none"/>
                <w:u w:val="single"/>
              </w:rPr>
              <w:t>思路清晰、合理且方案创新性强、可操作性强的，得</w:t>
            </w:r>
            <w:r>
              <w:rPr>
                <w:rFonts w:hint="eastAsia" w:ascii="宋体" w:hAnsi="宋体" w:eastAsia="宋体" w:cs="宋体"/>
                <w:bCs/>
                <w:color w:val="auto"/>
                <w:sz w:val="21"/>
                <w:szCs w:val="21"/>
                <w:highlight w:val="none"/>
                <w:u w:val="single"/>
                <w:lang w:val="en-US" w:eastAsia="zh-CN"/>
              </w:rPr>
              <w:t>5</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②对项目</w:t>
            </w:r>
            <w:r>
              <w:rPr>
                <w:rFonts w:hint="eastAsia" w:ascii="宋体" w:hAnsi="宋体" w:eastAsia="宋体" w:cs="宋体"/>
                <w:bCs/>
                <w:color w:val="auto"/>
                <w:sz w:val="21"/>
                <w:szCs w:val="21"/>
                <w:highlight w:val="none"/>
                <w:u w:val="single"/>
                <w:lang w:eastAsia="zh-CN"/>
              </w:rPr>
              <w:t>重点、难点解决方案</w:t>
            </w:r>
            <w:r>
              <w:rPr>
                <w:rFonts w:hint="eastAsia" w:ascii="宋体" w:hAnsi="宋体" w:eastAsia="宋体" w:cs="宋体"/>
                <w:bCs/>
                <w:color w:val="auto"/>
                <w:sz w:val="21"/>
                <w:szCs w:val="21"/>
                <w:highlight w:val="none"/>
                <w:u w:val="single"/>
              </w:rPr>
              <w:t>思路较为清晰、合理，方案有一定的创新性且可操作的，得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③对项目</w:t>
            </w:r>
            <w:r>
              <w:rPr>
                <w:rFonts w:hint="eastAsia" w:ascii="宋体" w:hAnsi="宋体" w:eastAsia="宋体" w:cs="宋体"/>
                <w:bCs/>
                <w:color w:val="auto"/>
                <w:sz w:val="21"/>
                <w:szCs w:val="21"/>
                <w:highlight w:val="none"/>
                <w:u w:val="single"/>
                <w:lang w:eastAsia="zh-CN"/>
              </w:rPr>
              <w:t>重点、难点解决方案</w:t>
            </w:r>
            <w:r>
              <w:rPr>
                <w:rFonts w:hint="eastAsia" w:ascii="宋体" w:hAnsi="宋体" w:eastAsia="宋体" w:cs="宋体"/>
                <w:bCs/>
                <w:color w:val="auto"/>
                <w:sz w:val="21"/>
                <w:szCs w:val="21"/>
                <w:highlight w:val="none"/>
                <w:u w:val="single"/>
              </w:rPr>
              <w:t>思路不清晰、不合理，方案创新性不足，不具有可操作性的，得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④未提供对应方案的得</w:t>
            </w:r>
            <w:r>
              <w:rPr>
                <w:rFonts w:hint="eastAsia" w:ascii="宋体" w:hAnsi="宋体" w:eastAsia="宋体" w:cs="宋体"/>
                <w:bCs/>
                <w:color w:val="auto"/>
                <w:sz w:val="21"/>
                <w:szCs w:val="21"/>
                <w:highlight w:val="none"/>
                <w:u w:val="single"/>
                <w:lang w:val="en-US" w:eastAsia="zh-CN"/>
              </w:rPr>
              <w:t>0</w:t>
            </w:r>
            <w:r>
              <w:rPr>
                <w:rFonts w:hint="eastAsia" w:ascii="宋体" w:hAnsi="宋体" w:eastAsia="宋体" w:cs="宋体"/>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 w:val="21"/>
                <w:szCs w:val="21"/>
                <w:highlight w:val="none"/>
                <w:u w:val="single"/>
                <w:lang w:eastAsia="zh-CN"/>
              </w:rPr>
              <w:t>后续服务配合</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w:t>
            </w:r>
            <w:r>
              <w:rPr>
                <w:rFonts w:hint="eastAsia" w:ascii="宋体" w:hAnsi="宋体" w:eastAsia="宋体" w:cs="宋体"/>
                <w:bCs/>
                <w:color w:val="auto"/>
                <w:sz w:val="21"/>
                <w:szCs w:val="21"/>
                <w:highlight w:val="none"/>
                <w:u w:val="single"/>
                <w:lang w:eastAsia="zh-CN"/>
              </w:rPr>
              <w:t>提供的后续配合</w:t>
            </w:r>
            <w:r>
              <w:rPr>
                <w:rFonts w:hint="eastAsia" w:ascii="宋体" w:hAnsi="宋体" w:eastAsia="宋体" w:cs="宋体"/>
                <w:bCs/>
                <w:color w:val="auto"/>
                <w:sz w:val="21"/>
                <w:szCs w:val="21"/>
                <w:highlight w:val="none"/>
                <w:u w:val="single"/>
              </w:rPr>
              <w:t>服务方案及承诺、工作计划</w:t>
            </w:r>
            <w:r>
              <w:rPr>
                <w:rFonts w:hint="eastAsia" w:ascii="宋体" w:hAnsi="宋体" w:eastAsia="宋体" w:cs="宋体"/>
                <w:bCs/>
                <w:color w:val="auto"/>
                <w:sz w:val="21"/>
                <w:szCs w:val="21"/>
                <w:highlight w:val="none"/>
                <w:u w:val="single"/>
                <w:lang w:eastAsia="zh-CN"/>
              </w:rPr>
              <w:t>、可行性建议方案</w:t>
            </w:r>
            <w:r>
              <w:rPr>
                <w:rFonts w:hint="eastAsia" w:ascii="宋体" w:hAnsi="宋体" w:eastAsia="宋体" w:cs="宋体"/>
                <w:bCs/>
                <w:color w:val="auto"/>
                <w:sz w:val="21"/>
                <w:szCs w:val="21"/>
                <w:highlight w:val="none"/>
                <w:u w:val="single"/>
              </w:rPr>
              <w:t>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①项目</w:t>
            </w:r>
            <w:r>
              <w:rPr>
                <w:rFonts w:hint="eastAsia" w:ascii="宋体" w:hAnsi="宋体" w:eastAsia="宋体" w:cs="宋体"/>
                <w:bCs/>
                <w:color w:val="auto"/>
                <w:sz w:val="21"/>
                <w:szCs w:val="21"/>
                <w:highlight w:val="none"/>
                <w:u w:val="single"/>
                <w:lang w:eastAsia="zh-CN"/>
              </w:rPr>
              <w:t>后续配合</w:t>
            </w:r>
            <w:r>
              <w:rPr>
                <w:rFonts w:hint="eastAsia" w:ascii="宋体" w:hAnsi="宋体" w:eastAsia="宋体" w:cs="宋体"/>
                <w:bCs/>
                <w:color w:val="auto"/>
                <w:sz w:val="21"/>
                <w:szCs w:val="21"/>
                <w:highlight w:val="none"/>
                <w:u w:val="single"/>
              </w:rPr>
              <w:t>服务方案及承诺保障措施具体、合理、可行，工作计划及方案详细周密的，可行性建议方案</w:t>
            </w:r>
            <w:r>
              <w:rPr>
                <w:rFonts w:hint="eastAsia" w:ascii="宋体" w:hAnsi="宋体" w:eastAsia="宋体" w:cs="宋体"/>
                <w:bCs/>
                <w:color w:val="auto"/>
                <w:sz w:val="21"/>
                <w:szCs w:val="21"/>
                <w:highlight w:val="none"/>
                <w:u w:val="single"/>
                <w:lang w:eastAsia="zh-CN"/>
              </w:rPr>
              <w:t>针对性强，</w:t>
            </w:r>
            <w:r>
              <w:rPr>
                <w:rFonts w:hint="eastAsia" w:ascii="宋体" w:hAnsi="宋体" w:eastAsia="宋体" w:cs="宋体"/>
                <w:bCs/>
                <w:color w:val="auto"/>
                <w:sz w:val="21"/>
                <w:szCs w:val="21"/>
                <w:highlight w:val="none"/>
                <w:u w:val="single"/>
              </w:rPr>
              <w:t>得5分；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②项目</w:t>
            </w:r>
            <w:r>
              <w:rPr>
                <w:rFonts w:hint="eastAsia" w:ascii="宋体" w:hAnsi="宋体" w:eastAsia="宋体" w:cs="宋体"/>
                <w:bCs/>
                <w:color w:val="auto"/>
                <w:sz w:val="21"/>
                <w:szCs w:val="21"/>
                <w:highlight w:val="none"/>
                <w:u w:val="single"/>
                <w:lang w:eastAsia="zh-CN"/>
              </w:rPr>
              <w:t>后续配合</w:t>
            </w:r>
            <w:r>
              <w:rPr>
                <w:rFonts w:hint="eastAsia" w:ascii="宋体" w:hAnsi="宋体" w:eastAsia="宋体" w:cs="宋体"/>
                <w:bCs/>
                <w:color w:val="auto"/>
                <w:sz w:val="21"/>
                <w:szCs w:val="21"/>
                <w:highlight w:val="none"/>
                <w:u w:val="single"/>
              </w:rPr>
              <w:t>服务方案及承诺保障措施基本可行，工作流程及进度计划一般的，可行性建议方案</w:t>
            </w:r>
            <w:r>
              <w:rPr>
                <w:rFonts w:hint="eastAsia" w:ascii="宋体" w:hAnsi="宋体" w:eastAsia="宋体" w:cs="宋体"/>
                <w:bCs/>
                <w:color w:val="auto"/>
                <w:sz w:val="21"/>
                <w:szCs w:val="21"/>
                <w:highlight w:val="none"/>
                <w:u w:val="single"/>
                <w:lang w:eastAsia="zh-CN"/>
              </w:rPr>
              <w:t>一般，</w:t>
            </w:r>
            <w:r>
              <w:rPr>
                <w:rFonts w:hint="eastAsia" w:ascii="宋体" w:hAnsi="宋体" w:eastAsia="宋体" w:cs="宋体"/>
                <w:bCs/>
                <w:color w:val="auto"/>
                <w:sz w:val="21"/>
                <w:szCs w:val="21"/>
                <w:highlight w:val="none"/>
                <w:u w:val="single"/>
              </w:rPr>
              <w:t>得3分；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③项目</w:t>
            </w:r>
            <w:r>
              <w:rPr>
                <w:rFonts w:hint="eastAsia" w:ascii="宋体" w:hAnsi="宋体" w:eastAsia="宋体" w:cs="宋体"/>
                <w:bCs/>
                <w:color w:val="auto"/>
                <w:sz w:val="21"/>
                <w:szCs w:val="21"/>
                <w:highlight w:val="none"/>
                <w:u w:val="single"/>
                <w:lang w:eastAsia="zh-CN"/>
              </w:rPr>
              <w:t>后续配合</w:t>
            </w:r>
            <w:r>
              <w:rPr>
                <w:rFonts w:hint="eastAsia" w:ascii="宋体" w:hAnsi="宋体" w:eastAsia="宋体" w:cs="宋体"/>
                <w:bCs/>
                <w:color w:val="auto"/>
                <w:sz w:val="21"/>
                <w:szCs w:val="21"/>
                <w:highlight w:val="none"/>
                <w:u w:val="single"/>
              </w:rPr>
              <w:t>服务方案及承诺保障措施不可行的或未提供相关表述的，可行性建议方案</w:t>
            </w:r>
            <w:r>
              <w:rPr>
                <w:rFonts w:hint="eastAsia" w:ascii="宋体" w:hAnsi="宋体" w:eastAsia="宋体" w:cs="宋体"/>
                <w:bCs/>
                <w:color w:val="auto"/>
                <w:sz w:val="21"/>
                <w:szCs w:val="21"/>
                <w:highlight w:val="none"/>
                <w:u w:val="single"/>
                <w:lang w:eastAsia="zh-CN"/>
              </w:rPr>
              <w:t>不强，</w:t>
            </w:r>
            <w:r>
              <w:rPr>
                <w:rFonts w:hint="eastAsia" w:ascii="宋体" w:hAnsi="宋体" w:eastAsia="宋体" w:cs="宋体"/>
                <w:bCs/>
                <w:color w:val="auto"/>
                <w:sz w:val="21"/>
                <w:szCs w:val="21"/>
                <w:highlight w:val="none"/>
                <w:u w:val="single"/>
              </w:rPr>
              <w:t>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④未提供对应方案的得</w:t>
            </w:r>
            <w:r>
              <w:rPr>
                <w:rFonts w:hint="eastAsia" w:ascii="宋体" w:hAnsi="宋体" w:eastAsia="宋体" w:cs="宋体"/>
                <w:bCs/>
                <w:color w:val="auto"/>
                <w:sz w:val="21"/>
                <w:szCs w:val="21"/>
                <w:highlight w:val="none"/>
                <w:u w:val="single"/>
                <w:lang w:val="en-US" w:eastAsia="zh-CN"/>
              </w:rPr>
              <w:t>0</w:t>
            </w:r>
            <w:r>
              <w:rPr>
                <w:rFonts w:hint="eastAsia" w:ascii="宋体" w:hAnsi="宋体" w:eastAsia="宋体" w:cs="宋体"/>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403"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（1）无特殊说明外，以上评审项，同一证明文件不重复计分。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（2）供应商根据以上评分要求提供的响应材料因模糊不清导致评标委员会无法清晰辨认进行评审的，视为无效材料。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u w:val="single"/>
              </w:rPr>
              <w:t>价格评审（</w:t>
            </w:r>
            <w:r>
              <w:rPr>
                <w:rFonts w:hint="eastAsia" w:ascii="宋体" w:hAnsi="宋体" w:eastAsia="宋体" w:cs="宋体"/>
                <w:b/>
                <w:bCs/>
                <w:color w:val="auto"/>
                <w:sz w:val="21"/>
                <w:szCs w:val="21"/>
                <w:highlight w:val="none"/>
                <w:u w:val="single"/>
                <w:lang w:val="en-US" w:eastAsia="zh-CN"/>
              </w:rPr>
              <w:t>40</w:t>
            </w:r>
            <w:r>
              <w:rPr>
                <w:rFonts w:hint="eastAsia" w:ascii="宋体" w:hAnsi="宋体" w:eastAsia="宋体" w:cs="宋体"/>
                <w:b/>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624"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磋商总价</w:t>
            </w:r>
          </w:p>
        </w:tc>
        <w:tc>
          <w:tcPr>
            <w:tcW w:w="7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Cs w:val="21"/>
                <w:highlight w:val="none"/>
              </w:rPr>
            </w:pP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价格分计算方法：满足磋商文件要求且响应价格最低的</w:t>
            </w:r>
            <w:r>
              <w:rPr>
                <w:rFonts w:hint="eastAsia" w:ascii="宋体" w:hAnsi="宋体" w:eastAsia="宋体" w:cs="宋体"/>
                <w:color w:val="auto"/>
                <w:kern w:val="2"/>
                <w:szCs w:val="21"/>
                <w:highlight w:val="none"/>
                <w:lang w:val="en-US" w:eastAsia="zh-CN"/>
              </w:rPr>
              <w:t>含税</w:t>
            </w:r>
            <w:r>
              <w:rPr>
                <w:rFonts w:hint="eastAsia" w:ascii="宋体" w:hAnsi="宋体" w:eastAsia="宋体" w:cs="宋体"/>
                <w:color w:val="auto"/>
                <w:kern w:val="2"/>
                <w:szCs w:val="21"/>
                <w:highlight w:val="none"/>
                <w:lang w:val="zh-CN"/>
              </w:rPr>
              <w:t>磋商报价为评标基准价，其价格分为满分。其他供应商的价格分统一按照下列公式计算：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zh-CN"/>
              </w:rPr>
              <w:t>磋商报价得分=(磋商基准价／最后磋商报价)×价格权</w:t>
            </w:r>
            <w:r>
              <w:rPr>
                <w:rFonts w:hint="eastAsia" w:ascii="宋体" w:hAnsi="宋体" w:eastAsia="宋体" w:cs="宋体"/>
                <w:color w:val="auto"/>
                <w:kern w:val="2"/>
                <w:szCs w:val="21"/>
                <w:highlight w:val="none"/>
              </w:rPr>
              <w:t>重</w:t>
            </w:r>
          </w:p>
        </w:tc>
      </w:tr>
    </w:tbl>
    <w:p>
      <w:pPr>
        <w:ind w:firstLine="420" w:firstLineChars="200"/>
        <w:rPr>
          <w:color w:val="auto"/>
          <w:highlight w:val="none"/>
        </w:rPr>
      </w:pPr>
      <w:r>
        <w:rPr>
          <w:rFonts w:hint="eastAsia"/>
          <w:color w:val="auto"/>
          <w:highlight w:val="none"/>
        </w:rPr>
        <w:t>注：评标委员会评委按评标标准独立对技术标进行评审，得出技术标评分。当评标委员会为五人时，在所有评委对同一份响应文件技术标评审的总评分中，去掉一个最高分和一个最低分，计算剩余总评分的算术平均值即为该供应商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响应文件技术部分评审的总评分中，去掉一个最高分和一个最低分，计算剩余总评分的算术平均值即为该供应商技术部分的最终综合得分。</w:t>
      </w:r>
      <w:r>
        <w:rPr>
          <w:rFonts w:hint="eastAsia"/>
          <w:color w:val="auto"/>
          <w:highlight w:val="none"/>
        </w:rPr>
        <w:br w:type="page"/>
      </w:r>
    </w:p>
    <w:p>
      <w:pPr>
        <w:pStyle w:val="2"/>
        <w:spacing w:before="0" w:after="0" w:line="240" w:lineRule="auto"/>
        <w:rPr>
          <w:color w:val="auto"/>
          <w:sz w:val="36"/>
          <w:szCs w:val="36"/>
          <w:highlight w:val="none"/>
        </w:rPr>
      </w:pPr>
      <w:bookmarkStart w:id="10" w:name="_Toc16973"/>
      <w:bookmarkStart w:id="11" w:name="_Toc12233"/>
      <w:r>
        <w:rPr>
          <w:rFonts w:hint="eastAsia"/>
          <w:color w:val="auto"/>
          <w:sz w:val="28"/>
          <w:szCs w:val="28"/>
          <w:highlight w:val="none"/>
        </w:rPr>
        <w:t>第三部分</w:t>
      </w:r>
      <w:r>
        <w:rPr>
          <w:rFonts w:hint="eastAsia"/>
          <w:color w:val="auto"/>
          <w:sz w:val="28"/>
          <w:szCs w:val="28"/>
          <w:highlight w:val="none"/>
          <w:lang w:val="en-US" w:eastAsia="zh-CN"/>
        </w:rPr>
        <w:t xml:space="preserve"> </w:t>
      </w:r>
      <w:r>
        <w:rPr>
          <w:rFonts w:hint="eastAsia"/>
          <w:color w:val="auto"/>
          <w:sz w:val="28"/>
          <w:szCs w:val="28"/>
          <w:highlight w:val="none"/>
        </w:rPr>
        <w:t>用户需求书</w:t>
      </w:r>
      <w:bookmarkEnd w:id="10"/>
      <w:bookmarkEnd w:id="11"/>
    </w:p>
    <w:p>
      <w:pPr>
        <w:pStyle w:val="4"/>
        <w:spacing w:before="0" w:after="0" w:line="360" w:lineRule="auto"/>
        <w:jc w:val="center"/>
        <w:rPr>
          <w:rFonts w:ascii="宋体" w:hAnsi="宋体"/>
          <w:color w:val="auto"/>
          <w:highlight w:val="none"/>
        </w:rPr>
      </w:pPr>
      <w:bookmarkStart w:id="12" w:name="_Toc21119"/>
      <w:bookmarkStart w:id="13" w:name="_Toc23727"/>
      <w:bookmarkStart w:id="14" w:name="_Toc1593"/>
      <w:bookmarkStart w:id="15" w:name="_Toc308786492"/>
      <w:bookmarkStart w:id="16" w:name="_Toc13112"/>
      <w:bookmarkStart w:id="17" w:name="_Toc14462"/>
      <w:bookmarkStart w:id="18" w:name="_Toc24679"/>
      <w:bookmarkStart w:id="19" w:name="_Toc31278"/>
      <w:r>
        <w:rPr>
          <w:rFonts w:hint="eastAsia" w:ascii="宋体" w:hAnsi="宋体"/>
          <w:color w:val="auto"/>
          <w:highlight w:val="none"/>
        </w:rPr>
        <w:t>第一章 商务需求书</w:t>
      </w:r>
      <w:bookmarkEnd w:id="12"/>
      <w:bookmarkEnd w:id="13"/>
      <w:bookmarkEnd w:id="14"/>
    </w:p>
    <w:tbl>
      <w:tblPr>
        <w:tblStyle w:val="34"/>
        <w:tblW w:w="85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55"/>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1"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条款名称</w:t>
            </w:r>
          </w:p>
        </w:tc>
        <w:tc>
          <w:tcPr>
            <w:tcW w:w="6466" w:type="dxa"/>
            <w:noWrap w:val="0"/>
            <w:vAlign w:val="center"/>
          </w:tcPr>
          <w:p>
            <w:pPr>
              <w:widowControl w:val="0"/>
              <w:adjustRightInd/>
              <w:snapToGri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合格供应商</w:t>
            </w:r>
          </w:p>
        </w:tc>
        <w:tc>
          <w:tcPr>
            <w:tcW w:w="6466" w:type="dxa"/>
            <w:noWrap w:val="0"/>
            <w:vAlign w:val="center"/>
          </w:tcPr>
          <w:p>
            <w:pPr>
              <w:widowControl w:val="0"/>
              <w:adjustRightInd/>
              <w:snapToGrid/>
              <w:spacing w:line="360" w:lineRule="auto"/>
              <w:jc w:val="left"/>
              <w:rPr>
                <w:rFonts w:ascii="宋体" w:hAnsi="宋体" w:cs="宋体"/>
                <w:bCs/>
                <w:color w:val="auto"/>
                <w:kern w:val="44"/>
                <w:szCs w:val="21"/>
                <w:highlight w:val="none"/>
              </w:rPr>
            </w:pPr>
            <w:r>
              <w:rPr>
                <w:rFonts w:hint="eastAsia" w:ascii="宋体" w:hAnsi="宋体" w:cs="宋体"/>
                <w:color w:val="auto"/>
                <w:szCs w:val="21"/>
                <w:highlight w:val="none"/>
              </w:rPr>
              <w:t>详见“第一部分 磋商邀请”中“二、供应商资格要求”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服务期</w:t>
            </w:r>
          </w:p>
        </w:tc>
        <w:tc>
          <w:tcPr>
            <w:tcW w:w="6466" w:type="dxa"/>
            <w:noWrap w:val="0"/>
            <w:vAlign w:val="center"/>
          </w:tcPr>
          <w:p>
            <w:pPr>
              <w:widowControl w:val="0"/>
              <w:adjustRightInd/>
              <w:snapToGrid/>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本项目从</w:t>
            </w:r>
            <w:r>
              <w:rPr>
                <w:rFonts w:hint="eastAsia" w:ascii="宋体" w:hAnsi="宋体" w:cs="宋体"/>
                <w:color w:val="auto"/>
                <w:szCs w:val="21"/>
                <w:highlight w:val="none"/>
                <w:u w:val="single"/>
              </w:rPr>
              <w:t xml:space="preserve">  本合同签订之日  </w:t>
            </w:r>
            <w:r>
              <w:rPr>
                <w:rFonts w:hint="eastAsia" w:ascii="宋体" w:hAnsi="宋体" w:cs="宋体"/>
                <w:color w:val="auto"/>
                <w:szCs w:val="21"/>
                <w:highlight w:val="none"/>
              </w:rPr>
              <w:t>开始，</w:t>
            </w:r>
            <w:r>
              <w:rPr>
                <w:rFonts w:hint="eastAsia" w:ascii="宋体" w:hAnsi="宋体" w:cs="宋体"/>
                <w:color w:val="auto"/>
                <w:highlight w:val="none"/>
                <w:u w:val="single"/>
              </w:rPr>
              <w:t xml:space="preserve"> 90个工作日内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提交正式成果</w:t>
            </w:r>
            <w:r>
              <w:rPr>
                <w:rFonts w:hint="eastAsia" w:ascii="宋体" w:hAnsi="宋体" w:eastAsia="宋体" w:cs="宋体"/>
                <w:color w:val="auto"/>
                <w:kern w:val="2"/>
                <w:szCs w:val="21"/>
                <w:highlight w:val="none"/>
              </w:rPr>
              <w:t>报送</w:t>
            </w:r>
            <w:r>
              <w:rPr>
                <w:rFonts w:hint="eastAsia" w:ascii="宋体" w:hAnsi="宋体" w:cs="宋体"/>
                <w:color w:val="auto"/>
                <w:szCs w:val="21"/>
                <w:highlight w:val="none"/>
              </w:rPr>
              <w:t>市自然资源管理委员会/市政府</w:t>
            </w:r>
            <w:r>
              <w:rPr>
                <w:rFonts w:hint="eastAsia" w:ascii="宋体" w:hAnsi="宋体" w:cs="宋体"/>
                <w:color w:val="auto"/>
                <w:szCs w:val="21"/>
                <w:highlight w:val="none"/>
                <w:lang w:eastAsia="zh-CN"/>
              </w:rPr>
              <w:t>审批</w:t>
            </w:r>
            <w:r>
              <w:rPr>
                <w:rFonts w:hint="eastAsia" w:ascii="宋体" w:hAnsi="宋体" w:cs="宋体"/>
                <w:color w:val="auto"/>
                <w:szCs w:val="21"/>
                <w:highlight w:val="none"/>
              </w:rPr>
              <w:t>（具体需结合政府部门审批时间为准）。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3"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付款方式</w:t>
            </w:r>
          </w:p>
        </w:tc>
        <w:tc>
          <w:tcPr>
            <w:tcW w:w="6466" w:type="dxa"/>
            <w:noWrap w:val="0"/>
            <w:vAlign w:val="center"/>
          </w:tcPr>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此</w:t>
            </w:r>
            <w:r>
              <w:rPr>
                <w:rFonts w:hint="eastAsia" w:ascii="宋体" w:hAnsi="宋体" w:eastAsia="宋体" w:cs="宋体"/>
                <w:color w:val="auto"/>
                <w:kern w:val="2"/>
                <w:szCs w:val="21"/>
                <w:highlight w:val="none"/>
              </w:rPr>
              <w:t>合同</w:t>
            </w:r>
            <w:r>
              <w:rPr>
                <w:rFonts w:hint="eastAsia" w:ascii="宋体" w:hAnsi="宋体" w:cs="宋体"/>
                <w:color w:val="auto"/>
                <w:highlight w:val="none"/>
                <w:shd w:val="clear" w:color="auto" w:fill="FFFFFF"/>
              </w:rPr>
              <w:t>分</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u w:val="single"/>
                <w:shd w:val="clear" w:color="auto" w:fill="FFFFFF"/>
                <w:lang w:val="en-US" w:eastAsia="zh-CN"/>
              </w:rPr>
              <w:t>六</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期付款：</w:t>
            </w:r>
          </w:p>
          <w:p>
            <w:pPr>
              <w:widowControl w:val="0"/>
              <w:adjustRightInd/>
              <w:snapToGrid/>
              <w:spacing w:line="360" w:lineRule="auto"/>
              <w:jc w:val="left"/>
              <w:rPr>
                <w:rFonts w:hint="eastAsia" w:ascii="宋体" w:hAnsi="宋体" w:cs="宋体"/>
                <w:color w:val="auto"/>
                <w:highlight w:val="none"/>
                <w:shd w:val="clear" w:color="auto" w:fill="FFFFFF"/>
                <w:lang w:eastAsia="zh-CN"/>
              </w:rPr>
            </w:pPr>
            <w:r>
              <w:rPr>
                <w:rFonts w:hint="eastAsia" w:ascii="宋体" w:hAnsi="宋体" w:cs="宋体"/>
                <w:color w:val="auto"/>
                <w:highlight w:val="none"/>
                <w:shd w:val="clear" w:color="auto" w:fill="FFFFFF"/>
              </w:rPr>
              <w:t>第一期：合同签订后10日内，</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向</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提交请款报告，</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支付至合同总金额的10％</w:t>
            </w:r>
            <w:r>
              <w:rPr>
                <w:rFonts w:hint="eastAsia" w:ascii="宋体" w:hAnsi="宋体" w:cs="宋体"/>
                <w:color w:val="auto"/>
                <w:highlight w:val="none"/>
                <w:shd w:val="clear" w:color="auto" w:fill="FFFFFF"/>
                <w:lang w:eastAsia="zh-CN"/>
              </w:rPr>
              <w:t>；</w:t>
            </w:r>
          </w:p>
          <w:p>
            <w:pPr>
              <w:widowControl w:val="0"/>
              <w:adjustRightInd/>
              <w:snapToGrid/>
              <w:spacing w:line="360" w:lineRule="auto"/>
              <w:jc w:val="left"/>
              <w:rPr>
                <w:rFonts w:hint="eastAsia" w:ascii="宋体" w:hAnsi="宋体" w:eastAsia="宋体" w:cs="宋体"/>
                <w:color w:val="auto"/>
                <w:highlight w:val="none"/>
                <w:shd w:val="clear" w:color="auto" w:fill="FFFFFF"/>
                <w:lang w:eastAsia="zh-CN"/>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二</w:t>
            </w:r>
            <w:r>
              <w:rPr>
                <w:rFonts w:hint="eastAsia" w:ascii="宋体" w:hAnsi="宋体" w:cs="宋体"/>
                <w:color w:val="auto"/>
                <w:highlight w:val="none"/>
                <w:shd w:val="clear" w:color="auto" w:fill="FFFFFF"/>
              </w:rPr>
              <w:t>期：</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按要求向</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提供单元规划初步成果，并通过</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审查后，</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向</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提交请款报告，</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支付至合同总金额的20％</w:t>
            </w:r>
            <w:r>
              <w:rPr>
                <w:rFonts w:hint="eastAsia" w:ascii="宋体" w:hAnsi="宋体" w:cs="宋体"/>
                <w:color w:val="auto"/>
                <w:highlight w:val="none"/>
                <w:shd w:val="clear" w:color="auto" w:fill="FFFFFF"/>
                <w:lang w:eastAsia="zh-CN"/>
              </w:rPr>
              <w:t>；</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lang w:val="en-US" w:eastAsia="zh-CN"/>
              </w:rPr>
              <w:t>第三期：</w:t>
            </w:r>
            <w:r>
              <w:rPr>
                <w:rFonts w:hint="eastAsia" w:ascii="宋体" w:hAnsi="宋体" w:cs="宋体"/>
                <w:color w:val="auto"/>
                <w:highlight w:val="none"/>
                <w:shd w:val="clear" w:color="auto" w:fill="FFFFFF"/>
              </w:rPr>
              <w:t>单元规划初步成果通过街道</w:t>
            </w:r>
            <w:r>
              <w:rPr>
                <w:rFonts w:hint="eastAsia" w:ascii="宋体" w:hAnsi="宋体" w:eastAsia="宋体" w:cs="宋体"/>
                <w:color w:val="auto"/>
                <w:kern w:val="2"/>
                <w:szCs w:val="21"/>
                <w:highlight w:val="none"/>
              </w:rPr>
              <w:t>领导班子</w:t>
            </w:r>
            <w:r>
              <w:rPr>
                <w:rFonts w:hint="eastAsia" w:ascii="宋体" w:hAnsi="宋体" w:cs="宋体"/>
                <w:color w:val="auto"/>
                <w:highlight w:val="none"/>
                <w:shd w:val="clear" w:color="auto" w:fill="FFFFFF"/>
              </w:rPr>
              <w:t>联席会议并取得会议纪要后，成交供应商向采购人提交请款报告，采购人在收到前述材料之日起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个工作日内向成交供应商支付至合同总金额的</w:t>
            </w:r>
            <w:r>
              <w:rPr>
                <w:rFonts w:hint="eastAsia" w:ascii="宋体" w:hAnsi="宋体" w:cs="宋体"/>
                <w:color w:val="auto"/>
                <w:highlight w:val="none"/>
                <w:shd w:val="clear" w:color="auto" w:fill="FFFFFF"/>
                <w:lang w:val="en-US" w:eastAsia="zh-CN"/>
              </w:rPr>
              <w:t>4</w:t>
            </w:r>
            <w:r>
              <w:rPr>
                <w:rFonts w:hint="eastAsia" w:ascii="宋体" w:hAnsi="宋体" w:cs="宋体"/>
                <w:color w:val="auto"/>
                <w:highlight w:val="none"/>
                <w:shd w:val="clear" w:color="auto" w:fill="FFFFFF"/>
              </w:rPr>
              <w:t>0％；</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四</w:t>
            </w:r>
            <w:r>
              <w:rPr>
                <w:rFonts w:hint="eastAsia" w:ascii="宋体" w:hAnsi="宋体" w:cs="宋体"/>
                <w:color w:val="auto"/>
                <w:highlight w:val="none"/>
                <w:shd w:val="clear" w:color="auto" w:fill="FFFFFF"/>
              </w:rPr>
              <w:t>期：成交供应商完成单元规划成果，通过市自然资源局技术审查并取得会议纪要后，成交供应商向采购人提交请款报告，采购人在收到前述材料之日</w:t>
            </w:r>
            <w:r>
              <w:rPr>
                <w:rFonts w:hint="eastAsia" w:ascii="宋体" w:hAnsi="宋体" w:eastAsia="宋体" w:cs="宋体"/>
                <w:color w:val="auto"/>
                <w:kern w:val="2"/>
                <w:szCs w:val="21"/>
                <w:highlight w:val="none"/>
              </w:rPr>
              <w:t>起</w:t>
            </w:r>
            <w:r>
              <w:rPr>
                <w:rFonts w:hint="eastAsia" w:ascii="宋体" w:hAnsi="宋体" w:eastAsia="宋体" w:cs="宋体"/>
                <w:color w:val="auto"/>
                <w:kern w:val="2"/>
                <w:szCs w:val="21"/>
                <w:highlight w:val="none"/>
                <w:u w:val="single"/>
              </w:rPr>
              <w:t xml:space="preserve"> 20 </w:t>
            </w:r>
            <w:r>
              <w:rPr>
                <w:rFonts w:hint="eastAsia" w:ascii="宋体" w:hAnsi="宋体" w:cs="宋体"/>
                <w:color w:val="auto"/>
                <w:highlight w:val="none"/>
                <w:shd w:val="clear" w:color="auto" w:fill="FFFFFF"/>
              </w:rPr>
              <w:t>个工作日内向成交供应商支付至合同总金额的</w:t>
            </w:r>
            <w:r>
              <w:rPr>
                <w:rFonts w:hint="eastAsia" w:ascii="宋体" w:hAnsi="宋体" w:cs="宋体"/>
                <w:color w:val="auto"/>
                <w:highlight w:val="none"/>
                <w:shd w:val="clear" w:color="auto" w:fill="FFFFFF"/>
                <w:lang w:val="en-US" w:eastAsia="zh-CN"/>
              </w:rPr>
              <w:t>6</w:t>
            </w:r>
            <w:r>
              <w:rPr>
                <w:rFonts w:hint="eastAsia" w:ascii="宋体" w:hAnsi="宋体" w:cs="宋体"/>
                <w:color w:val="auto"/>
                <w:highlight w:val="none"/>
                <w:shd w:val="clear" w:color="auto" w:fill="FFFFFF"/>
              </w:rPr>
              <w:t>0％；</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五</w:t>
            </w:r>
            <w:r>
              <w:rPr>
                <w:rFonts w:hint="eastAsia" w:ascii="宋体" w:hAnsi="宋体" w:cs="宋体"/>
                <w:color w:val="auto"/>
                <w:highlight w:val="none"/>
                <w:shd w:val="clear" w:color="auto" w:fill="FFFFFF"/>
              </w:rPr>
              <w:t>期：控规调整成果通过市详规委会并取得会议纪要后，成交供应商向采购人提交请款报告，采购人在收到前述材料之日起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个工作日内向成交供应商支付至合同总金额的</w:t>
            </w:r>
            <w:r>
              <w:rPr>
                <w:rFonts w:hint="eastAsia" w:ascii="宋体" w:hAnsi="宋体" w:cs="宋体"/>
                <w:color w:val="auto"/>
                <w:highlight w:val="none"/>
                <w:shd w:val="clear" w:color="auto" w:fill="FFFFFF"/>
                <w:lang w:val="en-US" w:eastAsia="zh-CN"/>
              </w:rPr>
              <w:t>8</w:t>
            </w:r>
            <w:r>
              <w:rPr>
                <w:rFonts w:hint="eastAsia" w:ascii="宋体" w:hAnsi="宋体" w:cs="宋体"/>
                <w:color w:val="auto"/>
                <w:highlight w:val="none"/>
                <w:shd w:val="clear" w:color="auto" w:fill="FFFFFF"/>
              </w:rPr>
              <w:t>0%；</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六</w:t>
            </w:r>
            <w:r>
              <w:rPr>
                <w:rFonts w:hint="eastAsia" w:ascii="宋体" w:hAnsi="宋体" w:cs="宋体"/>
                <w:color w:val="auto"/>
                <w:highlight w:val="none"/>
                <w:shd w:val="clear" w:color="auto" w:fill="FFFFFF"/>
              </w:rPr>
              <w:t>期：本项目提交正式控规调整成果通过市政府审批并取得规划批复文件后，且办理完结算手续后，成交供应商向采购人提交请款报告，采购人在收到前述材料之日起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个工作日内向成交供应商支付至结算价的 100% 。</w:t>
            </w:r>
          </w:p>
          <w:p>
            <w:pPr>
              <w:widowControl w:val="0"/>
              <w:adjustRightInd/>
              <w:snapToGrid/>
              <w:spacing w:line="360" w:lineRule="auto"/>
              <w:jc w:val="left"/>
              <w:rPr>
                <w:rFonts w:hint="eastAsia" w:ascii="宋体" w:hAnsi="宋体" w:eastAsia="宋体" w:cs="宋体"/>
                <w:color w:val="auto"/>
                <w:highlight w:val="none"/>
                <w:lang w:eastAsia="zh-CN"/>
              </w:rPr>
            </w:pPr>
            <w:r>
              <w:rPr>
                <w:rFonts w:hint="eastAsia" w:ascii="宋体" w:hAnsi="宋体" w:cs="宋体"/>
                <w:color w:val="auto"/>
                <w:highlight w:val="none"/>
                <w:shd w:val="clear" w:color="auto" w:fill="FFFFFF"/>
              </w:rPr>
              <w:t>如最终成果</w:t>
            </w:r>
            <w:r>
              <w:rPr>
                <w:rFonts w:hint="eastAsia" w:ascii="宋体" w:hAnsi="宋体" w:eastAsia="宋体" w:cs="宋体"/>
                <w:color w:val="auto"/>
                <w:kern w:val="2"/>
                <w:szCs w:val="21"/>
                <w:highlight w:val="none"/>
              </w:rPr>
              <w:t>不能</w:t>
            </w:r>
            <w:r>
              <w:rPr>
                <w:rFonts w:hint="eastAsia" w:ascii="宋体" w:hAnsi="宋体" w:cs="宋体"/>
                <w:color w:val="auto"/>
                <w:highlight w:val="none"/>
                <w:shd w:val="clear" w:color="auto" w:fill="FFFFFF"/>
              </w:rPr>
              <w:t>获得市相关主管部门审查通过，须按采购人要求修改直至最终成果审查通过，否则合同尾款不予支付</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项目地点</w:t>
            </w:r>
          </w:p>
        </w:tc>
        <w:tc>
          <w:tcPr>
            <w:tcW w:w="6466" w:type="dxa"/>
            <w:noWrap w:val="0"/>
            <w:vAlign w:val="center"/>
          </w:tcPr>
          <w:p>
            <w:pPr>
              <w:widowControl w:val="0"/>
              <w:adjustRightInd/>
              <w:snapToGrid/>
              <w:spacing w:line="360" w:lineRule="auto"/>
              <w:jc w:val="left"/>
              <w:rPr>
                <w:rFonts w:ascii="宋体" w:hAnsi="宋体" w:cs="宋体"/>
                <w:color w:val="auto"/>
                <w:szCs w:val="21"/>
                <w:highlight w:val="none"/>
              </w:rPr>
            </w:pPr>
            <w:r>
              <w:rPr>
                <w:rFonts w:hint="eastAsia" w:ascii="宋体" w:hAnsi="宋体" w:cs="宋体"/>
                <w:color w:val="auto"/>
                <w:szCs w:val="21"/>
                <w:highlight w:val="none"/>
              </w:rPr>
              <w:t>采购人</w:t>
            </w:r>
            <w:r>
              <w:rPr>
                <w:rFonts w:hint="eastAsia" w:ascii="宋体" w:hAnsi="宋体" w:eastAsia="宋体" w:cs="宋体"/>
                <w:color w:val="auto"/>
                <w:kern w:val="2"/>
                <w:szCs w:val="21"/>
                <w:highlight w:val="none"/>
              </w:rPr>
              <w:t>指定</w:t>
            </w:r>
            <w:r>
              <w:rPr>
                <w:rFonts w:hint="eastAsia" w:ascii="宋体" w:hAnsi="宋体" w:cs="宋体"/>
                <w:color w:val="auto"/>
                <w:szCs w:val="21"/>
                <w:highlight w:val="none"/>
              </w:rPr>
              <w:t>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5</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报价要求</w:t>
            </w:r>
          </w:p>
        </w:tc>
        <w:tc>
          <w:tcPr>
            <w:tcW w:w="6466" w:type="dxa"/>
            <w:noWrap w:val="0"/>
            <w:vAlign w:val="center"/>
          </w:tcPr>
          <w:p>
            <w:pPr>
              <w:widowControl w:val="0"/>
              <w:adjustRightInd/>
              <w:snapToGrid/>
              <w:spacing w:line="360" w:lineRule="auto"/>
              <w:jc w:val="left"/>
              <w:rPr>
                <w:rFonts w:ascii="宋体" w:hAnsi="宋体" w:cs="宋体"/>
                <w:color w:val="auto"/>
                <w:szCs w:val="21"/>
                <w:highlight w:val="none"/>
              </w:rPr>
            </w:pPr>
            <w:r>
              <w:rPr>
                <w:rFonts w:hint="eastAsia" w:ascii="宋体" w:hAnsi="宋体" w:cs="宋体"/>
                <w:color w:val="auto"/>
                <w:szCs w:val="21"/>
                <w:highlight w:val="none"/>
              </w:rPr>
              <w:t>磋商报价应包括本次采购所有服务内容的费用，包括但不限于人工、材料、成本、利润、机械设备使用费、措施费、税费以及合同实施过程中的不可预见费用等全部费用。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6</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磋商有效期</w:t>
            </w:r>
          </w:p>
        </w:tc>
        <w:tc>
          <w:tcPr>
            <w:tcW w:w="6466" w:type="dxa"/>
            <w:noWrap w:val="0"/>
            <w:vAlign w:val="center"/>
          </w:tcPr>
          <w:p>
            <w:pPr>
              <w:widowControl w:val="0"/>
              <w:adjustRightInd/>
              <w:snapToGrid/>
              <w:spacing w:line="36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7</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合同条款</w:t>
            </w:r>
          </w:p>
        </w:tc>
        <w:tc>
          <w:tcPr>
            <w:tcW w:w="6466" w:type="dxa"/>
            <w:noWrap w:val="0"/>
            <w:vAlign w:val="center"/>
          </w:tcPr>
          <w:p>
            <w:pPr>
              <w:widowControl w:val="0"/>
              <w:adjustRightInd/>
              <w:snapToGrid/>
              <w:spacing w:line="36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供应商实质响应合同各条款。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8</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其他</w:t>
            </w:r>
          </w:p>
        </w:tc>
        <w:tc>
          <w:tcPr>
            <w:tcW w:w="6466" w:type="dxa"/>
            <w:noWrap w:val="0"/>
            <w:vAlign w:val="center"/>
          </w:tcPr>
          <w:p>
            <w:pPr>
              <w:widowControl w:val="0"/>
              <w:adjustRightInd/>
              <w:snapToGrid/>
              <w:spacing w:line="360" w:lineRule="auto"/>
              <w:jc w:val="left"/>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r>
    </w:tbl>
    <w:p>
      <w:pPr>
        <w:rPr>
          <w:color w:val="auto"/>
          <w:highlight w:val="none"/>
        </w:rPr>
      </w:pPr>
    </w:p>
    <w:p>
      <w:pPr>
        <w:adjustRightInd/>
        <w:snapToGrid/>
        <w:spacing w:line="240" w:lineRule="auto"/>
        <w:rPr>
          <w:rFonts w:ascii="宋体" w:hAnsi="宋体"/>
          <w:color w:val="auto"/>
          <w:highlight w:val="none"/>
        </w:rPr>
      </w:pPr>
      <w:bookmarkStart w:id="20" w:name="_Toc19316"/>
    </w:p>
    <w:p>
      <w:pPr>
        <w:pStyle w:val="4"/>
        <w:spacing w:before="0" w:after="0" w:line="360" w:lineRule="auto"/>
        <w:jc w:val="center"/>
        <w:rPr>
          <w:color w:val="auto"/>
          <w:highlight w:val="none"/>
        </w:rPr>
      </w:pPr>
      <w:bookmarkStart w:id="21" w:name="_Toc8365"/>
      <w:r>
        <w:rPr>
          <w:rFonts w:hint="eastAsia" w:ascii="宋体" w:hAnsi="宋体"/>
          <w:color w:val="auto"/>
          <w:highlight w:val="none"/>
        </w:rPr>
        <w:br w:type="page"/>
      </w:r>
      <w:bookmarkStart w:id="22" w:name="_Toc14740"/>
      <w:r>
        <w:rPr>
          <w:rFonts w:hint="eastAsia" w:ascii="宋体" w:hAnsi="宋体"/>
          <w:color w:val="auto"/>
          <w:highlight w:val="none"/>
        </w:rPr>
        <w:t>第二章 技术需求书</w:t>
      </w:r>
      <w:bookmarkEnd w:id="20"/>
      <w:bookmarkEnd w:id="21"/>
      <w:bookmarkEnd w:id="22"/>
    </w:p>
    <w:bookmarkEnd w:id="15"/>
    <w:p>
      <w:pPr>
        <w:spacing w:line="360" w:lineRule="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一、项目背景</w:t>
      </w:r>
    </w:p>
    <w:p>
      <w:pPr>
        <w:spacing w:line="360" w:lineRule="auto"/>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根据《东莞市“三旧”改造(城市更新)单元规划(xx详细规划街坊控规调整)编审指引》，为推动东莞市“三旧”改造连片高质量发展，完善城市功能和空间结构，构建东莞“三旧”改造“大中小圈”三级规划体系，指导项目开发建设，落实片区统筹确定的各类规划要求。</w:t>
      </w:r>
    </w:p>
    <w:p>
      <w:pPr>
        <w:spacing w:line="360" w:lineRule="auto"/>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三旧”改造(城市更新)单元规划(xx详细规划街坊控规调整)(以下简称“单元规划”)应当依据详细规划有关技术规范进行编制，衔接已经市城市更新与城市设计委员会审议同意的片区统筹规划或正在同步编制的片区统筹规划，对单元范围内改造活动进行合理安排并明确具体实施要求。单元规划的具体编制要求和内容可根据国家、省、市最新工作要求进行适时调整。经法定流程批准的单元规划包含详细规划与改造要求，是实施“三旧”改造的基本依据。</w:t>
      </w:r>
    </w:p>
    <w:p>
      <w:pPr>
        <w:spacing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本次项目计划通过梳理单元土地资源，划定改造范围，并结合区位发展背景、现状基础情况评估、上位规划、改造意愿与改造需求等要素，确定单元的开发容量及用地移交方案，明确实施责任。并通过城市设计管控图则和规划实施监督管理图则等内容，为后续总体实施方案提供成果依据。</w:t>
      </w:r>
    </w:p>
    <w:p>
      <w:pPr>
        <w:spacing w:line="360" w:lineRule="auto"/>
        <w:rPr>
          <w:rFonts w:ascii="宋体" w:hAnsi="宋体" w:cs="宋体"/>
          <w:b/>
          <w:bCs/>
          <w:color w:val="auto"/>
          <w:sz w:val="21"/>
          <w:szCs w:val="21"/>
          <w:highlight w:val="none"/>
        </w:rPr>
      </w:pPr>
      <w:bookmarkStart w:id="23" w:name="_Toc388902631"/>
      <w:bookmarkStart w:id="24" w:name="_Toc72425374"/>
      <w:bookmarkStart w:id="25" w:name="_Toc76376681"/>
      <w:r>
        <w:rPr>
          <w:rFonts w:hint="eastAsia" w:ascii="宋体" w:hAnsi="宋体" w:cs="宋体"/>
          <w:b/>
          <w:bCs/>
          <w:color w:val="auto"/>
          <w:sz w:val="21"/>
          <w:szCs w:val="21"/>
          <w:highlight w:val="none"/>
        </w:rPr>
        <w:t>二、</w:t>
      </w:r>
      <w:bookmarkEnd w:id="23"/>
      <w:r>
        <w:rPr>
          <w:rFonts w:hint="eastAsia" w:ascii="宋体" w:hAnsi="宋体" w:cs="宋体"/>
          <w:b/>
          <w:bCs/>
          <w:color w:val="auto"/>
          <w:sz w:val="21"/>
          <w:szCs w:val="21"/>
          <w:highlight w:val="none"/>
        </w:rPr>
        <w:t>项目</w:t>
      </w:r>
      <w:bookmarkEnd w:id="24"/>
      <w:bookmarkEnd w:id="25"/>
      <w:r>
        <w:rPr>
          <w:rFonts w:hint="eastAsia" w:ascii="宋体" w:hAnsi="宋体" w:cs="宋体"/>
          <w:b/>
          <w:bCs/>
          <w:color w:val="auto"/>
          <w:sz w:val="21"/>
          <w:szCs w:val="21"/>
          <w:highlight w:val="none"/>
        </w:rPr>
        <w:t>范围</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本项目位于位于中心区南北第二通道片区西侧东莞运河边上，莞城与南城交界处，靠近城市干道莞太路，主要以现状道路中心线和规划道路红线为界划定为更新单元范围，进行整体的规划研究及改造安排。项目范围北至创业路、东至振兴街，南至新邨南街，西至运河东三路，面积约14.56公顷（218.40亩）</w:t>
      </w:r>
      <w:r>
        <w:rPr>
          <w:rFonts w:hint="eastAsia" w:ascii="宋体" w:hAnsi="宋体" w:cs="宋体"/>
          <w:color w:val="auto"/>
          <w:sz w:val="21"/>
          <w:szCs w:val="21"/>
          <w:highlight w:val="none"/>
          <w:shd w:val="clear" w:color="auto" w:fill="FFFFFF"/>
          <w:lang w:eastAsia="zh-CN"/>
        </w:rPr>
        <w:t>。</w:t>
      </w:r>
    </w:p>
    <w:p>
      <w:pPr>
        <w:spacing w:line="360" w:lineRule="auto"/>
        <w:jc w:val="center"/>
        <w:rPr>
          <w:rFonts w:hint="eastAsia" w:ascii="宋体" w:hAnsi="宋体" w:cs="宋体"/>
          <w:color w:val="auto"/>
          <w:sz w:val="21"/>
          <w:szCs w:val="21"/>
          <w:highlight w:val="none"/>
        </w:rPr>
      </w:pPr>
      <w:r>
        <w:rPr>
          <w:rFonts w:ascii="微软雅黑" w:hAnsi="微软雅黑" w:eastAsia="微软雅黑"/>
          <w:color w:val="auto"/>
          <w:sz w:val="21"/>
          <w:szCs w:val="21"/>
          <w:highlight w:val="none"/>
        </w:rPr>
        <w:drawing>
          <wp:inline distT="0" distB="0" distL="114300" distR="114300">
            <wp:extent cx="3258185" cy="3083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l="11734" t="3075" r="9325"/>
                    <a:stretch>
                      <a:fillRect/>
                    </a:stretch>
                  </pic:blipFill>
                  <pic:spPr>
                    <a:xfrm>
                      <a:off x="0" y="0"/>
                      <a:ext cx="3258185" cy="3083560"/>
                    </a:xfrm>
                    <a:prstGeom prst="rect">
                      <a:avLst/>
                    </a:prstGeom>
                    <a:noFill/>
                    <a:ln>
                      <a:noFill/>
                    </a:ln>
                  </pic:spPr>
                </pic:pic>
              </a:graphicData>
            </a:graphic>
          </wp:inline>
        </w:drawing>
      </w:r>
    </w:p>
    <w:p>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附图1：项目范围图</w:t>
      </w:r>
    </w:p>
    <w:p>
      <w:pPr>
        <w:snapToGrid w:val="0"/>
        <w:spacing w:before="156" w:beforeLines="50" w:line="360" w:lineRule="auto"/>
        <w:rPr>
          <w:rFonts w:ascii="宋体" w:hAnsi="宋体" w:cs="宋体"/>
          <w:b/>
          <w:bCs/>
          <w:color w:val="auto"/>
          <w:sz w:val="21"/>
          <w:szCs w:val="21"/>
          <w:highlight w:val="none"/>
        </w:rPr>
      </w:pPr>
      <w:bookmarkStart w:id="26" w:name="_Toc388023718"/>
      <w:bookmarkStart w:id="27" w:name="_Toc388022715"/>
      <w:bookmarkStart w:id="28" w:name="_Toc388902632"/>
      <w:bookmarkStart w:id="29" w:name="_Toc76376682"/>
      <w:bookmarkStart w:id="30" w:name="_Toc72425375"/>
      <w:bookmarkStart w:id="31" w:name="_Toc170124143"/>
      <w:bookmarkStart w:id="32" w:name="_Toc133653532"/>
      <w:bookmarkStart w:id="33" w:name="_Toc133855619"/>
      <w:bookmarkStart w:id="34" w:name="_Toc192913559"/>
      <w:bookmarkStart w:id="35" w:name="_Toc227493671"/>
      <w:bookmarkStart w:id="36" w:name="_Toc137736526"/>
      <w:r>
        <w:rPr>
          <w:rFonts w:hint="eastAsia" w:ascii="宋体" w:hAnsi="宋体" w:cs="宋体"/>
          <w:b/>
          <w:bCs/>
          <w:color w:val="auto"/>
          <w:sz w:val="21"/>
          <w:szCs w:val="21"/>
          <w:highlight w:val="none"/>
        </w:rPr>
        <w:t>三</w:t>
      </w:r>
      <w:bookmarkEnd w:id="26"/>
      <w:bookmarkEnd w:id="27"/>
      <w:r>
        <w:rPr>
          <w:rFonts w:hint="eastAsia" w:ascii="宋体" w:hAnsi="宋体" w:cs="宋体"/>
          <w:b/>
          <w:bCs/>
          <w:color w:val="auto"/>
          <w:sz w:val="21"/>
          <w:szCs w:val="21"/>
          <w:highlight w:val="none"/>
        </w:rPr>
        <w:t>、工作</w:t>
      </w:r>
      <w:bookmarkEnd w:id="28"/>
      <w:r>
        <w:rPr>
          <w:rFonts w:hint="eastAsia" w:ascii="宋体" w:hAnsi="宋体" w:cs="宋体"/>
          <w:b/>
          <w:bCs/>
          <w:color w:val="auto"/>
          <w:sz w:val="21"/>
          <w:szCs w:val="21"/>
          <w:highlight w:val="none"/>
        </w:rPr>
        <w:t>内容</w:t>
      </w:r>
      <w:bookmarkEnd w:id="29"/>
      <w:bookmarkEnd w:id="30"/>
    </w:p>
    <w:bookmarkEnd w:id="31"/>
    <w:bookmarkEnd w:id="32"/>
    <w:bookmarkEnd w:id="33"/>
    <w:bookmarkEnd w:id="34"/>
    <w:bookmarkEnd w:id="35"/>
    <w:bookmarkEnd w:id="36"/>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shd w:val="clear" w:color="auto" w:fill="FFFFFF"/>
        </w:rPr>
        <w:t>《东莞市“三旧”改造(城市更新)单元规划(xx详细规划街坊控规调整)编审指引》</w:t>
      </w:r>
      <w:r>
        <w:rPr>
          <w:rFonts w:hint="eastAsia" w:ascii="宋体" w:hAnsi="宋体" w:cs="宋体"/>
          <w:color w:val="auto"/>
          <w:sz w:val="21"/>
          <w:szCs w:val="21"/>
          <w:highlight w:val="none"/>
        </w:rPr>
        <w:t>，单元规划的编制，一般应包括基础评估、改造策划、控规调整、其他说明等环节。</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3.1 基础评估</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基础评估阶段，镇街(园区)应建立规划编制组织架构开展基础资料收集，结合全面、详实的数据，开展现状分析、改造信息核查、单元细分等，进一步明确后续改造基础。</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 xml:space="preserve">.1 </w:t>
      </w:r>
      <w:r>
        <w:rPr>
          <w:rFonts w:hint="eastAsia" w:ascii="宋体" w:hAnsi="宋体" w:cs="宋体"/>
          <w:b/>
          <w:bCs/>
          <w:color w:val="auto"/>
          <w:sz w:val="21"/>
          <w:szCs w:val="21"/>
          <w:highlight w:val="none"/>
        </w:rPr>
        <w:t>单元范围划定</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说明改造单元的交通区位、功能区位以及在统筹片区中的空间位置。说明改造单元的四至范围和规模。</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2</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改造信息核查分析</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全面摸清单元范围内土地的权属(集体土地所有权、国有土地使用权、公有资产)、地类、规划、标图入库、现状建设、有关资源等基本情况，明确后续工作要求，作为规划调整、后续开发实施的参考</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3</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单元细分</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结合片区统筹规划的“留改拆”分区，对单元范围内各类用地进行细分和优化。具体划分为现状保留区、整治活化区、历史文化保护区、拆除区以及其余用地区，说明各分区的面积和划分理由。</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4</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片区统筹落实情况</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说明改造单元所在片区统筹规划的批复情况，包括批复时间、批复主要内容以及各单元的实施进展情况。</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3.2 改造策划</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改造策划阶段，核心是明确改造模式、改造方向、用地方案，结合利益分配，梳理改造实施责任与捆绑。</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.2.1</w:t>
      </w:r>
      <w:r>
        <w:rPr>
          <w:rFonts w:hint="eastAsia" w:ascii="宋体" w:hAnsi="宋体" w:cs="宋体"/>
          <w:b/>
          <w:bCs/>
          <w:color w:val="auto"/>
          <w:sz w:val="21"/>
          <w:szCs w:val="21"/>
          <w:highlight w:val="none"/>
        </w:rPr>
        <w:t xml:space="preserve"> 明确改造模式</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明确说明改造单元采取的改造模式。改造模式包括政府主导改造、公开招引实施主体和土地权利人自行改造三种其中，政府主导改造模式细分为:政府土地储备、政府土地整备开发、政村合作。</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2 明确改造方向</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说明单元改造方向和规划产业用地占比。说明改造单元的改造谋划，包括发展定位与项目策划等</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3 明确用地方案</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对单元规划方案进行说明，包括用地布局、交通设施公共服务设施配套、市政设施安排等。</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4 明确开发容量和用地移交</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确定项目开发容量与实际可开发容量;确定可开发地块容积率。确定额定责任用地面积并校核用地移交满足情况;确定移交政府的土地的范围、规模;确定附设设施类型及规模。</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5 明确城市设计管控</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落实片区统筹及其城市设计要求基础上，开展地块包装深度的单元城市设计，细化地上地下空间管控要求。提炼管理控制要素及要求，落实到城市设计控制图则，包括强制性与引导性的规划条件。</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6 明确实施责任</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形成改造实施项目库，明确用地移交、设施实施、生态修复、整治活化、历史文化保护等实施计划与责任主体，形成单元实施监管图则。</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3.3 控规调整说明</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依据单元规划方案，开展控规调整说明及可行性论证，确保法定规划调整路径可行。</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按照控规调整要求，校核模拟方案是否符合各项相关规划要求，并明确相关规划调整要求。</w:t>
      </w:r>
    </w:p>
    <w:p>
      <w:pPr>
        <w:spacing w:line="360" w:lineRule="auto"/>
        <w:ind w:firstLine="420" w:firstLineChars="200"/>
        <w:contextualSpacing/>
        <w:rPr>
          <w:rFonts w:ascii="宋体" w:hAnsi="宋体" w:cs="宋体"/>
          <w:color w:val="auto"/>
          <w:sz w:val="21"/>
          <w:szCs w:val="21"/>
          <w:highlight w:val="none"/>
        </w:rPr>
      </w:pPr>
      <w:r>
        <w:rPr>
          <w:rFonts w:hint="eastAsia" w:ascii="宋体" w:hAnsi="宋体" w:cs="宋体"/>
          <w:color w:val="auto"/>
          <w:sz w:val="21"/>
          <w:szCs w:val="21"/>
          <w:highlight w:val="none"/>
        </w:rPr>
        <w:t>提供原控规用地方案与单元回合用地模拟方案的对比图，形成调整前后各类用地面积对比表。简要描述单元主导功能、用地布局、规划路网、开发容量、人口规模、公共服务设施（独立占地）、交通及市政基础设施等核心内容调整情况。说明国土空间规划市镇级设施的落实情况；说明调整后的社区公园及社区级公共服务设施（教育、医疗、文化、体育、社会福利等）是否满足指标要求；开展综合交通及市政综合研究，说明调整后的交通设施、市政设施及其承载力是否满足开发需要。</w:t>
      </w:r>
    </w:p>
    <w:p>
      <w:pPr>
        <w:spacing w:line="360" w:lineRule="auto"/>
        <w:ind w:firstLine="422" w:firstLineChars="200"/>
        <w:contextualSpacing/>
        <w:rPr>
          <w:rFonts w:ascii="宋体" w:hAnsi="宋体" w:cs="宋体"/>
          <w:b/>
          <w:color w:val="auto"/>
          <w:sz w:val="21"/>
          <w:szCs w:val="21"/>
          <w:highlight w:val="none"/>
        </w:rPr>
      </w:pPr>
      <w:bookmarkStart w:id="37" w:name="_Toc72425379"/>
      <w:bookmarkStart w:id="38" w:name="_Toc76376686"/>
      <w:r>
        <w:rPr>
          <w:rFonts w:hint="eastAsia" w:ascii="宋体" w:hAnsi="宋体" w:cs="宋体"/>
          <w:b/>
          <w:bCs/>
          <w:color w:val="auto"/>
          <w:sz w:val="21"/>
          <w:szCs w:val="21"/>
          <w:highlight w:val="none"/>
        </w:rPr>
        <w:t>3.</w:t>
      </w: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 xml:space="preserve"> 工作进度安排</w:t>
      </w:r>
      <w:bookmarkEnd w:id="37"/>
      <w:bookmarkEnd w:id="38"/>
    </w:p>
    <w:p>
      <w:pPr>
        <w:spacing w:line="360" w:lineRule="auto"/>
        <w:ind w:firstLine="420" w:firstLineChars="200"/>
        <w:contextualSpacing/>
        <w:rPr>
          <w:rFonts w:ascii="宋体" w:hAnsi="宋体" w:cs="宋体"/>
          <w:bCs/>
          <w:color w:val="auto"/>
          <w:sz w:val="21"/>
          <w:szCs w:val="21"/>
          <w:highlight w:val="none"/>
        </w:rPr>
      </w:pPr>
      <w:r>
        <w:rPr>
          <w:rFonts w:hint="eastAsia" w:ascii="宋体" w:hAnsi="宋体" w:cs="宋体"/>
          <w:bCs/>
          <w:color w:val="auto"/>
          <w:sz w:val="21"/>
          <w:szCs w:val="21"/>
          <w:highlight w:val="none"/>
        </w:rPr>
        <w:t>本项目从</w:t>
      </w:r>
      <w:r>
        <w:rPr>
          <w:rFonts w:hint="eastAsia" w:ascii="宋体" w:hAnsi="宋体" w:cs="宋体"/>
          <w:bCs/>
          <w:color w:val="auto"/>
          <w:sz w:val="21"/>
          <w:szCs w:val="21"/>
          <w:highlight w:val="none"/>
          <w:u w:val="single"/>
        </w:rPr>
        <w:t xml:space="preserve">  本合同签订之日  </w:t>
      </w:r>
      <w:r>
        <w:rPr>
          <w:rFonts w:hint="eastAsia" w:ascii="宋体" w:hAnsi="宋体" w:cs="宋体"/>
          <w:bCs/>
          <w:color w:val="auto"/>
          <w:sz w:val="21"/>
          <w:szCs w:val="21"/>
          <w:highlight w:val="none"/>
        </w:rPr>
        <w:t>开始</w:t>
      </w:r>
      <w:r>
        <w:rPr>
          <w:rFonts w:hint="eastAsia" w:ascii="宋体" w:hAnsi="宋体" w:cs="宋体"/>
          <w:bCs/>
          <w:color w:val="auto"/>
          <w:sz w:val="21"/>
          <w:szCs w:val="21"/>
          <w:highlight w:val="none"/>
          <w:u w:val="single"/>
        </w:rPr>
        <w:t xml:space="preserve">， 90个工作日内 </w:t>
      </w:r>
      <w:r>
        <w:rPr>
          <w:rFonts w:hint="eastAsia" w:ascii="宋体" w:hAnsi="宋体" w:cs="宋体"/>
          <w:bCs/>
          <w:color w:val="auto"/>
          <w:sz w:val="21"/>
          <w:szCs w:val="21"/>
          <w:highlight w:val="none"/>
        </w:rPr>
        <w:t>提交正式成果报送市自然资源局/市政府备案（具体需结合政府部门审批时间为准）。各工作阶段具体工作时间和内容安排如下：</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617"/>
        <w:gridCol w:w="4108"/>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877"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1617"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工作项目</w:t>
            </w:r>
          </w:p>
        </w:tc>
        <w:tc>
          <w:tcPr>
            <w:tcW w:w="4108"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主要工作内容</w:t>
            </w:r>
          </w:p>
        </w:tc>
        <w:tc>
          <w:tcPr>
            <w:tcW w:w="1920"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87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161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基础工作</w:t>
            </w:r>
          </w:p>
        </w:tc>
        <w:tc>
          <w:tcPr>
            <w:tcW w:w="4108"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完成现状调研、分析等基础工作，与莞城街道主管部门开展工作协调，统一工作基础和共识，明确工作内容和目标。</w:t>
            </w:r>
          </w:p>
        </w:tc>
        <w:tc>
          <w:tcPr>
            <w:tcW w:w="1920"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在本合同签署后10个工作日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87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161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草案成果</w:t>
            </w:r>
          </w:p>
        </w:tc>
        <w:tc>
          <w:tcPr>
            <w:tcW w:w="4108"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综合评估现状基础情况，绘制规划用地图，编制单元规划主要内容，提出城市设计管控要素及控规调整说明</w:t>
            </w:r>
          </w:p>
        </w:tc>
        <w:tc>
          <w:tcPr>
            <w:tcW w:w="1920"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在本合同签署后30个工作日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87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161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中期成果</w:t>
            </w:r>
          </w:p>
        </w:tc>
        <w:tc>
          <w:tcPr>
            <w:tcW w:w="4108"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根据审查意见，修改完善草案成果</w:t>
            </w:r>
          </w:p>
        </w:tc>
        <w:tc>
          <w:tcPr>
            <w:tcW w:w="1920"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收到草案成果审查修改意见后15个工作日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87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w:t>
            </w:r>
          </w:p>
        </w:tc>
        <w:tc>
          <w:tcPr>
            <w:tcW w:w="161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正式成果</w:t>
            </w:r>
          </w:p>
        </w:tc>
        <w:tc>
          <w:tcPr>
            <w:tcW w:w="4108"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形成正式成果，上报市府审批</w:t>
            </w:r>
          </w:p>
        </w:tc>
        <w:tc>
          <w:tcPr>
            <w:tcW w:w="1920"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收到中期成果审查修改意见后20个工作日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87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5</w:t>
            </w:r>
          </w:p>
        </w:tc>
        <w:tc>
          <w:tcPr>
            <w:tcW w:w="161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征求意见及上报审批工作</w:t>
            </w:r>
          </w:p>
        </w:tc>
        <w:tc>
          <w:tcPr>
            <w:tcW w:w="4108"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1.征集各级有关部门的审查意见；</w:t>
            </w:r>
          </w:p>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2.批后公告材料编制。</w:t>
            </w:r>
          </w:p>
        </w:tc>
        <w:tc>
          <w:tcPr>
            <w:tcW w:w="1920"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收到相关材料成果后15个工作日</w:t>
            </w:r>
          </w:p>
        </w:tc>
      </w:tr>
    </w:tbl>
    <w:p>
      <w:pPr>
        <w:tabs>
          <w:tab w:val="left" w:pos="1560"/>
        </w:tabs>
        <w:snapToGrid w:val="0"/>
        <w:spacing w:before="156" w:beforeLines="50" w:line="360" w:lineRule="auto"/>
        <w:ind w:firstLine="422" w:firstLineChars="200"/>
        <w:rPr>
          <w:rFonts w:hint="eastAsia" w:ascii="宋体" w:hAnsi="宋体" w:cs="宋体"/>
          <w:color w:val="auto"/>
          <w:sz w:val="21"/>
          <w:szCs w:val="21"/>
          <w:highlight w:val="none"/>
        </w:rPr>
      </w:pPr>
      <w:r>
        <w:rPr>
          <w:rFonts w:hint="eastAsia" w:hAnsi="宋体"/>
          <w:b/>
          <w:bCs/>
          <w:color w:val="auto"/>
          <w:sz w:val="21"/>
          <w:szCs w:val="21"/>
          <w:highlight w:val="none"/>
        </w:rPr>
        <w:t>注：</w:t>
      </w:r>
      <w:r>
        <w:rPr>
          <w:rFonts w:hint="eastAsia" w:ascii="宋体" w:hAnsi="宋体" w:cs="宋体"/>
          <w:color w:val="auto"/>
          <w:sz w:val="21"/>
          <w:szCs w:val="21"/>
          <w:highlight w:val="none"/>
        </w:rPr>
        <w:t>1.以上工作阶段和时间为按照当前单元规划政策初步拟定的工作时间进度安排，后续根据项目的实际流程和需求，经采购人和成交供应商双方协商一致后可作相应合理的时间调整。</w:t>
      </w:r>
    </w:p>
    <w:p>
      <w:pPr>
        <w:tabs>
          <w:tab w:val="left" w:pos="2127"/>
        </w:tabs>
        <w:spacing w:line="360" w:lineRule="auto"/>
        <w:ind w:firstLine="840" w:firstLineChars="400"/>
        <w:rPr>
          <w:rFonts w:ascii="宋体" w:hAnsi="宋体" w:cs="宋体"/>
          <w:color w:val="auto"/>
          <w:sz w:val="21"/>
          <w:szCs w:val="21"/>
          <w:highlight w:val="none"/>
        </w:rPr>
      </w:pPr>
      <w:r>
        <w:rPr>
          <w:rFonts w:hint="eastAsia" w:ascii="宋体" w:hAnsi="宋体" w:cs="宋体"/>
          <w:color w:val="auto"/>
          <w:sz w:val="21"/>
          <w:szCs w:val="21"/>
          <w:highlight w:val="none"/>
        </w:rPr>
        <w:t>2.基础工作和草案成果的开始时间为本合同签订之日起，其余每个阶段的开始时间为上个阶段成果通过评审之日，但成交供应商最晚的交付日期不得晚于本条第一款约定的日期。若因政府审批程序导致工作延迟，成交供应商最晚交付日期需与采购人进行协商。</w:t>
      </w:r>
    </w:p>
    <w:p>
      <w:pPr>
        <w:tabs>
          <w:tab w:val="left" w:pos="2127"/>
        </w:tabs>
        <w:spacing w:before="156" w:beforeLines="50" w:line="360" w:lineRule="auto"/>
        <w:rPr>
          <w:rFonts w:ascii="宋体" w:hAnsi="宋体" w:cs="宋体"/>
          <w:b/>
          <w:bCs/>
          <w:color w:val="auto"/>
          <w:sz w:val="21"/>
          <w:szCs w:val="21"/>
          <w:highlight w:val="none"/>
        </w:rPr>
      </w:pPr>
      <w:r>
        <w:rPr>
          <w:rFonts w:hint="eastAsia" w:ascii="宋体" w:hAnsi="宋体" w:cs="宋体"/>
          <w:b/>
          <w:bCs/>
          <w:color w:val="auto"/>
          <w:sz w:val="21"/>
          <w:szCs w:val="21"/>
          <w:highlight w:val="none"/>
        </w:rPr>
        <w:t>四、成果要求</w:t>
      </w:r>
    </w:p>
    <w:p>
      <w:pPr>
        <w:spacing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4.1最终成果构成如下：</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4.1.1规划研究报告，</w:t>
      </w:r>
      <w:r>
        <w:rPr>
          <w:rFonts w:hint="eastAsia" w:ascii="宋体" w:hAnsi="宋体" w:cs="宋体"/>
          <w:color w:val="auto"/>
          <w:sz w:val="21"/>
          <w:szCs w:val="21"/>
          <w:highlight w:val="none"/>
        </w:rPr>
        <w:t>纸质成果</w:t>
      </w:r>
      <w:r>
        <w:rPr>
          <w:rFonts w:hint="eastAsia" w:ascii="宋体" w:hAnsi="宋体" w:cs="宋体"/>
          <w:color w:val="auto"/>
          <w:sz w:val="21"/>
          <w:szCs w:val="21"/>
          <w:highlight w:val="none"/>
          <w:shd w:val="clear" w:color="auto" w:fill="FFFFFF"/>
        </w:rPr>
        <w:t>数量：</w:t>
      </w:r>
      <w:r>
        <w:rPr>
          <w:rFonts w:hint="eastAsia" w:ascii="宋体" w:hAnsi="宋体" w:cs="宋体"/>
          <w:color w:val="auto"/>
          <w:sz w:val="21"/>
          <w:szCs w:val="21"/>
          <w:highlight w:val="none"/>
          <w:u w:val="single"/>
          <w:shd w:val="clear" w:color="auto" w:fill="FFFFFF"/>
        </w:rPr>
        <w:t xml:space="preserve">  6  </w:t>
      </w:r>
      <w:r>
        <w:rPr>
          <w:rFonts w:hint="eastAsia" w:ascii="宋体" w:hAnsi="宋体" w:cs="宋体"/>
          <w:color w:val="auto"/>
          <w:sz w:val="21"/>
          <w:szCs w:val="21"/>
          <w:highlight w:val="none"/>
          <w:shd w:val="clear" w:color="auto" w:fill="FFFFFF"/>
        </w:rPr>
        <w:t>套</w:t>
      </w:r>
      <w:r>
        <w:rPr>
          <w:rFonts w:hint="eastAsia" w:ascii="宋体" w:hAnsi="宋体" w:cs="宋体"/>
          <w:color w:val="auto"/>
          <w:sz w:val="21"/>
          <w:szCs w:val="21"/>
          <w:highlight w:val="none"/>
          <w:shd w:val="clear" w:color="auto" w:fill="FFFFFF"/>
          <w:lang w:eastAsia="zh-CN"/>
        </w:rPr>
        <w:t>；</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4.1.2以上文件的电子档案，格式要求：</w:t>
      </w:r>
      <w:r>
        <w:rPr>
          <w:rFonts w:hint="eastAsia" w:ascii="宋体" w:hAnsi="宋体" w:cs="宋体"/>
          <w:color w:val="auto"/>
          <w:sz w:val="21"/>
          <w:szCs w:val="21"/>
          <w:highlight w:val="none"/>
          <w:u w:val="single"/>
          <w:shd w:val="clear" w:color="auto" w:fill="FFFFFF"/>
        </w:rPr>
        <w:t>Word文件、Jpg文件、Dwg文件</w:t>
      </w:r>
      <w:r>
        <w:rPr>
          <w:rFonts w:hint="eastAsia" w:ascii="宋体" w:hAnsi="宋体" w:cs="宋体"/>
          <w:color w:val="auto"/>
          <w:sz w:val="21"/>
          <w:szCs w:val="21"/>
          <w:highlight w:val="none"/>
          <w:u w:val="single"/>
          <w:shd w:val="clear" w:color="auto" w:fill="FFFFFF"/>
          <w:lang w:eastAsia="zh-CN"/>
        </w:rPr>
        <w:t>；</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4.1.3汇报演示系统，格式要求：</w:t>
      </w:r>
      <w:r>
        <w:rPr>
          <w:rFonts w:hint="eastAsia" w:ascii="宋体" w:hAnsi="宋体" w:cs="宋体"/>
          <w:color w:val="auto"/>
          <w:sz w:val="21"/>
          <w:szCs w:val="21"/>
          <w:highlight w:val="none"/>
          <w:u w:val="single"/>
          <w:shd w:val="clear" w:color="auto" w:fill="FFFFFF"/>
        </w:rPr>
        <w:t>PowerPoint文件</w:t>
      </w:r>
      <w:r>
        <w:rPr>
          <w:rFonts w:hint="eastAsia" w:ascii="宋体" w:hAnsi="宋体" w:cs="宋体"/>
          <w:color w:val="auto"/>
          <w:sz w:val="21"/>
          <w:szCs w:val="21"/>
          <w:highlight w:val="none"/>
          <w:u w:val="single"/>
          <w:shd w:val="clear" w:color="auto" w:fill="FFFFFF"/>
          <w:lang w:eastAsia="zh-CN"/>
        </w:rPr>
        <w:t>；</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4.1.4 其它</w:t>
      </w:r>
      <w:r>
        <w:rPr>
          <w:rFonts w:hint="eastAsia" w:ascii="宋体" w:hAnsi="宋体" w:cs="宋体"/>
          <w:color w:val="auto"/>
          <w:sz w:val="21"/>
          <w:szCs w:val="21"/>
          <w:highlight w:val="none"/>
          <w:u w:val="single"/>
          <w:shd w:val="clear" w:color="auto" w:fill="FFFFFF"/>
        </w:rPr>
        <w:t>（采购人认为需要提供的其他材料）</w:t>
      </w:r>
      <w:r>
        <w:rPr>
          <w:rFonts w:hint="eastAsia" w:ascii="宋体" w:hAnsi="宋体" w:cs="宋体"/>
          <w:color w:val="auto"/>
          <w:sz w:val="21"/>
          <w:szCs w:val="21"/>
          <w:highlight w:val="none"/>
          <w:u w:val="single"/>
          <w:shd w:val="clear" w:color="auto" w:fill="FFFFFF"/>
          <w:lang w:eastAsia="zh-CN"/>
        </w:rPr>
        <w:t>。</w:t>
      </w:r>
    </w:p>
    <w:p>
      <w:pPr>
        <w:spacing w:line="360" w:lineRule="auto"/>
        <w:ind w:firstLine="422" w:firstLineChars="200"/>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shd w:val="clear" w:color="auto" w:fill="FFFFFF"/>
        </w:rPr>
        <w:t>4.2最终成果验收合格的标志为：</w:t>
      </w:r>
      <w:r>
        <w:rPr>
          <w:rFonts w:hint="eastAsia" w:ascii="宋体" w:hAnsi="宋体" w:cs="宋体"/>
          <w:color w:val="auto"/>
          <w:sz w:val="21"/>
          <w:szCs w:val="21"/>
          <w:highlight w:val="none"/>
          <w:u w:val="single"/>
          <w:shd w:val="clear" w:color="auto" w:fill="FFFFFF"/>
        </w:rPr>
        <w:t>控规调整成果通过审批或备案，采购人审查存档</w:t>
      </w:r>
      <w:r>
        <w:rPr>
          <w:rFonts w:hint="eastAsia" w:ascii="宋体" w:hAnsi="宋体" w:cs="宋体"/>
          <w:color w:val="auto"/>
          <w:sz w:val="21"/>
          <w:szCs w:val="21"/>
          <w:highlight w:val="none"/>
          <w:u w:val="single"/>
          <w:shd w:val="clear" w:color="auto" w:fill="FFFFFF"/>
          <w:lang w:eastAsia="zh-CN"/>
        </w:rPr>
        <w:t>。</w:t>
      </w:r>
    </w:p>
    <w:p>
      <w:pPr>
        <w:spacing w:line="360" w:lineRule="auto"/>
        <w:ind w:firstLine="420" w:firstLineChars="200"/>
        <w:rPr>
          <w:rFonts w:ascii="宋体" w:hAnsi="宋体" w:cs="宋体"/>
          <w:color w:val="auto"/>
          <w:highlight w:val="none"/>
        </w:rPr>
      </w:pPr>
    </w:p>
    <w:p>
      <w:pPr>
        <w:pStyle w:val="11"/>
        <w:ind w:left="0"/>
        <w:rPr>
          <w:color w:val="auto"/>
          <w:highlight w:val="none"/>
          <w:lang w:val="en-US"/>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rPr>
          <w:color w:val="auto"/>
          <w:highlight w:val="none"/>
        </w:rPr>
      </w:pPr>
    </w:p>
    <w:bookmarkEnd w:id="16"/>
    <w:bookmarkEnd w:id="17"/>
    <w:bookmarkEnd w:id="18"/>
    <w:bookmarkEnd w:id="19"/>
    <w:p>
      <w:pPr>
        <w:rPr>
          <w:color w:val="auto"/>
          <w:sz w:val="28"/>
          <w:szCs w:val="28"/>
          <w:highlight w:val="none"/>
        </w:rPr>
      </w:pPr>
      <w:r>
        <w:rPr>
          <w:rFonts w:hint="eastAsia"/>
          <w:color w:val="auto"/>
          <w:sz w:val="28"/>
          <w:szCs w:val="28"/>
          <w:highlight w:val="none"/>
        </w:rPr>
        <w:br w:type="page"/>
      </w:r>
    </w:p>
    <w:p>
      <w:pPr>
        <w:pStyle w:val="2"/>
        <w:spacing w:before="0" w:after="0" w:line="240" w:lineRule="auto"/>
        <w:rPr>
          <w:color w:val="auto"/>
          <w:sz w:val="24"/>
          <w:szCs w:val="24"/>
          <w:highlight w:val="none"/>
        </w:rPr>
      </w:pPr>
      <w:bookmarkStart w:id="39" w:name="_Toc11910"/>
      <w:bookmarkStart w:id="40" w:name="_Toc12173"/>
      <w:r>
        <w:rPr>
          <w:rFonts w:hint="eastAsia"/>
          <w:color w:val="auto"/>
          <w:sz w:val="28"/>
          <w:szCs w:val="28"/>
          <w:highlight w:val="none"/>
        </w:rPr>
        <w:t>第四部分</w:t>
      </w:r>
      <w:r>
        <w:rPr>
          <w:rFonts w:hint="eastAsia"/>
          <w:color w:val="auto"/>
          <w:sz w:val="28"/>
          <w:szCs w:val="28"/>
          <w:highlight w:val="none"/>
          <w:lang w:val="en-US" w:eastAsia="zh-CN"/>
        </w:rPr>
        <w:t xml:space="preserve"> </w:t>
      </w:r>
      <w:r>
        <w:rPr>
          <w:rFonts w:hint="eastAsia"/>
          <w:color w:val="auto"/>
          <w:sz w:val="28"/>
          <w:szCs w:val="28"/>
          <w:highlight w:val="none"/>
        </w:rPr>
        <w:t>供应商须知</w:t>
      </w:r>
      <w:bookmarkEnd w:id="39"/>
      <w:bookmarkEnd w:id="40"/>
    </w:p>
    <w:p>
      <w:pPr>
        <w:pStyle w:val="4"/>
        <w:numPr>
          <w:ilvl w:val="0"/>
          <w:numId w:val="2"/>
        </w:numPr>
        <w:spacing w:before="0" w:after="0" w:line="480" w:lineRule="auto"/>
        <w:jc w:val="center"/>
        <w:rPr>
          <w:rFonts w:ascii="宋体" w:hAnsi="宋体"/>
          <w:color w:val="auto"/>
          <w:highlight w:val="none"/>
        </w:rPr>
      </w:pPr>
      <w:bookmarkStart w:id="41" w:name="_Toc15758"/>
      <w:bookmarkStart w:id="42" w:name="_Toc399"/>
      <w:r>
        <w:rPr>
          <w:rFonts w:hint="eastAsia" w:ascii="宋体" w:hAnsi="宋体"/>
          <w:color w:val="auto"/>
          <w:highlight w:val="none"/>
        </w:rPr>
        <w:t>说明</w:t>
      </w:r>
      <w:bookmarkEnd w:id="41"/>
      <w:bookmarkEnd w:id="42"/>
    </w:p>
    <w:p>
      <w:pPr>
        <w:pStyle w:val="5"/>
        <w:widowControl w:val="0"/>
        <w:numPr>
          <w:ilvl w:val="0"/>
          <w:numId w:val="3"/>
        </w:numPr>
        <w:overflowPunct w:val="0"/>
        <w:rPr>
          <w:rFonts w:ascii="宋体" w:hAnsi="宋体" w:cs="宋体"/>
          <w:color w:val="auto"/>
          <w:sz w:val="21"/>
          <w:szCs w:val="21"/>
          <w:highlight w:val="none"/>
        </w:rPr>
      </w:pPr>
      <w:bookmarkStart w:id="43" w:name="_Toc8725"/>
      <w:bookmarkStart w:id="44" w:name="_Toc3534"/>
      <w:bookmarkStart w:id="45" w:name="_Toc16777"/>
      <w:r>
        <w:rPr>
          <w:rFonts w:hint="eastAsia" w:ascii="宋体" w:hAnsi="宋体" w:cs="宋体"/>
          <w:color w:val="auto"/>
          <w:sz w:val="21"/>
          <w:szCs w:val="21"/>
          <w:highlight w:val="none"/>
        </w:rPr>
        <w:t>适用范围</w:t>
      </w:r>
      <w:bookmarkEnd w:id="43"/>
      <w:bookmarkEnd w:id="44"/>
      <w:bookmarkEnd w:id="45"/>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46" w:name="_Toc298847174"/>
      <w:bookmarkStart w:id="47" w:name="_Toc303084246"/>
      <w:bookmarkStart w:id="48" w:name="_Toc382049092"/>
      <w:bookmarkStart w:id="49" w:name="_Toc1427"/>
      <w:bookmarkStart w:id="50" w:name="_Toc20286"/>
      <w:bookmarkStart w:id="51" w:name="_Toc1530"/>
      <w:bookmarkStart w:id="52" w:name="_Toc29264"/>
      <w:r>
        <w:rPr>
          <w:rFonts w:hint="eastAsia" w:ascii="宋体" w:hAnsi="宋体" w:cs="宋体"/>
          <w:color w:val="auto"/>
          <w:sz w:val="21"/>
          <w:szCs w:val="21"/>
          <w:highlight w:val="none"/>
        </w:rPr>
        <w:t>定义</w:t>
      </w:r>
      <w:bookmarkEnd w:id="46"/>
      <w:bookmarkEnd w:id="47"/>
      <w:bookmarkEnd w:id="48"/>
      <w:bookmarkEnd w:id="49"/>
      <w:bookmarkEnd w:id="50"/>
      <w:bookmarkEnd w:id="51"/>
      <w:bookmarkEnd w:id="52"/>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采购人：见磋商邀请书。</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供应商：响应采购并且符合磋商文件规定资格条件和参加磋商竞争的法人、其他组织或者自然人。</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成交人：指经评标委员会评审推荐、采购人确认的获得本项目成交资格的供应商。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采购代理机构：见磋商邀请书。</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供应商如在响应文件中使用“投标专用章”，应提供法定代表人签字或加盖公章说明该“投标专用章”与法人公章具备同等效力的证明文件，且投标当天应携带相关原件到现场，以供核查。因响应文件未提供相关手续复印件和无法核查投标专用章的真实性而导致的后果由供应商自行承担。）</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53" w:name="_Toc12759"/>
      <w:bookmarkStart w:id="54" w:name="_Toc11624"/>
      <w:bookmarkStart w:id="55" w:name="_Toc31239"/>
      <w:r>
        <w:rPr>
          <w:rFonts w:hint="eastAsia" w:ascii="宋体" w:hAnsi="宋体" w:cs="宋体"/>
          <w:color w:val="auto"/>
          <w:sz w:val="21"/>
          <w:szCs w:val="21"/>
          <w:highlight w:val="none"/>
        </w:rPr>
        <w:t>货物和服务</w:t>
      </w:r>
      <w:bookmarkEnd w:id="53"/>
      <w:bookmarkEnd w:id="54"/>
      <w:bookmarkEnd w:id="55"/>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56" w:name="_Toc25644"/>
      <w:bookmarkStart w:id="57" w:name="_Toc15719"/>
      <w:bookmarkStart w:id="58" w:name="_Toc30467"/>
      <w:r>
        <w:rPr>
          <w:rFonts w:hint="eastAsia" w:ascii="宋体" w:hAnsi="宋体" w:cs="宋体"/>
          <w:color w:val="auto"/>
          <w:sz w:val="21"/>
          <w:szCs w:val="21"/>
          <w:highlight w:val="none"/>
        </w:rPr>
        <w:t>磋商费用</w:t>
      </w:r>
      <w:bookmarkEnd w:id="56"/>
      <w:bookmarkEnd w:id="57"/>
      <w:bookmarkEnd w:id="58"/>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供应商应承担所有与编写响应文件和参加磋商有关的自身的所有费用，不论磋商的结果如何，采购代理机构和采购人在任何情况下均无义务和责任承担这些费用。</w:t>
      </w:r>
    </w:p>
    <w:p>
      <w:pPr>
        <w:widowControl w:val="0"/>
        <w:adjustRightInd/>
        <w:snapToGrid/>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59" w:name="_Toc7946"/>
      <w:bookmarkStart w:id="60" w:name="_Toc29586"/>
      <w:bookmarkStart w:id="61" w:name="_Toc6180"/>
      <w:r>
        <w:rPr>
          <w:rFonts w:hint="eastAsia" w:ascii="宋体" w:hAnsi="宋体" w:cs="宋体"/>
          <w:color w:val="auto"/>
          <w:sz w:val="21"/>
          <w:szCs w:val="21"/>
          <w:highlight w:val="none"/>
        </w:rPr>
        <w:t>知识产权</w:t>
      </w:r>
      <w:bookmarkEnd w:id="59"/>
      <w:bookmarkEnd w:id="60"/>
      <w:bookmarkEnd w:id="61"/>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采购货物为计算机办公设备时，供应商提供的产品必须是预装正版操作系统软件的计算机产品。</w:t>
      </w:r>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62" w:name="_Toc9933"/>
      <w:bookmarkStart w:id="63" w:name="_Toc2352"/>
      <w:bookmarkStart w:id="64" w:name="_Toc32767"/>
      <w:r>
        <w:rPr>
          <w:rFonts w:hint="eastAsia" w:ascii="宋体" w:hAnsi="宋体" w:cs="宋体"/>
          <w:color w:val="auto"/>
          <w:sz w:val="21"/>
          <w:szCs w:val="21"/>
          <w:highlight w:val="none"/>
        </w:rPr>
        <w:t>关于联合体投标</w:t>
      </w:r>
      <w:bookmarkEnd w:id="62"/>
      <w:bookmarkEnd w:id="63"/>
      <w:bookmarkEnd w:id="64"/>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对接受联合体投标的项目：两个以上的自然人、法人或者其他组织可以组成一个联合体，以一个供应商的身份共同参加采购活动。</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磋商文件对供应商资格条件有规定的，联合体各方均应当具备规定的相应资格条件。由同一专业的单位组成的联合体，按照资质等级较低的单位确定资质等级。</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响应文件内提交，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除联合体协议明确授权盖章单位外，联合体投标时响应文件中所有要求盖章的地方均须加盖联合体所有组成成员的公章，否则该处盖章无效。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65" w:name="_Toc21230"/>
      <w:bookmarkStart w:id="66" w:name="_Toc18436"/>
      <w:bookmarkStart w:id="67" w:name="_Toc3572"/>
      <w:r>
        <w:rPr>
          <w:rFonts w:hint="eastAsia" w:ascii="宋体" w:hAnsi="宋体" w:cs="宋体"/>
          <w:color w:val="auto"/>
          <w:sz w:val="21"/>
          <w:szCs w:val="21"/>
          <w:highlight w:val="none"/>
        </w:rPr>
        <w:t>关于分支机构投标</w:t>
      </w:r>
      <w:bookmarkEnd w:id="65"/>
      <w:bookmarkEnd w:id="66"/>
      <w:bookmarkEnd w:id="67"/>
    </w:p>
    <w:p>
      <w:pPr>
        <w:pStyle w:val="56"/>
        <w:widowControl w:val="0"/>
        <w:adjustRightInd/>
        <w:snapToGrid/>
        <w:ind w:left="425" w:hanging="425" w:firstLineChars="0"/>
        <w:jc w:val="both"/>
        <w:rPr>
          <w:rFonts w:ascii="宋体" w:hAnsi="宋体" w:cs="宋体"/>
          <w:vanish/>
          <w:color w:val="auto"/>
          <w:szCs w:val="21"/>
          <w:highlight w:val="none"/>
        </w:rPr>
      </w:pPr>
      <w:bookmarkStart w:id="68" w:name="EB389f116341dd4693875bc7987e7327f3"/>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8"/>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69" w:name="_Toc13802"/>
      <w:bookmarkStart w:id="70" w:name="_Toc22046"/>
      <w:r>
        <w:rPr>
          <w:rFonts w:hint="eastAsia" w:ascii="宋体" w:hAnsi="宋体" w:cs="宋体"/>
          <w:color w:val="auto"/>
          <w:sz w:val="21"/>
          <w:szCs w:val="21"/>
          <w:highlight w:val="none"/>
        </w:rPr>
        <w:t>踏勘现场</w:t>
      </w:r>
      <w:bookmarkEnd w:id="69"/>
      <w:bookmarkEnd w:id="70"/>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《响应资料表》规定组织踏勘现场的，采购人按《响应资料表》规定的时间、地点组织响应人踏勘项目现场；</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响应人踏勘现场发生的费用自理；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除采购人的原因外，响应人自行负责在踏勘现场中所发生的人员伤亡和财产损失；</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采购人在踏勘现场中介绍的实施地点和相关的周边环境情况，供响应人在编制响应文件时参考，采购人不对响应人据此作出的判断和决策负责；</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71" w:name="_Toc12099"/>
      <w:bookmarkStart w:id="72" w:name="_Toc526"/>
      <w:r>
        <w:rPr>
          <w:rFonts w:hint="eastAsia" w:ascii="宋体" w:hAnsi="宋体" w:cs="宋体"/>
          <w:color w:val="auto"/>
          <w:highlight w:val="none"/>
        </w:rPr>
        <w:t>磋商文件</w:t>
      </w:r>
      <w:bookmarkEnd w:id="71"/>
      <w:bookmarkEnd w:id="72"/>
    </w:p>
    <w:p>
      <w:pPr>
        <w:pStyle w:val="5"/>
        <w:widowControl w:val="0"/>
        <w:numPr>
          <w:ilvl w:val="0"/>
          <w:numId w:val="3"/>
        </w:numPr>
        <w:overflowPunct w:val="0"/>
        <w:rPr>
          <w:rFonts w:ascii="宋体" w:hAnsi="宋体" w:cs="宋体"/>
          <w:color w:val="auto"/>
          <w:sz w:val="21"/>
          <w:szCs w:val="21"/>
          <w:highlight w:val="none"/>
        </w:rPr>
      </w:pPr>
      <w:bookmarkStart w:id="73" w:name="_Toc20325"/>
      <w:bookmarkStart w:id="74" w:name="_Toc12776"/>
      <w:bookmarkStart w:id="75" w:name="_Toc10638"/>
      <w:r>
        <w:rPr>
          <w:rFonts w:hint="eastAsia" w:ascii="宋体" w:hAnsi="宋体" w:cs="宋体"/>
          <w:color w:val="auto"/>
          <w:sz w:val="21"/>
          <w:szCs w:val="21"/>
          <w:highlight w:val="none"/>
        </w:rPr>
        <w:t>磋商文件的组成</w:t>
      </w:r>
      <w:bookmarkEnd w:id="73"/>
      <w:bookmarkEnd w:id="74"/>
      <w:bookmarkEnd w:id="75"/>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磋商文件包括：</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（1）磋商邀请书；</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（2）响应资料表；</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（3）用户需求书；</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（4）供应商须知；</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（6）响应文件格式；</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76" w:name="_Toc2682"/>
      <w:bookmarkStart w:id="77" w:name="_Toc21392"/>
      <w:bookmarkStart w:id="78" w:name="_Toc17939"/>
      <w:r>
        <w:rPr>
          <w:rFonts w:hint="eastAsia" w:ascii="宋体" w:hAnsi="宋体" w:cs="宋体"/>
          <w:color w:val="auto"/>
          <w:sz w:val="21"/>
          <w:szCs w:val="21"/>
          <w:highlight w:val="none"/>
        </w:rPr>
        <w:t>磋商文件的澄清或修改</w:t>
      </w:r>
      <w:bookmarkEnd w:id="76"/>
      <w:bookmarkEnd w:id="77"/>
      <w:bookmarkEnd w:id="78"/>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磋商文件、资格预审文件、磋商邀请书进行必要的澄清或者修改。澄清或者修改的内容为磋商文件、资格预审文件、磋商邀请书的组成部分，具有约束作用。当磋商文件、磋商文件的澄清或修改等在同一内容的表述上不一致时，以最后发出的书面文件及公告为准。</w:t>
      </w:r>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采购期间，供应商有义务上网查看，公告一经上网发布，即视为送达。因供应商未及时上网查看而造成的所有后果，由供应商自行承担。</w:t>
      </w:r>
    </w:p>
    <w:p>
      <w:pPr>
        <w:widowControl w:val="0"/>
        <w:adjustRightInd/>
        <w:snapToGrid/>
        <w:ind w:left="567"/>
        <w:jc w:val="both"/>
        <w:rPr>
          <w:rFonts w:ascii="宋体" w:hAnsi="宋体" w:cs="宋体"/>
          <w:color w:val="auto"/>
          <w:szCs w:val="21"/>
          <w:highlight w:val="none"/>
        </w:rPr>
      </w:pPr>
    </w:p>
    <w:p>
      <w:pPr>
        <w:pStyle w:val="4"/>
        <w:numPr>
          <w:ilvl w:val="0"/>
          <w:numId w:val="2"/>
        </w:numPr>
        <w:spacing w:before="0" w:after="0" w:line="360" w:lineRule="auto"/>
        <w:jc w:val="center"/>
        <w:rPr>
          <w:rFonts w:ascii="宋体" w:hAnsi="宋体" w:cs="宋体"/>
          <w:color w:val="auto"/>
          <w:highlight w:val="none"/>
        </w:rPr>
      </w:pPr>
      <w:bookmarkStart w:id="79" w:name="_Toc27708"/>
      <w:bookmarkStart w:id="80" w:name="_Toc17542"/>
      <w:bookmarkStart w:id="81" w:name="_Toc12343"/>
      <w:r>
        <w:rPr>
          <w:rFonts w:hint="eastAsia" w:ascii="宋体" w:hAnsi="宋体" w:cs="宋体"/>
          <w:color w:val="auto"/>
          <w:highlight w:val="none"/>
        </w:rPr>
        <w:t>响应文件的编制</w:t>
      </w:r>
      <w:bookmarkEnd w:id="79"/>
      <w:bookmarkEnd w:id="80"/>
      <w:bookmarkEnd w:id="81"/>
    </w:p>
    <w:p>
      <w:pPr>
        <w:pStyle w:val="5"/>
        <w:widowControl w:val="0"/>
        <w:numPr>
          <w:ilvl w:val="0"/>
          <w:numId w:val="3"/>
        </w:numPr>
        <w:overflowPunct w:val="0"/>
        <w:rPr>
          <w:rFonts w:ascii="宋体" w:hAnsi="宋体" w:cs="宋体"/>
          <w:color w:val="auto"/>
          <w:sz w:val="21"/>
          <w:szCs w:val="21"/>
          <w:highlight w:val="none"/>
        </w:rPr>
      </w:pPr>
      <w:bookmarkStart w:id="82" w:name="_Toc22019"/>
      <w:bookmarkStart w:id="83" w:name="_Toc16938"/>
      <w:bookmarkStart w:id="84" w:name="_Toc7588"/>
      <w:r>
        <w:rPr>
          <w:rFonts w:hint="eastAsia" w:ascii="宋体" w:hAnsi="宋体" w:cs="宋体"/>
          <w:color w:val="auto"/>
          <w:sz w:val="21"/>
          <w:szCs w:val="21"/>
          <w:highlight w:val="none"/>
        </w:rPr>
        <w:t>响应文件的语言及度量衡单位</w:t>
      </w:r>
      <w:bookmarkEnd w:id="82"/>
      <w:bookmarkEnd w:id="83"/>
      <w:bookmarkEnd w:id="84"/>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提交的响应文件以及供应商与采购代理机构就有关投标的所有来往函件均应使用简体中文书写。供应商提交的支持资料和已印刷的文献可以用另一种语言，但相应内容应附有中文翻译本（中文译本应由翻译机构盖章或者翻译人员签名确认，否则按无效处理），在解释响应文件的修改内容时以中文翻译本为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除非磋商文件在技术规格中另有规定，供应商在响应文件中及其与采购代理机构和采购人所有往来文件中的所有计量单位均应采用中华人民共和国法定计量单位。</w:t>
      </w:r>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85" w:name="_Toc307934854"/>
      <w:bookmarkStart w:id="86" w:name="_Toc11466"/>
      <w:bookmarkStart w:id="87" w:name="_Toc510"/>
      <w:bookmarkStart w:id="88" w:name="_Toc303084256"/>
      <w:bookmarkStart w:id="89" w:name="_Toc382049103"/>
      <w:bookmarkStart w:id="90" w:name="_Toc5710"/>
      <w:bookmarkStart w:id="91" w:name="_Toc28866"/>
      <w:r>
        <w:rPr>
          <w:rFonts w:hint="eastAsia" w:ascii="宋体" w:hAnsi="宋体" w:cs="宋体"/>
          <w:color w:val="auto"/>
          <w:sz w:val="21"/>
          <w:szCs w:val="21"/>
          <w:highlight w:val="none"/>
        </w:rPr>
        <w:t>响应文件的组成</w:t>
      </w:r>
      <w:bookmarkEnd w:id="85"/>
      <w:bookmarkEnd w:id="86"/>
      <w:bookmarkEnd w:id="87"/>
      <w:bookmarkEnd w:id="88"/>
      <w:bookmarkEnd w:id="89"/>
      <w:bookmarkEnd w:id="90"/>
      <w:bookmarkEnd w:id="91"/>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包括但不限于磋商文件附件格式中要求提供的表格。</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上述文件须按顺序装订成册，并编制响应文件目录。除上述文件资料外供应商还须按供应商须知的要求制作“唱标信封”。“唱标信封”作为响应文件的一部分，但须单独密封。</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92" w:name="_Toc4827"/>
      <w:bookmarkStart w:id="93" w:name="_Toc2024"/>
      <w:bookmarkStart w:id="94" w:name="_Toc755"/>
      <w:r>
        <w:rPr>
          <w:rFonts w:hint="eastAsia" w:ascii="宋体" w:hAnsi="宋体" w:cs="宋体"/>
          <w:color w:val="auto"/>
          <w:sz w:val="21"/>
          <w:szCs w:val="21"/>
          <w:highlight w:val="none"/>
        </w:rPr>
        <w:t>响应文件编制</w:t>
      </w:r>
      <w:bookmarkEnd w:id="92"/>
      <w:bookmarkEnd w:id="93"/>
      <w:bookmarkEnd w:id="94"/>
    </w:p>
    <w:p>
      <w:pPr>
        <w:pStyle w:val="56"/>
        <w:widowControl w:val="0"/>
        <w:numPr>
          <w:ilvl w:val="0"/>
          <w:numId w:val="4"/>
        </w:numPr>
        <w:adjustRightInd/>
        <w:snapToGrid/>
        <w:ind w:firstLineChars="0"/>
        <w:jc w:val="both"/>
        <w:rPr>
          <w:rFonts w:ascii="宋体" w:hAnsi="宋体" w:cs="宋体"/>
          <w:vanish/>
          <w:color w:val="auto"/>
          <w:szCs w:val="21"/>
          <w:highlight w:val="none"/>
        </w:rPr>
      </w:pPr>
      <w:bookmarkStart w:id="95" w:name="_Toc303084258"/>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按磋商文件的规定以及附件要求的内容和格式完整地填写（表格可以按同样格式扩展）和提供资料，供应商必须对响应文件所提供的全部材料的真实性承担法律责任，并无条件接受采购人或采购代理机构对其中任何资料进行核实的要求。</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因响应文件编制存在歧义对供应商产生负面影响的，供应商自行承担后果。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响应单位名称与供应商公章不一致，若响应单位名称已进行变更，应在响应文件中提供相应的证明材料并加盖公章，否则响应文件无效。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响应文件密封、标记及内容与本项目采购信息不符，导致无法分辨所投项目为本项目的，响应文件无效。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供应商须客观撰写供应商简介（格式自理，并提供相关证明）以及所投的产品或服务说明。</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响应文件若出现以下内容，经评标委员会认定有可能间接影响评审秩序，作废标处理。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响应文件内出现无官方证明文件的行业地域排名或使用“国家级”、“最高级”、“最佳”等用语字眼的。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响应文件内出现恶意诋毁、贬低其他生产经营者的商品或者服务的内容。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有下列情形之一的，视为供应商串通投标，其投标无效：</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（3）不同供应商的响应文件载明的项目管理成员或者联系人员为同一人；</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（4）不同供应商的响应文件异常一致或者磋商报价呈规律性差异；</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（6）不同供应商的磋商保证金从同一单位或者个人的账户转出。</w:t>
      </w:r>
    </w:p>
    <w:bookmarkEnd w:id="95"/>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96" w:name="_Toc5892"/>
      <w:bookmarkStart w:id="97" w:name="_Toc6154"/>
      <w:bookmarkStart w:id="98" w:name="_Toc514"/>
      <w:r>
        <w:rPr>
          <w:rFonts w:hint="eastAsia" w:ascii="宋体" w:hAnsi="宋体" w:cs="宋体"/>
          <w:color w:val="auto"/>
          <w:sz w:val="21"/>
          <w:szCs w:val="21"/>
          <w:highlight w:val="none"/>
        </w:rPr>
        <w:t>磋商报价说明</w:t>
      </w:r>
      <w:bookmarkEnd w:id="96"/>
      <w:bookmarkEnd w:id="97"/>
      <w:bookmarkEnd w:id="98"/>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本次采购，供应商应按用户需求中的要求进行磋商报价，少报无效。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供应商所提供的货物或服务均以人民币（或相关费率）报价。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磋商报价应包含完成本次采购所有服务内容的费用，包含各种税务费及合同实施过程中的全部费用和售后服务费等。</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成交后开出的所有发票必须与成交人的名称一致。</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99" w:name="_Toc17669"/>
      <w:bookmarkStart w:id="100" w:name="_Toc3027"/>
      <w:bookmarkStart w:id="101" w:name="_Toc31957"/>
      <w:r>
        <w:rPr>
          <w:rFonts w:hint="eastAsia" w:ascii="宋体" w:hAnsi="宋体" w:cs="宋体"/>
          <w:color w:val="auto"/>
          <w:sz w:val="21"/>
          <w:szCs w:val="21"/>
          <w:highlight w:val="none"/>
        </w:rPr>
        <w:t>供应商所提供的服务或货物的证明文件</w:t>
      </w:r>
      <w:bookmarkEnd w:id="99"/>
      <w:bookmarkEnd w:id="100"/>
      <w:bookmarkEnd w:id="101"/>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bookmarkStart w:id="102" w:name="_Hlt107925668"/>
      <w:bookmarkEnd w:id="102"/>
      <w:bookmarkStart w:id="103" w:name="_Hlt107925638"/>
      <w:bookmarkEnd w:id="103"/>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磋商文件第三部分《用户需求书》中规定的要求进行详细应答和说明。</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有下列情形之一的，视为供应商弄虚作假，其响应无效：</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1、使用通过受让或者租借等方式获取的资格、资质证书响应的，属于以他人名义响应。</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2、供应商有下列情形之一的，属于以其他方式弄虚作假的行为：</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（1）使用伪造、变造的许可证件；</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（2）提供虚假的财务状况或者业绩；</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（3）提供虚假的项目负责人或者主要技术人员简历、劳动关系证明；</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（4）提供虚假的信用状况；</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（5）其他弄虚作假的行为。</w:t>
      </w:r>
    </w:p>
    <w:p>
      <w:pPr>
        <w:pStyle w:val="5"/>
        <w:widowControl w:val="0"/>
        <w:numPr>
          <w:ilvl w:val="0"/>
          <w:numId w:val="3"/>
        </w:numPr>
        <w:overflowPunct w:val="0"/>
        <w:rPr>
          <w:rFonts w:ascii="宋体" w:hAnsi="宋体" w:cs="宋体"/>
          <w:color w:val="auto"/>
          <w:sz w:val="21"/>
          <w:szCs w:val="21"/>
          <w:highlight w:val="none"/>
        </w:rPr>
      </w:pPr>
      <w:bookmarkStart w:id="104" w:name="_Toc8324"/>
      <w:bookmarkStart w:id="105" w:name="_Toc3962"/>
      <w:bookmarkStart w:id="106" w:name="_Toc30956"/>
      <w:r>
        <w:rPr>
          <w:rFonts w:hint="eastAsia" w:ascii="宋体" w:hAnsi="宋体" w:cs="宋体"/>
          <w:color w:val="auto"/>
          <w:sz w:val="21"/>
          <w:szCs w:val="21"/>
          <w:highlight w:val="none"/>
        </w:rPr>
        <w:t>磋商有效期</w:t>
      </w:r>
      <w:bookmarkEnd w:id="104"/>
      <w:bookmarkEnd w:id="105"/>
      <w:bookmarkEnd w:id="106"/>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响应文件应根据供应商须知的规定在磋商截止日后的90天内保持有效。</w:t>
      </w:r>
    </w:p>
    <w:p>
      <w:pPr>
        <w:widowControl w:val="0"/>
        <w:adjustRightInd/>
        <w:snapToGrid/>
        <w:ind w:left="567"/>
        <w:jc w:val="both"/>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07" w:name="_Toc12582"/>
      <w:bookmarkStart w:id="108" w:name="_Toc31330"/>
      <w:bookmarkStart w:id="109" w:name="_Toc31043"/>
      <w:r>
        <w:rPr>
          <w:rFonts w:hint="eastAsia" w:ascii="宋体" w:hAnsi="宋体" w:cs="宋体"/>
          <w:color w:val="auto"/>
          <w:sz w:val="21"/>
          <w:szCs w:val="21"/>
          <w:highlight w:val="none"/>
        </w:rPr>
        <w:t>磋商保证金</w:t>
      </w:r>
      <w:bookmarkEnd w:id="107"/>
      <w:bookmarkEnd w:id="108"/>
      <w:bookmarkEnd w:id="109"/>
    </w:p>
    <w:p>
      <w:pPr>
        <w:pStyle w:val="56"/>
        <w:widowControl w:val="0"/>
        <w:numPr>
          <w:ilvl w:val="0"/>
          <w:numId w:val="4"/>
        </w:numPr>
        <w:adjustRightInd/>
        <w:snapToGrid/>
        <w:ind w:firstLineChars="0"/>
        <w:jc w:val="both"/>
        <w:rPr>
          <w:rFonts w:ascii="宋体" w:hAnsi="宋体" w:cs="宋体"/>
          <w:vanish/>
          <w:color w:val="auto"/>
          <w:szCs w:val="21"/>
          <w:highlight w:val="none"/>
        </w:rPr>
      </w:pPr>
      <w:bookmarkStart w:id="110" w:name="_Ref179619405"/>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供应商应在响应文件递交截止前提交相应的磋商保证金，并作为其响应的一部分。</w:t>
      </w:r>
      <w:bookmarkEnd w:id="110"/>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磋商保证金是为了保护采购代理机构和采购人免遭因供应商的行为而蒙受的损失。采购代理机构和采购人在因供应商的行为受到损害时可根据本须知（17.7）的规定没收供应商的磋商保证金。</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保证金采用转账、电汇方式方式提交，应符合以下要求：采用银行转账、电汇方式提交的，保证金汇入《响应资料表》中磋商保证金专用账户，不接收由以供应商分支机构、私人账户和其他单位转入的保证金。磋商保证金必须在响应文件递交截止前到账，磋商保证金未按规定时间到达指定账户或提交金额不足的，将被视为无效响应。且在备注或用途中注明本项目的项目编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凡没有根据本须知（17.1和17.3）的规定随附有效的磋商保证金的投标，将被视为非响应性投标予以拒绝。</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磋商保证金有效期应当与磋商有效期一致。采购人如果按照磋商文件另外规定延长了响应文件有效期，则投标担保的有效期也相应延长。</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成交人在签订采购合同并按磋商文件第（33）条规定提交履约担保金后，携带退保证金声明函、磋商保证金汇款单复印件（加盖公章）和合同正本到采购人处办理磋商保证金（无息）退回手续。</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下列任何情况发生时，磋商保证金将不予退还：</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（1）供应商在磋商文件中规定的磋商有效期内撤回其响应文件；</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（2）成交人无正当理由不与采购人订立合同，在签订合同时向采购人提出附加条件，或者不按照磋商文件要求提交履约保证金的；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（3）成交人将本项目转让给他人，或者在响应文件中未说明，且未经采购人同意，将成交项目分包给他人的；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（4）供应商提供虚假响应文件或虚假补充文件的。</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在成交通知书发出后，未成交供应商的磋商保证金，由采购代理</w:t>
      </w:r>
      <w:r>
        <w:rPr>
          <w:rFonts w:ascii="宋体" w:hAnsi="宋体" w:cs="宋体"/>
          <w:color w:val="auto"/>
          <w:szCs w:val="21"/>
          <w:highlight w:val="none"/>
        </w:rPr>
        <w:t>机构</w:t>
      </w:r>
      <w:r>
        <w:rPr>
          <w:rFonts w:hint="eastAsia" w:ascii="宋体" w:hAnsi="宋体" w:cs="宋体"/>
          <w:color w:val="auto"/>
          <w:szCs w:val="21"/>
          <w:highlight w:val="none"/>
        </w:rPr>
        <w:t>自行返还至供应商的原转出账户。</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11" w:name="_Toc25289"/>
      <w:bookmarkStart w:id="112" w:name="_Toc3217"/>
      <w:bookmarkStart w:id="113" w:name="_Toc30352"/>
      <w:r>
        <w:rPr>
          <w:rFonts w:hint="eastAsia" w:ascii="宋体" w:hAnsi="宋体" w:cs="宋体"/>
          <w:color w:val="auto"/>
          <w:highlight w:val="none"/>
        </w:rPr>
        <w:t>响应文件的递交</w:t>
      </w:r>
      <w:bookmarkEnd w:id="111"/>
      <w:bookmarkEnd w:id="112"/>
      <w:bookmarkEnd w:id="113"/>
    </w:p>
    <w:p>
      <w:pPr>
        <w:pStyle w:val="5"/>
        <w:widowControl w:val="0"/>
        <w:numPr>
          <w:ilvl w:val="0"/>
          <w:numId w:val="3"/>
        </w:numPr>
        <w:overflowPunct w:val="0"/>
        <w:rPr>
          <w:rFonts w:ascii="宋体" w:hAnsi="宋体" w:cs="宋体"/>
          <w:color w:val="auto"/>
          <w:sz w:val="21"/>
          <w:szCs w:val="21"/>
          <w:highlight w:val="none"/>
        </w:rPr>
      </w:pPr>
      <w:bookmarkStart w:id="114" w:name="_Toc25157"/>
      <w:bookmarkStart w:id="115" w:name="_Toc24150"/>
      <w:bookmarkStart w:id="116" w:name="_Toc382049111"/>
      <w:bookmarkStart w:id="117" w:name="_Toc303084264"/>
      <w:bookmarkStart w:id="118" w:name="_Toc27390"/>
      <w:bookmarkStart w:id="119" w:name="_Toc24997"/>
      <w:r>
        <w:rPr>
          <w:rFonts w:hint="eastAsia" w:ascii="宋体" w:hAnsi="宋体" w:cs="宋体"/>
          <w:color w:val="auto"/>
          <w:sz w:val="21"/>
          <w:szCs w:val="21"/>
          <w:highlight w:val="none"/>
        </w:rPr>
        <w:t>响应文件的装订，签署，密封和标记</w:t>
      </w:r>
      <w:bookmarkEnd w:id="114"/>
      <w:bookmarkEnd w:id="115"/>
      <w:bookmarkEnd w:id="116"/>
      <w:bookmarkEnd w:id="117"/>
      <w:bookmarkEnd w:id="118"/>
      <w:bookmarkEnd w:id="119"/>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olor w:val="auto"/>
          <w:szCs w:val="21"/>
          <w:highlight w:val="none"/>
        </w:rPr>
        <w:t>供应商应按《响应料表》的份数准备价格文件、商务文件、技术文件、唱标信封和电子文件（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），每一份响应文件均需编上页次，装订成册（不允许使用活页夹，否则由此产生的风险由供应商自行承担）。所有响应文件必须封入密封完好的信封或包装，封口加盖公章</w:t>
      </w:r>
      <w:r>
        <w:rPr>
          <w:rFonts w:hint="eastAsia" w:ascii="宋体" w:hAnsi="宋体" w:cs="宋体"/>
          <w:color w:val="auto"/>
          <w:szCs w:val="21"/>
          <w:highlight w:val="none"/>
        </w:rPr>
        <w:t>。</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联合体响应文件的【正本】及【副本】的封面及骑缝均须加盖所有联合体组成成员的公章。（文件每页盖章等同于盖骑缝章）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电子文件内容包括：由供应商自行制作的与正本文件一致的所有文件。电子文件由光盘或U盘储存，并注明供应商名称及项目名称、采购项目编号，随响应文件一同密封提交。</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除供应商对错误处修改外，全套响应文件应无涂改或行间插字和增删。如有修改，修改处须由法定代表人或其正式授权代表在旁边签字及盖章。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供应商应将响应文件进行非透明的封装，以防止响应文件内容的泄露。采购代理机构将拒绝接收采用透明包装进行密封的响应文件。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密封破损导致响应文件内容直接或间接泄露的响应文件，采购代理机构将拒绝接收。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为方便开标唱标，供应商应将开标一览表和授权委托书单独密封提交，并在信封上标明“唱标信封”字样。唱标信封内还须包括并不限于：磋商保证金支付凭证银行汇款底单（复印件加盖公章，原件随身携带，以备查核）和磋商保证金汇入情况说明（加盖公章）。供应商的法定代表人参加磋商时，须开具法定代表人证明书，按上述要求与开标一览表一并密封提交。“唱标信封”份数及签章等要求与响应文件正本相同（1份）。</w:t>
      </w:r>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未单独提交唱标信封的供应商响应文件不进行唱标，响应文件作无效处理。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 xml:space="preserve">收件人：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响应单位名称：</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项目名称：</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项目采购项目编号：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采购代理机构对所有响应文件的误投或提前启封概不负责。</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供应商同时参加几个包磋商时必须按磋商文件要求按包号分别制作响应文件，分别密封递交。</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传真、电传的响应文件将被拒绝。</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递交的响应文件中所提供的通讯方式应保持联络畅通，因联系不上而导致的所有后果由供应商自行承担。</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20" w:name="_Toc25895"/>
      <w:bookmarkStart w:id="121" w:name="_Toc31895"/>
      <w:bookmarkStart w:id="122" w:name="_Toc10171"/>
      <w:r>
        <w:rPr>
          <w:rFonts w:hint="eastAsia" w:ascii="宋体" w:hAnsi="宋体" w:cs="宋体"/>
          <w:color w:val="auto"/>
          <w:sz w:val="21"/>
          <w:szCs w:val="21"/>
          <w:highlight w:val="none"/>
        </w:rPr>
        <w:t>迟交的响应文件</w:t>
      </w:r>
      <w:bookmarkEnd w:id="120"/>
      <w:bookmarkEnd w:id="121"/>
      <w:bookmarkEnd w:id="122"/>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供应商在磋商截止时间之后提交的响应文件，采购代理机构将拒绝接收。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23" w:name="_Toc25764"/>
      <w:bookmarkStart w:id="124" w:name="_Toc9143"/>
      <w:bookmarkStart w:id="125" w:name="_Toc15491"/>
      <w:r>
        <w:rPr>
          <w:rFonts w:hint="eastAsia" w:ascii="宋体" w:hAnsi="宋体" w:cs="宋体"/>
          <w:color w:val="auto"/>
          <w:sz w:val="21"/>
          <w:szCs w:val="21"/>
          <w:highlight w:val="none"/>
        </w:rPr>
        <w:t>投标样品（如需提交）</w:t>
      </w:r>
      <w:bookmarkEnd w:id="123"/>
      <w:bookmarkEnd w:id="124"/>
      <w:bookmarkEnd w:id="125"/>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如有必要，采购代理机构可以要求供应商提供本服务项目涉及的部分设备或产品样品，供应商在磋商时应提交《样品清单》。</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为方便评标，供应商在提供样品时，应在所提供的样品表面显著位置标注供应商的名称、包号、样品名称、磋商文件规定的服务或货物编号。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样品作为响应文件的一部分，除非另有说明，成交单位的样品将作为履约验收标准的参考不再退还，未成交单位须在成交公告发布后五个工作日内，前往采购代理机构领取投标样品，逾期不领，采购代理机构将不承担样品的保管责任，由此引发的样品丢失、毁损，采购代理机构不予负责。</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26" w:name="_Toc8950"/>
      <w:bookmarkStart w:id="127" w:name="_Toc9777"/>
      <w:bookmarkStart w:id="128" w:name="_Toc382049112"/>
      <w:bookmarkStart w:id="129" w:name="_Toc1712"/>
      <w:bookmarkStart w:id="130" w:name="_Toc1161"/>
      <w:bookmarkStart w:id="131" w:name="_Toc303084265"/>
      <w:r>
        <w:rPr>
          <w:rFonts w:hint="eastAsia" w:ascii="宋体" w:hAnsi="宋体" w:cs="宋体"/>
          <w:color w:val="auto"/>
          <w:sz w:val="21"/>
          <w:szCs w:val="21"/>
          <w:highlight w:val="none"/>
        </w:rPr>
        <w:t>磋商截止期</w:t>
      </w:r>
      <w:bookmarkEnd w:id="126"/>
      <w:bookmarkEnd w:id="127"/>
      <w:bookmarkEnd w:id="128"/>
      <w:bookmarkEnd w:id="129"/>
      <w:bookmarkEnd w:id="130"/>
      <w:bookmarkEnd w:id="131"/>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供应商应在磋商文件规定的截止日期和时间内，将响应文件送达到指定地点。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采购代理机构可按本须知规定以澄清或修改通知的方式，酌情延长递交响应文件的截止时间。在此情况下，供应商的所有权利和义务以及供应商受制约的截止时间，均以延长后新的磋商截止时间为准。</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32" w:name="_Toc23944"/>
      <w:bookmarkStart w:id="133" w:name="_Toc14284"/>
      <w:bookmarkStart w:id="134" w:name="_Toc31417"/>
      <w:r>
        <w:rPr>
          <w:rFonts w:hint="eastAsia" w:ascii="宋体" w:hAnsi="宋体" w:cs="宋体"/>
          <w:color w:val="auto"/>
          <w:sz w:val="21"/>
          <w:szCs w:val="21"/>
          <w:highlight w:val="none"/>
        </w:rPr>
        <w:t>响应文件的补充、修改与撤回</w:t>
      </w:r>
      <w:bookmarkEnd w:id="132"/>
      <w:bookmarkEnd w:id="133"/>
      <w:bookmarkEnd w:id="134"/>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供应商在提交响应文件截止时间前，可以对所提交的响应文件进行补充、修改或撤回，并以纸质版形式通知采购代理机构。在提交响应文件截止时间之后，供应商不得对其响应文件做出任何的补充和修改。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供应商对响应文件的补充、修改的内容应当按磋商文件要求的签署、盖章、密封后，作为响应文件的组成部分。并按照磋商文件规定密封和标记的要求提交，并在响应文件密封袋上标明“补充、修改”字样。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响应文件一经递交不予退还。</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在提交响应文件截止时间至磋商有效期满之前，供应商不得撤回其响应文件，否则其磋商保证金将不予退还。</w:t>
      </w:r>
    </w:p>
    <w:p>
      <w:pPr>
        <w:pStyle w:val="11"/>
        <w:rPr>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35" w:name="_Toc3883"/>
      <w:bookmarkStart w:id="136" w:name="_Toc21490"/>
      <w:bookmarkStart w:id="137" w:name="_Toc7410"/>
      <w:r>
        <w:rPr>
          <w:rFonts w:hint="eastAsia" w:ascii="宋体" w:hAnsi="宋体" w:cs="宋体"/>
          <w:color w:val="auto"/>
          <w:highlight w:val="none"/>
        </w:rPr>
        <w:t>开标与评标</w:t>
      </w:r>
      <w:bookmarkEnd w:id="135"/>
      <w:bookmarkEnd w:id="136"/>
      <w:bookmarkEnd w:id="137"/>
    </w:p>
    <w:p>
      <w:pPr>
        <w:pStyle w:val="5"/>
        <w:widowControl w:val="0"/>
        <w:numPr>
          <w:ilvl w:val="0"/>
          <w:numId w:val="3"/>
        </w:numPr>
        <w:overflowPunct w:val="0"/>
        <w:rPr>
          <w:rFonts w:ascii="宋体" w:hAnsi="宋体" w:cs="宋体"/>
          <w:color w:val="auto"/>
          <w:sz w:val="21"/>
          <w:szCs w:val="21"/>
          <w:highlight w:val="none"/>
        </w:rPr>
      </w:pPr>
      <w:bookmarkStart w:id="138" w:name="_Toc20585"/>
      <w:bookmarkStart w:id="139" w:name="_Toc5598"/>
      <w:bookmarkStart w:id="140" w:name="_Toc31671"/>
      <w:r>
        <w:rPr>
          <w:rFonts w:hint="eastAsia" w:ascii="宋体" w:hAnsi="宋体" w:cs="宋体"/>
          <w:color w:val="auto"/>
          <w:sz w:val="21"/>
          <w:szCs w:val="21"/>
          <w:highlight w:val="none"/>
        </w:rPr>
        <w:t>开标</w:t>
      </w:r>
      <w:bookmarkEnd w:id="138"/>
      <w:bookmarkEnd w:id="139"/>
      <w:bookmarkEnd w:id="140"/>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采购代理机构按本磋商文件所规定的时间和地点公开开标，并邀请所有供应商代表参加。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开标程序：</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开标会由采购代理机构主持，供应商的法定代表人或其授权代表携带有效身份证明准时参加开标会并签名报到。</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开标时，由供应商或者其推选的代表检查响应文件的密封情况；经确认无误后，由采购人或者采购代理机构工作人员当众拆封，宣布供应商名称、供应商的首次报价和磋商文件规定的需要宣布的其他内容；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代表对开标过程和开标记录有异议，以及认为采购人、采购代理机构相关工作人员有需要回避的情形的，应当场提出询问或者回避申请。开标现场未提出异议的视为认同开标结果。开标结束后，供应商对开标过程和开标记录不得再提出异议。</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供应商未参加开标的，视同认可开标结果。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合格供应商不足3家的，不得开标；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开标过程应当由采购人或者采购代理机构负责记录，由参加开标的各供应商代表和相关工作人员签字确认。</w:t>
      </w:r>
    </w:p>
    <w:p>
      <w:pPr>
        <w:widowControl w:val="0"/>
        <w:adjustRightInd/>
        <w:snapToGrid/>
        <w:ind w:left="567"/>
        <w:jc w:val="both"/>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1" w:name="_Toc23471"/>
      <w:bookmarkStart w:id="142" w:name="_Toc3528"/>
      <w:bookmarkStart w:id="143" w:name="_Toc9326"/>
      <w:r>
        <w:rPr>
          <w:rFonts w:hint="eastAsia" w:ascii="宋体" w:hAnsi="宋体" w:cs="宋体"/>
          <w:color w:val="auto"/>
          <w:sz w:val="21"/>
          <w:szCs w:val="21"/>
          <w:highlight w:val="none"/>
        </w:rPr>
        <w:t>评标委员会及评标方法</w:t>
      </w:r>
      <w:bookmarkEnd w:id="141"/>
      <w:bookmarkEnd w:id="142"/>
      <w:bookmarkEnd w:id="143"/>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依法组成评标委员会，评标委员会由采购人和有关技术、经济等方面的专家组成，成员人数为三人或三人以上单数，其中技术、经济等方面的专家不少于成员总数的三分之二，并负责评标工作。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定标原则：在最大限度满足磋商文件实质性要求前提下，按照磋商文件规定的各项评价因素进行量化打分，以评标总得分最高的供应商作为成交候选人或成交人。</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评标委员会对响应文件的评审内容，分为商务评议、技术评议和价格评议。评审流程包括符合性检查、澄清问题、比较与评价、推荐成交候选人或确定成交人、编写评标报告等步骤。</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供应商对其响应文件进行澄清，但不得寻求、提供或允许对磋商价格等实质性内容做任何更改。有关澄清的要求和答复均应以纸质版形式提交，如供应商拒绝评标委员会要求对其响应文件进行澄清的要求，所造成的后果由供应商自行承担。</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评标委员会和采购人在评审过程中有权核对响应文件中相关材料的原件，供应商在接到通知后应在评标委员会规定的时间内提交原件核查。</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4" w:name="_Toc6286"/>
      <w:bookmarkStart w:id="145" w:name="_Toc30071"/>
      <w:bookmarkStart w:id="146" w:name="_Toc4198"/>
      <w:r>
        <w:rPr>
          <w:rFonts w:hint="eastAsia" w:ascii="宋体" w:hAnsi="宋体" w:cs="宋体"/>
          <w:color w:val="auto"/>
          <w:sz w:val="21"/>
          <w:szCs w:val="21"/>
          <w:highlight w:val="none"/>
        </w:rPr>
        <w:t>评审原则及评标过程的保密</w:t>
      </w:r>
      <w:bookmarkEnd w:id="144"/>
      <w:bookmarkEnd w:id="145"/>
      <w:bookmarkEnd w:id="146"/>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评审的基本原则：评标委员会将依据磋商文件的规定，遵循“公开、公平、公正、择优、信用”的原则进行评审工作。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从开标到签订合同，凡与审查、澄清、评审和响应有关的资料以及定标意见相关的事项，均不得向供应商及与评标无关的其他人透露。</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7" w:name="_Toc24354"/>
      <w:bookmarkStart w:id="148" w:name="_Toc8907"/>
      <w:r>
        <w:rPr>
          <w:rFonts w:hint="eastAsia" w:ascii="宋体" w:hAnsi="宋体" w:cs="宋体"/>
          <w:color w:val="auto"/>
          <w:sz w:val="21"/>
          <w:szCs w:val="21"/>
          <w:highlight w:val="none"/>
        </w:rPr>
        <w:t>评标程序</w:t>
      </w:r>
      <w:bookmarkEnd w:id="147"/>
      <w:bookmarkEnd w:id="148"/>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开标结束后，评标委员会根据《资格性、符合性审查表》将依法对供应商进行资格性、符合性审查。供应商必须严格按照《资格性、符合性审查表》的评审内容的要求如实提供证明材料并应加盖供应商公章，对缺漏或不符合项将直接导致无效响应。合格供应商不足3家的，不得评标。未通过资格性、符合性审查的供应商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pP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restart"/>
            <w:tcBorders>
              <w:top w:val="single" w:color="auto" w:sz="4" w:space="0"/>
              <w:left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1）供应商须为在中华人民共和国境内登记注册的具有独立承担民事责任能力的法人或其他组织【提供《营业执照》复印件（加盖公章）或《事业单位法人证书》复印件（加盖公章）或其他主体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（2）参加采购活动前三年内，在经营活动中没有重大违法记录（须提供书面声明）；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（3）供应商的单位负责人为同一人或者存在直接控股、管理关系的不同供应商，不得参加同一合同项下的采购活动；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)“记录失信被执行人或重大税收违法失信主体或政府采购严重违法失信行为”记录名单。以代理机构于投标截止日当天在“信用中国”网站查询结果为准，如相关失信记录已失效，供应商需提供相关证明资料；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9" w:hRule="atLeast"/>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（5）未被列入东实集团及下属企业相关领域黑名单。【以</w:t>
            </w:r>
            <w:r>
              <w:rPr>
                <w:rFonts w:hint="eastAsia" w:ascii="宋体" w:hAnsi="宋体" w:cs="宋体"/>
                <w:color w:val="auto"/>
                <w:szCs w:val="21"/>
                <w:highlight w:val="none"/>
                <w:lang w:val="zh-CN"/>
              </w:rPr>
              <w:t>东莞实业投资控股集团有限公司</w:t>
            </w:r>
            <w:r>
              <w:rPr>
                <w:rFonts w:hint="eastAsia" w:ascii="宋体" w:hAnsi="宋体" w:cs="宋体"/>
                <w:color w:val="auto"/>
                <w:szCs w:val="21"/>
                <w:highlight w:val="none"/>
              </w:rPr>
              <w:t>发文（东实通〔2021〕44号）、（东实通〔2021〕98号）</w:t>
            </w:r>
            <w:r>
              <w:rPr>
                <w:rFonts w:hint="eastAsia" w:ascii="宋体" w:hAnsi="宋体"/>
                <w:color w:val="auto"/>
                <w:szCs w:val="21"/>
                <w:highlight w:val="none"/>
              </w:rPr>
              <w:t>、</w:t>
            </w:r>
            <w:r>
              <w:rPr>
                <w:rFonts w:ascii="宋体" w:hAnsi="宋体"/>
                <w:color w:val="auto"/>
                <w:szCs w:val="21"/>
                <w:highlight w:val="none"/>
              </w:rPr>
              <w:t>（东实通〔2022〕75号）</w:t>
            </w:r>
            <w:r>
              <w:rPr>
                <w:rFonts w:hint="eastAsia" w:ascii="宋体" w:hAnsi="宋体"/>
                <w:color w:val="auto"/>
                <w:szCs w:val="21"/>
                <w:highlight w:val="none"/>
              </w:rPr>
              <w:t>、（东实通〔2023〕37号）</w:t>
            </w:r>
            <w:r>
              <w:rPr>
                <w:rFonts w:hint="eastAsia" w:ascii="宋体" w:hAnsi="宋体" w:cs="宋体"/>
                <w:color w:val="auto"/>
                <w:szCs w:val="21"/>
                <w:highlight w:val="none"/>
              </w:rPr>
              <w:t>为准，如有最新发文通知，按最新文件执行。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bottom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rPr>
                <w:rFonts w:ascii="宋体" w:hAnsi="宋体" w:cs="宋体"/>
                <w:color w:val="auto"/>
                <w:szCs w:val="21"/>
                <w:highlight w:val="none"/>
              </w:rPr>
            </w:pPr>
            <w:r>
              <w:rPr>
                <w:rFonts w:hint="eastAsia" w:ascii="宋体" w:hAnsi="宋体" w:cs="宋体"/>
                <w:color w:val="auto"/>
                <w:szCs w:val="21"/>
                <w:highlight w:val="none"/>
              </w:rPr>
              <w:t>（6）供应商须具备行政主管部门颁发的城乡规划编制乙级或以上资质。(如相关主管部门有最新政策，按最新政策执行；若资质证书已过期且有相关政策文件说明资质继续延期有效的，需提供相关政策文件网页截图或复印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供应商按照磋商文件要求提交磋商保证金；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响应文件按照磋商文件要求签署盖章；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磋商总价未超出采购预算或最高限价；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响应文件未含有采购人不能接受的附加条件；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法律、法规和招标文件规定的其他无效情形。</w:t>
            </w:r>
          </w:p>
        </w:tc>
      </w:tr>
    </w:tbl>
    <w:p>
      <w:pPr>
        <w:widowControl w:val="0"/>
        <w:tabs>
          <w:tab w:val="left" w:pos="567"/>
        </w:tabs>
        <w:adjustRightInd/>
        <w:rPr>
          <w:rFonts w:ascii="宋体" w:hAnsi="宋体"/>
          <w:color w:val="auto"/>
          <w:szCs w:val="21"/>
          <w:highlight w:val="none"/>
        </w:rPr>
      </w:pPr>
      <w:r>
        <w:rPr>
          <w:rFonts w:hint="eastAsia" w:ascii="宋体" w:hAnsi="宋体"/>
          <w:color w:val="auto"/>
          <w:szCs w:val="21"/>
          <w:highlight w:val="none"/>
        </w:rPr>
        <w:t>以上资格性、符合性审查中带有不合格分项的响应文件，将作无效标处理。经评标委员会确认的无效响应文件，采购人和采购代理机构将予以拒绝，并且不允许通过修正或撤消其不符合要求的差异，使之成为具有符合性的响应文件。经评标委员会资格性、符合性审查确认具有有效响应文件的响应供应商不足三家时将重新组织采购。</w:t>
      </w:r>
    </w:p>
    <w:p>
      <w:pPr>
        <w:widowControl w:val="0"/>
        <w:overflowPunct w:val="0"/>
        <w:ind w:left="567"/>
        <w:rPr>
          <w:rFonts w:ascii="宋体" w:hAnsi="宋体"/>
          <w:color w:val="auto"/>
          <w:szCs w:val="21"/>
          <w:highlight w:val="none"/>
        </w:rPr>
      </w:pPr>
    </w:p>
    <w:p>
      <w:pPr>
        <w:widowControl w:val="0"/>
        <w:numPr>
          <w:ilvl w:val="1"/>
          <w:numId w:val="3"/>
        </w:numPr>
        <w:overflowPunct w:val="0"/>
        <w:rPr>
          <w:rFonts w:ascii="宋体" w:hAnsi="宋体"/>
          <w:color w:val="auto"/>
          <w:szCs w:val="21"/>
          <w:highlight w:val="none"/>
        </w:rPr>
      </w:pPr>
      <w:r>
        <w:rPr>
          <w:rFonts w:hint="eastAsia" w:ascii="宋体" w:hAnsi="宋体" w:cs="宋体"/>
          <w:b/>
          <w:bCs/>
          <w:color w:val="auto"/>
          <w:szCs w:val="21"/>
          <w:highlight w:val="none"/>
        </w:rPr>
        <w:t>磋商</w:t>
      </w:r>
    </w:p>
    <w:p>
      <w:pPr>
        <w:widowControl w:val="0"/>
        <w:numPr>
          <w:ilvl w:val="2"/>
          <w:numId w:val="3"/>
        </w:numP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磋商小组所有成员应当集中与单一供应商分别进行一轮或多轮的磋商（具体磋商轮次由磋商小组视情况决定）在磋商中，磋商小组及有关当事人应当严格遵循保密原则，任何人不得透露与磋商有关的供应商的技术、价格和其他信息。</w:t>
      </w:r>
    </w:p>
    <w:p>
      <w:pPr>
        <w:widowControl w:val="0"/>
        <w:numPr>
          <w:ilvl w:val="2"/>
          <w:numId w:val="3"/>
        </w:numP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在磋商过程中，磋商小组可以根据磋商文件和磋商情况实质性变动采购需求中的技术、服务要求以及合同草案条款，但不得变动磋商文件中的其他内容，并应当以书面形式通知所有参加磋商的供应商。实质性变动的内容，须经采购人代表确认。对磋商文件作出的实质性变动是磋商文件的有效组成部分。</w:t>
      </w:r>
    </w:p>
    <w:p>
      <w:pPr>
        <w:widowControl w:val="0"/>
        <w:numPr>
          <w:ilvl w:val="2"/>
          <w:numId w:val="3"/>
        </w:numP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widowControl w:val="0"/>
        <w:numPr>
          <w:ilvl w:val="2"/>
          <w:numId w:val="3"/>
        </w:numPr>
        <w:tabs>
          <w:tab w:val="left" w:pos="794"/>
        </w:tabs>
        <w:adjustRightInd/>
        <w:rPr>
          <w:rFonts w:ascii="宋体" w:hAnsi="宋体" w:cs="宋体"/>
          <w:color w:val="auto"/>
          <w:szCs w:val="21"/>
          <w:highlight w:val="none"/>
        </w:rPr>
      </w:pPr>
      <w:r>
        <w:rPr>
          <w:rFonts w:hint="eastAsia" w:ascii="宋体" w:hAnsi="宋体" w:cs="宋体"/>
          <w:snapToGrid w:val="0"/>
          <w:color w:val="auto"/>
          <w:szCs w:val="21"/>
          <w:highlight w:val="none"/>
        </w:rPr>
        <w:t>磋商结束后，磋商小组应当要求所有实质性响应的供应商在规定时间内提交最后报价</w:t>
      </w:r>
      <w:r>
        <w:rPr>
          <w:rFonts w:hint="eastAsia" w:ascii="宋体" w:hAnsi="宋体" w:cs="宋体"/>
          <w:snapToGrid w:val="0"/>
          <w:color w:val="auto"/>
          <w:szCs w:val="21"/>
          <w:highlight w:val="none"/>
          <w:lang w:eastAsia="zh-CN"/>
        </w:rPr>
        <w:t>，</w:t>
      </w:r>
      <w:r>
        <w:rPr>
          <w:rFonts w:hint="eastAsia" w:ascii="宋体" w:hAnsi="宋体" w:cs="宋体"/>
          <w:snapToGrid w:val="0"/>
          <w:color w:val="auto"/>
          <w:szCs w:val="21"/>
          <w:highlight w:val="none"/>
        </w:rPr>
        <w:t>后一轮报价不得高于前一轮报价</w:t>
      </w:r>
      <w:r>
        <w:rPr>
          <w:rFonts w:hint="eastAsia" w:ascii="宋体" w:hAnsi="宋体" w:cs="宋体"/>
          <w:snapToGrid w:val="0"/>
          <w:color w:val="auto"/>
          <w:szCs w:val="21"/>
          <w:highlight w:val="none"/>
          <w:lang w:eastAsia="zh-CN"/>
        </w:rPr>
        <w:t>。</w:t>
      </w:r>
      <w:r>
        <w:rPr>
          <w:rFonts w:hint="eastAsia" w:ascii="宋体" w:hAnsi="宋体" w:cs="宋体"/>
          <w:snapToGrid w:val="0"/>
          <w:color w:val="auto"/>
          <w:szCs w:val="21"/>
          <w:highlight w:val="none"/>
        </w:rPr>
        <w:t>提交最后报价的供应商少于3家</w:t>
      </w:r>
      <w:r>
        <w:rPr>
          <w:rFonts w:hint="eastAsia" w:ascii="宋体" w:hAnsi="宋体" w:cs="宋体"/>
          <w:color w:val="auto"/>
          <w:szCs w:val="21"/>
          <w:highlight w:val="none"/>
        </w:rPr>
        <w:t>时</w:t>
      </w:r>
      <w:r>
        <w:rPr>
          <w:rFonts w:ascii="宋体" w:hAnsi="宋体" w:cs="宋体"/>
          <w:color w:val="auto"/>
          <w:szCs w:val="21"/>
          <w:highlight w:val="none"/>
        </w:rPr>
        <w:t>将重新组织采购</w:t>
      </w:r>
      <w:r>
        <w:rPr>
          <w:rFonts w:hint="eastAsia" w:ascii="宋体" w:hAnsi="宋体" w:cs="宋体"/>
          <w:color w:val="auto"/>
          <w:szCs w:val="21"/>
          <w:highlight w:val="none"/>
        </w:rPr>
        <w:t>。</w:t>
      </w:r>
    </w:p>
    <w:p>
      <w:pPr>
        <w:widowControl w:val="0"/>
        <w:tabs>
          <w:tab w:val="left" w:pos="794"/>
        </w:tabs>
        <w:adjustRightInd/>
        <w:rPr>
          <w:rFonts w:ascii="宋体" w:hAnsi="宋体"/>
          <w:color w:val="auto"/>
          <w:highlight w:val="none"/>
        </w:rPr>
      </w:pPr>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响应文件报价出现前后不一致的，评标委员会按照下列规定修正：</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响应文件中开标一览表（报价表）内容与响应文件中相应内容不一致的，以开标一览表（报价表）为准；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大写金额和小写金额不一致的，以大写金额为准；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单价金额小数点或者百分比有明显错位的，以开标一览表的总价为准，并修改单价；</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总价金额与按单价汇总金额不一致的，以单价金额计算结果为准。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同时出现两种以上不一致的，按照前款规定的顺序修正。修正后的报价按照经供应商确认后产生约束力，供应商不确认的，其响应无效。</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供应商的报价明显低于其他通过符合性审查供应商的报价，有可能影响产品质量或者不能诚信履约的，应当要求其在评标现场合理的时间内提供书面说明（以现场通知时间为准），必要时提交相关证明材料；供应商不能证明其报价合理性的，评标委员会应当将其作为无效响应处理。</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对于响应文件中不构成实质性偏差的不正规、不一致或不规则，评标委员会可以接受，但这种接受不能损害或影响任何供应商的相对排序。</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响应文件是否实质上响应了磋商文件的要求。实质上响应的响应文件应该是与磋商文件要求的全部主要条款（加“★”号）、条件和规格相符，没有重大偏离的响应。对关键条文的偏离、保留或反对，例如关于磋商保证金、合同条款的重大偏离将被认为是实质上的偏离。评标委员会决定响应文件的响应性只根据响应文件本身的内容，而不寻求外部的证据。</w:t>
      </w:r>
    </w:p>
    <w:p>
      <w:pPr>
        <w:pStyle w:val="11"/>
        <w:rPr>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9" w:name="_Toc21241"/>
      <w:bookmarkStart w:id="150" w:name="_Toc27321"/>
      <w:bookmarkStart w:id="151" w:name="_Toc4799"/>
      <w:r>
        <w:rPr>
          <w:rFonts w:hint="eastAsia" w:ascii="宋体" w:hAnsi="宋体" w:cs="宋体"/>
          <w:color w:val="auto"/>
          <w:sz w:val="21"/>
          <w:szCs w:val="21"/>
          <w:highlight w:val="none"/>
        </w:rPr>
        <w:t>商务、技术、价格评审（具体评审项目详见响应资料表）</w:t>
      </w:r>
      <w:bookmarkEnd w:id="149"/>
      <w:bookmarkEnd w:id="150"/>
      <w:bookmarkEnd w:id="151"/>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磋商文件中要求供应商提供的相关资质证书证明材料因国家政策变动导致新旧证书名称不一致，旧证书未取消且新旧证书具有同等效力的，供应商提供新证书与提供在有效期内的旧证书给予同等认可。 </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响应文件进行详细评审。评标委员会对每一响应文件进行详细的商务评审、技术评审。按照评审程序的规定和依据评分标准，各位评委就每个供应商的技术、商务状况及其对磋商文件要求的响应情况进行评议和比较，评出其技术评分和商务评分。根据磋商文件规定评出得分，将价格得分、商务得分、技术得分相加得出最终评标得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供应商得票数相同时，再次进行投票，如此类推，直到能确定排序次序为止</w:t>
      </w:r>
      <w:r>
        <w:rPr>
          <w:rFonts w:hint="eastAsia" w:ascii="宋体" w:hAnsi="宋体" w:cs="宋体"/>
          <w:color w:val="auto"/>
          <w:szCs w:val="21"/>
          <w:highlight w:val="none"/>
        </w:rPr>
        <w:t>。</w:t>
      </w:r>
    </w:p>
    <w:p>
      <w:pPr>
        <w:widowControl w:val="0"/>
        <w:tabs>
          <w:tab w:val="left" w:pos="907"/>
        </w:tabs>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152" w:name="_Toc316375620"/>
      <w:bookmarkStart w:id="153" w:name="_Toc20319"/>
      <w:bookmarkStart w:id="154" w:name="_Toc20328"/>
      <w:bookmarkStart w:id="155" w:name="_Toc21663"/>
      <w:bookmarkStart w:id="156" w:name="_Toc382049120"/>
      <w:bookmarkStart w:id="157" w:name="_Toc9067"/>
      <w:r>
        <w:rPr>
          <w:rFonts w:hint="eastAsia" w:ascii="宋体" w:hAnsi="宋体" w:cs="宋体"/>
          <w:color w:val="auto"/>
          <w:sz w:val="21"/>
          <w:szCs w:val="21"/>
          <w:highlight w:val="none"/>
        </w:rPr>
        <w:t>纪律和保密</w:t>
      </w:r>
      <w:bookmarkEnd w:id="152"/>
      <w:r>
        <w:rPr>
          <w:rFonts w:hint="eastAsia" w:ascii="宋体" w:hAnsi="宋体" w:cs="宋体"/>
          <w:color w:val="auto"/>
          <w:sz w:val="21"/>
          <w:szCs w:val="21"/>
          <w:highlight w:val="none"/>
        </w:rPr>
        <w:t>事项</w:t>
      </w:r>
      <w:bookmarkEnd w:id="153"/>
      <w:bookmarkEnd w:id="154"/>
      <w:bookmarkEnd w:id="155"/>
      <w:bookmarkEnd w:id="156"/>
      <w:bookmarkEnd w:id="157"/>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从开标之日起至授予合同期间，在响应文件的审查、澄清、比较和评价阶段，供应商试图对评标委员会和采购代理机构施加任何影响或对采购人的比较及授予合同的决定产生影响，都可能导致其响应文件被拒绝。</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供应商不得串通作弊，以不正当的手段妨碍、排挤其他供应商，扰乱采购市场，破坏公平竞争原则。否则将按相关法律规定严肃处理。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获得本磋商文件的供应商，应对文件进行保密，不得用作本次投标以外的任何用途。开标后，供应商应归还磋商文件中要求保密的文件和资料。</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58" w:name="_Toc1109"/>
      <w:bookmarkStart w:id="159" w:name="_Toc21283"/>
      <w:bookmarkStart w:id="160" w:name="_Toc14990"/>
      <w:r>
        <w:rPr>
          <w:rFonts w:hint="eastAsia" w:ascii="宋体" w:hAnsi="宋体" w:cs="宋体"/>
          <w:color w:val="auto"/>
          <w:highlight w:val="none"/>
        </w:rPr>
        <w:t>授予合同</w:t>
      </w:r>
      <w:bookmarkEnd w:id="158"/>
      <w:bookmarkEnd w:id="159"/>
      <w:bookmarkEnd w:id="160"/>
    </w:p>
    <w:p>
      <w:pPr>
        <w:pStyle w:val="5"/>
        <w:widowControl w:val="0"/>
        <w:numPr>
          <w:ilvl w:val="0"/>
          <w:numId w:val="3"/>
        </w:numPr>
        <w:overflowPunct w:val="0"/>
        <w:rPr>
          <w:rFonts w:ascii="宋体" w:hAnsi="宋体" w:cs="宋体"/>
          <w:color w:val="auto"/>
          <w:sz w:val="21"/>
          <w:szCs w:val="21"/>
          <w:highlight w:val="none"/>
        </w:rPr>
      </w:pPr>
      <w:bookmarkStart w:id="161" w:name="_Toc6881"/>
      <w:bookmarkStart w:id="162" w:name="_Toc22623"/>
      <w:bookmarkStart w:id="163" w:name="_Toc508284011"/>
      <w:bookmarkStart w:id="164" w:name="_Toc6506"/>
      <w:r>
        <w:rPr>
          <w:rFonts w:hint="eastAsia" w:ascii="宋体" w:hAnsi="宋体" w:cs="宋体"/>
          <w:color w:val="auto"/>
          <w:sz w:val="21"/>
          <w:szCs w:val="21"/>
          <w:highlight w:val="none"/>
        </w:rPr>
        <w:t>合同授予标准</w:t>
      </w:r>
      <w:bookmarkEnd w:id="161"/>
      <w:bookmarkEnd w:id="162"/>
      <w:bookmarkEnd w:id="163"/>
      <w:bookmarkEnd w:id="164"/>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根据评标委员会的评审结果，采购人按照评审报告推荐的成交候选人中按顺序依法确定成交人。</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65" w:name="_Toc20661"/>
      <w:bookmarkStart w:id="166" w:name="_Toc508284013"/>
      <w:bookmarkStart w:id="167" w:name="_Toc10545"/>
      <w:bookmarkStart w:id="168" w:name="_Toc6202"/>
      <w:r>
        <w:rPr>
          <w:rFonts w:hint="eastAsia" w:ascii="宋体" w:hAnsi="宋体" w:cs="宋体"/>
          <w:color w:val="auto"/>
          <w:sz w:val="21"/>
          <w:szCs w:val="21"/>
          <w:highlight w:val="none"/>
        </w:rPr>
        <w:t>发布成交结果</w:t>
      </w:r>
      <w:bookmarkEnd w:id="165"/>
      <w:bookmarkEnd w:id="166"/>
      <w:bookmarkEnd w:id="167"/>
      <w:bookmarkEnd w:id="168"/>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评标委员会提出评标书面报告和推荐成交意见报采购人确认后，采购代理机构将在指定的信息发布媒体上发布公告。</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成交公告期限为3个日历日。</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《成交通知书》是合同的一个组成部分，《成交通知书》对采购人和成交人均具有同等法律效力。</w:t>
      </w:r>
    </w:p>
    <w:p>
      <w:pPr>
        <w:widowControl w:val="0"/>
        <w:tabs>
          <w:tab w:val="left" w:pos="907"/>
        </w:tabs>
        <w:adjustRightInd/>
        <w:snapToGrid/>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169" w:name="_Toc11420"/>
      <w:bookmarkStart w:id="170" w:name="_Toc28946"/>
      <w:bookmarkStart w:id="171" w:name="_Toc13697"/>
      <w:r>
        <w:rPr>
          <w:rFonts w:hint="eastAsia" w:ascii="宋体" w:hAnsi="宋体" w:cs="宋体"/>
          <w:color w:val="auto"/>
          <w:sz w:val="21"/>
          <w:szCs w:val="21"/>
          <w:highlight w:val="none"/>
        </w:rPr>
        <w:t>资格后审</w:t>
      </w:r>
      <w:bookmarkEnd w:id="169"/>
      <w:bookmarkEnd w:id="170"/>
      <w:bookmarkEnd w:id="171"/>
    </w:p>
    <w:p>
      <w:pPr>
        <w:pStyle w:val="56"/>
        <w:widowControl w:val="0"/>
        <w:numPr>
          <w:ilvl w:val="0"/>
          <w:numId w:val="4"/>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采购人将有权根据本文件中的要求，对评委会推荐的成交候选人进行资格后审。</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成交候选人须无条件配合资格后审，否则采购人有权取消其成交资格，且磋商保证金可不予退还。</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响应文件中提供的资质证明文件、业绩等重要证明文件的原件进行核对，综合考察成交人的履约能力。如采购人要求还须提供业绩证明的其他材料,成交候选人须配合提供。如授权其分支机构进行项目实施或提供售后服务的，亦应提供其与分支机构关系的法律证明材料。</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如发现成交候选人以他人名义响应或者以其他方式弄虚作假，骗取成交的，采购人有权取消其成交资格，且磋商保证金可不予退还；给采购人造成损失的，应依法承担赔偿责任。</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有权审查成交候选人是否具备履行合同的能力，包括但不限于对其规模、人员、场地、生产能力、供货能力等方面的核实或现场考察。如果审查通过，采购人将把合同授予该成交人；如果审查没有通过，采购人有权取消其成交资格，且磋商保证金可不予退还，并依次审查下一名成交候选人是否具备履行合同的能力或重新采购。</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72" w:name="_Toc11248"/>
      <w:bookmarkStart w:id="173" w:name="_Toc27302"/>
      <w:bookmarkStart w:id="174" w:name="_Toc12389"/>
      <w:r>
        <w:rPr>
          <w:rFonts w:hint="eastAsia" w:ascii="宋体" w:hAnsi="宋体" w:cs="宋体"/>
          <w:color w:val="auto"/>
          <w:sz w:val="21"/>
          <w:szCs w:val="21"/>
          <w:highlight w:val="none"/>
        </w:rPr>
        <w:t>合同的签订与履行</w:t>
      </w:r>
      <w:bookmarkEnd w:id="172"/>
      <w:bookmarkEnd w:id="173"/>
      <w:bookmarkEnd w:id="174"/>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应当自采购人发出成交通知书之日起30日内，按照磋商文件和成交人响应文件的规定，与采购人签订书面合同，否则采购人有权取消其成交资格。所签订的合同不得对磋商文件确定的事项和成交人响应文件作实质性修改。在合同签订时，应注意合同中约定的工期开始时间不得早于合同签订时间。</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采购人与成交人应当根据合同的约定依法履行合同义务。</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在评审结束当天至合同履行结束，若因不可抗力的因素（如国家出台新法律法规等）造成供应商资质的变动，供应商应以纸质版形式通知采购人。若资质变动导致成交人不再具备履行合同资质要求，采购人有权中止合同。</w:t>
      </w:r>
    </w:p>
    <w:p>
      <w:pPr>
        <w:widowControl w:val="0"/>
        <w:tabs>
          <w:tab w:val="left" w:pos="907"/>
        </w:tabs>
        <w:adjustRightInd/>
        <w:snapToGrid/>
        <w:jc w:val="both"/>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75" w:name="_Toc29009"/>
      <w:bookmarkStart w:id="176" w:name="_Toc303084277"/>
      <w:bookmarkStart w:id="177" w:name="_Toc382049124"/>
      <w:bookmarkStart w:id="178" w:name="_Toc6617"/>
      <w:bookmarkStart w:id="179" w:name="_Toc30665"/>
      <w:bookmarkStart w:id="180" w:name="_Toc29472"/>
      <w:r>
        <w:rPr>
          <w:rFonts w:hint="eastAsia" w:ascii="宋体" w:hAnsi="宋体" w:cs="宋体"/>
          <w:color w:val="auto"/>
          <w:sz w:val="21"/>
          <w:szCs w:val="21"/>
          <w:highlight w:val="none"/>
        </w:rPr>
        <w:t>履约</w:t>
      </w:r>
      <w:bookmarkEnd w:id="175"/>
      <w:bookmarkEnd w:id="176"/>
      <w:bookmarkEnd w:id="177"/>
      <w:r>
        <w:rPr>
          <w:rFonts w:hint="eastAsia" w:ascii="宋体" w:hAnsi="宋体" w:cs="宋体"/>
          <w:color w:val="auto"/>
          <w:sz w:val="21"/>
          <w:szCs w:val="21"/>
          <w:highlight w:val="none"/>
        </w:rPr>
        <w:t>担保</w:t>
      </w:r>
      <w:bookmarkEnd w:id="178"/>
      <w:bookmarkEnd w:id="179"/>
      <w:bookmarkEnd w:id="180"/>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在采购（合同签署）时提交履约担保，履约担保金额不超过成交合同金额的10%，如果成交人提交的履约保函的有效期先于合同要求的履约保函有效期到达，成交人应在原提交的履约保函有效期满前15天，无条件办理保函延期手续。否则，视成交人违约，采购人可在保函到期前将保函金额转为现金存入履约保证金账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履约担保期限从合同签订之日起至项目服务期结束验收合格并结算完毕后，经双方签字</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天内保持有效。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（1）履约保函。如果成交人的履约担保是以银行保函形式提供的，则该银行保函应：</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②保函的格式参考磋商文件附件中提供的无条件不可撤销履约保函格式，保函担保期内若项目未能按期竣工，保函必须延期，办理延期手续时在银行方面所产生费用由成交人负责。</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2）履约保证金。可采用电汇、银行汇票等银行转账方式提交，但不可以采用现金方式提交。履约保证金金额为成交价的10%。成交人人必须保证履约保证金以成交人的名称在（合同约定的日期）前提交至采购人指定账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若成交人不能按本采购文件（33.1至33.3）的规定提交履约保证金的，采购人将有权取消成交人的成交资格（采购人可以按照评标委员会提出的成交候选人名单排序依次确定其他成交候选人为成交人，也可以重新采购），磋商保证金不予退还，给采购人造成的损失如果超过磋商保证金数额的，还应当对超过部分予以赔偿。</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为取得履约担保所需的费用，由成交人承担；若工期延误，履约担保时间延长，延长费用由成交人承担。</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若成交人在合同履行过程中出现项目质量事故、工期拖延、欠付工人工资、欠付材料款等情况，采购人在经核查属实后，有权将履约保函金额转为现金存入履约保证金账户；成交人造成采购人损失的，采购人有权立即没收其履约担保，若造成损失超过履约担保的，还应当对超过部分予以赔偿。</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（1）成交人将本项目转让给他人，或者在响应文件中未说明，且未经采购人同意，将成交项目分包给他人的；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（2）成交人在履行采购合同期间，违反有关法律法规的规定及合同约定的条款，损害了采购人的利益。</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在整个项目验收合格后成交人向采购人提交退回履约担保的申请，采购人办理履约担保退还手续。</w:t>
      </w:r>
    </w:p>
    <w:p>
      <w:pPr>
        <w:widowControl w:val="0"/>
        <w:tabs>
          <w:tab w:val="left" w:pos="907"/>
        </w:tabs>
        <w:adjustRightInd/>
        <w:snapToGrid/>
        <w:jc w:val="both"/>
        <w:rPr>
          <w:rFonts w:hint="eastAsia" w:ascii="宋体" w:hAnsi="宋体" w:cs="宋体"/>
          <w:color w:val="auto"/>
          <w:szCs w:val="21"/>
          <w:highlight w:val="none"/>
        </w:rPr>
      </w:pPr>
      <w:bookmarkStart w:id="181" w:name="_Toc4940"/>
      <w:bookmarkStart w:id="182" w:name="_Toc18880"/>
    </w:p>
    <w:p>
      <w:pPr>
        <w:pStyle w:val="5"/>
        <w:widowControl w:val="0"/>
        <w:numPr>
          <w:ilvl w:val="0"/>
          <w:numId w:val="3"/>
        </w:numPr>
        <w:overflowPunct w:val="0"/>
        <w:rPr>
          <w:rFonts w:ascii="宋体" w:hAnsi="宋体" w:cs="宋体"/>
          <w:color w:val="auto"/>
          <w:sz w:val="21"/>
          <w:szCs w:val="21"/>
          <w:highlight w:val="none"/>
        </w:rPr>
      </w:pPr>
      <w:bookmarkStart w:id="183" w:name="_Toc10425"/>
      <w:r>
        <w:rPr>
          <w:rFonts w:hint="eastAsia" w:ascii="宋体" w:hAnsi="宋体" w:cs="宋体"/>
          <w:color w:val="auto"/>
          <w:sz w:val="21"/>
          <w:szCs w:val="21"/>
          <w:highlight w:val="none"/>
        </w:rPr>
        <w:t>预付款保函（</w:t>
      </w:r>
      <w:r>
        <w:rPr>
          <w:rFonts w:hint="eastAsia" w:ascii="宋体" w:hAnsi="宋体" w:cs="宋体"/>
          <w:color w:val="auto"/>
          <w:sz w:val="21"/>
          <w:szCs w:val="21"/>
          <w:highlight w:val="none"/>
          <w:lang w:eastAsia="zh-CN"/>
        </w:rPr>
        <w:t>本项目不</w:t>
      </w:r>
      <w:r>
        <w:rPr>
          <w:rFonts w:hint="eastAsia" w:ascii="宋体" w:hAnsi="宋体" w:cs="宋体"/>
          <w:color w:val="auto"/>
          <w:sz w:val="21"/>
          <w:szCs w:val="21"/>
          <w:highlight w:val="none"/>
        </w:rPr>
        <w:t>适用）</w:t>
      </w:r>
      <w:bookmarkEnd w:id="181"/>
      <w:bookmarkEnd w:id="182"/>
      <w:bookmarkEnd w:id="183"/>
    </w:p>
    <w:p>
      <w:pPr>
        <w:pStyle w:val="56"/>
        <w:widowControl w:val="0"/>
        <w:numPr>
          <w:ilvl w:val="0"/>
          <w:numId w:val="4"/>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签订合同时，成交人应按本须知规定向采购人提交一份合同预付款等额有效的预付款保函。预付款保函有效期从保函开立之日起至采购人向成交人抵扣完所有预付款之日止。如果成交人提交的预付款保函的有效期先于磋商文件要求的预付款保函有效期到达，成交人应在原提交的预付款保函有效期前15日内，无条件办理预付款保函延期手续。否则视为成交人违约，采购人可在预付款保函到期前将未抵扣的预付款转为现金存入采购人账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（1）由东莞市行政区域内的银行支行及以上银行机构开具。（2）必须打印，手写、涂改无效</w:t>
      </w:r>
      <w:r>
        <w:rPr>
          <w:rFonts w:hint="eastAsia" w:ascii="宋体" w:hAnsi="宋体" w:cs="宋体"/>
          <w:color w:val="auto"/>
          <w:szCs w:val="21"/>
          <w:highlight w:val="none"/>
          <w:lang w:eastAsia="zh-CN"/>
        </w:rPr>
        <w:t>。</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若成交人不能按本须知（34.1至34.2）的规定执行，采购人将不予支付预付款。</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如果成交人提交的预付款保函的有效期先于磋商文件要求的预付款保函有效期到达，成交人应在原提交的预付款保函有效期满前15天内，无条件办理预付款保函延期手续。否则视为成交人违约，采购人可在预付款保函到期前将未抵扣的预付款金额转为现金存入采购人账户。</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84" w:name="_Toc12798"/>
      <w:bookmarkStart w:id="185" w:name="_Toc21814"/>
      <w:bookmarkStart w:id="186" w:name="_Toc31493"/>
      <w:r>
        <w:rPr>
          <w:rFonts w:hint="eastAsia" w:ascii="宋体" w:hAnsi="宋体" w:cs="宋体"/>
          <w:color w:val="auto"/>
          <w:highlight w:val="none"/>
        </w:rPr>
        <w:t>异议</w:t>
      </w:r>
      <w:bookmarkEnd w:id="184"/>
      <w:bookmarkEnd w:id="185"/>
      <w:bookmarkEnd w:id="186"/>
    </w:p>
    <w:p>
      <w:pPr>
        <w:pStyle w:val="5"/>
        <w:widowControl w:val="0"/>
        <w:numPr>
          <w:ilvl w:val="0"/>
          <w:numId w:val="3"/>
        </w:numPr>
        <w:overflowPunct w:val="0"/>
        <w:rPr>
          <w:rFonts w:ascii="宋体" w:hAnsi="宋体" w:cs="宋体"/>
          <w:color w:val="auto"/>
          <w:sz w:val="21"/>
          <w:szCs w:val="21"/>
          <w:highlight w:val="none"/>
        </w:rPr>
      </w:pPr>
      <w:bookmarkStart w:id="187" w:name="_Toc9791"/>
      <w:bookmarkStart w:id="188" w:name="_Toc30449"/>
      <w:bookmarkStart w:id="189" w:name="_Toc9594"/>
      <w:r>
        <w:rPr>
          <w:rFonts w:hint="eastAsia" w:ascii="宋体" w:hAnsi="宋体" w:cs="宋体"/>
          <w:color w:val="auto"/>
          <w:sz w:val="21"/>
          <w:szCs w:val="21"/>
          <w:highlight w:val="none"/>
        </w:rPr>
        <w:t>异议</w:t>
      </w:r>
      <w:bookmarkEnd w:id="187"/>
      <w:bookmarkEnd w:id="188"/>
      <w:bookmarkEnd w:id="189"/>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lang w:val="zh-CN"/>
        </w:rPr>
        <w:t>磋商文件的异议</w:t>
      </w:r>
      <w:r>
        <w:rPr>
          <w:rFonts w:hint="eastAsia" w:ascii="宋体" w:hAnsi="宋体" w:cs="宋体"/>
          <w:color w:val="auto"/>
          <w:szCs w:val="21"/>
          <w:highlight w:val="none"/>
        </w:rPr>
        <w:t xml:space="preserve">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bCs/>
          <w:color w:val="auto"/>
          <w:kern w:val="2"/>
          <w:szCs w:val="21"/>
          <w:highlight w:val="none"/>
          <w:lang w:val="zh-CN"/>
        </w:rPr>
        <w:t>供应商或者其他利害关系人对磋商文件有异议的，应当在磋商截止时间10日前</w:t>
      </w:r>
      <w:r>
        <w:rPr>
          <w:rFonts w:hint="eastAsia" w:ascii="宋体" w:hAnsi="宋体" w:cs="宋体"/>
          <w:color w:val="auto"/>
          <w:kern w:val="2"/>
          <w:szCs w:val="21"/>
          <w:highlight w:val="none"/>
          <w:lang w:val="zh-CN"/>
        </w:rPr>
        <w:t>以书面形式向采购代理机构提出，并将材料原件送达采购代理机构，逾期则视为对磋商文件所有内容无异议。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书面材料必须加盖供应商法人公章，并注明联系人、联系电话、联系地址。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供应商或者其他利害关系人对评标结果有异议的，应当在成交候选人公示期间向采购代理机构以书面的形式提出，并将完整的异议书面材料原件送达采购代理机构，逾期则视为对评标结果无异议。超出提交异议截止时间而提出的任何疑问，采购代理机构可不予答复。</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采购代理机构将拒收未能提供完整异议书面材料的异议，完整的异议书面材料必须同时包含：异议书（加盖法人</w:t>
      </w:r>
      <w:r>
        <w:rPr>
          <w:rFonts w:hint="eastAsia" w:ascii="宋体" w:hAnsi="宋体" w:cs="宋体"/>
          <w:color w:val="auto"/>
          <w:szCs w:val="21"/>
          <w:highlight w:val="none"/>
          <w:lang w:val="zh-CN"/>
        </w:rPr>
        <w:t>公章</w:t>
      </w:r>
      <w:r>
        <w:rPr>
          <w:rFonts w:hint="eastAsia" w:ascii="宋体" w:hAnsi="宋体" w:cs="宋体"/>
          <w:color w:val="auto"/>
          <w:kern w:val="2"/>
          <w:szCs w:val="21"/>
          <w:highlight w:val="none"/>
          <w:lang w:val="zh-CN"/>
        </w:rPr>
        <w:t>，并注明联系人、联系电话、联系地址）、授权提交异议的法定代表人授权书原件、反映异议人主体资格的营业执照复印件（加盖法人公章）、以及合法来源的证据证明材料。</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以联合体形式参加采购活动的，其异议应当由组成联合体的所有供应商共同提出。</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90" w:name="_Toc10480"/>
      <w:bookmarkStart w:id="191" w:name="_Toc4092"/>
      <w:bookmarkStart w:id="192" w:name="_Toc18965"/>
      <w:r>
        <w:rPr>
          <w:rFonts w:hint="eastAsia" w:ascii="宋体" w:hAnsi="宋体" w:cs="宋体"/>
          <w:color w:val="auto"/>
          <w:highlight w:val="none"/>
        </w:rPr>
        <w:t>其他</w:t>
      </w:r>
      <w:bookmarkEnd w:id="190"/>
      <w:bookmarkEnd w:id="191"/>
      <w:bookmarkEnd w:id="192"/>
    </w:p>
    <w:p>
      <w:pPr>
        <w:pStyle w:val="5"/>
        <w:widowControl w:val="0"/>
        <w:numPr>
          <w:ilvl w:val="0"/>
          <w:numId w:val="3"/>
        </w:numPr>
        <w:overflowPunct w:val="0"/>
        <w:rPr>
          <w:rFonts w:ascii="宋体" w:hAnsi="宋体" w:cs="宋体"/>
          <w:color w:val="auto"/>
          <w:sz w:val="21"/>
          <w:szCs w:val="21"/>
          <w:highlight w:val="none"/>
        </w:rPr>
      </w:pPr>
      <w:bookmarkStart w:id="193" w:name="_Toc9374"/>
      <w:bookmarkStart w:id="194" w:name="_Toc26886"/>
      <w:bookmarkStart w:id="195" w:name="_Toc1587"/>
      <w:r>
        <w:rPr>
          <w:rFonts w:hint="eastAsia" w:ascii="宋体" w:hAnsi="宋体" w:cs="宋体"/>
          <w:color w:val="auto"/>
          <w:sz w:val="21"/>
          <w:szCs w:val="21"/>
          <w:highlight w:val="none"/>
        </w:rPr>
        <w:t>磋商文件的解释权</w:t>
      </w:r>
      <w:bookmarkEnd w:id="193"/>
      <w:bookmarkEnd w:id="194"/>
      <w:bookmarkEnd w:id="195"/>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本磋商文件是根据国家有关法律、法规以及采购管理有关规定和参照国际惯例编制，解释权属本采购代理机构。</w:t>
      </w:r>
    </w:p>
    <w:p>
      <w:pPr>
        <w:widowControl w:val="0"/>
        <w:numPr>
          <w:ilvl w:val="0"/>
          <w:numId w:val="0"/>
        </w:numPr>
        <w:tabs>
          <w:tab w:val="left" w:pos="907"/>
        </w:tabs>
        <w:adjustRightInd/>
        <w:snapToGrid/>
        <w:spacing w:line="360" w:lineRule="exact"/>
        <w:ind w:leftChars="0"/>
        <w:jc w:val="both"/>
        <w:rPr>
          <w:rFonts w:ascii="宋体" w:hAnsi="宋体"/>
          <w:color w:val="auto"/>
          <w:szCs w:val="21"/>
          <w:highlight w:val="none"/>
        </w:rPr>
      </w:pPr>
      <w:r>
        <w:rPr>
          <w:rFonts w:hint="eastAsia" w:ascii="宋体" w:hAnsi="宋体"/>
          <w:color w:val="auto"/>
          <w:szCs w:val="21"/>
          <w:highlight w:val="none"/>
        </w:rPr>
        <w:br w:type="page"/>
      </w:r>
    </w:p>
    <w:p>
      <w:pPr>
        <w:pStyle w:val="2"/>
        <w:spacing w:before="0" w:after="0" w:line="240" w:lineRule="auto"/>
        <w:rPr>
          <w:color w:val="auto"/>
          <w:sz w:val="28"/>
          <w:szCs w:val="28"/>
          <w:highlight w:val="none"/>
        </w:rPr>
      </w:pPr>
      <w:bookmarkStart w:id="196" w:name="_Toc20903"/>
      <w:bookmarkStart w:id="197" w:name="_Toc6"/>
      <w:r>
        <w:rPr>
          <w:rFonts w:hint="eastAsia"/>
          <w:color w:val="auto"/>
          <w:sz w:val="28"/>
          <w:szCs w:val="28"/>
          <w:highlight w:val="none"/>
        </w:rPr>
        <w:t>第五部分 合同条款格式</w:t>
      </w:r>
      <w:bookmarkEnd w:id="196"/>
      <w:bookmarkEnd w:id="197"/>
      <w:bookmarkStart w:id="198" w:name="_Toc15636"/>
    </w:p>
    <w:bookmarkEnd w:id="198"/>
    <w:p>
      <w:pPr>
        <w:rPr>
          <w:color w:val="auto"/>
          <w:highlight w:val="none"/>
          <w:lang w:bidi="zh-CN"/>
        </w:rPr>
      </w:pPr>
      <w:bookmarkStart w:id="199" w:name="_Hlt109815959"/>
      <w:bookmarkEnd w:id="199"/>
    </w:p>
    <w:p>
      <w:pPr>
        <w:outlineLvl w:val="9"/>
        <w:rPr>
          <w:rFonts w:ascii="宋体" w:hAnsi="宋体"/>
          <w:b w:val="0"/>
          <w:bCs w:val="0"/>
          <w:color w:val="auto"/>
          <w:sz w:val="21"/>
          <w:szCs w:val="21"/>
          <w:highlight w:val="none"/>
        </w:rPr>
      </w:pPr>
      <w:bookmarkStart w:id="200" w:name="_Toc14376"/>
      <w:bookmarkStart w:id="201" w:name="_Toc9367"/>
      <w:bookmarkStart w:id="202" w:name="_Toc131351142"/>
      <w:r>
        <w:rPr>
          <w:rFonts w:hint="eastAsia" w:ascii="宋体" w:hAnsi="宋体" w:cs="宋体"/>
          <w:b w:val="0"/>
          <w:bCs w:val="0"/>
          <w:color w:val="auto"/>
          <w:sz w:val="21"/>
          <w:szCs w:val="21"/>
          <w:highlight w:val="none"/>
        </w:rPr>
        <w:t>注：本合同条款仅供参考，甲乙</w:t>
      </w:r>
      <w:r>
        <w:rPr>
          <w:rFonts w:hint="eastAsia" w:ascii="宋体" w:hAnsi="宋体" w:cs="宋体"/>
          <w:b w:val="0"/>
          <w:bCs w:val="0"/>
          <w:color w:val="auto"/>
          <w:sz w:val="21"/>
          <w:szCs w:val="21"/>
          <w:highlight w:val="none"/>
          <w:lang w:eastAsia="zh-CN"/>
        </w:rPr>
        <w:t>双</w:t>
      </w:r>
      <w:r>
        <w:rPr>
          <w:rFonts w:hint="eastAsia" w:ascii="宋体" w:hAnsi="宋体" w:cs="宋体"/>
          <w:b w:val="0"/>
          <w:bCs w:val="0"/>
          <w:color w:val="auto"/>
          <w:sz w:val="21"/>
          <w:szCs w:val="21"/>
          <w:highlight w:val="none"/>
        </w:rPr>
        <w:t>方可根据实际情况进行补充。</w:t>
      </w:r>
      <w:bookmarkEnd w:id="200"/>
      <w:bookmarkEnd w:id="201"/>
      <w:bookmarkEnd w:id="202"/>
    </w:p>
    <w:p>
      <w:pPr>
        <w:jc w:val="center"/>
        <w:rPr>
          <w:rFonts w:hAnsi="宋体" w:cs="宋体"/>
          <w:b/>
          <w:color w:val="auto"/>
          <w:szCs w:val="21"/>
          <w:highlight w:val="none"/>
        </w:rPr>
      </w:pPr>
    </w:p>
    <w:p>
      <w:pPr>
        <w:rPr>
          <w:rFonts w:ascii="黑体" w:hAnsi="黑体" w:eastAsia="黑体"/>
          <w:b/>
          <w:color w:val="auto"/>
          <w:sz w:val="30"/>
          <w:szCs w:val="30"/>
          <w:highlight w:val="none"/>
        </w:rPr>
      </w:pPr>
      <w:r>
        <w:rPr>
          <w:rFonts w:hint="eastAsia" w:ascii="黑体" w:hAnsi="黑体" w:eastAsia="黑体"/>
          <w:b/>
          <w:color w:val="auto"/>
          <w:sz w:val="30"/>
          <w:szCs w:val="30"/>
          <w:highlight w:val="none"/>
        </w:rPr>
        <w:t>编号：</w:t>
      </w:r>
      <w:r>
        <w:rPr>
          <w:rFonts w:hint="eastAsia" w:ascii="黑体" w:hAnsi="黑体" w:eastAsia="黑体"/>
          <w:b/>
          <w:color w:val="auto"/>
          <w:sz w:val="30"/>
          <w:szCs w:val="30"/>
          <w:highlight w:val="none"/>
          <w:u w:val="single"/>
        </w:rPr>
        <w:t xml:space="preserve">2024-- </w:t>
      </w:r>
    </w:p>
    <w:p>
      <w:pPr>
        <w:rPr>
          <w:rFonts w:ascii="宋体" w:hAnsi="宋体"/>
          <w:b/>
          <w:color w:val="auto"/>
          <w:sz w:val="28"/>
          <w:szCs w:val="28"/>
          <w:highlight w:val="none"/>
        </w:rPr>
      </w:pPr>
    </w:p>
    <w:p>
      <w:pPr>
        <w:rPr>
          <w:rFonts w:ascii="宋体" w:hAnsi="宋体"/>
          <w:b/>
          <w:color w:val="auto"/>
          <w:sz w:val="28"/>
          <w:szCs w:val="28"/>
          <w:highlight w:val="none"/>
        </w:rPr>
      </w:pPr>
    </w:p>
    <w:p>
      <w:pPr>
        <w:rPr>
          <w:rFonts w:ascii="宋体" w:hAnsi="宋体"/>
          <w:b/>
          <w:color w:val="auto"/>
          <w:sz w:val="28"/>
          <w:szCs w:val="28"/>
          <w:highlight w:val="none"/>
        </w:rPr>
      </w:pPr>
    </w:p>
    <w:p>
      <w:pPr>
        <w:rPr>
          <w:rFonts w:ascii="宋体" w:hAnsi="宋体"/>
          <w:b/>
          <w:color w:val="auto"/>
          <w:sz w:val="28"/>
          <w:szCs w:val="28"/>
          <w:highlight w:val="none"/>
        </w:rPr>
      </w:pPr>
    </w:p>
    <w:p>
      <w:pPr>
        <w:jc w:val="center"/>
        <w:rPr>
          <w:rFonts w:ascii="黑体" w:hAnsi="黑体" w:eastAsia="黑体"/>
          <w:b/>
          <w:color w:val="auto"/>
          <w:spacing w:val="80"/>
          <w:kern w:val="16"/>
          <w:sz w:val="72"/>
          <w:szCs w:val="72"/>
          <w:highlight w:val="none"/>
        </w:rPr>
      </w:pPr>
      <w:r>
        <w:rPr>
          <w:rFonts w:hint="eastAsia" w:ascii="黑体" w:hAnsi="黑体" w:eastAsia="黑体"/>
          <w:b/>
          <w:color w:val="auto"/>
          <w:spacing w:val="80"/>
          <w:kern w:val="16"/>
          <w:sz w:val="72"/>
          <w:szCs w:val="72"/>
          <w:highlight w:val="none"/>
        </w:rPr>
        <w:t>规划设计合同</w:t>
      </w:r>
    </w:p>
    <w:p>
      <w:pPr>
        <w:rPr>
          <w:rFonts w:ascii="宋体" w:hAnsi="宋体"/>
          <w:b/>
          <w:color w:val="auto"/>
          <w:sz w:val="28"/>
          <w:szCs w:val="28"/>
          <w:highlight w:val="none"/>
        </w:rPr>
      </w:pPr>
    </w:p>
    <w:p>
      <w:pPr>
        <w:rPr>
          <w:rFonts w:ascii="宋体" w:hAnsi="宋体"/>
          <w:b/>
          <w:color w:val="auto"/>
          <w:sz w:val="28"/>
          <w:szCs w:val="28"/>
          <w:highlight w:val="none"/>
        </w:rPr>
      </w:pPr>
    </w:p>
    <w:p>
      <w:pPr>
        <w:rPr>
          <w:rFonts w:ascii="宋体" w:hAnsi="宋体"/>
          <w:b/>
          <w:color w:val="auto"/>
          <w:sz w:val="28"/>
          <w:szCs w:val="28"/>
          <w:highlight w:val="none"/>
        </w:rPr>
      </w:pPr>
    </w:p>
    <w:tbl>
      <w:tblPr>
        <w:tblStyle w:val="34"/>
        <w:tblW w:w="8528" w:type="dxa"/>
        <w:jc w:val="center"/>
        <w:tblInd w:w="0" w:type="dxa"/>
        <w:tblLayout w:type="fixed"/>
        <w:tblCellMar>
          <w:top w:w="0" w:type="dxa"/>
          <w:left w:w="108" w:type="dxa"/>
          <w:bottom w:w="0" w:type="dxa"/>
          <w:right w:w="108" w:type="dxa"/>
        </w:tblCellMar>
      </w:tblPr>
      <w:tblGrid>
        <w:gridCol w:w="2529"/>
        <w:gridCol w:w="5999"/>
      </w:tblGrid>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合同名称：</w:t>
            </w:r>
          </w:p>
        </w:tc>
        <w:tc>
          <w:tcPr>
            <w:tcW w:w="5999" w:type="dxa"/>
            <w:noWrap w:val="0"/>
            <w:vAlign w:val="top"/>
          </w:tcPr>
          <w:p>
            <w:pPr>
              <w:spacing w:before="156" w:beforeLines="50" w:after="156" w:afterLines="50" w:line="360" w:lineRule="auto"/>
              <w:jc w:val="left"/>
              <w:rPr>
                <w:rFonts w:hint="eastAsia" w:ascii="仿宋_GB2312" w:eastAsia="仿宋_GB2312"/>
                <w:color w:val="auto"/>
                <w:sz w:val="28"/>
                <w:szCs w:val="28"/>
                <w:highlight w:val="none"/>
                <w:u w:val="single"/>
                <w:lang w:eastAsia="zh-CN"/>
              </w:rPr>
            </w:pPr>
            <w:r>
              <w:rPr>
                <w:rFonts w:hint="eastAsia" w:ascii="仿宋_GB2312" w:eastAsia="仿宋_GB2312"/>
                <w:color w:val="auto"/>
                <w:sz w:val="28"/>
                <w:szCs w:val="28"/>
                <w:highlight w:val="none"/>
                <w:u w:val="single"/>
                <w:lang w:eastAsia="zh-CN"/>
              </w:rPr>
              <w:t>东莞市莞城街道圳头“城中村”改造项目单元规划（含控规调整）编制服务（重新采购）</w:t>
            </w: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委托方（甲方）：</w:t>
            </w:r>
          </w:p>
        </w:tc>
        <w:tc>
          <w:tcPr>
            <w:tcW w:w="5999" w:type="dxa"/>
            <w:noWrap w:val="0"/>
            <w:vAlign w:val="top"/>
          </w:tcPr>
          <w:p>
            <w:pPr>
              <w:spacing w:before="156" w:beforeLines="50" w:after="156" w:afterLines="50" w:line="360" w:lineRule="auto"/>
              <w:jc w:val="left"/>
              <w:rPr>
                <w:rFonts w:ascii="仿宋_GB2312" w:eastAsia="仿宋_GB2312"/>
                <w:b/>
                <w:color w:val="auto"/>
                <w:sz w:val="28"/>
                <w:szCs w:val="28"/>
                <w:highlight w:val="none"/>
                <w:u w:val="single"/>
              </w:rPr>
            </w:pP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受托方（乙方）：</w:t>
            </w:r>
          </w:p>
        </w:tc>
        <w:tc>
          <w:tcPr>
            <w:tcW w:w="5999" w:type="dxa"/>
            <w:noWrap w:val="0"/>
            <w:vAlign w:val="top"/>
          </w:tcPr>
          <w:p>
            <w:pPr>
              <w:spacing w:before="156" w:beforeLines="50" w:after="156" w:afterLines="50" w:line="360" w:lineRule="auto"/>
              <w:jc w:val="left"/>
              <w:rPr>
                <w:rFonts w:ascii="仿宋_GB2312" w:eastAsia="仿宋_GB2312"/>
                <w:bCs/>
                <w:color w:val="auto"/>
                <w:sz w:val="28"/>
                <w:szCs w:val="28"/>
                <w:highlight w:val="none"/>
                <w:u w:val="single"/>
              </w:rPr>
            </w:pP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签订地点：</w:t>
            </w:r>
          </w:p>
        </w:tc>
        <w:tc>
          <w:tcPr>
            <w:tcW w:w="5999" w:type="dxa"/>
            <w:noWrap w:val="0"/>
            <w:vAlign w:val="top"/>
          </w:tcPr>
          <w:p>
            <w:pPr>
              <w:spacing w:before="156" w:beforeLines="50" w:after="156" w:afterLines="50" w:line="360" w:lineRule="auto"/>
              <w:jc w:val="left"/>
              <w:rPr>
                <w:rFonts w:ascii="仿宋_GB2312" w:eastAsia="仿宋_GB2312"/>
                <w:b/>
                <w:color w:val="auto"/>
                <w:sz w:val="28"/>
                <w:szCs w:val="28"/>
                <w:highlight w:val="none"/>
                <w:u w:val="single"/>
              </w:rPr>
            </w:pP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签订时间：</w:t>
            </w:r>
          </w:p>
        </w:tc>
        <w:tc>
          <w:tcPr>
            <w:tcW w:w="5999" w:type="dxa"/>
            <w:noWrap w:val="0"/>
            <w:vAlign w:val="top"/>
          </w:tcPr>
          <w:p>
            <w:pPr>
              <w:spacing w:before="156" w:beforeLines="50" w:after="156" w:afterLines="50" w:line="360" w:lineRule="auto"/>
              <w:jc w:val="left"/>
              <w:rPr>
                <w:rFonts w:ascii="仿宋_GB2312" w:eastAsia="仿宋_GB2312"/>
                <w:b/>
                <w:color w:val="auto"/>
                <w:sz w:val="28"/>
                <w:szCs w:val="28"/>
                <w:highlight w:val="none"/>
                <w:u w:val="single"/>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color w:val="auto"/>
          <w:sz w:val="21"/>
          <w:szCs w:val="21"/>
          <w:highlight w:val="none"/>
        </w:rPr>
      </w:pPr>
      <w:r>
        <w:rPr>
          <w:color w:val="auto"/>
          <w:szCs w:val="21"/>
          <w:highlight w:val="none"/>
        </w:rPr>
        <w:br w:type="page"/>
      </w:r>
      <w:r>
        <w:rPr>
          <w:rFonts w:hint="eastAsia" w:ascii="宋体" w:hAnsi="宋体" w:eastAsia="宋体" w:cs="宋体"/>
          <w:color w:val="auto"/>
          <w:sz w:val="21"/>
          <w:szCs w:val="21"/>
          <w:highlight w:val="none"/>
        </w:rPr>
        <w:t>甲方委托乙方就</w:t>
      </w:r>
      <w:r>
        <w:rPr>
          <w:rFonts w:hint="eastAsia" w:ascii="宋体" w:hAnsi="宋体" w:cs="宋体"/>
          <w:color w:val="auto"/>
          <w:sz w:val="21"/>
          <w:szCs w:val="21"/>
          <w:highlight w:val="none"/>
          <w:u w:val="single"/>
          <w:lang w:eastAsia="zh-CN"/>
        </w:rPr>
        <w:t>东莞市莞城街道圳头“城中村”改造项目单元规划（含控规调整）编制服务（重新采购）</w:t>
      </w:r>
      <w:r>
        <w:rPr>
          <w:rFonts w:hint="eastAsia" w:ascii="宋体" w:hAnsi="宋体" w:eastAsia="宋体" w:cs="宋体"/>
          <w:color w:val="auto"/>
          <w:sz w:val="21"/>
          <w:szCs w:val="21"/>
          <w:highlight w:val="none"/>
          <w:u w:val="single"/>
        </w:rPr>
        <w:t>项</w:t>
      </w:r>
      <w:r>
        <w:rPr>
          <w:rFonts w:hint="eastAsia" w:ascii="宋体" w:hAnsi="宋体" w:eastAsia="宋体" w:cs="宋体"/>
          <w:color w:val="auto"/>
          <w:sz w:val="21"/>
          <w:szCs w:val="21"/>
          <w:highlight w:val="none"/>
        </w:rPr>
        <w:t>目开展规划设计工作，双方根据《中华人民共和国民法典》及相关法律法规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经双方协商一致，签订本合同。</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b/>
          <w:color w:val="auto"/>
          <w:sz w:val="21"/>
          <w:szCs w:val="21"/>
          <w:highlight w:val="none"/>
          <w:u w:val="single"/>
          <w:lang w:eastAsia="zh-CN"/>
        </w:rPr>
      </w:pPr>
      <w:r>
        <w:rPr>
          <w:rFonts w:hint="eastAsia" w:ascii="宋体" w:hAnsi="宋体" w:eastAsia="宋体" w:cs="宋体"/>
          <w:color w:val="auto"/>
          <w:sz w:val="21"/>
          <w:szCs w:val="21"/>
          <w:highlight w:val="none"/>
          <w:lang w:val="en-US" w:eastAsia="zh-CN"/>
        </w:rPr>
        <w:t xml:space="preserve">1.1 </w:t>
      </w: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东莞市莞城街道圳头“城中村”改造项目单元规划（含控规调整）编制服务（重新采购）</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1.2 </w:t>
      </w:r>
      <w:r>
        <w:rPr>
          <w:rFonts w:hint="eastAsia" w:ascii="宋体" w:hAnsi="宋体" w:eastAsia="宋体" w:cs="宋体"/>
          <w:color w:val="auto"/>
          <w:sz w:val="21"/>
          <w:szCs w:val="21"/>
          <w:highlight w:val="none"/>
        </w:rPr>
        <w:t>规划范围：更新单元范围北至创业路、东至振兴街、南至新邨南街、西至运河东三路</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更新单元面积约14.56公顷（218.40亩）。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b/>
          <w:color w:val="auto"/>
          <w:sz w:val="21"/>
          <w:szCs w:val="21"/>
          <w:highlight w:val="none"/>
          <w:u w:val="single"/>
          <w:lang w:eastAsia="zh-CN"/>
        </w:rPr>
      </w:pPr>
      <w:r>
        <w:rPr>
          <w:rFonts w:hint="eastAsia" w:ascii="宋体" w:hAnsi="宋体" w:eastAsia="宋体" w:cs="宋体"/>
          <w:color w:val="auto"/>
          <w:sz w:val="21"/>
          <w:szCs w:val="21"/>
          <w:highlight w:val="none"/>
          <w:lang w:val="en-US" w:eastAsia="zh-CN"/>
        </w:rPr>
        <w:t xml:space="preserve">1.3 </w:t>
      </w:r>
      <w:r>
        <w:rPr>
          <w:rFonts w:hint="eastAsia" w:ascii="宋体" w:hAnsi="宋体" w:eastAsia="宋体" w:cs="宋体"/>
          <w:color w:val="auto"/>
          <w:sz w:val="21"/>
          <w:szCs w:val="21"/>
          <w:highlight w:val="none"/>
        </w:rPr>
        <w:t>主要规划内容：（包括但不限于以下内容，具体以广东省、东莞市城市更新相关政策的要求为准）</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阐述更新单元现状情况；确定单元细分、改造模式及改造方向；确定开发容量和额定责任、改造策划及用地方案、用地移交和容积率计算、城市设计及管控、实施责任及捆绑等；校核调整后市政工程及公共设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rPr>
        <w:t>建设工程概念方案相关图册及成果内容需甲方另行委托第三方进行设计。</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二、项目成果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本项目成果组成如下：</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4423"/>
        <w:gridCol w:w="1499"/>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442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成果名称</w:t>
            </w:r>
          </w:p>
        </w:tc>
        <w:tc>
          <w:tcPr>
            <w:tcW w:w="1499"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规格</w:t>
            </w:r>
          </w:p>
        </w:tc>
        <w:tc>
          <w:tcPr>
            <w:tcW w:w="1306"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442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规划文本、图纸及附件合订本</w:t>
            </w:r>
          </w:p>
        </w:tc>
        <w:tc>
          <w:tcPr>
            <w:tcW w:w="1499"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A4幅面</w:t>
            </w:r>
          </w:p>
        </w:tc>
        <w:tc>
          <w:tcPr>
            <w:tcW w:w="1306"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442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成果电子文件</w:t>
            </w:r>
          </w:p>
        </w:tc>
        <w:tc>
          <w:tcPr>
            <w:tcW w:w="1499"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光盘</w:t>
            </w:r>
          </w:p>
        </w:tc>
        <w:tc>
          <w:tcPr>
            <w:tcW w:w="1306"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val="en-US" w:eastAsia="zh-CN"/>
              </w:rPr>
              <w:t>1</w:t>
            </w:r>
            <w:r>
              <w:rPr>
                <w:rFonts w:hint="eastAsia" w:ascii="宋体" w:hAnsi="宋体" w:eastAsia="宋体" w:cs="宋体"/>
                <w:color w:val="auto"/>
                <w:kern w:val="2"/>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备注</w:t>
            </w:r>
          </w:p>
        </w:tc>
        <w:tc>
          <w:tcPr>
            <w:tcW w:w="7228" w:type="dxa"/>
            <w:gridSpan w:val="3"/>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如甲方需要额外增加成果数量，应支付相关费用。</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本项目成果按以下标准和方式验收：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内容和深度须按《城市规划编制办法》及国家、省、市现行的有关文件和规定执行；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由甲方自行负责组织有关部门和专家进行评议、评审，如规划成果符合相关要求的，甲方需将评审意见书（正本或副本）交付予乙方。</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三、项目进度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本项目从合同生效后开始，具体进度安排如下：</w:t>
      </w:r>
    </w:p>
    <w:tbl>
      <w:tblPr>
        <w:tblStyle w:val="34"/>
        <w:tblW w:w="8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395"/>
        <w:gridCol w:w="3765"/>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阶段划分</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阶段成果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主要工作内容</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第一阶段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基础工作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完成现状调研、分析等基础工作，与莞城街道主管部门开展工作协调，统一工作基础和共识，明确工作内容和目标。</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乙方在本合同签署后10个工作日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第二阶段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草案</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综合评估现状基础情况，绘制规划用地图，编制单元规划主要内容，提出城市设计管控要素及控规调整说明</w:t>
            </w:r>
            <w:r>
              <w:rPr>
                <w:rFonts w:hint="eastAsia" w:ascii="宋体" w:hAnsi="宋体" w:cs="宋体"/>
                <w:color w:val="auto"/>
                <w:kern w:val="2"/>
                <w:szCs w:val="21"/>
                <w:highlight w:val="none"/>
                <w:lang w:eastAsia="zh-CN"/>
              </w:rPr>
              <w:t>。</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乙方在本合同签署后30个工作日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第三阶段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中期成果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根据审查意见，修改完善草案成果</w:t>
            </w:r>
            <w:r>
              <w:rPr>
                <w:rFonts w:hint="eastAsia" w:ascii="宋体" w:hAnsi="宋体" w:cs="宋体"/>
                <w:color w:val="auto"/>
                <w:kern w:val="2"/>
                <w:szCs w:val="21"/>
                <w:highlight w:val="none"/>
                <w:lang w:eastAsia="zh-CN"/>
              </w:rPr>
              <w:t>。</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乙方收到草案成果审查修改意见后15个工作日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第四阶段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正式成果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形成正式成果，上报市府审批</w:t>
            </w:r>
            <w:r>
              <w:rPr>
                <w:rFonts w:hint="eastAsia" w:ascii="宋体" w:hAnsi="宋体" w:cs="宋体"/>
                <w:color w:val="auto"/>
                <w:kern w:val="2"/>
                <w:szCs w:val="21"/>
                <w:highlight w:val="none"/>
                <w:lang w:eastAsia="zh-CN"/>
              </w:rPr>
              <w:t>。</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乙方收到中期成果审查修改意见后20个工作日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第五阶段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征求意见及上报审批工作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1.征集各级有关部门的审查意见；</w:t>
            </w:r>
          </w:p>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2.批后公告材料编制。</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乙方收到相关材料成果后15个工作日</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以上时间为乙方工作时间，不包括因方案讨论、评审、报批而发生的时间，不包括因甲方原因造成工作延误而发生的时间，甲方不得以上述原因主张乙方存在逾期履行合同的行为，亦不得依据此原因要求乙方承担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如双方认为有必要，经协商一致，可对各阶段成果提交时间进行调整。</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四、规划设计费用及支付方式</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根据《广东省城市规划收费标准（2003修订版）》及《城市规划设计计费指导意见》，本项目合同金额确定为人民币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其中：增值税率为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%，税金金额</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元，不含税合同总价款为</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本项目合同金额不包括评审会费、差旅费、模型制作费、效果图制作及动画演示制作费，如本项目合同履行过程中产生以上费用，该些费用均由甲方承担，如乙方垫付的，乙方有权向甲方追偿。</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每次付款前，乙方必须提供合法、有效、与本合同总价款条款中增值税税率一致的增值税专用发票给甲方，否则甲方有权拒绝付款且不构成违约；在甲方除支付质保金（若有）外的最后一期款项前，乙方须连同当期支付款项发票和质保金（若有）发票一并提交给甲方；若后期出现质保问题，按照质保责任和条款，部分或全部扣除质保金（若有）的，不退还相应金额的发票。若合同执行期间，遇国家税务政策调整所引起的合同价格变化，按照不含税价格调整结算价格。</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 xml:space="preserve">4 </w:t>
      </w:r>
      <w:r>
        <w:rPr>
          <w:rFonts w:hint="eastAsia" w:ascii="宋体" w:hAnsi="宋体" w:eastAsia="宋体" w:cs="宋体"/>
          <w:color w:val="auto"/>
          <w:sz w:val="21"/>
          <w:szCs w:val="21"/>
          <w:highlight w:val="none"/>
        </w:rPr>
        <w:t>本项目合同金额用由甲方</w:t>
      </w:r>
      <w:r>
        <w:rPr>
          <w:rFonts w:hint="eastAsia" w:ascii="宋体" w:hAnsi="宋体" w:eastAsia="宋体" w:cs="宋体"/>
          <w:b/>
          <w:color w:val="auto"/>
          <w:sz w:val="21"/>
          <w:szCs w:val="21"/>
          <w:highlight w:val="none"/>
          <w:u w:val="single"/>
        </w:rPr>
        <w:t>按以下支付计划按阶段</w:t>
      </w:r>
      <w:r>
        <w:rPr>
          <w:rFonts w:hint="eastAsia" w:ascii="宋体" w:hAnsi="宋体" w:eastAsia="宋体" w:cs="宋体"/>
          <w:color w:val="auto"/>
          <w:sz w:val="21"/>
          <w:szCs w:val="21"/>
          <w:highlight w:val="none"/>
        </w:rPr>
        <w:t>支付给乙方，具体支付方式和支付时间如下：</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auto"/>
          <w:sz w:val="21"/>
          <w:szCs w:val="21"/>
          <w:highlight w:val="none"/>
          <w:u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期：</w:t>
      </w:r>
      <w:r>
        <w:rPr>
          <w:rFonts w:hint="eastAsia" w:ascii="宋体" w:hAnsi="宋体" w:cs="宋体"/>
          <w:color w:val="auto"/>
          <w:sz w:val="21"/>
          <w:szCs w:val="21"/>
          <w:highlight w:val="none"/>
          <w:u w:val="none"/>
          <w:lang w:val="en-US" w:eastAsia="zh-CN"/>
        </w:rPr>
        <w:t>合同签订后10日内，</w:t>
      </w:r>
      <w:r>
        <w:rPr>
          <w:rFonts w:hint="eastAsia" w:ascii="宋体" w:hAnsi="宋体" w:eastAsia="宋体" w:cs="宋体"/>
          <w:color w:val="auto"/>
          <w:sz w:val="21"/>
          <w:szCs w:val="21"/>
          <w:highlight w:val="none"/>
          <w:u w:val="none"/>
          <w:lang w:val="en-US" w:eastAsia="zh-CN"/>
        </w:rPr>
        <w:t>乙方</w:t>
      </w:r>
      <w:r>
        <w:rPr>
          <w:rFonts w:hint="eastAsia" w:ascii="宋体" w:hAnsi="宋体" w:eastAsia="宋体" w:cs="宋体"/>
          <w:color w:val="auto"/>
          <w:sz w:val="21"/>
          <w:szCs w:val="21"/>
          <w:highlight w:val="none"/>
          <w:u w:val="none"/>
        </w:rPr>
        <w:t>向</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rPr>
        <w:t>提交请款报告，</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rPr>
        <w:t>在收到前述材料之日起 20 个工作日内向</w:t>
      </w:r>
      <w:r>
        <w:rPr>
          <w:rFonts w:hint="eastAsia" w:ascii="宋体" w:hAnsi="宋体" w:eastAsia="宋体" w:cs="宋体"/>
          <w:color w:val="auto"/>
          <w:sz w:val="21"/>
          <w:szCs w:val="21"/>
          <w:highlight w:val="none"/>
          <w:u w:val="none"/>
          <w:lang w:val="en-US" w:eastAsia="zh-CN"/>
        </w:rPr>
        <w:t>乙方</w:t>
      </w:r>
      <w:r>
        <w:rPr>
          <w:rFonts w:hint="eastAsia" w:ascii="宋体" w:hAnsi="宋体" w:eastAsia="宋体" w:cs="宋体"/>
          <w:color w:val="auto"/>
          <w:sz w:val="21"/>
          <w:szCs w:val="21"/>
          <w:highlight w:val="none"/>
          <w:u w:val="none"/>
        </w:rPr>
        <w:t>支付至合同总金额的</w:t>
      </w:r>
      <w:r>
        <w:rPr>
          <w:rFonts w:hint="eastAsia" w:ascii="宋体" w:hAnsi="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元整（小写</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 xml:space="preserve"> 第二期：乙方按要求向甲方提供单元规划初步成果，并通过甲方审查后，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 第三期：</w:t>
      </w:r>
      <w:r>
        <w:rPr>
          <w:rFonts w:hint="eastAsia" w:ascii="宋体" w:hAnsi="宋体" w:eastAsia="宋体" w:cs="宋体"/>
          <w:color w:val="auto"/>
          <w:sz w:val="21"/>
          <w:szCs w:val="21"/>
          <w:highlight w:val="none"/>
        </w:rPr>
        <w:t>单元规划初步成果通过街道领导班子联席会议并取得会议纪要后，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第</w:t>
      </w: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完成单元规划成果，通过市自然资源局技术审查并取得会议纪要后，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第</w:t>
      </w:r>
      <w:r>
        <w:rPr>
          <w:rFonts w:hint="eastAsia" w:ascii="宋体" w:hAnsi="宋体" w:cs="宋体"/>
          <w:color w:val="auto"/>
          <w:sz w:val="21"/>
          <w:szCs w:val="21"/>
          <w:highlight w:val="none"/>
          <w:lang w:val="en-US" w:eastAsia="zh-CN"/>
        </w:rPr>
        <w:t>五</w:t>
      </w:r>
      <w:r>
        <w:rPr>
          <w:rFonts w:hint="eastAsia" w:ascii="宋体" w:hAnsi="宋体" w:eastAsia="宋体" w:cs="宋体"/>
          <w:color w:val="auto"/>
          <w:sz w:val="21"/>
          <w:szCs w:val="21"/>
          <w:highlight w:val="none"/>
        </w:rPr>
        <w:t>期：控规调整成果通过市详规委会并取得会议纪要后，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期：本项目提交正式控规调整成果通过市政府审批并取得规划批复文件后，且办理完结算手续后，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支付至结算价的 100%，即人民币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highlight w:val="none"/>
          <w:shd w:val="clear" w:color="auto" w:fill="FFFFFF"/>
        </w:rPr>
        <w:t>如最终成果不能获得市相关主管部门审查通过，须按</w:t>
      </w:r>
      <w:r>
        <w:rPr>
          <w:rFonts w:hint="eastAsia" w:ascii="宋体" w:hAnsi="宋体" w:cs="宋体"/>
          <w:color w:val="auto"/>
          <w:highlight w:val="none"/>
          <w:shd w:val="clear" w:color="auto" w:fill="FFFFFF"/>
          <w:lang w:val="en-US" w:eastAsia="zh-CN"/>
        </w:rPr>
        <w:t>甲方</w:t>
      </w:r>
      <w:r>
        <w:rPr>
          <w:rFonts w:hint="eastAsia" w:ascii="宋体" w:hAnsi="宋体" w:cs="宋体"/>
          <w:color w:val="auto"/>
          <w:highlight w:val="none"/>
          <w:shd w:val="clear" w:color="auto" w:fill="FFFFFF"/>
        </w:rPr>
        <w:t>要求修改直至最终成果审查通过，否则合同尾款不予支付</w:t>
      </w:r>
      <w:r>
        <w:rPr>
          <w:rFonts w:hint="eastAsia" w:ascii="宋体" w:hAnsi="宋体" w:cs="宋体"/>
          <w:color w:val="auto"/>
          <w:highlight w:val="none"/>
          <w:shd w:val="clear" w:color="auto" w:fill="FFFFFF"/>
          <w:lang w:eastAsia="zh-CN"/>
        </w:rPr>
        <w:t>。</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五、双方责任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应向乙方提供本项目所需相关资料，并对其完整性、正确性以及时限负责，因甲方提供本项目所需资料的完整性、正确性及时限存在瑕疵导致乙方所规划设计的内容存在瑕疵，相关责任均由甲方自行承担，乙方无需就该事项承担任何责任，本项目所需主要资料如下：</w:t>
      </w:r>
    </w:p>
    <w:tbl>
      <w:tblPr>
        <w:tblStyle w:val="34"/>
        <w:tblW w:w="8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3273"/>
        <w:gridCol w:w="4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327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资料名称</w:t>
            </w:r>
          </w:p>
        </w:tc>
        <w:tc>
          <w:tcPr>
            <w:tcW w:w="415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规划设计任务书（设计要点）</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甲方在合同生效后10工作日内提交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比例实测地形图电子文件</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甲方在合同生效后10个工作日内提交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与本项目有关的现状资料</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甲方在合同生效后10个工作日内提交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根据设计需要，乙方要求甲方提供的其他资料</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甲方应于乙方书面通知后10个工作日内提交</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甲方提交上述资料及文件超过约定期限</w:t>
      </w:r>
      <w:r>
        <w:rPr>
          <w:rFonts w:hint="eastAsia" w:ascii="宋体" w:hAnsi="宋体" w:eastAsia="宋体" w:cs="宋体"/>
          <w:b/>
          <w:color w:val="auto"/>
          <w:sz w:val="21"/>
          <w:szCs w:val="21"/>
          <w:highlight w:val="none"/>
          <w:u w:val="single"/>
        </w:rPr>
        <w:t xml:space="preserve"> 10 </w:t>
      </w:r>
      <w:r>
        <w:rPr>
          <w:rFonts w:hint="eastAsia" w:ascii="宋体" w:hAnsi="宋体" w:eastAsia="宋体" w:cs="宋体"/>
          <w:color w:val="auto"/>
          <w:sz w:val="21"/>
          <w:szCs w:val="21"/>
          <w:highlight w:val="none"/>
        </w:rPr>
        <w:t>天以内，乙方按本合同第3.1项约定的交付设计文件时间顺延；甲方交付上述资料及文件超过约定期限</w:t>
      </w:r>
      <w:r>
        <w:rPr>
          <w:rFonts w:hint="eastAsia" w:ascii="宋体" w:hAnsi="宋体" w:eastAsia="宋体" w:cs="宋体"/>
          <w:b/>
          <w:color w:val="auto"/>
          <w:sz w:val="21"/>
          <w:szCs w:val="21"/>
          <w:highlight w:val="none"/>
          <w:u w:val="single"/>
        </w:rPr>
        <w:t xml:space="preserve"> 10 </w:t>
      </w:r>
      <w:r>
        <w:rPr>
          <w:rFonts w:hint="eastAsia" w:ascii="宋体" w:hAnsi="宋体" w:eastAsia="宋体" w:cs="宋体"/>
          <w:color w:val="auto"/>
          <w:sz w:val="21"/>
          <w:szCs w:val="21"/>
          <w:highlight w:val="none"/>
        </w:rPr>
        <w:t>天以上时，乙方有权重新确定提交设计文件的时间，具体所需时间以乙方确定为准。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应及时组织各阶段成果的汇报、审查工作，并将审查、征询结果以书面意见的形式提交给乙方，如因甲方未能及时开展上述行为导致乙方规划设计工作存在履行障碍，相关责任均由甲方自行承担，乙方无需承担任何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5.1.4</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编制正式成果前，甲方应向乙方签发正式成果编制通知书。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5.1.5 甲方应按本合同的约定，按时向乙方支付相关费用。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5.2乙方责任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1 </w:t>
      </w:r>
      <w:r>
        <w:rPr>
          <w:rFonts w:hint="eastAsia" w:ascii="宋体" w:hAnsi="宋体" w:eastAsia="宋体" w:cs="宋体"/>
          <w:color w:val="auto"/>
          <w:sz w:val="21"/>
          <w:szCs w:val="21"/>
          <w:highlight w:val="none"/>
        </w:rPr>
        <w:t>乙方应协助甲方组织各阶段成果的汇报、审查工作，并负责解答相应的技术问题。</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2 </w:t>
      </w:r>
      <w:r>
        <w:rPr>
          <w:rFonts w:hint="eastAsia" w:ascii="宋体" w:hAnsi="宋体" w:eastAsia="宋体" w:cs="宋体"/>
          <w:color w:val="auto"/>
          <w:sz w:val="21"/>
          <w:szCs w:val="21"/>
          <w:highlight w:val="none"/>
        </w:rPr>
        <w:t>若乙方将本项目与第三方合作，需征得甲方同意。</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如项目要求需要乙方人员进入项目现场，乙方有权要求甲方为乙方进场提供一切所需条件，包括但不限于通行证、食宿等条件，因甲方未能及时安排上述事项的，乙方有权要求顺延相应期限。</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4 </w:t>
      </w:r>
      <w:r>
        <w:rPr>
          <w:rFonts w:hint="eastAsia" w:ascii="宋体" w:hAnsi="宋体" w:eastAsia="宋体" w:cs="宋体"/>
          <w:color w:val="auto"/>
          <w:sz w:val="21"/>
          <w:szCs w:val="21"/>
          <w:highlight w:val="none"/>
        </w:rPr>
        <w:t>若项目成果出现遗漏或错误的情形，由乙方负责修订或补充。</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六、</w:t>
      </w:r>
      <w:r>
        <w:rPr>
          <w:rFonts w:hint="eastAsia" w:ascii="宋体" w:hAnsi="宋体" w:eastAsia="宋体" w:cs="宋体"/>
          <w:b/>
          <w:bCs/>
          <w:color w:val="auto"/>
          <w:kern w:val="2"/>
          <w:sz w:val="21"/>
          <w:szCs w:val="21"/>
          <w:highlight w:val="none"/>
          <w:lang w:val="en-US" w:eastAsia="zh-CN" w:bidi="ar-SA"/>
        </w:rPr>
        <w:t>成果权属</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6.1 甲方拥有本合同项目的所有中间成果和最终成果，本合同另有约定的除外。未经甲方书面同意，乙方不得以任何形式使用前述成果。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 甲方应在公开成果时注明乙方为本合同项目受委托人，乙方享有与甲方共同获得与本合同项目成果相关的荣誉证书和奖励的权利，但相关奖金及物质奖励归甲方所有。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 乙方享有本合同项目中间成果或最终成果的下列相关权利：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6.3.1 经甲方同意后，乙方可利用本合同项目中间成果或最终成果用于学术研究，发表论文或著作；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6.3.2 经甲方同意后，以受委托</w:t>
      </w:r>
      <w:r>
        <w:rPr>
          <w:rFonts w:hint="eastAsia" w:ascii="宋体" w:hAnsi="宋体" w:eastAsia="宋体" w:cs="宋体"/>
          <w:b w:val="0"/>
          <w:bCs/>
          <w:color w:val="auto"/>
          <w:kern w:val="2"/>
          <w:sz w:val="21"/>
          <w:szCs w:val="21"/>
          <w:highlight w:val="none"/>
          <w:lang w:val="en-US" w:eastAsia="zh-CN" w:bidi="ar-SA"/>
        </w:rPr>
        <w:t>人的身份利用甲方已公开的成果对外宣传的权利。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6.4 双方对本合同项目成果权属的特别约定如下：</w:t>
      </w:r>
      <w:r>
        <w:rPr>
          <w:rFonts w:hint="eastAsia" w:ascii="宋体" w:hAnsi="宋体" w:eastAsia="宋体" w:cs="宋体"/>
          <w:b w:val="0"/>
          <w:bCs/>
          <w:color w:val="auto"/>
          <w:kern w:val="2"/>
          <w:sz w:val="21"/>
          <w:szCs w:val="21"/>
          <w:highlight w:val="none"/>
          <w:u w:val="single"/>
          <w:lang w:val="en-US" w:eastAsia="zh-CN" w:bidi="ar-SA"/>
        </w:rPr>
        <w:t xml:space="preserve">     /      </w:t>
      </w:r>
      <w:r>
        <w:rPr>
          <w:rFonts w:hint="eastAsia" w:ascii="宋体" w:hAnsi="宋体" w:eastAsia="宋体" w:cs="宋体"/>
          <w:b w:val="0"/>
          <w:bCs/>
          <w:color w:val="auto"/>
          <w:kern w:val="2"/>
          <w:sz w:val="21"/>
          <w:szCs w:val="21"/>
          <w:highlight w:val="none"/>
          <w:lang w:val="en-US" w:eastAsia="zh-CN" w:bidi="ar-SA"/>
        </w:rPr>
        <w:t>。</w:t>
      </w:r>
    </w:p>
    <w:p>
      <w:pPr>
        <w:spacing w:line="360" w:lineRule="auto"/>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保密条款</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val="en-US" w:eastAsia="zh-CN"/>
        </w:rPr>
        <w:t>甲乙双方应遵守国家的有关保密规定。妥善保管对方提供的资料，保守对方的各项秘密，并保护对方的知识产权。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未经对方许可，任何一方均不得将对方的资料或成果向第三方转让或用于本合同项目外的其他项目。如发生以上情况，泄密方承担一切由此引起的后果，并支付合同总价款5%的违约金及维权成本等。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7.3</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乙方须以保密方式处理双方直接或间接提供的任何资料，以及因本项目研究工作所直接或间接取得、处理或接触的任何其他资料。未经甲方同意，不得向第三方透露任何有关项目的内容，或公开任何项目中间成果或最终成果。如发</w:t>
      </w:r>
      <w:r>
        <w:rPr>
          <w:rFonts w:hint="eastAsia" w:ascii="宋体" w:hAnsi="宋体" w:eastAsia="宋体" w:cs="宋体"/>
          <w:color w:val="auto"/>
          <w:kern w:val="2"/>
          <w:sz w:val="21"/>
          <w:szCs w:val="21"/>
          <w:highlight w:val="none"/>
          <w:lang w:val="en-US" w:eastAsia="zh-CN" w:bidi="ar-SA"/>
        </w:rPr>
        <w:t>生以上情况，乙方承担一切由此引起的后果，并向甲方支付合同总价款5%的违约金及维权成本等。</w:t>
      </w:r>
    </w:p>
    <w:p>
      <w:pPr>
        <w:spacing w:line="360" w:lineRule="auto"/>
        <w:ind w:firstLine="200"/>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8.1 甲方</w:t>
      </w:r>
      <w:r>
        <w:rPr>
          <w:rFonts w:hint="eastAsia" w:ascii="宋体" w:hAnsi="宋体" w:eastAsia="宋体" w:cs="宋体"/>
          <w:color w:val="auto"/>
          <w:sz w:val="21"/>
          <w:szCs w:val="21"/>
          <w:highlight w:val="none"/>
          <w:lang w:val="en-US" w:eastAsia="zh-CN"/>
        </w:rPr>
        <w:t>违约</w:t>
      </w:r>
      <w:r>
        <w:rPr>
          <w:rFonts w:hint="eastAsia" w:ascii="宋体" w:hAnsi="宋体" w:eastAsia="宋体" w:cs="宋体"/>
          <w:color w:val="auto"/>
          <w:kern w:val="2"/>
          <w:sz w:val="21"/>
          <w:szCs w:val="21"/>
          <w:highlight w:val="none"/>
          <w:lang w:val="en-US" w:eastAsia="zh-CN" w:bidi="ar-SA"/>
        </w:rPr>
        <w:t>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8.1.1 甲方变更委托项目内容、规模、条件，或甲方对其所提供资料作重大实质性修改时，</w:t>
      </w:r>
      <w:r>
        <w:rPr>
          <w:rFonts w:hint="eastAsia" w:ascii="宋体" w:hAnsi="宋体" w:eastAsia="宋体" w:cs="宋体"/>
          <w:color w:val="auto"/>
          <w:sz w:val="21"/>
          <w:szCs w:val="21"/>
          <w:highlight w:val="none"/>
          <w:lang w:val="en-US" w:eastAsia="zh-CN"/>
        </w:rPr>
        <w:t>应于确定修改之日起 十 个工作日内书面告知乙方。因以上原因造成乙方返工，双方应协商签订补充协议或另行签订合同。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8.1.2 甲方未按本合同约定，延迟支付合同价款的，乙方有权要求甲方以应付未付金额为基数按同期全国银行间同业拆借中心公布的贷款市场报价利率支付违约金，逾期违约金总额不超过应付未付总金额的10%。</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8.1.3 在合同履行期间，因甲方原因造成合同终止或解除，乙方未开始设计工作的，应退还甲方已付的款项。乙方已开始设计工作的，甲方应</w:t>
      </w:r>
      <w:r>
        <w:rPr>
          <w:rFonts w:hint="eastAsia" w:ascii="宋体" w:hAnsi="宋体" w:eastAsia="宋体" w:cs="宋体"/>
          <w:color w:val="auto"/>
          <w:sz w:val="21"/>
          <w:szCs w:val="21"/>
          <w:highlight w:val="none"/>
        </w:rPr>
        <w:t>应根据乙方实际所处工作阶段，按本合同第4.3项支付已完成阶段规划设计的全部费用</w:t>
      </w:r>
      <w:r>
        <w:rPr>
          <w:rFonts w:hint="eastAsia" w:ascii="宋体" w:hAnsi="宋体" w:eastAsia="宋体" w:cs="宋体"/>
          <w:color w:val="auto"/>
          <w:sz w:val="21"/>
          <w:szCs w:val="21"/>
          <w:highlight w:val="none"/>
          <w:lang w:val="en-US" w:eastAsia="zh-CN"/>
        </w:rPr>
        <w:t>，乙方不得追究甲方其他违约责任。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 乙方违约责任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8.2.1 由于乙方原因造成成果质量事故损失的，或相关部门对相应成果评审不通过的，乙方应在甲方指定期限内按相关部门的意见予以整改，若乙方不配合整改的，甲方有权要求解除合同，乙方需返还甲方已付的设计费并向甲方支付合同总价款 10 %的违约金。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8.2.2 本合同履行期间，因乙方原因未能按合同约定的日期(含协商延缓的日期)提交成果的，每逾期一日，甲方有权要求乙方每日按</w:t>
      </w:r>
      <w:r>
        <w:rPr>
          <w:rFonts w:hint="eastAsia" w:ascii="宋体" w:hAnsi="宋体" w:eastAsia="宋体" w:cs="宋体"/>
          <w:color w:val="auto"/>
          <w:sz w:val="21"/>
          <w:szCs w:val="21"/>
          <w:highlight w:val="none"/>
        </w:rPr>
        <w:t>已付额万分之五支付逾期违约金</w:t>
      </w:r>
      <w:r>
        <w:rPr>
          <w:rFonts w:hint="eastAsia" w:ascii="宋体" w:hAnsi="宋体" w:eastAsia="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8.2.3 甲方在本项目设计过程中任何时候提出的修改意见，乙方应及时对设计进行修改或调整。对于甲方的修改意见，乙方拒绝执行的按 ￥10000.00元/次支付违约金，拒绝达3次以上的，甲方有权解除合同，并要求乙方按照合同总金额10%向甲方支付违约金，实际损失超过违约金的，乙方应当予以补足。</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8.2.4在合同履行期间，因乙方原因造成合同终止或解除，乙方应按本合同总价款之10%向甲方支付违约金；实际损失超过违约金的，乙方应当予以补足。</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8.2.5 乙方保证向甲方提交的设计文件未侵犯他人的合法权益，否则由此产生的一切法律责任均由乙方承担。若甲方因此被他人主张权益的，甲方为应对他人主张而发生的全部费用由乙方承担，乙方并应向甲方支付合同总额10%的违约金；实际损失超过违约金的，乙方应当予以补足。</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8.2.6 因乙方逾期完成合同义务或存在其他违约情形的，甲方除有权要求乙方承担违约责任外，甲方还有权要求乙方支付维权成本，包括但不限于诉讼费、律师费、保全费、担保费、评估鉴定费、差旅费等。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8.2.7 因乙方原因所产生的违</w:t>
      </w:r>
      <w:r>
        <w:rPr>
          <w:rFonts w:hint="eastAsia" w:ascii="宋体" w:hAnsi="宋体" w:eastAsia="宋体" w:cs="宋体"/>
          <w:color w:val="auto"/>
          <w:kern w:val="2"/>
          <w:sz w:val="21"/>
          <w:szCs w:val="21"/>
          <w:highlight w:val="none"/>
          <w:lang w:val="en-US" w:eastAsia="zh-CN" w:bidi="ar-SA"/>
        </w:rPr>
        <w:t>约金、赔偿或其他应付费用，甲方有权从乙方提供的履约担保金额或甲方应支付的合同价款中直接扣除。</w:t>
      </w:r>
    </w:p>
    <w:p>
      <w:pPr>
        <w:spacing w:line="360" w:lineRule="auto"/>
        <w:ind w:firstLine="200"/>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rPr>
        <w:t>、</w:t>
      </w:r>
      <w:r>
        <w:rPr>
          <w:rFonts w:hint="eastAsia" w:ascii="宋体" w:hAnsi="宋体" w:eastAsia="宋体" w:cs="宋体"/>
          <w:b/>
          <w:bCs/>
          <w:color w:val="auto"/>
          <w:kern w:val="2"/>
          <w:sz w:val="21"/>
          <w:szCs w:val="21"/>
          <w:highlight w:val="none"/>
          <w:lang w:val="en-US" w:eastAsia="zh-CN" w:bidi="ar-SA"/>
        </w:rPr>
        <w:t>合同解除或终止</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color w:val="auto"/>
          <w:kern w:val="2"/>
          <w:sz w:val="21"/>
          <w:szCs w:val="21"/>
          <w:highlight w:val="none"/>
          <w:lang w:val="en-US" w:eastAsia="zh-CN" w:bidi="ar-SA"/>
        </w:rPr>
        <w:t>9.</w:t>
      </w:r>
      <w:r>
        <w:rPr>
          <w:rFonts w:hint="eastAsia" w:ascii="宋体" w:hAnsi="宋体" w:eastAsia="宋体" w:cs="宋体"/>
          <w:color w:val="auto"/>
          <w:sz w:val="21"/>
          <w:szCs w:val="21"/>
          <w:highlight w:val="none"/>
          <w:lang w:val="en-US" w:eastAsia="zh-CN"/>
        </w:rPr>
        <w:t xml:space="preserve">1 </w:t>
      </w:r>
      <w:r>
        <w:rPr>
          <w:rFonts w:hint="eastAsia" w:ascii="宋体" w:hAnsi="宋体" w:eastAsia="宋体" w:cs="宋体"/>
          <w:color w:val="auto"/>
          <w:sz w:val="21"/>
          <w:szCs w:val="21"/>
          <w:highlight w:val="none"/>
        </w:rPr>
        <w:t>如规划设计项目开展过程中，因包括但不限于标的物规划条件变更、规划调整等原因导致原合同履行情况客观发生变化，</w:t>
      </w:r>
      <w:r>
        <w:rPr>
          <w:rFonts w:hint="eastAsia" w:ascii="宋体" w:hAnsi="宋体" w:eastAsia="宋体" w:cs="宋体"/>
          <w:color w:val="auto"/>
          <w:sz w:val="21"/>
          <w:szCs w:val="21"/>
          <w:highlight w:val="none"/>
          <w:lang w:val="en-US" w:eastAsia="zh-CN"/>
        </w:rPr>
        <w:t>或本合同履行过程中出现非归责于合同双方的原因</w:t>
      </w:r>
      <w:r>
        <w:rPr>
          <w:rFonts w:hint="eastAsia" w:ascii="宋体" w:hAnsi="宋体" w:eastAsia="宋体" w:cs="宋体"/>
          <w:color w:val="auto"/>
          <w:sz w:val="21"/>
          <w:szCs w:val="21"/>
          <w:highlight w:val="none"/>
        </w:rPr>
        <w:t>致使本合同无法继续履行</w:t>
      </w:r>
      <w:r>
        <w:rPr>
          <w:rFonts w:hint="eastAsia" w:ascii="宋体" w:hAnsi="宋体" w:eastAsia="宋体" w:cs="宋体"/>
          <w:color w:val="auto"/>
          <w:sz w:val="21"/>
          <w:szCs w:val="21"/>
          <w:highlight w:val="none"/>
          <w:lang w:val="en-US" w:eastAsia="zh-CN"/>
        </w:rPr>
        <w:t>，合同双方任何一方可以书面通知对方解除合同。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 本合同履行期间，因上述情形造成合同解除的，甲方应按乙方和已经完成的工作量向乙方支付费用，乙方同时应将已完成的阶段性成果移交甲方。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 本合同履行过程中出现下列情形，甲方有权解除合同：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9.3.1 因乙方原因,乙方未能按合同约定的日期(含协商延缓的日期)提交成果，延误时间超过30日</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9.3.2 因乙方原因造成成果质量事故，且乙方未按甲方要求采取及时有效的补救措施的</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9.3.3 乙方原因导致成果评审不通过的，乙方未在甲方指定期限内按相关部门的意见予以整改</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9.3.4 乙方明确表示或者以自己的行为表明不履行本合同的</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9.3.5 本合同履行期间，因上述情形造成合同终止的，乙方除应退还甲方已付的所有款项外, 还应支付合同总价款 10 %的违约金，且</w:t>
      </w:r>
      <w:r>
        <w:rPr>
          <w:rFonts w:hint="eastAsia" w:ascii="宋体" w:hAnsi="宋体" w:eastAsia="宋体" w:cs="宋体"/>
          <w:b w:val="0"/>
          <w:color w:val="auto"/>
          <w:kern w:val="2"/>
          <w:sz w:val="21"/>
          <w:szCs w:val="21"/>
          <w:highlight w:val="none"/>
          <w:lang w:val="en-US" w:eastAsia="zh-CN" w:bidi="ar-SA"/>
        </w:rPr>
        <w:t>乙方应当退还甲方有关资料。</w:t>
      </w:r>
    </w:p>
    <w:p>
      <w:pPr>
        <w:spacing w:line="360" w:lineRule="auto"/>
        <w:rPr>
          <w:rFonts w:hint="eastAsia" w:ascii="宋体" w:hAnsi="宋体" w:eastAsia="宋体" w:cs="宋体"/>
          <w:b/>
          <w:bCs/>
          <w:color w:val="auto"/>
          <w:kern w:val="2"/>
          <w:sz w:val="21"/>
          <w:szCs w:val="21"/>
          <w:highlight w:val="none"/>
          <w:lang w:val="en-US" w:eastAsia="zh-CN" w:bidi="ar-SA"/>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w:t>
      </w:r>
      <w:bookmarkStart w:id="203" w:name="_Toc18754"/>
      <w:r>
        <w:rPr>
          <w:rFonts w:hint="eastAsia" w:ascii="宋体" w:hAnsi="宋体" w:eastAsia="宋体" w:cs="宋体"/>
          <w:b/>
          <w:bCs/>
          <w:color w:val="auto"/>
          <w:kern w:val="2"/>
          <w:sz w:val="21"/>
          <w:szCs w:val="21"/>
          <w:highlight w:val="none"/>
          <w:lang w:val="en-US" w:eastAsia="zh-CN" w:bidi="ar-SA"/>
        </w:rPr>
        <w:t>不可抗力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color w:val="auto"/>
          <w:kern w:val="2"/>
          <w:sz w:val="21"/>
          <w:szCs w:val="21"/>
          <w:highlight w:val="none"/>
          <w:lang w:val="en-US" w:eastAsia="zh-CN" w:bidi="ar-SA"/>
        </w:rPr>
        <w:t>10.1</w:t>
      </w:r>
      <w:r>
        <w:rPr>
          <w:rFonts w:hint="eastAsia" w:ascii="宋体" w:hAnsi="宋体" w:eastAsia="宋体" w:cs="宋体"/>
          <w:color w:val="auto"/>
          <w:sz w:val="21"/>
          <w:szCs w:val="21"/>
          <w:highlight w:val="none"/>
          <w:lang w:val="en-US" w:eastAsia="zh-CN"/>
        </w:rPr>
        <w:t xml:space="preserve"> 不可抗力的确认</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不可抗力是指甲乙双方在订立合同时不可预见，在履行合同过程中不可避免发生并不能克服的自然灾害、政策的调整和社会性突发事件，如地震、海啸、瘟疫、水灾、骚乱、暴动、战争等。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10.2 不可抗力的通知</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合同一方当事人遇到不可抗力事件，使其履行合同义务受到阻碍时，应立即通知合同另一方当事人，书面说明不可抗力和受阻碍的详细情况，并提供必要的证明。</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 不可抗力后果及其处理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10.3.1 合同一方延迟履行，在延迟履行期间发生不可抗力的，不免除其责任。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10.3.2 不可抗力发生后，合同双方均应采取措施尽量避免和减少损失的扩大，任何一方没有采取有效措施导致损失扩大的，应对扩大的损失承担责任。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10.3.3 合同一方因不可抗力不能履行合同的，应当及时通知对方解除合同。双方根据乙方实际完成工作量据实结</w:t>
      </w:r>
      <w:r>
        <w:rPr>
          <w:rFonts w:hint="eastAsia" w:ascii="宋体" w:hAnsi="宋体" w:eastAsia="宋体" w:cs="宋体"/>
          <w:b w:val="0"/>
          <w:color w:val="auto"/>
          <w:kern w:val="2"/>
          <w:sz w:val="21"/>
          <w:szCs w:val="21"/>
          <w:highlight w:val="none"/>
          <w:lang w:val="en-US" w:eastAsia="zh-CN" w:bidi="ar-SA"/>
        </w:rPr>
        <w:t>算合同费用。</w:t>
      </w:r>
    </w:p>
    <w:p>
      <w:pPr>
        <w:spacing w:line="360" w:lineRule="auto"/>
        <w:ind w:firstLine="200"/>
        <w:rPr>
          <w:rFonts w:hint="eastAsia" w:ascii="宋体" w:hAnsi="宋体" w:eastAsia="宋体" w:cs="宋体"/>
          <w:b/>
          <w:bCs/>
          <w:color w:val="auto"/>
          <w:kern w:val="2"/>
          <w:sz w:val="21"/>
          <w:szCs w:val="21"/>
          <w:highlight w:val="none"/>
          <w:lang w:val="en-US" w:eastAsia="zh-CN" w:bidi="ar-SA"/>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十一、合同争议的解决方式</w:t>
      </w:r>
      <w:bookmarkEnd w:id="203"/>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本合同发生争议，双方当事人应及时协商解决；经双方协商无法解决的争议，双方同意按照以下方式</w:t>
      </w:r>
      <w:r>
        <w:rPr>
          <w:rFonts w:hint="eastAsia" w:ascii="宋体" w:hAnsi="宋体" w:eastAsia="宋体" w:cs="宋体"/>
          <w:color w:val="auto"/>
          <w:sz w:val="21"/>
          <w:szCs w:val="21"/>
          <w:highlight w:val="none"/>
          <w:lang w:val="en-US" w:eastAsia="zh-CN"/>
        </w:rPr>
        <w:t>解决</w:t>
      </w:r>
      <w:r>
        <w:rPr>
          <w:rFonts w:hint="eastAsia" w:ascii="宋体" w:hAnsi="宋体" w:eastAsia="宋体" w:cs="宋体"/>
          <w:b w:val="0"/>
          <w:color w:val="auto"/>
          <w:kern w:val="2"/>
          <w:sz w:val="21"/>
          <w:szCs w:val="21"/>
          <w:highlight w:val="none"/>
          <w:lang w:val="en-US" w:eastAsia="zh-CN" w:bidi="ar-SA"/>
        </w:rPr>
        <w:t>：凡因本合同引起的或与本合同有关的任何争议，均提交项目所在地有管辖权的人民法院裁决。</w:t>
      </w:r>
    </w:p>
    <w:p>
      <w:pPr>
        <w:spacing w:line="360" w:lineRule="auto"/>
        <w:ind w:firstLine="200"/>
        <w:rPr>
          <w:rFonts w:hint="eastAsia" w:ascii="宋体" w:hAnsi="宋体" w:eastAsia="宋体" w:cs="宋体"/>
          <w:b/>
          <w:bCs/>
          <w:color w:val="auto"/>
          <w:kern w:val="2"/>
          <w:sz w:val="21"/>
          <w:szCs w:val="21"/>
          <w:highlight w:val="none"/>
          <w:lang w:val="en-US" w:eastAsia="zh-CN" w:bidi="ar-SA"/>
        </w:rPr>
      </w:pPr>
      <w:bookmarkStart w:id="204" w:name="_Toc29523"/>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十二、通知</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双方各自指定</w:t>
      </w:r>
      <w:r>
        <w:rPr>
          <w:rFonts w:hint="eastAsia" w:ascii="宋体" w:hAnsi="宋体" w:eastAsia="宋体" w:cs="宋体"/>
          <w:color w:val="auto"/>
          <w:sz w:val="21"/>
          <w:szCs w:val="21"/>
          <w:highlight w:val="none"/>
          <w:lang w:val="en-US" w:eastAsia="zh-CN"/>
        </w:rPr>
        <w:t>履行</w:t>
      </w:r>
      <w:r>
        <w:rPr>
          <w:rFonts w:hint="eastAsia" w:ascii="宋体" w:hAnsi="宋体" w:eastAsia="宋体" w:cs="宋体"/>
          <w:b w:val="0"/>
          <w:color w:val="auto"/>
          <w:kern w:val="2"/>
          <w:sz w:val="21"/>
          <w:szCs w:val="21"/>
          <w:highlight w:val="none"/>
          <w:lang w:val="en-US" w:eastAsia="zh-CN" w:bidi="ar-SA"/>
        </w:rPr>
        <w:t>本合同的联系人，一方资料、文件之交接及意见之传达、接收均通过联系人进行。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甲方指定联系人：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姓    名</w:t>
      </w:r>
      <w:r>
        <w:rPr>
          <w:rFonts w:hint="eastAsia" w:ascii="宋体" w:hAnsi="宋体" w:eastAsia="宋体" w:cs="宋体"/>
          <w:b w:val="0"/>
          <w:color w:val="auto"/>
          <w:kern w:val="2"/>
          <w:sz w:val="21"/>
          <w:szCs w:val="21"/>
          <w:highlight w:val="none"/>
          <w:lang w:val="en-US" w:eastAsia="zh-CN" w:bidi="ar-SA"/>
        </w:rPr>
        <w:t>：______________________________________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联系电话：______________________________________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电子邮箱：______________________________________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通讯地址：______________________________________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乙方</w:t>
      </w:r>
      <w:r>
        <w:rPr>
          <w:rFonts w:hint="eastAsia" w:ascii="宋体" w:hAnsi="宋体" w:eastAsia="宋体" w:cs="宋体"/>
          <w:color w:val="auto"/>
          <w:sz w:val="21"/>
          <w:szCs w:val="21"/>
          <w:highlight w:val="none"/>
          <w:lang w:val="en-US" w:eastAsia="zh-CN"/>
        </w:rPr>
        <w:t>指定</w:t>
      </w:r>
      <w:r>
        <w:rPr>
          <w:rFonts w:hint="eastAsia" w:ascii="宋体" w:hAnsi="宋体" w:eastAsia="宋体" w:cs="宋体"/>
          <w:b w:val="0"/>
          <w:color w:val="auto"/>
          <w:kern w:val="2"/>
          <w:sz w:val="21"/>
          <w:szCs w:val="21"/>
          <w:highlight w:val="none"/>
          <w:lang w:val="en-US" w:eastAsia="zh-CN" w:bidi="ar-SA"/>
        </w:rPr>
        <w:t xml:space="preserve">联系人：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姓    名：______________________________________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联系电话：______________________________________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电子</w:t>
      </w:r>
      <w:r>
        <w:rPr>
          <w:rFonts w:hint="eastAsia" w:ascii="宋体" w:hAnsi="宋体" w:eastAsia="宋体" w:cs="宋体"/>
          <w:color w:val="auto"/>
          <w:sz w:val="21"/>
          <w:szCs w:val="21"/>
          <w:highlight w:val="none"/>
          <w:lang w:val="en-US" w:eastAsia="zh-CN"/>
        </w:rPr>
        <w:t>邮箱</w:t>
      </w:r>
      <w:r>
        <w:rPr>
          <w:rFonts w:hint="eastAsia" w:ascii="宋体" w:hAnsi="宋体" w:eastAsia="宋体" w:cs="宋体"/>
          <w:b w:val="0"/>
          <w:color w:val="auto"/>
          <w:kern w:val="2"/>
          <w:sz w:val="21"/>
          <w:szCs w:val="21"/>
          <w:highlight w:val="none"/>
          <w:lang w:val="en-US" w:eastAsia="zh-CN" w:bidi="ar-SA"/>
        </w:rPr>
        <w:t>：______________________________________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通讯</w:t>
      </w:r>
      <w:r>
        <w:rPr>
          <w:rFonts w:hint="eastAsia" w:ascii="宋体" w:hAnsi="宋体" w:eastAsia="宋体" w:cs="宋体"/>
          <w:color w:val="auto"/>
          <w:sz w:val="21"/>
          <w:szCs w:val="21"/>
          <w:highlight w:val="none"/>
          <w:lang w:val="en-US" w:eastAsia="zh-CN"/>
        </w:rPr>
        <w:t>地址</w:t>
      </w:r>
      <w:r>
        <w:rPr>
          <w:rFonts w:hint="eastAsia" w:ascii="宋体" w:hAnsi="宋体" w:eastAsia="宋体" w:cs="宋体"/>
          <w:b w:val="0"/>
          <w:color w:val="auto"/>
          <w:kern w:val="2"/>
          <w:sz w:val="21"/>
          <w:szCs w:val="21"/>
          <w:highlight w:val="none"/>
          <w:lang w:val="en-US" w:eastAsia="zh-CN" w:bidi="ar-SA"/>
        </w:rPr>
        <w:t xml:space="preserve">：______________________________________ </w:t>
      </w:r>
    </w:p>
    <w:p>
      <w:pPr>
        <w:spacing w:line="360" w:lineRule="auto"/>
        <w:ind w:firstLine="200"/>
        <w:rPr>
          <w:rFonts w:hint="eastAsia" w:ascii="宋体" w:hAnsi="宋体" w:eastAsia="宋体" w:cs="宋体"/>
          <w:b/>
          <w:bCs/>
          <w:color w:val="auto"/>
          <w:kern w:val="2"/>
          <w:sz w:val="21"/>
          <w:szCs w:val="21"/>
          <w:highlight w:val="none"/>
          <w:lang w:val="en-US" w:eastAsia="zh-CN" w:bidi="ar-SA"/>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十三、其他条款</w:t>
      </w:r>
      <w:bookmarkEnd w:id="204"/>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color w:val="auto"/>
          <w:kern w:val="2"/>
          <w:sz w:val="21"/>
          <w:szCs w:val="21"/>
          <w:highlight w:val="none"/>
          <w:lang w:val="en-US" w:eastAsia="zh-CN" w:bidi="ar-SA"/>
        </w:rPr>
        <w:t>13.1本合</w:t>
      </w:r>
      <w:r>
        <w:rPr>
          <w:rFonts w:hint="eastAsia" w:ascii="宋体" w:hAnsi="宋体" w:eastAsia="宋体" w:cs="宋体"/>
          <w:color w:val="auto"/>
          <w:sz w:val="21"/>
          <w:szCs w:val="21"/>
          <w:highlight w:val="none"/>
          <w:lang w:val="en-US" w:eastAsia="zh-CN"/>
        </w:rPr>
        <w:t>同正文与下列附件共同构成本合同双方协商达成一致的全部内容：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附件1：阳光合作协议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附件2：中标通知书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附件3：投标文件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附件4：招标文件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履约担保凭证</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 甲乙双方一致同意，如因本项目转变改造模式为政府收储模式导致需要变更实施主体的，则由莞城街道指定主体承接甲方在本合同项下的全部权利义务，三方另行签署权利义务转让协议。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13.3 本合同未尽事宜，经双方平等友好协商一致，可签订补充协议。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13.4 本合同自双方有权代表签字、单位盖章后生效。</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color w:val="auto"/>
          <w:kern w:val="2"/>
          <w:sz w:val="21"/>
          <w:szCs w:val="21"/>
          <w:highlight w:val="none"/>
          <w:lang w:val="en-US" w:eastAsia="zh-CN" w:bidi="ar-SA"/>
        </w:rPr>
        <w:t>13.5 本</w:t>
      </w:r>
      <w:r>
        <w:rPr>
          <w:rFonts w:hint="eastAsia" w:ascii="宋体" w:hAnsi="宋体" w:eastAsia="宋体" w:cs="宋体"/>
          <w:color w:val="auto"/>
          <w:sz w:val="21"/>
          <w:szCs w:val="21"/>
          <w:highlight w:val="none"/>
          <w:lang w:val="en-US" w:eastAsia="zh-CN"/>
        </w:rPr>
        <w:t>合同</w:t>
      </w:r>
      <w:r>
        <w:rPr>
          <w:rFonts w:hint="eastAsia" w:ascii="宋体" w:hAnsi="宋体" w:eastAsia="宋体" w:cs="宋体"/>
          <w:b w:val="0"/>
          <w:color w:val="auto"/>
          <w:kern w:val="2"/>
          <w:sz w:val="21"/>
          <w:szCs w:val="21"/>
          <w:highlight w:val="none"/>
          <w:lang w:val="en-US" w:eastAsia="zh-CN" w:bidi="ar-SA"/>
        </w:rPr>
        <w:t xml:space="preserve">一式【 </w:t>
      </w:r>
      <w:r>
        <w:rPr>
          <w:rFonts w:hint="eastAsia" w:ascii="宋体" w:hAnsi="宋体"/>
          <w:color w:val="auto"/>
          <w:highlight w:val="none"/>
          <w:lang w:val="en-US" w:eastAsia="zh-CN"/>
        </w:rPr>
        <w:t>陆</w:t>
      </w:r>
      <w:r>
        <w:rPr>
          <w:rFonts w:hint="eastAsia" w:ascii="宋体" w:hAnsi="宋体" w:eastAsia="宋体" w:cs="宋体"/>
          <w:b w:val="0"/>
          <w:color w:val="auto"/>
          <w:kern w:val="2"/>
          <w:sz w:val="21"/>
          <w:szCs w:val="21"/>
          <w:highlight w:val="none"/>
          <w:lang w:val="en-US" w:eastAsia="zh-CN" w:bidi="ar-SA"/>
        </w:rPr>
        <w:t xml:space="preserve"> 】份，甲方执【 </w:t>
      </w:r>
      <w:r>
        <w:rPr>
          <w:rFonts w:hint="eastAsia" w:ascii="宋体" w:hAnsi="宋体" w:cs="宋体"/>
          <w:b w:val="0"/>
          <w:color w:val="auto"/>
          <w:kern w:val="2"/>
          <w:sz w:val="21"/>
          <w:szCs w:val="21"/>
          <w:highlight w:val="none"/>
          <w:lang w:val="en-US" w:eastAsia="zh-CN" w:bidi="ar-SA"/>
        </w:rPr>
        <w:t>肆</w:t>
      </w:r>
      <w:r>
        <w:rPr>
          <w:rFonts w:hint="eastAsia" w:ascii="宋体" w:hAnsi="宋体" w:eastAsia="宋体" w:cs="宋体"/>
          <w:b w:val="0"/>
          <w:color w:val="auto"/>
          <w:kern w:val="2"/>
          <w:sz w:val="21"/>
          <w:szCs w:val="21"/>
          <w:highlight w:val="none"/>
          <w:lang w:val="en-US" w:eastAsia="zh-CN" w:bidi="ar-SA"/>
        </w:rPr>
        <w:t xml:space="preserve"> 】份，乙方执【 </w:t>
      </w:r>
      <w:r>
        <w:rPr>
          <w:rFonts w:hint="eastAsia" w:ascii="宋体" w:hAnsi="宋体" w:cs="宋体"/>
          <w:b w:val="0"/>
          <w:color w:val="auto"/>
          <w:kern w:val="2"/>
          <w:sz w:val="21"/>
          <w:szCs w:val="21"/>
          <w:highlight w:val="none"/>
          <w:lang w:val="en-US" w:eastAsia="zh-CN" w:bidi="ar-SA"/>
        </w:rPr>
        <w:t>贰</w:t>
      </w:r>
      <w:r>
        <w:rPr>
          <w:rFonts w:hint="eastAsia" w:ascii="宋体" w:hAnsi="宋体" w:eastAsia="宋体" w:cs="宋体"/>
          <w:b w:val="0"/>
          <w:color w:val="auto"/>
          <w:kern w:val="2"/>
          <w:sz w:val="21"/>
          <w:szCs w:val="21"/>
          <w:highlight w:val="none"/>
          <w:lang w:val="en-US" w:eastAsia="zh-CN" w:bidi="ar-SA"/>
        </w:rPr>
        <w:t xml:space="preserve"> 】份，各份具有同等法律效力。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（以下无正文，均为签章页）</w:t>
      </w:r>
    </w:p>
    <w:p>
      <w:pPr>
        <w:spacing w:before="156" w:beforeLines="50" w:after="156" w:afterLines="50" w:line="360" w:lineRule="auto"/>
        <w:ind w:firstLine="200"/>
        <w:rPr>
          <w:rFonts w:hint="eastAsia" w:ascii="宋体" w:hAnsi="宋体" w:eastAsia="宋体" w:cs="宋体"/>
          <w:color w:val="auto"/>
          <w:sz w:val="21"/>
          <w:szCs w:val="21"/>
          <w:highlight w:val="none"/>
        </w:rPr>
      </w:pPr>
    </w:p>
    <w:p>
      <w:pPr>
        <w:spacing w:before="156" w:beforeLines="50" w:after="156" w:afterLines="50" w:line="360" w:lineRule="auto"/>
        <w:ind w:firstLine="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tbl>
      <w:tblPr>
        <w:tblStyle w:val="34"/>
        <w:tblW w:w="8522" w:type="dxa"/>
        <w:tblInd w:w="0" w:type="dxa"/>
        <w:tblLayout w:type="fixed"/>
        <w:tblCellMar>
          <w:top w:w="0" w:type="dxa"/>
          <w:left w:w="108" w:type="dxa"/>
          <w:bottom w:w="0" w:type="dxa"/>
          <w:right w:w="108" w:type="dxa"/>
        </w:tblCellMar>
      </w:tblPr>
      <w:tblGrid>
        <w:gridCol w:w="3996"/>
        <w:gridCol w:w="4526"/>
      </w:tblGrid>
      <w:tr>
        <w:tblPrEx>
          <w:tblLayout w:type="fixed"/>
          <w:tblCellMar>
            <w:top w:w="0" w:type="dxa"/>
            <w:left w:w="108" w:type="dxa"/>
            <w:bottom w:w="0" w:type="dxa"/>
            <w:right w:w="108" w:type="dxa"/>
          </w:tblCellMar>
        </w:tblPrEx>
        <w:trPr>
          <w:trHeight w:val="254"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乙方：</w:t>
            </w:r>
          </w:p>
        </w:tc>
      </w:tr>
      <w:tr>
        <w:tblPrEx>
          <w:tblLayout w:type="fixed"/>
          <w:tblCellMar>
            <w:top w:w="0" w:type="dxa"/>
            <w:left w:w="108" w:type="dxa"/>
            <w:bottom w:w="0" w:type="dxa"/>
            <w:right w:w="108" w:type="dxa"/>
          </w:tblCellMar>
        </w:tblPrEx>
        <w:trPr>
          <w:trHeight w:val="253"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单位名称（盖章）：</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单位名称（盖章）：</w:t>
            </w:r>
          </w:p>
        </w:tc>
      </w:tr>
      <w:tr>
        <w:tblPrEx>
          <w:tblLayout w:type="fixed"/>
          <w:tblCellMar>
            <w:top w:w="0" w:type="dxa"/>
            <w:left w:w="108" w:type="dxa"/>
            <w:bottom w:w="0" w:type="dxa"/>
            <w:right w:w="108" w:type="dxa"/>
          </w:tblCellMar>
        </w:tblPrEx>
        <w:trPr>
          <w:trHeight w:val="261"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法定代表人（签名：</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法定代表人（签名）：</w:t>
            </w:r>
          </w:p>
        </w:tc>
      </w:tr>
      <w:tr>
        <w:tblPrEx>
          <w:tblLayout w:type="fixed"/>
          <w:tblCellMar>
            <w:top w:w="0" w:type="dxa"/>
            <w:left w:w="108" w:type="dxa"/>
            <w:bottom w:w="0" w:type="dxa"/>
            <w:right w:w="108" w:type="dxa"/>
          </w:tblCellMar>
        </w:tblPrEx>
        <w:trPr>
          <w:trHeight w:val="25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委托代理人（签名）：</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委托代理人（签名）：</w:t>
            </w:r>
          </w:p>
        </w:tc>
      </w:tr>
      <w:tr>
        <w:tblPrEx>
          <w:tblLayout w:type="fixed"/>
          <w:tblCellMar>
            <w:top w:w="0" w:type="dxa"/>
            <w:left w:w="108" w:type="dxa"/>
            <w:bottom w:w="0" w:type="dxa"/>
            <w:right w:w="108" w:type="dxa"/>
          </w:tblCellMar>
        </w:tblPrEx>
        <w:trPr>
          <w:trHeight w:val="25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联系人：</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联系人：</w:t>
            </w:r>
          </w:p>
        </w:tc>
      </w:tr>
      <w:tr>
        <w:tblPrEx>
          <w:tblLayout w:type="fixed"/>
          <w:tblCellMar>
            <w:top w:w="0" w:type="dxa"/>
            <w:left w:w="108" w:type="dxa"/>
            <w:bottom w:w="0" w:type="dxa"/>
            <w:right w:w="108" w:type="dxa"/>
          </w:tblCellMar>
        </w:tblPrEx>
        <w:trPr>
          <w:trHeight w:val="260"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联系电话：</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联系电话：</w:t>
            </w:r>
          </w:p>
        </w:tc>
      </w:tr>
      <w:tr>
        <w:tblPrEx>
          <w:tblLayout w:type="fixed"/>
          <w:tblCellMar>
            <w:top w:w="0" w:type="dxa"/>
            <w:left w:w="108" w:type="dxa"/>
            <w:bottom w:w="0" w:type="dxa"/>
            <w:right w:w="108" w:type="dxa"/>
          </w:tblCellMar>
        </w:tblPrEx>
        <w:trPr>
          <w:trHeight w:val="25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传    真：</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传    真：</w:t>
            </w:r>
          </w:p>
        </w:tc>
      </w:tr>
      <w:tr>
        <w:tblPrEx>
          <w:tblLayout w:type="fixed"/>
          <w:tblCellMar>
            <w:top w:w="0" w:type="dxa"/>
            <w:left w:w="108" w:type="dxa"/>
            <w:bottom w:w="0" w:type="dxa"/>
            <w:right w:w="108" w:type="dxa"/>
          </w:tblCellMar>
        </w:tblPrEx>
        <w:trPr>
          <w:trHeight w:val="51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开户银行：</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开户银行：</w:t>
            </w:r>
          </w:p>
        </w:tc>
      </w:tr>
      <w:tr>
        <w:tblPrEx>
          <w:tblLayout w:type="fixed"/>
          <w:tblCellMar>
            <w:top w:w="0" w:type="dxa"/>
            <w:left w:w="108" w:type="dxa"/>
            <w:bottom w:w="0" w:type="dxa"/>
            <w:right w:w="108" w:type="dxa"/>
          </w:tblCellMar>
        </w:tblPrEx>
        <w:trPr>
          <w:trHeight w:val="51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银行帐号：</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银行帐号：</w:t>
            </w:r>
          </w:p>
        </w:tc>
      </w:tr>
      <w:tr>
        <w:tblPrEx>
          <w:tblLayout w:type="fixed"/>
          <w:tblCellMar>
            <w:top w:w="0" w:type="dxa"/>
            <w:left w:w="108" w:type="dxa"/>
            <w:bottom w:w="0" w:type="dxa"/>
            <w:right w:w="108" w:type="dxa"/>
          </w:tblCellMar>
        </w:tblPrEx>
        <w:trPr>
          <w:trHeight w:val="51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合同签订日期：</w:t>
            </w: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年月日</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合同签订日期：</w:t>
            </w: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年月日</w:t>
            </w:r>
          </w:p>
        </w:tc>
      </w:tr>
    </w:tbl>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autoSpaceDE w:val="0"/>
        <w:autoSpaceDN w:val="0"/>
        <w:spacing w:before="36" w:line="360" w:lineRule="auto"/>
        <w:ind w:left="108" w:right="448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autoSpaceDE w:val="0"/>
        <w:autoSpaceDN w:val="0"/>
        <w:spacing w:before="36" w:line="460" w:lineRule="auto"/>
        <w:ind w:right="4487"/>
        <w:rPr>
          <w:rFonts w:hAnsi="宋体"/>
          <w:b/>
          <w:color w:val="auto"/>
          <w:sz w:val="44"/>
          <w:szCs w:val="44"/>
          <w:highlight w:val="none"/>
        </w:rPr>
      </w:pPr>
    </w:p>
    <w:p>
      <w:pPr>
        <w:rPr>
          <w:rFonts w:ascii="等线" w:hAnsi="等线" w:eastAsia="等线"/>
          <w:color w:val="auto"/>
          <w:spacing w:val="20"/>
          <w:sz w:val="22"/>
          <w:highlight w:val="none"/>
        </w:rPr>
      </w:pPr>
      <w:r>
        <w:rPr>
          <w:rFonts w:hint="eastAsia" w:ascii="等线" w:hAnsi="等线" w:eastAsia="等线"/>
          <w:color w:val="auto"/>
          <w:spacing w:val="20"/>
          <w:sz w:val="22"/>
          <w:highlight w:val="none"/>
        </w:rPr>
        <w:br w:type="page"/>
      </w:r>
      <w:r>
        <w:rPr>
          <w:rFonts w:hint="eastAsia" w:ascii="等线" w:hAnsi="等线" w:eastAsia="等线"/>
          <w:color w:val="auto"/>
          <w:spacing w:val="20"/>
          <w:sz w:val="22"/>
          <w:highlight w:val="none"/>
        </w:rPr>
        <w:t>附件1</w:t>
      </w:r>
    </w:p>
    <w:p>
      <w:pPr>
        <w:jc w:val="center"/>
        <w:rPr>
          <w:rFonts w:ascii="方正小标宋简体" w:hAnsi="黑体" w:eastAsia="方正小标宋简体"/>
          <w:b/>
          <w:color w:val="auto"/>
          <w:sz w:val="44"/>
          <w:szCs w:val="44"/>
          <w:highlight w:val="none"/>
        </w:rPr>
      </w:pPr>
      <w:r>
        <w:rPr>
          <w:rFonts w:hint="eastAsia" w:ascii="方正小标宋简体" w:hAnsi="黑体" w:eastAsia="方正小标宋简体"/>
          <w:b/>
          <w:color w:val="auto"/>
          <w:sz w:val="44"/>
          <w:szCs w:val="44"/>
          <w:highlight w:val="none"/>
        </w:rPr>
        <w:t>阳光合作协议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甲方：</w:t>
      </w:r>
      <w:r>
        <w:rPr>
          <w:rFonts w:ascii="宋体" w:hAnsi="宋体"/>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eastAsia="宋体" w:cs="宋体"/>
          <w:b w:val="0"/>
          <w:color w:val="auto"/>
          <w:kern w:val="2"/>
          <w:sz w:val="21"/>
          <w:szCs w:val="21"/>
          <w:highlight w:val="none"/>
          <w:lang w:val="en-US" w:eastAsia="zh-CN" w:bidi="ar-SA"/>
        </w:rPr>
        <w:t>乙方</w:t>
      </w:r>
      <w:r>
        <w:rPr>
          <w:rFonts w:hint="eastAsia" w:ascii="宋体" w:hAnsi="宋体"/>
          <w:color w:val="auto"/>
          <w:highlight w:val="none"/>
        </w:rPr>
        <w:t>：</w:t>
      </w:r>
      <w:r>
        <w:rPr>
          <w:rFonts w:ascii="宋体" w:hAnsi="宋体"/>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4"/>
          <w:highlight w:val="none"/>
        </w:rPr>
      </w:pPr>
      <w:r>
        <w:rPr>
          <w:rFonts w:hint="eastAsia" w:ascii="宋体" w:hAnsi="宋体"/>
          <w:color w:val="auto"/>
          <w:szCs w:val="24"/>
          <w:highlight w:val="none"/>
        </w:rPr>
        <w:t>甲乙双方于 202</w:t>
      </w:r>
      <w:r>
        <w:rPr>
          <w:rFonts w:hint="eastAsia" w:ascii="宋体" w:hAnsi="宋体"/>
          <w:color w:val="auto"/>
          <w:szCs w:val="24"/>
          <w:highlight w:val="none"/>
          <w:lang w:val="en-US" w:eastAsia="zh-CN"/>
        </w:rPr>
        <w:t>4</w:t>
      </w:r>
      <w:r>
        <w:rPr>
          <w:rFonts w:hint="eastAsia" w:ascii="宋体" w:hAnsi="宋体"/>
          <w:color w:val="auto"/>
          <w:szCs w:val="24"/>
          <w:highlight w:val="none"/>
        </w:rPr>
        <w:t>年     月     日签署了《</w:t>
      </w:r>
      <w:r>
        <w:rPr>
          <w:rFonts w:hint="eastAsia" w:ascii="宋体" w:hAnsi="宋体"/>
          <w:color w:val="auto"/>
          <w:szCs w:val="24"/>
          <w:highlight w:val="none"/>
          <w:lang w:val="en-US" w:eastAsia="zh-CN"/>
        </w:rPr>
        <w:t xml:space="preserve">        </w:t>
      </w:r>
      <w:r>
        <w:rPr>
          <w:rFonts w:hint="eastAsia" w:ascii="宋体" w:hAnsi="宋体"/>
          <w:color w:val="auto"/>
          <w:szCs w:val="24"/>
          <w:highlight w:val="none"/>
        </w:rPr>
        <w:t>》（以下简称原合同），为加强双方阳光合作，保证职员职业安全，甲乙双方经协商签订本协议并作为双方共同遵守的阳光合作行为准则。</w:t>
      </w:r>
    </w:p>
    <w:p>
      <w:pPr>
        <w:spacing w:line="360" w:lineRule="auto"/>
        <w:ind w:firstLine="422" w:firstLineChars="200"/>
        <w:rPr>
          <w:rFonts w:ascii="宋体" w:hAnsi="宋体"/>
          <w:b/>
          <w:color w:val="auto"/>
          <w:highlight w:val="none"/>
        </w:rPr>
      </w:pPr>
      <w:r>
        <w:rPr>
          <w:rFonts w:hint="eastAsia" w:ascii="宋体" w:hAnsi="宋体"/>
          <w:b/>
          <w:color w:val="auto"/>
          <w:highlight w:val="none"/>
          <w:lang w:val="en-US" w:eastAsia="zh-CN"/>
        </w:rPr>
        <w:t>一、</w:t>
      </w:r>
      <w:r>
        <w:rPr>
          <w:rFonts w:hint="eastAsia" w:ascii="宋体" w:hAnsi="宋体" w:eastAsia="宋体" w:cs="宋体"/>
          <w:b/>
          <w:bCs/>
          <w:color w:val="auto"/>
          <w:kern w:val="2"/>
          <w:sz w:val="21"/>
          <w:szCs w:val="21"/>
          <w:highlight w:val="none"/>
          <w:lang w:val="en-US" w:eastAsia="zh-CN" w:bidi="ar-SA"/>
        </w:rPr>
        <w:t>甲方</w:t>
      </w:r>
      <w:r>
        <w:rPr>
          <w:rFonts w:hint="eastAsia" w:ascii="宋体" w:hAnsi="宋体"/>
          <w:b/>
          <w:color w:val="auto"/>
          <w:highlight w:val="none"/>
        </w:rPr>
        <w:t>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1.甲方有责任向乙方介绍本单位有关采购管理通用原则和本协议的规定。</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2.甲方有责任对本单位相关人员进行阳光合作教育。</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4.甲方人员如违反阳光合作管理制度及本协议规定，甲方视情节轻重、影响大小给予行政及经济处罚。</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5．对于乙方举报甲方人员违反阳光合作规定的情况，甲方应及时进行调查，根据调查情况进行处理，并将调查结果向乙方反馈。</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6.接受举报的一方应为举报方保密，不得对举报方进行报复，对举报属实和严格遵守《阳光合作协议》的合作方，在同等条件下给予后续合作的优先权。</w:t>
      </w:r>
    </w:p>
    <w:p>
      <w:pPr>
        <w:spacing w:line="360" w:lineRule="auto"/>
        <w:ind w:firstLine="422" w:firstLineChars="200"/>
        <w:rPr>
          <w:rFonts w:ascii="宋体" w:hAnsi="宋体"/>
          <w:b/>
          <w:color w:val="auto"/>
          <w:highlight w:val="none"/>
        </w:rPr>
      </w:pPr>
      <w:r>
        <w:rPr>
          <w:rFonts w:hint="eastAsia" w:ascii="宋体" w:hAnsi="宋体"/>
          <w:b/>
          <w:color w:val="auto"/>
          <w:highlight w:val="none"/>
          <w:lang w:val="en-US" w:eastAsia="zh-CN"/>
        </w:rPr>
        <w:t>二、</w:t>
      </w:r>
      <w:r>
        <w:rPr>
          <w:rFonts w:hint="eastAsia" w:ascii="宋体" w:hAnsi="宋体"/>
          <w:b/>
          <w:color w:val="auto"/>
          <w:highlight w:val="none"/>
        </w:rPr>
        <w:t>乙方</w:t>
      </w:r>
      <w:r>
        <w:rPr>
          <w:rFonts w:hint="eastAsia" w:ascii="宋体" w:hAnsi="宋体" w:eastAsia="宋体" w:cs="宋体"/>
          <w:b/>
          <w:bCs/>
          <w:color w:val="auto"/>
          <w:kern w:val="2"/>
          <w:sz w:val="21"/>
          <w:szCs w:val="21"/>
          <w:highlight w:val="none"/>
          <w:lang w:val="en-US" w:eastAsia="zh-CN" w:bidi="ar-SA"/>
        </w:rPr>
        <w:t>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1.乙方应保证乙方人员了解甲方有关采购管理通用原则和及本协议的规定，并遵照执行。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2.乙方不得以任何形式给予甲方人员回扣、赠送实物、现金、有价证券、礼券等有价物品或提供旅游等其他可能影响职务行为公正履行的活动（以下统称“财物”）。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3.乙方有责任接受甲方对乙方在合作期间阳光合作管理执行情况的监督，并对甲方相关调查工作主动配合。</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4.乙方有义务就甲方人员任何形式的索取或收受财物行为及时向甲方（直接联系人为东莞实业投资控股集团有限公司法律合规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5．甲方接受乙方实名或匿名举报，保证为举报者的信息保密，常设举报部门及电话：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举报受理部门：东莞实业投资控股集团有限公司法律合规部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东实集团举报邮箱：dgsyxf@163.com</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东实集团举报电话：0769-28820703（周一至周五9:00-12:00和14:00-18:00）</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eastAsia="宋体" w:cs="宋体"/>
          <w:b w:val="0"/>
          <w:color w:val="auto"/>
          <w:kern w:val="2"/>
          <w:sz w:val="21"/>
          <w:szCs w:val="21"/>
          <w:highlight w:val="none"/>
          <w:lang w:val="en-US" w:eastAsia="zh-CN" w:bidi="ar-SA"/>
        </w:rPr>
        <w:t>邮寄地址：东莞市东城区八一路1号机关二号大院9号楼，东莞实业投资控股集团有限公司法律合规部收，邮编</w:t>
      </w:r>
      <w:r>
        <w:rPr>
          <w:rFonts w:hint="eastAsia" w:ascii="宋体" w:hAnsi="宋体"/>
          <w:color w:val="auto"/>
          <w:highlight w:val="none"/>
        </w:rPr>
        <w:t>523000。</w:t>
      </w:r>
    </w:p>
    <w:p>
      <w:pPr>
        <w:spacing w:line="360" w:lineRule="auto"/>
        <w:ind w:firstLine="422" w:firstLineChars="200"/>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1.本协议是原</w:t>
      </w:r>
      <w:r>
        <w:rPr>
          <w:rFonts w:hint="eastAsia" w:ascii="宋体" w:hAnsi="宋体" w:eastAsia="宋体" w:cs="宋体"/>
          <w:b w:val="0"/>
          <w:color w:val="auto"/>
          <w:kern w:val="2"/>
          <w:sz w:val="21"/>
          <w:szCs w:val="21"/>
          <w:highlight w:val="none"/>
          <w:lang w:val="en-US" w:eastAsia="zh-CN" w:bidi="ar-SA"/>
        </w:rPr>
        <w:t>合同</w:t>
      </w:r>
      <w:r>
        <w:rPr>
          <w:rFonts w:hint="eastAsia" w:ascii="宋体" w:hAnsi="宋体"/>
          <w:color w:val="auto"/>
          <w:highlight w:val="none"/>
        </w:rPr>
        <w:t>的补充协议，与原合同有同等法律效力。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2.</w:t>
      </w:r>
      <w:r>
        <w:rPr>
          <w:rFonts w:ascii="宋体" w:hAnsi="宋体"/>
          <w:color w:val="auto"/>
          <w:highlight w:val="none"/>
        </w:rPr>
        <w:t>本</w:t>
      </w:r>
      <w:r>
        <w:rPr>
          <w:rFonts w:hint="eastAsia" w:ascii="宋体" w:hAnsi="宋体"/>
          <w:color w:val="auto"/>
          <w:highlight w:val="none"/>
        </w:rPr>
        <w:t>协议</w:t>
      </w:r>
      <w:r>
        <w:rPr>
          <w:rFonts w:ascii="宋体" w:hAnsi="宋体"/>
          <w:color w:val="auto"/>
          <w:highlight w:val="none"/>
        </w:rPr>
        <w:t>一式</w:t>
      </w:r>
      <w:r>
        <w:rPr>
          <w:rFonts w:hint="eastAsia" w:ascii="宋体" w:hAnsi="宋体"/>
          <w:color w:val="auto"/>
          <w:highlight w:val="none"/>
          <w:lang w:val="en-US" w:eastAsia="zh-CN"/>
        </w:rPr>
        <w:t>捌</w:t>
      </w:r>
      <w:r>
        <w:rPr>
          <w:rFonts w:ascii="宋体" w:hAnsi="宋体"/>
          <w:color w:val="auto"/>
          <w:highlight w:val="none"/>
        </w:rPr>
        <w:t>份，甲方执</w:t>
      </w:r>
      <w:r>
        <w:rPr>
          <w:rFonts w:hint="eastAsia" w:ascii="宋体" w:hAnsi="宋体"/>
          <w:color w:val="auto"/>
          <w:highlight w:val="none"/>
          <w:lang w:val="en-US" w:eastAsia="zh-CN"/>
        </w:rPr>
        <w:t>肆</w:t>
      </w:r>
      <w:r>
        <w:rPr>
          <w:rFonts w:ascii="宋体" w:hAnsi="宋体"/>
          <w:color w:val="auto"/>
          <w:highlight w:val="none"/>
        </w:rPr>
        <w:t>份，乙方执</w:t>
      </w:r>
      <w:r>
        <w:rPr>
          <w:rFonts w:hint="eastAsia" w:ascii="宋体" w:hAnsi="宋体"/>
          <w:color w:val="auto"/>
          <w:highlight w:val="none"/>
          <w:lang w:val="en-US" w:eastAsia="zh-CN"/>
        </w:rPr>
        <w:t>肆</w:t>
      </w:r>
      <w:r>
        <w:rPr>
          <w:rFonts w:ascii="宋体" w:hAnsi="宋体"/>
          <w:color w:val="auto"/>
          <w:highlight w:val="none"/>
        </w:rPr>
        <w:t>份</w:t>
      </w:r>
      <w:r>
        <w:rPr>
          <w:rFonts w:hint="eastAsia" w:ascii="宋体" w:hAnsi="宋体"/>
          <w:color w:val="auto"/>
          <w:highlight w:val="none"/>
        </w:rPr>
        <w:t>,具有同等法律效力。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3.本协议经双方签署后生效。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color w:val="auto"/>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color w:val="auto"/>
          <w:highlight w:val="none"/>
        </w:rPr>
      </w:pPr>
      <w:r>
        <w:rPr>
          <w:rFonts w:hint="eastAsia" w:ascii="宋体" w:hAnsi="宋体"/>
          <w:color w:val="auto"/>
          <w:highlight w:val="none"/>
        </w:rPr>
        <w:t>甲方（盖章）：                      乙方（盖章）：</w:t>
      </w:r>
      <w:r>
        <w:rPr>
          <w:rFonts w:ascii="宋体"/>
          <w:color w:val="auto"/>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color w:val="auto"/>
          <w:highlight w:val="none"/>
        </w:rPr>
      </w:pPr>
      <w:r>
        <w:rPr>
          <w:rFonts w:hint="eastAsia" w:ascii="宋体" w:hAnsi="宋体"/>
          <w:color w:val="auto"/>
          <w:highlight w:val="none"/>
        </w:rPr>
        <w:t>法定代表人（授权代表）：</w:t>
      </w:r>
      <w:r>
        <w:rPr>
          <w:rFonts w:hint="eastAsia" w:ascii="宋体"/>
          <w:color w:val="auto"/>
          <w:highlight w:val="none"/>
        </w:rPr>
        <w:tab/>
      </w:r>
      <w:r>
        <w:rPr>
          <w:rFonts w:hint="eastAsia" w:ascii="宋体"/>
          <w:color w:val="auto"/>
          <w:highlight w:val="none"/>
        </w:rPr>
        <w:tab/>
      </w:r>
      <w:r>
        <w:rPr>
          <w:rFonts w:hint="eastAsia" w:ascii="宋体" w:hAnsi="宋体"/>
          <w:color w:val="auto"/>
          <w:highlight w:val="none"/>
        </w:rPr>
        <w:t>法定代表人（授权代表）：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color w:val="auto"/>
          <w:highlight w:val="none"/>
        </w:rPr>
      </w:pPr>
      <w:r>
        <w:rPr>
          <w:rFonts w:hint="eastAsia" w:ascii="宋体" w:hAnsi="宋体"/>
          <w:color w:val="auto"/>
          <w:highlight w:val="none"/>
        </w:rPr>
        <w:t>签约日期：   年   月   日</w:t>
      </w:r>
      <w:r>
        <w:rPr>
          <w:color w:val="auto"/>
          <w:highlight w:val="none"/>
        </w:rPr>
        <w:tab/>
      </w:r>
      <w:r>
        <w:rPr>
          <w:color w:val="auto"/>
          <w:highlight w:val="none"/>
        </w:rPr>
        <w:t xml:space="preserve">    </w:t>
      </w:r>
      <w:r>
        <w:rPr>
          <w:rFonts w:hint="eastAsia"/>
          <w:color w:val="auto"/>
          <w:highlight w:val="none"/>
        </w:rPr>
        <w:t xml:space="preserve">   </w:t>
      </w:r>
      <w:r>
        <w:rPr>
          <w:rFonts w:hint="eastAsia" w:ascii="宋体" w:hAnsi="宋体"/>
          <w:color w:val="auto"/>
          <w:highlight w:val="none"/>
        </w:rPr>
        <w:t>签约日期：   年   月   日</w:t>
      </w:r>
    </w:p>
    <w:p>
      <w:pPr>
        <w:rPr>
          <w:color w:val="auto"/>
          <w:highlight w:val="none"/>
        </w:rPr>
      </w:pPr>
      <w:r>
        <w:rPr>
          <w:color w:val="auto"/>
          <w:highlight w:val="none"/>
          <w:lang w:bidi="zh-CN"/>
        </w:rPr>
        <w:br w:type="page"/>
      </w:r>
    </w:p>
    <w:p>
      <w:pPr>
        <w:pStyle w:val="2"/>
        <w:spacing w:before="0" w:after="0" w:line="240" w:lineRule="auto"/>
        <w:rPr>
          <w:color w:val="auto"/>
          <w:sz w:val="28"/>
          <w:szCs w:val="28"/>
          <w:highlight w:val="none"/>
        </w:rPr>
      </w:pPr>
      <w:bookmarkStart w:id="205" w:name="_Toc20386"/>
      <w:bookmarkStart w:id="206" w:name="_Toc17465"/>
      <w:r>
        <w:rPr>
          <w:rFonts w:hint="eastAsia"/>
          <w:color w:val="auto"/>
          <w:sz w:val="28"/>
          <w:szCs w:val="28"/>
          <w:highlight w:val="none"/>
        </w:rPr>
        <w:t>第六部分</w:t>
      </w:r>
      <w:r>
        <w:rPr>
          <w:rFonts w:hint="eastAsia"/>
          <w:color w:val="auto"/>
          <w:sz w:val="28"/>
          <w:szCs w:val="28"/>
          <w:highlight w:val="none"/>
          <w:lang w:val="en-US" w:eastAsia="zh-CN"/>
        </w:rPr>
        <w:t xml:space="preserve"> </w:t>
      </w:r>
      <w:r>
        <w:rPr>
          <w:rFonts w:hint="eastAsia"/>
          <w:color w:val="auto"/>
          <w:sz w:val="28"/>
          <w:szCs w:val="28"/>
          <w:highlight w:val="none"/>
        </w:rPr>
        <w:t>附件－响应文件格式</w:t>
      </w:r>
      <w:bookmarkEnd w:id="205"/>
      <w:bookmarkEnd w:id="206"/>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07" w:name="_Toc4115"/>
      <w:bookmarkStart w:id="208" w:name="_Toc11461"/>
      <w:r>
        <w:rPr>
          <w:rFonts w:hint="eastAsia" w:ascii="宋体" w:hAnsi="宋体"/>
          <w:color w:val="auto"/>
          <w:sz w:val="21"/>
          <w:szCs w:val="21"/>
          <w:highlight w:val="none"/>
        </w:rPr>
        <w:t>响应文件目录</w:t>
      </w:r>
      <w:bookmarkEnd w:id="207"/>
      <w:bookmarkEnd w:id="208"/>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1、供应商制作的响应文件应当具备目录。</w:t>
      </w:r>
      <w:r>
        <w:rPr>
          <w:rFonts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09" w:name="_Toc1797"/>
      <w:bookmarkStart w:id="210" w:name="_Toc16660"/>
      <w:r>
        <w:rPr>
          <w:rFonts w:hint="eastAsia" w:ascii="宋体" w:hAnsi="宋体"/>
          <w:color w:val="auto"/>
          <w:sz w:val="21"/>
          <w:szCs w:val="21"/>
          <w:highlight w:val="none"/>
        </w:rPr>
        <w:t>附件1.评分标准索引表</w:t>
      </w:r>
      <w:bookmarkEnd w:id="209"/>
      <w:bookmarkEnd w:id="210"/>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704" w:type="dxa"/>
            <w:noWrap w:val="0"/>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1704" w:type="dxa"/>
            <w:noWrap w:val="0"/>
            <w:vAlign w:val="center"/>
          </w:tcPr>
          <w:p>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noWrap w:val="0"/>
            <w:vAlign w:val="center"/>
          </w:tcPr>
          <w:p>
            <w:pPr>
              <w:jc w:val="center"/>
              <w:rPr>
                <w:rFonts w:ascii="宋体" w:hAnsi="宋体" w:cs="宋体"/>
                <w:color w:val="auto"/>
                <w:highlight w:val="none"/>
              </w:rPr>
            </w:pPr>
            <w:r>
              <w:rPr>
                <w:rFonts w:hint="eastAsia" w:ascii="宋体" w:hAnsi="宋体" w:cs="宋体"/>
                <w:color w:val="auto"/>
                <w:highlight w:val="none"/>
              </w:rPr>
              <w:t>评审细则</w:t>
            </w:r>
          </w:p>
        </w:tc>
        <w:tc>
          <w:tcPr>
            <w:tcW w:w="1705" w:type="dxa"/>
            <w:noWrap w:val="0"/>
            <w:vAlign w:val="center"/>
          </w:tcPr>
          <w:p>
            <w:pPr>
              <w:jc w:val="center"/>
              <w:rPr>
                <w:rFonts w:ascii="宋体" w:hAnsi="宋体" w:cs="宋体"/>
                <w:color w:val="auto"/>
                <w:highlight w:val="none"/>
              </w:rPr>
            </w:pPr>
            <w:r>
              <w:rPr>
                <w:rFonts w:hint="eastAsia" w:ascii="宋体" w:hAnsi="宋体" w:cs="宋体"/>
                <w:color w:val="auto"/>
                <w:highlight w:val="none"/>
              </w:rPr>
              <w:t>分值</w:t>
            </w:r>
          </w:p>
        </w:tc>
        <w:tc>
          <w:tcPr>
            <w:tcW w:w="1705" w:type="dxa"/>
            <w:noWrap w:val="0"/>
            <w:vAlign w:val="center"/>
          </w:tcPr>
          <w:p>
            <w:pP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noWrap w:val="0"/>
            <w:vAlign w:val="center"/>
          </w:tcPr>
          <w:p>
            <w:pP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noWrap w:val="0"/>
            <w:vAlign w:val="center"/>
          </w:tcPr>
          <w:p>
            <w:pP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6"/>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pPr>
        <w:pStyle w:val="11"/>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jc w:val="center"/>
        <w:rPr>
          <w:rFonts w:ascii="黑体" w:eastAsia="黑体"/>
          <w:color w:val="auto"/>
          <w:sz w:val="52"/>
          <w:szCs w:val="52"/>
          <w:highlight w:val="none"/>
        </w:rPr>
      </w:pPr>
      <w:bookmarkStart w:id="211" w:name="_Toc30918"/>
      <w:bookmarkStart w:id="212" w:name="_Toc18450"/>
      <w:bookmarkStart w:id="213" w:name="_Toc28154"/>
      <w:bookmarkStart w:id="214" w:name="_Toc20335"/>
      <w:bookmarkStart w:id="215" w:name="_Toc21746"/>
    </w:p>
    <w:p>
      <w:pPr>
        <w:pStyle w:val="2"/>
        <w:spacing w:before="0" w:after="0" w:line="360" w:lineRule="auto"/>
        <w:jc w:val="center"/>
        <w:rPr>
          <w:color w:val="auto"/>
          <w:sz w:val="72"/>
          <w:szCs w:val="72"/>
          <w:highlight w:val="none"/>
        </w:rPr>
      </w:pPr>
      <w:bookmarkStart w:id="216" w:name="_Toc32177"/>
      <w:bookmarkStart w:id="217" w:name="_Toc796"/>
      <w:r>
        <w:rPr>
          <w:rFonts w:hint="eastAsia"/>
          <w:color w:val="auto"/>
          <w:sz w:val="72"/>
          <w:szCs w:val="72"/>
          <w:highlight w:val="none"/>
        </w:rPr>
        <w:t>价格文件</w:t>
      </w:r>
      <w:bookmarkEnd w:id="211"/>
      <w:bookmarkEnd w:id="212"/>
      <w:bookmarkEnd w:id="216"/>
      <w:bookmarkEnd w:id="217"/>
      <w:bookmarkStart w:id="218" w:name="_Hlt10519799"/>
      <w:bookmarkEnd w:id="218"/>
      <w:bookmarkStart w:id="219" w:name="_Hlt10456397"/>
      <w:bookmarkEnd w:id="219"/>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213"/>
      <w:bookmarkEnd w:id="214"/>
      <w:bookmarkEnd w:id="215"/>
    </w:p>
    <w:p>
      <w:pPr>
        <w:rPr>
          <w:color w:val="auto"/>
          <w:highlight w:val="none"/>
        </w:rPr>
      </w:pPr>
    </w:p>
    <w:p>
      <w:pPr>
        <w:pStyle w:val="11"/>
        <w:rPr>
          <w:color w:val="auto"/>
          <w:highlight w:val="none"/>
        </w:rPr>
      </w:pPr>
    </w:p>
    <w:p>
      <w:pPr>
        <w:pStyle w:val="10"/>
        <w:spacing w:before="0" w:after="0"/>
        <w:ind w:left="0" w:firstLine="240"/>
        <w:rPr>
          <w:color w:val="auto"/>
          <w:highlight w:val="none"/>
        </w:rPr>
      </w:pPr>
    </w:p>
    <w:p>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0"/>
        </w:rPr>
        <w:t>项目名</w:t>
      </w:r>
      <w:r>
        <w:rPr>
          <w:rFonts w:hint="eastAsia" w:ascii="宋体" w:hAnsi="宋体" w:cs="宋体"/>
          <w:b/>
          <w:bCs/>
          <w:color w:val="auto"/>
          <w:spacing w:val="1"/>
          <w:kern w:val="0"/>
          <w:sz w:val="32"/>
          <w:szCs w:val="32"/>
          <w:highlight w:val="none"/>
          <w:fitText w:val="1600" w:id="0"/>
        </w:rPr>
        <w:t>称</w:t>
      </w:r>
      <w:r>
        <w:rPr>
          <w:rFonts w:hint="eastAsia" w:ascii="宋体" w:hAnsi="宋体" w:cs="宋体"/>
          <w:b/>
          <w:bCs/>
          <w:color w:val="auto"/>
          <w:spacing w:val="-6"/>
          <w:sz w:val="32"/>
          <w:szCs w:val="32"/>
          <w:highlight w:val="none"/>
        </w:rPr>
        <w:t>：</w:t>
      </w:r>
    </w:p>
    <w:p>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1"/>
        </w:rPr>
        <w:t>项目编</w:t>
      </w:r>
      <w:r>
        <w:rPr>
          <w:rFonts w:hint="eastAsia" w:ascii="宋体" w:hAnsi="宋体" w:cs="宋体"/>
          <w:b/>
          <w:bCs/>
          <w:color w:val="auto"/>
          <w:spacing w:val="1"/>
          <w:kern w:val="0"/>
          <w:sz w:val="32"/>
          <w:szCs w:val="32"/>
          <w:highlight w:val="none"/>
          <w:fitText w:val="1600" w:id="1"/>
        </w:rPr>
        <w:t>号</w:t>
      </w:r>
      <w:r>
        <w:rPr>
          <w:rFonts w:hint="eastAsia" w:ascii="宋体" w:hAnsi="宋体" w:cs="宋体"/>
          <w:b/>
          <w:bCs/>
          <w:color w:val="auto"/>
          <w:sz w:val="32"/>
          <w:szCs w:val="32"/>
          <w:highlight w:val="none"/>
        </w:rPr>
        <w:t>：</w:t>
      </w:r>
    </w:p>
    <w:p>
      <w:pPr>
        <w:pStyle w:val="27"/>
        <w:widowControl/>
        <w:adjustRightInd w:val="0"/>
        <w:snapToGrid w:val="0"/>
        <w:jc w:val="left"/>
        <w:rPr>
          <w:rFonts w:ascii="宋体" w:hAnsi="宋体" w:cs="宋体"/>
          <w:b/>
          <w:color w:val="auto"/>
          <w:spacing w:val="1280"/>
          <w:kern w:val="0"/>
          <w:sz w:val="32"/>
          <w:szCs w:val="32"/>
          <w:highlight w:val="none"/>
        </w:rPr>
      </w:pPr>
      <w:r>
        <w:rPr>
          <w:rFonts w:hint="eastAsia" w:ascii="宋体" w:hAnsi="宋体" w:cs="宋体"/>
          <w:b/>
          <w:color w:val="auto"/>
          <w:spacing w:val="106"/>
          <w:kern w:val="0"/>
          <w:sz w:val="32"/>
          <w:szCs w:val="32"/>
          <w:highlight w:val="none"/>
          <w:lang w:bidi="ar"/>
        </w:rPr>
        <w:t>包组号（如有）：</w:t>
      </w:r>
    </w:p>
    <w:p>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2"/>
        </w:rPr>
        <w:t>供应商名称</w:t>
      </w:r>
      <w:r>
        <w:rPr>
          <w:rFonts w:hint="eastAsia" w:ascii="宋体" w:hAnsi="宋体" w:cs="宋体"/>
          <w:b/>
          <w:color w:val="auto"/>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3"/>
        </w:rPr>
        <w:t>日</w:t>
      </w:r>
      <w:r>
        <w:rPr>
          <w:rFonts w:ascii="宋体" w:hAnsi="宋体" w:cs="宋体"/>
          <w:b/>
          <w:color w:val="auto"/>
          <w:spacing w:val="32"/>
          <w:kern w:val="0"/>
          <w:sz w:val="32"/>
          <w:szCs w:val="32"/>
          <w:highlight w:val="none"/>
          <w:fitText w:val="1600" w:id="3"/>
        </w:rPr>
        <w:t xml:space="preserve">    </w:t>
      </w:r>
      <w:r>
        <w:rPr>
          <w:rFonts w:hint="eastAsia" w:ascii="宋体" w:hAnsi="宋体" w:cs="宋体"/>
          <w:b/>
          <w:color w:val="auto"/>
          <w:spacing w:val="0"/>
          <w:kern w:val="0"/>
          <w:sz w:val="32"/>
          <w:szCs w:val="32"/>
          <w:highlight w:val="none"/>
          <w:fitText w:val="1600" w:id="3"/>
        </w:rPr>
        <w:t>期</w:t>
      </w:r>
      <w:r>
        <w:rPr>
          <w:rFonts w:hint="eastAsia" w:ascii="宋体" w:hAnsi="宋体" w:cs="宋体"/>
          <w:b/>
          <w:color w:val="auto"/>
          <w:sz w:val="32"/>
          <w:szCs w:val="32"/>
          <w:highlight w:val="none"/>
        </w:rPr>
        <w:t>：</w:t>
      </w:r>
    </w:p>
    <w:p>
      <w:pPr>
        <w:rPr>
          <w:color w:val="auto"/>
          <w:highlight w:val="none"/>
        </w:rPr>
      </w:pPr>
    </w:p>
    <w:p>
      <w:pPr>
        <w:pStyle w:val="11"/>
        <w:rPr>
          <w:color w:val="auto"/>
          <w:highlight w:val="none"/>
        </w:rPr>
      </w:pPr>
    </w:p>
    <w:p>
      <w:pPr>
        <w:pStyle w:val="10"/>
        <w:ind w:firstLine="240"/>
        <w:rPr>
          <w:color w:val="auto"/>
          <w:highlight w:val="none"/>
        </w:rPr>
      </w:pPr>
    </w:p>
    <w:p>
      <w:pPr>
        <w:pStyle w:val="24"/>
        <w:rPr>
          <w:color w:val="auto"/>
          <w:highlight w:val="none"/>
        </w:rPr>
      </w:pPr>
    </w:p>
    <w:p>
      <w:pPr>
        <w:rPr>
          <w:color w:val="auto"/>
          <w:highlight w:val="none"/>
        </w:rPr>
      </w:pPr>
    </w:p>
    <w:p>
      <w:pPr>
        <w:pStyle w:val="11"/>
        <w:rPr>
          <w:color w:val="auto"/>
          <w:highlight w:val="none"/>
        </w:rPr>
      </w:pPr>
    </w:p>
    <w:p>
      <w:pPr>
        <w:pStyle w:val="10"/>
        <w:ind w:firstLine="240"/>
        <w:rPr>
          <w:color w:val="auto"/>
          <w:highlight w:val="none"/>
        </w:rPr>
      </w:pPr>
    </w:p>
    <w:p>
      <w:pPr>
        <w:pStyle w:val="24"/>
        <w:rPr>
          <w:color w:val="auto"/>
          <w:highlight w:val="none"/>
        </w:rPr>
      </w:pPr>
    </w:p>
    <w:p>
      <w:pPr>
        <w:pStyle w:val="24"/>
        <w:ind w:left="0"/>
        <w:rPr>
          <w:color w:val="auto"/>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20" w:name="_Toc9517"/>
      <w:bookmarkStart w:id="221" w:name="_Toc23235"/>
      <w:r>
        <w:rPr>
          <w:rFonts w:hint="eastAsia" w:ascii="宋体" w:hAnsi="宋体"/>
          <w:color w:val="auto"/>
          <w:sz w:val="21"/>
          <w:szCs w:val="21"/>
          <w:highlight w:val="none"/>
        </w:rPr>
        <w:t>附件2.首次</w:t>
      </w:r>
      <w:r>
        <w:rPr>
          <w:rFonts w:ascii="宋体" w:hAnsi="宋体"/>
          <w:color w:val="auto"/>
          <w:sz w:val="21"/>
          <w:szCs w:val="21"/>
          <w:highlight w:val="none"/>
        </w:rPr>
        <w:t>报价</w:t>
      </w:r>
      <w:r>
        <w:rPr>
          <w:rFonts w:hint="eastAsia" w:ascii="宋体" w:hAnsi="宋体"/>
          <w:color w:val="auto"/>
          <w:sz w:val="21"/>
          <w:szCs w:val="21"/>
          <w:highlight w:val="none"/>
        </w:rPr>
        <w:t>一览表格式</w:t>
      </w:r>
      <w:bookmarkEnd w:id="220"/>
      <w:bookmarkEnd w:id="221"/>
    </w:p>
    <w:p>
      <w:pPr>
        <w:jc w:val="center"/>
        <w:rPr>
          <w:rFonts w:ascii="黑体" w:eastAsia="黑体"/>
          <w:color w:val="auto"/>
          <w:sz w:val="32"/>
          <w:szCs w:val="32"/>
          <w:highlight w:val="none"/>
        </w:rPr>
      </w:pPr>
      <w:r>
        <w:rPr>
          <w:rFonts w:hint="eastAsia" w:ascii="黑体" w:eastAsia="黑体"/>
          <w:color w:val="auto"/>
          <w:sz w:val="32"/>
          <w:szCs w:val="32"/>
          <w:highlight w:val="none"/>
        </w:rPr>
        <w:t>首次报价一览表</w:t>
      </w: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供应商名称：</w:t>
      </w:r>
    </w:p>
    <w:p>
      <w:pPr>
        <w:rPr>
          <w:color w:val="auto"/>
          <w:highlight w:val="none"/>
        </w:rPr>
      </w:pPr>
      <w:r>
        <w:rPr>
          <w:rFonts w:hint="eastAsia" w:ascii="宋体" w:hAnsi="宋体"/>
          <w:color w:val="auto"/>
          <w:szCs w:val="21"/>
          <w:highlight w:val="none"/>
        </w:rPr>
        <w:t>采购项目编号：</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2928"/>
        <w:gridCol w:w="160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2018"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olor w:val="auto"/>
                <w:szCs w:val="21"/>
                <w:highlight w:val="none"/>
              </w:rPr>
              <w:t>项目名称</w:t>
            </w:r>
          </w:p>
        </w:tc>
        <w:tc>
          <w:tcPr>
            <w:tcW w:w="2928"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含税响应总价（元）</w:t>
            </w:r>
          </w:p>
        </w:tc>
        <w:tc>
          <w:tcPr>
            <w:tcW w:w="1602"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税率</w:t>
            </w:r>
          </w:p>
        </w:tc>
        <w:tc>
          <w:tcPr>
            <w:tcW w:w="1974"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jc w:val="center"/>
        </w:trPr>
        <w:tc>
          <w:tcPr>
            <w:tcW w:w="2018" w:type="dxa"/>
            <w:noWrap w:val="0"/>
            <w:vAlign w:val="center"/>
          </w:tcPr>
          <w:p>
            <w:pPr>
              <w:spacing w:line="240" w:lineRule="auto"/>
              <w:jc w:val="center"/>
              <w:rPr>
                <w:rFonts w:ascii="宋体" w:hAnsi="宋体" w:cs="宋体"/>
                <w:color w:val="auto"/>
                <w:szCs w:val="21"/>
                <w:highlight w:val="none"/>
              </w:rPr>
            </w:pPr>
          </w:p>
        </w:tc>
        <w:tc>
          <w:tcPr>
            <w:tcW w:w="2928" w:type="dxa"/>
            <w:noWrap w:val="0"/>
            <w:vAlign w:val="center"/>
          </w:tcPr>
          <w:p>
            <w:pPr>
              <w:rPr>
                <w:rFonts w:ascii="宋体" w:hAnsi="宋体" w:cs="宋体"/>
                <w:color w:val="auto"/>
                <w:szCs w:val="21"/>
                <w:highlight w:val="none"/>
                <w:u w:val="single"/>
              </w:rPr>
            </w:pPr>
            <w:r>
              <w:rPr>
                <w:rFonts w:hint="eastAsia" w:ascii="宋体" w:hAnsi="宋体" w:cs="宋体"/>
                <w:color w:val="auto"/>
                <w:szCs w:val="21"/>
                <w:highlight w:val="none"/>
              </w:rPr>
              <w:t>小写：</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大写：</w:t>
            </w:r>
            <w:r>
              <w:rPr>
                <w:rFonts w:hint="eastAsia" w:ascii="宋体" w:hAnsi="宋体" w:cs="宋体"/>
                <w:color w:val="auto"/>
                <w:szCs w:val="21"/>
                <w:highlight w:val="none"/>
                <w:u w:val="single"/>
              </w:rPr>
              <w:t xml:space="preserve">                   </w:t>
            </w:r>
          </w:p>
        </w:tc>
        <w:tc>
          <w:tcPr>
            <w:tcW w:w="1602" w:type="dxa"/>
            <w:noWrap w:val="0"/>
            <w:vAlign w:val="center"/>
          </w:tcPr>
          <w:p>
            <w:pPr>
              <w:pStyle w:val="65"/>
              <w:jc w:val="center"/>
              <w:rPr>
                <w:rFonts w:hAnsi="宋体"/>
                <w:color w:val="auto"/>
                <w:sz w:val="21"/>
                <w:szCs w:val="21"/>
                <w:highlight w:val="none"/>
              </w:rPr>
            </w:pPr>
          </w:p>
        </w:tc>
        <w:tc>
          <w:tcPr>
            <w:tcW w:w="1974" w:type="dxa"/>
            <w:noWrap w:val="0"/>
            <w:vAlign w:val="center"/>
          </w:tcPr>
          <w:p>
            <w:pPr>
              <w:pStyle w:val="65"/>
              <w:jc w:val="center"/>
              <w:rPr>
                <w:rFonts w:hAnsi="宋体"/>
                <w:color w:val="auto"/>
                <w:sz w:val="21"/>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pPr>
        <w:ind w:firstLine="359" w:firstLineChars="171"/>
        <w:rPr>
          <w:rFonts w:ascii="宋体" w:hAnsi="宋体"/>
          <w:color w:val="auto"/>
          <w:szCs w:val="21"/>
          <w:highlight w:val="none"/>
        </w:rPr>
      </w:pPr>
      <w:r>
        <w:rPr>
          <w:rFonts w:hint="eastAsia" w:ascii="宋体" w:hAnsi="宋体"/>
          <w:color w:val="auto"/>
          <w:szCs w:val="21"/>
          <w:highlight w:val="none"/>
        </w:rPr>
        <w:t>供应商盖章：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pPr>
        <w:ind w:firstLine="420" w:firstLineChars="200"/>
        <w:rPr>
          <w:rFonts w:ascii="宋体" w:hAnsi="宋体"/>
          <w:color w:val="auto"/>
          <w:szCs w:val="21"/>
          <w:highlight w:val="none"/>
        </w:rPr>
      </w:pPr>
      <w:r>
        <w:rPr>
          <w:rFonts w:hint="eastAsia" w:ascii="宋体" w:hAnsi="宋体"/>
          <w:color w:val="auto"/>
          <w:szCs w:val="21"/>
          <w:highlight w:val="none"/>
        </w:rPr>
        <w:t>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磋商</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pPr>
        <w:ind w:firstLine="420" w:firstLineChars="200"/>
        <w:rPr>
          <w:rFonts w:ascii="宋体" w:hAnsi="宋体"/>
          <w:color w:val="auto"/>
          <w:szCs w:val="21"/>
          <w:highlight w:val="none"/>
        </w:rPr>
      </w:pPr>
      <w:r>
        <w:rPr>
          <w:rFonts w:hint="eastAsia" w:ascii="宋体" w:hAnsi="宋体"/>
          <w:color w:val="auto"/>
          <w:szCs w:val="21"/>
          <w:highlight w:val="none"/>
        </w:rPr>
        <w:t>2、温馨提示：未按磋商文件要求报价、填写首次报价一览表是导致供应商废标的常见问题，请供应商仔细填写，认真核对。</w:t>
      </w:r>
    </w:p>
    <w:p>
      <w:pPr>
        <w:rPr>
          <w:rFonts w:ascii="宋体" w:hAnsi="宋体"/>
          <w:color w:val="auto"/>
          <w:szCs w:val="21"/>
          <w:highlight w:val="none"/>
        </w:rPr>
      </w:pPr>
      <w:r>
        <w:rPr>
          <w:rFonts w:hint="eastAsia" w:ascii="宋体" w:hAnsi="宋体"/>
          <w:color w:val="auto"/>
          <w:szCs w:val="21"/>
          <w:highlight w:val="none"/>
        </w:rPr>
        <w:br w:type="page"/>
      </w:r>
    </w:p>
    <w:p>
      <w:pPr>
        <w:rPr>
          <w:color w:val="auto"/>
          <w:sz w:val="52"/>
          <w:szCs w:val="52"/>
          <w:highlight w:val="none"/>
        </w:rPr>
      </w:pPr>
    </w:p>
    <w:p>
      <w:pPr>
        <w:outlineLvl w:val="9"/>
        <w:rPr>
          <w:color w:val="auto"/>
          <w:highlight w:val="none"/>
        </w:rPr>
      </w:pPr>
    </w:p>
    <w:p>
      <w:pPr>
        <w:pStyle w:val="2"/>
        <w:spacing w:before="0" w:after="0" w:line="360" w:lineRule="auto"/>
        <w:jc w:val="center"/>
        <w:rPr>
          <w:color w:val="auto"/>
          <w:sz w:val="72"/>
          <w:szCs w:val="72"/>
          <w:highlight w:val="none"/>
        </w:rPr>
      </w:pPr>
      <w:bookmarkStart w:id="222" w:name="_Toc25594"/>
      <w:bookmarkStart w:id="223" w:name="_Toc14451"/>
      <w:r>
        <w:rPr>
          <w:rFonts w:hint="eastAsia"/>
          <w:color w:val="auto"/>
          <w:sz w:val="72"/>
          <w:szCs w:val="72"/>
          <w:highlight w:val="none"/>
        </w:rPr>
        <w:t>商务文件</w:t>
      </w:r>
      <w:bookmarkEnd w:id="222"/>
      <w:bookmarkEnd w:id="223"/>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11"/>
        <w:rPr>
          <w:color w:val="auto"/>
          <w:highlight w:val="none"/>
        </w:rPr>
      </w:pPr>
    </w:p>
    <w:p>
      <w:pPr>
        <w:pStyle w:val="10"/>
        <w:ind w:firstLine="240"/>
        <w:rPr>
          <w:color w:val="auto"/>
          <w:highlight w:val="none"/>
        </w:rPr>
      </w:pPr>
    </w:p>
    <w:p>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4"/>
        </w:rPr>
        <w:t>项目名</w:t>
      </w:r>
      <w:r>
        <w:rPr>
          <w:rFonts w:hint="eastAsia" w:ascii="宋体" w:hAnsi="宋体" w:cs="宋体"/>
          <w:b/>
          <w:bCs/>
          <w:color w:val="auto"/>
          <w:spacing w:val="1"/>
          <w:kern w:val="0"/>
          <w:sz w:val="32"/>
          <w:szCs w:val="32"/>
          <w:highlight w:val="none"/>
          <w:fitText w:val="1600" w:id="4"/>
        </w:rPr>
        <w:t>称</w:t>
      </w:r>
      <w:r>
        <w:rPr>
          <w:rFonts w:hint="eastAsia" w:ascii="宋体" w:hAnsi="宋体" w:cs="宋体"/>
          <w:b/>
          <w:bCs/>
          <w:color w:val="auto"/>
          <w:spacing w:val="-6"/>
          <w:sz w:val="32"/>
          <w:szCs w:val="32"/>
          <w:highlight w:val="none"/>
        </w:rPr>
        <w:t>：</w:t>
      </w:r>
    </w:p>
    <w:p>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5"/>
        </w:rPr>
        <w:t>项目编</w:t>
      </w:r>
      <w:r>
        <w:rPr>
          <w:rFonts w:hint="eastAsia" w:ascii="宋体" w:hAnsi="宋体" w:cs="宋体"/>
          <w:b/>
          <w:bCs/>
          <w:color w:val="auto"/>
          <w:spacing w:val="1"/>
          <w:kern w:val="0"/>
          <w:sz w:val="32"/>
          <w:szCs w:val="32"/>
          <w:highlight w:val="none"/>
          <w:fitText w:val="1600" w:id="5"/>
        </w:rPr>
        <w:t>号</w:t>
      </w:r>
      <w:r>
        <w:rPr>
          <w:rFonts w:hint="eastAsia" w:ascii="宋体" w:hAnsi="宋体" w:cs="宋体"/>
          <w:b/>
          <w:bCs/>
          <w:color w:val="auto"/>
          <w:sz w:val="32"/>
          <w:szCs w:val="32"/>
          <w:highlight w:val="none"/>
        </w:rPr>
        <w:t>：</w:t>
      </w:r>
    </w:p>
    <w:p>
      <w:pPr>
        <w:rPr>
          <w:b/>
          <w:color w:val="auto"/>
          <w:spacing w:val="1280"/>
          <w:sz w:val="32"/>
          <w:szCs w:val="32"/>
          <w:highlight w:val="none"/>
        </w:rPr>
      </w:pPr>
      <w:r>
        <w:rPr>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6"/>
        </w:rPr>
        <w:t>供应商名称</w:t>
      </w:r>
      <w:r>
        <w:rPr>
          <w:rFonts w:hint="eastAsia" w:ascii="宋体" w:hAnsi="宋体" w:cs="宋体"/>
          <w:b/>
          <w:color w:val="auto"/>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7"/>
        </w:rPr>
        <w:t>日</w:t>
      </w:r>
      <w:r>
        <w:rPr>
          <w:rFonts w:ascii="宋体" w:hAnsi="宋体" w:cs="宋体"/>
          <w:b/>
          <w:color w:val="auto"/>
          <w:spacing w:val="32"/>
          <w:kern w:val="0"/>
          <w:sz w:val="32"/>
          <w:szCs w:val="32"/>
          <w:highlight w:val="none"/>
          <w:fitText w:val="1600" w:id="7"/>
        </w:rPr>
        <w:t xml:space="preserve">    </w:t>
      </w:r>
      <w:r>
        <w:rPr>
          <w:rFonts w:hint="eastAsia" w:ascii="宋体" w:hAnsi="宋体" w:cs="宋体"/>
          <w:b/>
          <w:color w:val="auto"/>
          <w:spacing w:val="0"/>
          <w:kern w:val="0"/>
          <w:sz w:val="32"/>
          <w:szCs w:val="32"/>
          <w:highlight w:val="none"/>
          <w:fitText w:val="1600" w:id="7"/>
        </w:rPr>
        <w:t>期</w:t>
      </w:r>
      <w:r>
        <w:rPr>
          <w:rFonts w:hint="eastAsia" w:ascii="宋体" w:hAnsi="宋体" w:cs="宋体"/>
          <w:b/>
          <w:color w:val="auto"/>
          <w:sz w:val="32"/>
          <w:szCs w:val="32"/>
          <w:highlight w:val="none"/>
        </w:rPr>
        <w:t>：</w:t>
      </w:r>
    </w:p>
    <w:p>
      <w:pPr>
        <w:pStyle w:val="11"/>
        <w:rPr>
          <w:b/>
          <w:color w:val="auto"/>
          <w:sz w:val="32"/>
          <w:szCs w:val="32"/>
          <w:highlight w:val="none"/>
        </w:rPr>
      </w:pPr>
    </w:p>
    <w:p>
      <w:pPr>
        <w:pStyle w:val="10"/>
        <w:ind w:firstLine="321"/>
        <w:rPr>
          <w:b/>
          <w:color w:val="auto"/>
          <w:sz w:val="32"/>
          <w:szCs w:val="32"/>
          <w:highlight w:val="none"/>
        </w:rPr>
      </w:pPr>
    </w:p>
    <w:p>
      <w:pPr>
        <w:pStyle w:val="24"/>
        <w:rPr>
          <w:rFonts w:ascii="宋体" w:hAnsi="宋体" w:cs="宋体"/>
          <w:b/>
          <w:color w:val="auto"/>
          <w:sz w:val="32"/>
          <w:szCs w:val="32"/>
          <w:highlight w:val="none"/>
        </w:rPr>
      </w:pPr>
    </w:p>
    <w:p>
      <w:pPr>
        <w:rPr>
          <w:rFonts w:ascii="宋体" w:hAnsi="宋体" w:cs="宋体"/>
          <w:b/>
          <w:color w:val="auto"/>
          <w:sz w:val="32"/>
          <w:szCs w:val="32"/>
          <w:highlight w:val="none"/>
        </w:rPr>
      </w:pPr>
    </w:p>
    <w:p>
      <w:pPr>
        <w:pStyle w:val="11"/>
        <w:rPr>
          <w:b/>
          <w:color w:val="auto"/>
          <w:sz w:val="32"/>
          <w:szCs w:val="32"/>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color w:val="auto"/>
          <w:highlight w:val="none"/>
        </w:rPr>
      </w:pPr>
      <w:bookmarkStart w:id="224" w:name="_Toc31746"/>
      <w:bookmarkStart w:id="225" w:name="_Toc1567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.响应书格式</w:t>
      </w:r>
      <w:bookmarkEnd w:id="224"/>
      <w:bookmarkEnd w:id="225"/>
    </w:p>
    <w:p>
      <w:pPr>
        <w:jc w:val="center"/>
        <w:rPr>
          <w:rFonts w:ascii="宋体" w:hAnsi="宋体"/>
          <w:color w:val="auto"/>
          <w:szCs w:val="21"/>
          <w:highlight w:val="none"/>
        </w:rPr>
      </w:pPr>
      <w:r>
        <w:rPr>
          <w:rFonts w:hint="eastAsia" w:ascii="黑体" w:eastAsia="黑体"/>
          <w:color w:val="auto"/>
          <w:sz w:val="32"/>
          <w:szCs w:val="32"/>
          <w:highlight w:val="none"/>
        </w:rPr>
        <w:t>响应书</w:t>
      </w: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广西同泽工程项目管理股份有限公司</w:t>
      </w:r>
      <w:r>
        <w:rPr>
          <w:rFonts w:hint="eastAsia" w:ascii="宋体" w:hAnsi="宋体"/>
          <w:color w:val="auto"/>
          <w:szCs w:val="21"/>
          <w:highlight w:val="none"/>
        </w:rPr>
        <w:t>：</w:t>
      </w:r>
    </w:p>
    <w:p>
      <w:pPr>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项目磋商公告，签字代表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hAnsi="宋体"/>
          <w:color w:val="auto"/>
          <w:szCs w:val="21"/>
          <w:highlight w:val="none"/>
        </w:rPr>
        <w:t>提交响应文件及“唱标信封”：</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pPr>
        <w:widowControl w:val="0"/>
        <w:numPr>
          <w:ilvl w:val="0"/>
          <w:numId w:val="7"/>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磋商文件的所有内容（包括澄清，以及所有已提供的参考资料和有关附件），并完全理解上述文件所表达的意思，该项目递交响应文件时间截止后，我方承诺不再对上述文件内容进行异议。</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本磋商有效期为自开标日起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我方保证遵守供应商须知中关于没收磋商保证金的规定。</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供应商邀请中所要求的资格条件，已清楚磋商文件所有要求及有关规定；并承诺参加本次采购活动中，如有违法、违规、弄虚作假行为，所造成的损失、不良后果及法律责任，一律由我方承担；</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我方同意提供按照贵方可能要求的与其磋商有关的一切数据或资料。</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pPr>
        <w:rPr>
          <w:rFonts w:ascii="宋体" w:hAnsi="宋体"/>
          <w:color w:val="auto"/>
          <w:szCs w:val="21"/>
          <w:highlight w:val="none"/>
        </w:rPr>
      </w:pPr>
      <w:r>
        <w:rPr>
          <w:rFonts w:hint="eastAsia" w:ascii="宋体" w:hAnsi="宋体"/>
          <w:color w:val="auto"/>
          <w:szCs w:val="21"/>
          <w:highlight w:val="none"/>
        </w:rPr>
        <w:t>地址：　　　　　　　　　　　　　　　　　　　 电子邮箱：</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供应商法定代表人（或其授权代表）签字： </w:t>
      </w:r>
    </w:p>
    <w:p>
      <w:pPr>
        <w:rPr>
          <w:rFonts w:ascii="宋体" w:hAnsi="宋体"/>
          <w:color w:val="auto"/>
          <w:szCs w:val="21"/>
          <w:highlight w:val="none"/>
        </w:rPr>
      </w:pPr>
      <w:r>
        <w:rPr>
          <w:rFonts w:hint="eastAsia" w:ascii="宋体" w:hAnsi="宋体"/>
          <w:color w:val="auto"/>
          <w:szCs w:val="21"/>
          <w:highlight w:val="none"/>
        </w:rPr>
        <w:t xml:space="preserve">供应商名称（全称）： </w:t>
      </w:r>
    </w:p>
    <w:p>
      <w:pPr>
        <w:rPr>
          <w:rFonts w:ascii="宋体" w:hAnsi="宋体"/>
          <w:color w:val="auto"/>
          <w:szCs w:val="21"/>
          <w:highlight w:val="none"/>
        </w:rPr>
      </w:pPr>
      <w:r>
        <w:rPr>
          <w:rFonts w:hint="eastAsia" w:ascii="宋体" w:hAnsi="宋体"/>
          <w:color w:val="auto"/>
          <w:szCs w:val="21"/>
          <w:highlight w:val="none"/>
        </w:rPr>
        <w:t xml:space="preserve">供应商盖章： </w:t>
      </w:r>
    </w:p>
    <w:p>
      <w:pPr>
        <w:rPr>
          <w:color w:val="auto"/>
          <w:highlight w:val="none"/>
        </w:rPr>
      </w:pPr>
      <w:r>
        <w:rPr>
          <w:rFonts w:hint="eastAsia" w:ascii="宋体" w:hAnsi="宋体"/>
          <w:color w:val="auto"/>
          <w:szCs w:val="21"/>
          <w:highlight w:val="none"/>
        </w:rPr>
        <w:t>日期：</w:t>
      </w:r>
      <w:r>
        <w:rPr>
          <w:color w:val="auto"/>
          <w:highlight w:val="none"/>
        </w:rPr>
        <w:br w:type="page"/>
      </w:r>
    </w:p>
    <w:p>
      <w:pPr>
        <w:pStyle w:val="5"/>
        <w:widowControl w:val="0"/>
        <w:overflowPunct w:val="0"/>
        <w:spacing w:line="240" w:lineRule="auto"/>
        <w:rPr>
          <w:rFonts w:ascii="宋体" w:hAnsi="宋体"/>
          <w:color w:val="auto"/>
          <w:sz w:val="21"/>
          <w:szCs w:val="21"/>
          <w:highlight w:val="none"/>
        </w:rPr>
      </w:pPr>
      <w:bookmarkStart w:id="226" w:name="_Toc11345"/>
      <w:bookmarkStart w:id="227" w:name="_Toc1889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.法定代表人证明书格式</w:t>
      </w:r>
      <w:bookmarkEnd w:id="226"/>
      <w:bookmarkEnd w:id="22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42"/>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广西同泽工程项目管理股份有限公司</w:t>
      </w:r>
    </w:p>
    <w:p>
      <w:pPr>
        <w:pStyle w:val="42"/>
        <w:spacing w:line="420" w:lineRule="atLeast"/>
        <w:ind w:firstLine="433"/>
        <w:rPr>
          <w:rFonts w:ascii="宋体" w:eastAsia="宋体"/>
          <w:color w:val="auto"/>
          <w:sz w:val="21"/>
          <w:szCs w:val="21"/>
          <w:highlight w:val="none"/>
        </w:rPr>
      </w:pPr>
    </w:p>
    <w:p>
      <w:pPr>
        <w:pStyle w:val="4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供应商名称:</w:t>
      </w:r>
    </w:p>
    <w:p>
      <w:pPr>
        <w:pStyle w:val="4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4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系（供应商名称）的法定代表人。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4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4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4"/>
        <w:tblW w:w="83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517" w:hRule="atLeast"/>
          <w:jc w:val="center"/>
        </w:trPr>
        <w:tc>
          <w:tcPr>
            <w:tcW w:w="418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hAnsi="Cambria" w:eastAsia="楷体_GB2312" w:cs="Times New Roman"/>
          <w:b/>
          <w:bCs/>
          <w:color w:val="auto"/>
          <w:sz w:val="24"/>
          <w:szCs w:val="28"/>
          <w:highlight w:val="none"/>
        </w:rPr>
      </w:pPr>
      <w:r>
        <w:rPr>
          <w:rFonts w:ascii="楷体_GB2312" w:eastAsia="楷体_GB2312"/>
          <w:color w:val="auto"/>
          <w:sz w:val="24"/>
          <w:highlight w:val="none"/>
        </w:rPr>
        <w:br w:type="page"/>
      </w:r>
    </w:p>
    <w:p>
      <w:pPr>
        <w:pStyle w:val="5"/>
        <w:widowControl w:val="0"/>
        <w:overflowPunct w:val="0"/>
        <w:spacing w:line="240" w:lineRule="auto"/>
        <w:rPr>
          <w:color w:val="auto"/>
          <w:highlight w:val="none"/>
        </w:rPr>
      </w:pPr>
      <w:bookmarkStart w:id="228" w:name="_Toc25709"/>
      <w:bookmarkStart w:id="229" w:name="_Toc1430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.法定代表人授权书格式</w:t>
      </w:r>
      <w:bookmarkEnd w:id="228"/>
      <w:bookmarkEnd w:id="229"/>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42"/>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广西同泽工程项目管理股份有限公司</w:t>
      </w:r>
    </w:p>
    <w:p>
      <w:pPr>
        <w:pStyle w:val="42"/>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响应及参加项目磋商，以本单位名义处理一切与之有关的事务。</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4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4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4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pStyle w:val="42"/>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须附：被授权人身份证复印件。</w:t>
      </w:r>
    </w:p>
    <w:tbl>
      <w:tblPr>
        <w:tblStyle w:val="34"/>
        <w:tblW w:w="84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PrEx>
        <w:trPr>
          <w:trHeight w:val="2661" w:hRule="atLeast"/>
          <w:jc w:val="center"/>
        </w:trPr>
        <w:tc>
          <w:tcPr>
            <w:tcW w:w="423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230" w:name="_Toc22486"/>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31" w:name="_Toc28318"/>
      <w:bookmarkStart w:id="232" w:name="_Toc2457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.资格申明</w:t>
      </w:r>
      <w:bookmarkEnd w:id="231"/>
      <w:bookmarkEnd w:id="232"/>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4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广西同泽工程项目管理股份有限公司</w:t>
      </w:r>
      <w:r>
        <w:rPr>
          <w:rFonts w:hint="eastAsia" w:ascii="宋体" w:eastAsia="宋体"/>
          <w:color w:val="auto"/>
          <w:sz w:val="21"/>
          <w:szCs w:val="21"/>
          <w:highlight w:val="none"/>
        </w:rPr>
        <w:t>：</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响应</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一、我方具备磋商邀请中所要求得资格条件，已清楚磋商文件所有要求及有关规定；并承诺参加本次采购活动中，如有违法、违规、弄虚作假行为，所造成的损失、不良后果及法律责任，一律由我方承担；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33" w:name="_Toc28997"/>
      <w:bookmarkStart w:id="234" w:name="_Toc966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.营业执照</w:t>
      </w:r>
      <w:bookmarkEnd w:id="233"/>
      <w:bookmarkEnd w:id="234"/>
    </w:p>
    <w:p>
      <w:pPr>
        <w:jc w:val="center"/>
        <w:rPr>
          <w:rFonts w:ascii="黑体" w:eastAsia="黑体"/>
          <w:color w:val="auto"/>
          <w:sz w:val="28"/>
          <w:szCs w:val="28"/>
          <w:highlight w:val="none"/>
        </w:rPr>
      </w:pPr>
      <w:bookmarkStart w:id="235" w:name="_Toc5919"/>
      <w:bookmarkStart w:id="236" w:name="_Toc1511"/>
      <w:bookmarkStart w:id="237" w:name="_Toc24210"/>
      <w:bookmarkStart w:id="238" w:name="_Toc4926"/>
      <w:bookmarkStart w:id="239" w:name="_Toc17470"/>
      <w:r>
        <w:rPr>
          <w:rFonts w:hint="eastAsia" w:ascii="黑体" w:eastAsia="黑体"/>
          <w:color w:val="auto"/>
          <w:sz w:val="28"/>
          <w:szCs w:val="28"/>
          <w:highlight w:val="none"/>
        </w:rPr>
        <w:t>营业执照</w:t>
      </w:r>
      <w:bookmarkEnd w:id="235"/>
      <w:bookmarkEnd w:id="236"/>
      <w:bookmarkEnd w:id="237"/>
      <w:bookmarkEnd w:id="238"/>
      <w:bookmarkEnd w:id="239"/>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widowControl w:val="0"/>
        <w:overflowPunct w:val="0"/>
        <w:spacing w:line="240" w:lineRule="auto"/>
        <w:rPr>
          <w:rFonts w:ascii="宋体" w:hAnsi="宋体"/>
          <w:color w:val="auto"/>
          <w:sz w:val="21"/>
          <w:szCs w:val="21"/>
          <w:highlight w:val="none"/>
        </w:rPr>
      </w:pPr>
      <w:bookmarkStart w:id="240" w:name="_Toc6906"/>
      <w:bookmarkStart w:id="241" w:name="_Toc6972"/>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.相关资质证明文件</w:t>
      </w:r>
      <w:bookmarkEnd w:id="240"/>
      <w:bookmarkEnd w:id="241"/>
    </w:p>
    <w:p>
      <w:pPr>
        <w:rPr>
          <w:color w:val="auto"/>
          <w:highlight w:val="none"/>
        </w:rPr>
      </w:pPr>
    </w:p>
    <w:p>
      <w:pPr>
        <w:jc w:val="center"/>
        <w:rPr>
          <w:rFonts w:ascii="黑体" w:eastAsia="黑体"/>
          <w:color w:val="auto"/>
          <w:sz w:val="28"/>
          <w:szCs w:val="28"/>
          <w:highlight w:val="none"/>
        </w:rPr>
      </w:pPr>
      <w:bookmarkStart w:id="242" w:name="_Toc30307"/>
      <w:bookmarkStart w:id="243" w:name="_Toc16233"/>
      <w:bookmarkStart w:id="244" w:name="_Toc13458"/>
      <w:bookmarkStart w:id="245" w:name="_Toc16698"/>
      <w:bookmarkStart w:id="246" w:name="_Toc9592"/>
      <w:r>
        <w:rPr>
          <w:rFonts w:hint="eastAsia" w:ascii="黑体" w:eastAsia="黑体"/>
          <w:color w:val="auto"/>
          <w:sz w:val="28"/>
          <w:szCs w:val="28"/>
          <w:highlight w:val="none"/>
        </w:rPr>
        <w:t>相关资质证明文件</w:t>
      </w:r>
      <w:bookmarkEnd w:id="230"/>
      <w:bookmarkEnd w:id="242"/>
      <w:bookmarkEnd w:id="243"/>
      <w:bookmarkEnd w:id="244"/>
      <w:bookmarkEnd w:id="245"/>
      <w:bookmarkEnd w:id="246"/>
    </w:p>
    <w:p>
      <w:pPr>
        <w:numPr>
          <w:ilvl w:val="0"/>
          <w:numId w:val="8"/>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符合磋商邀请书“供应商资格要求”其他要求对应的证明文件；</w:t>
      </w:r>
    </w:p>
    <w:p>
      <w:pPr>
        <w:numPr>
          <w:ilvl w:val="0"/>
          <w:numId w:val="8"/>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供应商认为必要的文件。</w:t>
      </w:r>
      <w:r>
        <w:rPr>
          <w:rFonts w:hint="eastAsia" w:ascii="宋体" w:hAnsi="宋体" w:cs="宋体"/>
          <w:b/>
          <w:bCs/>
          <w:color w:val="auto"/>
          <w:szCs w:val="21"/>
          <w:highlight w:val="none"/>
        </w:rPr>
        <w:br w:type="page"/>
      </w:r>
    </w:p>
    <w:p>
      <w:pPr>
        <w:pStyle w:val="5"/>
        <w:widowControl w:val="0"/>
        <w:overflowPunct w:val="0"/>
        <w:spacing w:line="240" w:lineRule="auto"/>
        <w:rPr>
          <w:rFonts w:ascii="楷体_GB2312" w:eastAsia="楷体_GB2312"/>
          <w:color w:val="auto"/>
          <w:highlight w:val="none"/>
        </w:rPr>
      </w:pPr>
      <w:bookmarkStart w:id="247" w:name="_Toc21573"/>
      <w:bookmarkStart w:id="248" w:name="_Toc22535"/>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.在经营活动中没有重大违法记录的书面声明格式</w:t>
      </w:r>
      <w:bookmarkEnd w:id="247"/>
      <w:bookmarkEnd w:id="248"/>
    </w:p>
    <w:p>
      <w:pPr>
        <w:rPr>
          <w:color w:val="auto"/>
          <w:highlight w:val="none"/>
        </w:rPr>
      </w:pPr>
    </w:p>
    <w:p>
      <w:pPr>
        <w:jc w:val="center"/>
        <w:rPr>
          <w:rFonts w:hint="eastAsia" w:ascii="黑体" w:eastAsia="黑体"/>
          <w:color w:val="auto"/>
          <w:sz w:val="28"/>
          <w:szCs w:val="28"/>
          <w:highlight w:val="none"/>
        </w:rPr>
      </w:pPr>
      <w:r>
        <w:rPr>
          <w:rFonts w:hint="eastAsia" w:ascii="黑体" w:eastAsia="黑体"/>
          <w:color w:val="auto"/>
          <w:sz w:val="28"/>
          <w:szCs w:val="28"/>
          <w:highlight w:val="none"/>
        </w:rPr>
        <w:t>供应商在经营活动中前三年内未有重大违法记录、没有不良</w:t>
      </w:r>
    </w:p>
    <w:p>
      <w:pPr>
        <w:jc w:val="center"/>
        <w:rPr>
          <w:rFonts w:ascii="黑体" w:eastAsia="黑体"/>
          <w:color w:val="auto"/>
          <w:sz w:val="28"/>
          <w:szCs w:val="28"/>
          <w:highlight w:val="none"/>
        </w:rPr>
      </w:pPr>
      <w:r>
        <w:rPr>
          <w:rFonts w:hint="eastAsia" w:ascii="黑体" w:eastAsia="黑体"/>
          <w:color w:val="auto"/>
          <w:sz w:val="28"/>
          <w:szCs w:val="28"/>
          <w:highlight w:val="none"/>
        </w:rPr>
        <w:t>信用记录的声明函</w:t>
      </w:r>
    </w:p>
    <w:p>
      <w:pPr>
        <w:ind w:firstLine="420" w:firstLineChars="200"/>
        <w:rPr>
          <w:rFonts w:ascii="宋体" w:hAnsi="宋体" w:cs="宋体"/>
          <w:color w:val="auto"/>
          <w:szCs w:val="21"/>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广西同泽工程项目管理股份有限公司</w:t>
      </w:r>
      <w:r>
        <w:rPr>
          <w:rFonts w:hint="eastAsia" w:ascii="宋体" w:hAnsi="宋体" w:cs="宋体"/>
          <w:color w:val="auto"/>
          <w:szCs w:val="21"/>
          <w:highlight w:val="none"/>
        </w:rPr>
        <w:t>：</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重大违法记录；至本项目提交响应文件截止时间止未被列入“信用中国”网站失信被执行人、重大税收违法失信主体、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供应商名称（盖章）：</w:t>
      </w: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rPr>
          <w:color w:val="auto"/>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color w:val="auto"/>
          <w:highlight w:val="none"/>
        </w:rPr>
      </w:pPr>
    </w:p>
    <w:p>
      <w:pPr>
        <w:pStyle w:val="5"/>
        <w:widowControl w:val="0"/>
        <w:overflowPunct w:val="0"/>
        <w:spacing w:line="240" w:lineRule="auto"/>
        <w:rPr>
          <w:rFonts w:ascii="楷体_GB2312" w:eastAsia="楷体_GB2312"/>
          <w:color w:val="auto"/>
          <w:highlight w:val="none"/>
        </w:rPr>
      </w:pPr>
      <w:bookmarkStart w:id="249" w:name="_Toc24145"/>
      <w:bookmarkStart w:id="250" w:name="_Toc14897"/>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.承诺书格式</w:t>
      </w:r>
      <w:bookmarkEnd w:id="249"/>
      <w:bookmarkEnd w:id="250"/>
    </w:p>
    <w:p>
      <w:pPr>
        <w:jc w:val="center"/>
        <w:rPr>
          <w:rFonts w:ascii="黑体" w:eastAsia="黑体"/>
          <w:color w:val="auto"/>
          <w:sz w:val="28"/>
          <w:szCs w:val="28"/>
          <w:highlight w:val="none"/>
        </w:rPr>
      </w:pPr>
      <w:r>
        <w:rPr>
          <w:rFonts w:hint="eastAsia" w:ascii="黑体" w:eastAsia="黑体"/>
          <w:color w:val="auto"/>
          <w:sz w:val="28"/>
          <w:szCs w:val="28"/>
          <w:highlight w:val="none"/>
        </w:rPr>
        <w:t>承诺书</w:t>
      </w:r>
    </w:p>
    <w:p>
      <w:pPr>
        <w:pStyle w:val="42"/>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广西同泽工程项目管理股份有限公司</w:t>
      </w:r>
      <w:r>
        <w:rPr>
          <w:rFonts w:hint="eastAsia" w:ascii="宋体" w:eastAsia="宋体" w:cs="宋体"/>
          <w:color w:val="auto"/>
          <w:sz w:val="21"/>
          <w:szCs w:val="21"/>
          <w:highlight w:val="none"/>
        </w:rPr>
        <w:t>：</w:t>
      </w:r>
    </w:p>
    <w:p>
      <w:pPr>
        <w:jc w:val="center"/>
        <w:rPr>
          <w:rFonts w:ascii="宋体" w:hAnsi="宋体" w:cs="宋体"/>
          <w:color w:val="auto"/>
          <w:szCs w:val="21"/>
          <w:highlight w:val="none"/>
        </w:rPr>
      </w:pPr>
    </w:p>
    <w:p>
      <w:pPr>
        <w:pStyle w:val="42"/>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）磋商文件的所有内容（包括澄清，以及所有已提供的参考资料和有关附件），并完全理解上述文件所表达的意思，该项目递交响应文件时间截止后，我方承诺不再对上述文件内容有异议。</w:t>
      </w:r>
      <w:r>
        <w:rPr>
          <w:rFonts w:hint="eastAsia" w:ascii="宋体" w:eastAsia="宋体" w:cs="宋体"/>
          <w:color w:val="auto"/>
          <w:sz w:val="21"/>
          <w:szCs w:val="21"/>
          <w:highlight w:val="none"/>
        </w:rPr>
        <w:cr/>
      </w:r>
    </w:p>
    <w:p>
      <w:pPr>
        <w:pStyle w:val="42"/>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rPr>
          <w:color w:val="auto"/>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51" w:name="_Toc21222"/>
      <w:bookmarkStart w:id="252" w:name="_Toc14705"/>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.商务需求条款偏离表格式</w:t>
      </w:r>
      <w:bookmarkEnd w:id="251"/>
      <w:bookmarkEnd w:id="252"/>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w:t>
      </w:r>
    </w:p>
    <w:tbl>
      <w:tblPr>
        <w:tblStyle w:val="34"/>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0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磋商实际响应</w:t>
            </w:r>
          </w:p>
        </w:tc>
        <w:tc>
          <w:tcPr>
            <w:tcW w:w="11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p>
    <w:p>
      <w:pPr>
        <w:ind w:left="718" w:hanging="718" w:hangingChars="342"/>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1、供应商应对照磋商文件商务需求书中商务要求，说明已对磋商文件的商务内容做出了实质性的响应。</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，供应商都被认为已清楚了解磋商文件“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需求书”的内容并对采购人所需的服务要求作全面响应，供应商必须承担完成“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，因此对供应商响应产生负面影响的，供应商自行承担后果。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如供应商差异内容较多可另附页说明。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如供应商对用户需求书商务要求的条款全部响应的，也可以在表格下面用文字总括性的说明。</w:t>
      </w: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30"/>
          <w:szCs w:val="30"/>
          <w:highlight w:val="none"/>
        </w:rPr>
      </w:pPr>
      <w:bookmarkStart w:id="253" w:name="_Toc13671"/>
      <w:bookmarkStart w:id="254" w:name="_Toc26213"/>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.业绩表</w:t>
      </w:r>
      <w:bookmarkEnd w:id="253"/>
      <w:bookmarkEnd w:id="254"/>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35"/>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967"/>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967"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435"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center"/>
          </w:tcPr>
          <w:p>
            <w:pPr>
              <w:adjustRightInd/>
              <w:snapToGrid/>
              <w:jc w:val="center"/>
              <w:rPr>
                <w:rFonts w:ascii="宋体" w:hAnsi="宋体"/>
                <w:color w:val="auto"/>
                <w:szCs w:val="21"/>
                <w:highlight w:val="none"/>
              </w:rPr>
            </w:pPr>
          </w:p>
        </w:tc>
        <w:tc>
          <w:tcPr>
            <w:tcW w:w="1705" w:type="dxa"/>
            <w:noWrap w:val="0"/>
            <w:vAlign w:val="center"/>
          </w:tcPr>
          <w:p>
            <w:pPr>
              <w:adjustRightInd/>
              <w:snapToGrid/>
              <w:jc w:val="center"/>
              <w:rPr>
                <w:rFonts w:ascii="宋体" w:hAnsi="宋体"/>
                <w:color w:val="auto"/>
                <w:szCs w:val="21"/>
                <w:highlight w:val="none"/>
              </w:rPr>
            </w:pPr>
          </w:p>
        </w:tc>
        <w:tc>
          <w:tcPr>
            <w:tcW w:w="1706" w:type="dxa"/>
            <w:noWrap w:val="0"/>
            <w:vAlign w:val="center"/>
          </w:tcPr>
          <w:p>
            <w:pPr>
              <w:adjustRightInd/>
              <w:snapToGrid/>
              <w:jc w:val="center"/>
              <w:rPr>
                <w:rFonts w:ascii="宋体" w:hAnsi="宋体"/>
                <w:color w:val="auto"/>
                <w:szCs w:val="21"/>
                <w:highlight w:val="none"/>
              </w:rPr>
            </w:pPr>
          </w:p>
        </w:tc>
        <w:tc>
          <w:tcPr>
            <w:tcW w:w="1967" w:type="dxa"/>
            <w:noWrap w:val="0"/>
            <w:vAlign w:val="center"/>
          </w:tcPr>
          <w:p>
            <w:pPr>
              <w:adjustRightInd/>
              <w:snapToGrid/>
              <w:jc w:val="center"/>
              <w:rPr>
                <w:rFonts w:ascii="宋体" w:hAnsi="宋体"/>
                <w:color w:val="auto"/>
                <w:szCs w:val="21"/>
                <w:highlight w:val="none"/>
              </w:rPr>
            </w:pPr>
          </w:p>
        </w:tc>
        <w:tc>
          <w:tcPr>
            <w:tcW w:w="1435" w:type="dxa"/>
            <w:noWrap w:val="0"/>
            <w:vAlign w:val="center"/>
          </w:tcPr>
          <w:p>
            <w:pP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bl>
    <w:p>
      <w:pPr>
        <w:pStyle w:val="56"/>
        <w:rPr>
          <w:rFonts w:ascii="宋体" w:hAnsi="宋体"/>
          <w:color w:val="auto"/>
          <w:szCs w:val="21"/>
          <w:highlight w:val="none"/>
        </w:rPr>
      </w:pPr>
    </w:p>
    <w:p>
      <w:pPr>
        <w:pStyle w:val="56"/>
        <w:rPr>
          <w:rFonts w:ascii="宋体" w:hAnsi="宋体"/>
          <w:color w:val="auto"/>
          <w:szCs w:val="21"/>
          <w:highlight w:val="none"/>
        </w:rPr>
      </w:pPr>
      <w:r>
        <w:rPr>
          <w:rFonts w:hint="eastAsia" w:ascii="宋体" w:hAnsi="宋体"/>
          <w:color w:val="auto"/>
          <w:szCs w:val="21"/>
          <w:highlight w:val="none"/>
        </w:rPr>
        <w:t>注：</w:t>
      </w:r>
    </w:p>
    <w:p>
      <w:pPr>
        <w:pStyle w:val="56"/>
        <w:numPr>
          <w:ilvl w:val="0"/>
          <w:numId w:val="9"/>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w:t>
      </w:r>
    </w:p>
    <w:p>
      <w:pPr>
        <w:pStyle w:val="56"/>
        <w:numPr>
          <w:ilvl w:val="0"/>
          <w:numId w:val="9"/>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rPr>
          <w:color w:val="auto"/>
          <w:szCs w:val="21"/>
          <w:highlight w:val="none"/>
        </w:rPr>
        <w:sectPr>
          <w:headerReference r:id="rId7" w:type="first"/>
          <w:footerReference r:id="rId9" w:type="first"/>
          <w:headerReference r:id="rId5" w:type="default"/>
          <w:footerReference r:id="rId8" w:type="default"/>
          <w:headerReference r:id="rId6" w:type="even"/>
          <w:pgSz w:w="11906" w:h="16838"/>
          <w:pgMar w:top="1440" w:right="1800" w:bottom="1276" w:left="1800" w:header="708" w:footer="708" w:gutter="0"/>
          <w:cols w:space="720" w:num="1"/>
          <w:titlePg/>
          <w:docGrid w:type="lines" w:linePitch="360" w:charSpace="0"/>
        </w:sectPr>
      </w:pPr>
    </w:p>
    <w:p>
      <w:pPr>
        <w:pStyle w:val="5"/>
        <w:widowControl w:val="0"/>
        <w:overflowPunct w:val="0"/>
        <w:spacing w:line="240" w:lineRule="auto"/>
        <w:rPr>
          <w:color w:val="auto"/>
          <w:highlight w:val="none"/>
        </w:rPr>
      </w:pPr>
      <w:bookmarkStart w:id="255" w:name="_Toc21395"/>
      <w:bookmarkStart w:id="256" w:name="_Toc7138"/>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.联合体协议书</w:t>
      </w:r>
      <w:r>
        <w:rPr>
          <w:rFonts w:hint="eastAsia"/>
          <w:color w:val="auto"/>
          <w:highlight w:val="none"/>
        </w:rPr>
        <w:t>（如有）</w:t>
      </w:r>
      <w:bookmarkEnd w:id="255"/>
      <w:bookmarkEnd w:id="256"/>
    </w:p>
    <w:p>
      <w:pPr>
        <w:rPr>
          <w:color w:val="auto"/>
          <w:highlight w:val="none"/>
        </w:rPr>
      </w:pPr>
    </w:p>
    <w:p>
      <w:pPr>
        <w:jc w:val="center"/>
        <w:rPr>
          <w:rFonts w:hAnsi="宋体" w:cs="宋体"/>
          <w:color w:val="auto"/>
          <w:highlight w:val="none"/>
        </w:rPr>
      </w:pPr>
      <w:r>
        <w:rPr>
          <w:rFonts w:hint="eastAsia" w:hAnsi="宋体" w:cs="宋体"/>
          <w:b/>
          <w:bCs/>
          <w:color w:val="auto"/>
          <w:highlight w:val="none"/>
        </w:rPr>
        <w:t>联合体共同投标协议书</w:t>
      </w:r>
    </w:p>
    <w:p>
      <w:pPr>
        <w:jc w:val="center"/>
        <w:rPr>
          <w:rFonts w:hAnsi="宋体" w:cs="宋体"/>
          <w:color w:val="auto"/>
          <w:highlight w:val="none"/>
        </w:rPr>
      </w:pPr>
    </w:p>
    <w:p>
      <w:pPr>
        <w:rPr>
          <w:rFonts w:hAnsi="宋体" w:cs="宋体"/>
          <w:color w:val="auto"/>
          <w:szCs w:val="21"/>
          <w:highlight w:val="none"/>
        </w:rPr>
      </w:pPr>
      <w:r>
        <w:rPr>
          <w:rFonts w:hint="eastAsia" w:hAnsi="宋体" w:cs="宋体"/>
          <w:color w:val="auto"/>
          <w:szCs w:val="21"/>
          <w:highlight w:val="none"/>
        </w:rPr>
        <w:t>立约方：（甲公司全称）</w:t>
      </w:r>
    </w:p>
    <w:p>
      <w:pPr>
        <w:rPr>
          <w:rFonts w:hAnsi="宋体" w:cs="宋体"/>
          <w:color w:val="auto"/>
          <w:szCs w:val="21"/>
          <w:highlight w:val="none"/>
        </w:rPr>
      </w:pPr>
      <w:r>
        <w:rPr>
          <w:rFonts w:hint="eastAsia" w:hAnsi="宋体" w:cs="宋体"/>
          <w:color w:val="auto"/>
          <w:szCs w:val="21"/>
          <w:highlight w:val="none"/>
        </w:rPr>
        <w:t>（乙公司全称）</w:t>
      </w:r>
    </w:p>
    <w:p>
      <w:pPr>
        <w:rPr>
          <w:rFonts w:hAnsi="宋体" w:cs="宋体"/>
          <w:color w:val="auto"/>
          <w:szCs w:val="21"/>
          <w:highlight w:val="none"/>
        </w:rPr>
      </w:pPr>
      <w:r>
        <w:rPr>
          <w:rFonts w:hint="eastAsia" w:hAnsi="宋体" w:cs="宋体"/>
          <w:color w:val="auto"/>
          <w:szCs w:val="21"/>
          <w:highlight w:val="none"/>
        </w:rPr>
        <w:t>（……公司全称）</w:t>
      </w:r>
    </w:p>
    <w:p>
      <w:pPr>
        <w:rPr>
          <w:rFonts w:hAnsi="宋体" w:cs="宋体"/>
          <w:color w:val="auto"/>
          <w:szCs w:val="21"/>
          <w:highlight w:val="none"/>
        </w:rPr>
      </w:pP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自愿组成联合体，以一个供应商的身份共同参加</w:t>
      </w:r>
      <w:r>
        <w:rPr>
          <w:rFonts w:hint="eastAsia" w:hAnsi="宋体" w:cs="宋体"/>
          <w:color w:val="auto"/>
          <w:szCs w:val="21"/>
          <w:highlight w:val="none"/>
          <w:u w:val="single"/>
        </w:rPr>
        <w:t>（xxxx项目） （项目编号：xxxx）</w:t>
      </w:r>
      <w:r>
        <w:rPr>
          <w:rFonts w:hint="eastAsia" w:hAnsi="宋体" w:cs="宋体"/>
          <w:color w:val="auto"/>
          <w:szCs w:val="21"/>
          <w:highlight w:val="none"/>
        </w:rPr>
        <w:t>的招标活动。经各方充分协商一致，就项目的投标和合同实施阶段的有关事务协商一致订立协议如下：</w:t>
      </w:r>
    </w:p>
    <w:p>
      <w:pPr>
        <w:rPr>
          <w:rFonts w:hAnsi="宋体" w:cs="宋体"/>
          <w:color w:val="auto"/>
          <w:szCs w:val="21"/>
          <w:highlight w:val="none"/>
        </w:rPr>
      </w:pPr>
      <w:r>
        <w:rPr>
          <w:rFonts w:hint="eastAsia" w:hAnsi="宋体" w:cs="宋体"/>
          <w:color w:val="auto"/>
          <w:szCs w:val="21"/>
          <w:highlight w:val="none"/>
        </w:rPr>
        <w:t>一、联合体各方关系</w:t>
      </w:r>
    </w:p>
    <w:p>
      <w:pPr>
        <w:rPr>
          <w:rFonts w:hAnsi="宋体" w:cs="宋体"/>
          <w:color w:val="auto"/>
          <w:szCs w:val="21"/>
          <w:highlight w:val="none"/>
        </w:rPr>
      </w:pPr>
      <w:r>
        <w:rPr>
          <w:rFonts w:hint="eastAsia" w:hAnsi="宋体" w:cs="宋体"/>
          <w:color w:val="auto"/>
          <w:szCs w:val="21"/>
          <w:highlight w:val="none"/>
          <w:u w:val="single"/>
        </w:rPr>
        <w:t>1.（甲公司全称）、（乙公司全称）、（……公司全称）</w:t>
      </w:r>
      <w:r>
        <w:rPr>
          <w:rFonts w:hint="eastAsia" w:hAnsi="宋体" w:cs="宋体"/>
          <w:color w:val="auto"/>
          <w:szCs w:val="21"/>
          <w:highlight w:val="none"/>
        </w:rPr>
        <w:t>共同组成一个联合体，以一个供应商的身份共同参加本项目的投标。</w:t>
      </w: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作为联合体成员，若成交，联合体各方共同与</w:t>
      </w:r>
      <w:r>
        <w:rPr>
          <w:rFonts w:hint="eastAsia" w:hAnsi="宋体" w:cs="宋体"/>
          <w:color w:val="auto"/>
          <w:szCs w:val="21"/>
          <w:highlight w:val="none"/>
          <w:u w:val="single"/>
        </w:rPr>
        <w:t>（采购人）</w:t>
      </w:r>
      <w:r>
        <w:rPr>
          <w:rFonts w:hint="eastAsia" w:hAnsi="宋体" w:cs="宋体"/>
          <w:color w:val="auto"/>
          <w:szCs w:val="21"/>
          <w:highlight w:val="none"/>
        </w:rPr>
        <w:t>签订合同。</w:t>
      </w:r>
    </w:p>
    <w:p>
      <w:pPr>
        <w:rPr>
          <w:rFonts w:hAnsi="宋体" w:cs="宋体"/>
          <w:color w:val="auto"/>
          <w:szCs w:val="21"/>
          <w:highlight w:val="none"/>
        </w:rPr>
      </w:pPr>
      <w:r>
        <w:rPr>
          <w:rFonts w:hint="eastAsia" w:hAnsi="宋体" w:cs="宋体"/>
          <w:color w:val="auto"/>
          <w:szCs w:val="21"/>
          <w:highlight w:val="none"/>
        </w:rPr>
        <w:t>2.本次投标中，以</w:t>
      </w:r>
      <w:r>
        <w:rPr>
          <w:rFonts w:hint="eastAsia" w:hAnsi="宋体" w:cs="宋体"/>
          <w:color w:val="auto"/>
          <w:szCs w:val="21"/>
          <w:highlight w:val="none"/>
          <w:u w:val="single"/>
        </w:rPr>
        <w:t>（公司全称）</w:t>
      </w:r>
      <w:r>
        <w:rPr>
          <w:rFonts w:hint="eastAsia" w:hAnsi="宋体" w:cs="宋体"/>
          <w:color w:val="auto"/>
          <w:szCs w:val="21"/>
          <w:highlight w:val="none"/>
        </w:rPr>
        <w:t>为联合体牵头人。</w:t>
      </w:r>
    </w:p>
    <w:p>
      <w:pPr>
        <w:rPr>
          <w:rFonts w:hAnsi="宋体" w:cs="宋体"/>
          <w:color w:val="auto"/>
          <w:szCs w:val="21"/>
          <w:highlight w:val="none"/>
        </w:rPr>
      </w:pPr>
      <w:r>
        <w:rPr>
          <w:rFonts w:hint="eastAsia" w:hAnsi="宋体" w:cs="宋体"/>
          <w:color w:val="auto"/>
          <w:szCs w:val="21"/>
          <w:highlight w:val="none"/>
        </w:rPr>
        <w:t>二、联合体内部有关事项约定如下：</w:t>
      </w:r>
    </w:p>
    <w:p>
      <w:pPr>
        <w:rPr>
          <w:rFonts w:hAnsi="宋体" w:cs="宋体"/>
          <w:color w:val="auto"/>
          <w:szCs w:val="21"/>
          <w:highlight w:val="none"/>
        </w:rPr>
      </w:pPr>
      <w:r>
        <w:rPr>
          <w:rFonts w:hint="eastAsia" w:hAnsi="宋体"/>
          <w:color w:val="auto"/>
          <w:szCs w:val="21"/>
          <w:highlight w:val="none"/>
        </w:rPr>
        <w:t>1.联合体牵头人合法代表联合体各成员，负责本项目响应文件编制和投标工作，并代表联合体成员递交和接受相关的资料、信息及指示，并处理与之有关的一切事务，负责合同实施阶段的主办、组织和协调工作。</w:t>
      </w:r>
    </w:p>
    <w:p>
      <w:pPr>
        <w:rPr>
          <w:rFonts w:hAnsi="宋体" w:cs="宋体"/>
          <w:color w:val="auto"/>
          <w:szCs w:val="21"/>
          <w:highlight w:val="none"/>
        </w:rPr>
      </w:pPr>
      <w:r>
        <w:rPr>
          <w:rFonts w:hint="eastAsia" w:hAnsi="宋体" w:cs="宋体"/>
          <w:color w:val="auto"/>
          <w:szCs w:val="21"/>
          <w:highlight w:val="none"/>
        </w:rPr>
        <w:t>2.联合体将严格按照文件的各项要求，递交响应文件，切实执行一切合同文件，共同承担合同规定的一切义务和责任，同时按照内部职责的划分，承担自身所负的责任和风险，在法律上承担连带责任。</w:t>
      </w:r>
    </w:p>
    <w:p>
      <w:pPr>
        <w:rPr>
          <w:rFonts w:hAnsi="宋体" w:cs="宋体"/>
          <w:color w:val="auto"/>
          <w:szCs w:val="21"/>
          <w:highlight w:val="none"/>
        </w:rPr>
      </w:pPr>
      <w:r>
        <w:rPr>
          <w:rFonts w:hint="eastAsia" w:hAnsi="宋体" w:cs="宋体"/>
          <w:color w:val="auto"/>
          <w:szCs w:val="21"/>
          <w:highlight w:val="none"/>
        </w:rPr>
        <w:t>3.如成交，联合体各方共同与（采购人）签订合同书，并就成交项目向采购人负有连带的和各自的法律责任；</w:t>
      </w:r>
    </w:p>
    <w:p>
      <w:pPr>
        <w:rPr>
          <w:rFonts w:hAnsi="宋体" w:cs="宋体"/>
          <w:color w:val="auto"/>
          <w:szCs w:val="21"/>
          <w:highlight w:val="none"/>
        </w:rPr>
      </w:pPr>
      <w:r>
        <w:rPr>
          <w:rFonts w:hint="eastAsia" w:hAnsi="宋体" w:cs="宋体"/>
          <w:color w:val="auto"/>
          <w:szCs w:val="21"/>
          <w:highlight w:val="none"/>
        </w:rPr>
        <w:t>4.联合体各成员单位内部的职责分工如下：</w:t>
      </w:r>
    </w:p>
    <w:p>
      <w:pPr>
        <w:rPr>
          <w:rFonts w:hAnsi="宋体" w:cs="宋体"/>
          <w:color w:val="auto"/>
          <w:szCs w:val="21"/>
          <w:highlight w:val="none"/>
        </w:rPr>
      </w:pPr>
      <w:r>
        <w:rPr>
          <w:rFonts w:hint="eastAsia" w:hAnsi="宋体" w:cs="宋体"/>
          <w:color w:val="auto"/>
          <w:szCs w:val="21"/>
          <w:highlight w:val="none"/>
        </w:rPr>
        <w:t>（1）</w:t>
      </w:r>
    </w:p>
    <w:p>
      <w:pPr>
        <w:rPr>
          <w:color w:val="auto"/>
          <w:highlight w:val="none"/>
        </w:rPr>
      </w:pPr>
      <w:r>
        <w:rPr>
          <w:rFonts w:hint="eastAsia" w:hAnsi="宋体" w:cs="宋体"/>
          <w:color w:val="auto"/>
          <w:szCs w:val="21"/>
          <w:highlight w:val="none"/>
        </w:rPr>
        <w:t>（2）</w:t>
      </w:r>
    </w:p>
    <w:p>
      <w:pPr>
        <w:rPr>
          <w:rFonts w:hAnsi="宋体" w:cs="宋体"/>
          <w:color w:val="auto"/>
          <w:szCs w:val="21"/>
          <w:highlight w:val="none"/>
        </w:rPr>
      </w:pPr>
      <w:r>
        <w:rPr>
          <w:rFonts w:hint="eastAsia" w:hAnsi="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pPr>
        <w:rPr>
          <w:rFonts w:hAnsi="宋体" w:cs="宋体"/>
          <w:color w:val="auto"/>
          <w:szCs w:val="21"/>
          <w:highlight w:val="none"/>
        </w:rPr>
      </w:pPr>
      <w:r>
        <w:rPr>
          <w:rFonts w:hint="eastAsia" w:hAnsi="宋体" w:cs="宋体"/>
          <w:color w:val="auto"/>
          <w:szCs w:val="21"/>
          <w:highlight w:val="none"/>
        </w:rPr>
        <w:t>四、联合体如因违约过失责任而导致采购人经济损失或被索赔时，本联合体任何一方均同意无条件优先清偿采购人的一切债务和经济赔偿。</w:t>
      </w:r>
    </w:p>
    <w:p>
      <w:pPr>
        <w:rPr>
          <w:rFonts w:hAnsi="宋体" w:cs="宋体"/>
          <w:color w:val="auto"/>
          <w:szCs w:val="21"/>
          <w:highlight w:val="none"/>
        </w:rPr>
      </w:pPr>
      <w:r>
        <w:rPr>
          <w:rFonts w:hint="eastAsia"/>
          <w:color w:val="auto"/>
          <w:szCs w:val="21"/>
          <w:highlight w:val="none"/>
        </w:rPr>
        <w:t>五、联合体成交后，本联合体协议是合同的附件，对联合体各成员单位有合同约束力。</w:t>
      </w:r>
    </w:p>
    <w:p>
      <w:pPr>
        <w:rPr>
          <w:rFonts w:hAnsi="宋体" w:cs="宋体"/>
          <w:color w:val="auto"/>
          <w:szCs w:val="21"/>
          <w:highlight w:val="none"/>
        </w:rPr>
      </w:pPr>
      <w:r>
        <w:rPr>
          <w:rFonts w:hint="eastAsia" w:hAnsi="宋体" w:cs="宋体"/>
          <w:color w:val="auto"/>
          <w:szCs w:val="21"/>
          <w:highlight w:val="none"/>
        </w:rPr>
        <w:t>六、本协议在自签署之日起生效，投标有效期内有效，如获成交资格，本协议有效期延续至合同履行完毕之日。</w:t>
      </w:r>
    </w:p>
    <w:p>
      <w:pPr>
        <w:rPr>
          <w:rFonts w:hAnsi="宋体" w:cs="宋体"/>
          <w:color w:val="auto"/>
          <w:szCs w:val="21"/>
          <w:highlight w:val="none"/>
        </w:rPr>
      </w:pPr>
      <w:r>
        <w:rPr>
          <w:rFonts w:hint="eastAsia" w:hAnsi="宋体" w:cs="宋体"/>
          <w:color w:val="auto"/>
          <w:szCs w:val="21"/>
          <w:highlight w:val="none"/>
        </w:rPr>
        <w:t xml:space="preserve">七、本协议书一式____份，联合体成员和采购人各执一份。 </w:t>
      </w:r>
    </w:p>
    <w:p>
      <w:pPr>
        <w:rPr>
          <w:rFonts w:hAnsi="宋体" w:cs="宋体"/>
          <w:color w:val="auto"/>
          <w:szCs w:val="21"/>
          <w:highlight w:val="none"/>
        </w:rPr>
      </w:pPr>
    </w:p>
    <w:p>
      <w:pPr>
        <w:pStyle w:val="11"/>
        <w:rPr>
          <w:color w:val="auto"/>
          <w:sz w:val="21"/>
          <w:szCs w:val="21"/>
          <w:highlight w:val="none"/>
        </w:rPr>
      </w:pPr>
      <w:r>
        <w:rPr>
          <w:rFonts w:hint="eastAsia"/>
          <w:color w:val="auto"/>
          <w:sz w:val="21"/>
          <w:szCs w:val="21"/>
          <w:highlight w:val="none"/>
        </w:rPr>
        <w:t>注：本协议书由委托人签字的，应附法定代表人签字的授权委托书。</w:t>
      </w:r>
    </w:p>
    <w:p>
      <w:pPr>
        <w:pStyle w:val="11"/>
        <w:rPr>
          <w:color w:val="auto"/>
          <w:sz w:val="21"/>
          <w:szCs w:val="21"/>
          <w:highlight w:val="none"/>
        </w:rPr>
      </w:pPr>
      <w:r>
        <w:rPr>
          <w:rFonts w:hint="eastAsia"/>
          <w:color w:val="auto"/>
          <w:sz w:val="21"/>
          <w:szCs w:val="21"/>
          <w:highlight w:val="none"/>
        </w:rPr>
        <w:t>牵头人名称：_______________________（盖单位公章）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rPr>
          <w:color w:val="auto"/>
          <w:sz w:val="21"/>
          <w:szCs w:val="21"/>
          <w:highlight w:val="none"/>
        </w:rPr>
      </w:pPr>
    </w:p>
    <w:p>
      <w:pPr>
        <w:pStyle w:val="11"/>
        <w:rPr>
          <w:color w:val="auto"/>
          <w:sz w:val="21"/>
          <w:szCs w:val="21"/>
          <w:highlight w:val="none"/>
        </w:rPr>
      </w:pPr>
      <w:r>
        <w:rPr>
          <w:rFonts w:hint="eastAsia"/>
          <w:color w:val="auto"/>
          <w:sz w:val="21"/>
          <w:szCs w:val="21"/>
          <w:highlight w:val="none"/>
        </w:rPr>
        <w:t>成员一名称：_______________________（盖单位公章）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rPr>
          <w:color w:val="auto"/>
          <w:sz w:val="21"/>
          <w:szCs w:val="21"/>
          <w:highlight w:val="none"/>
        </w:rPr>
      </w:pPr>
    </w:p>
    <w:p>
      <w:pPr>
        <w:pStyle w:val="11"/>
        <w:rPr>
          <w:color w:val="auto"/>
          <w:sz w:val="21"/>
          <w:szCs w:val="21"/>
          <w:highlight w:val="none"/>
        </w:rPr>
      </w:pPr>
      <w:r>
        <w:rPr>
          <w:rFonts w:hint="eastAsia"/>
          <w:color w:val="auto"/>
          <w:sz w:val="21"/>
          <w:szCs w:val="21"/>
          <w:highlight w:val="none"/>
        </w:rPr>
        <w:t>成员二名称：_______________________（盖单位公章）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ind w:firstLine="210" w:firstLineChars="100"/>
        <w:jc w:val="both"/>
        <w:rPr>
          <w:color w:val="auto"/>
          <w:sz w:val="21"/>
          <w:szCs w:val="21"/>
          <w:highlight w:val="none"/>
        </w:rPr>
      </w:pPr>
      <w:r>
        <w:rPr>
          <w:rFonts w:hint="eastAsia"/>
          <w:color w:val="auto"/>
          <w:sz w:val="21"/>
          <w:szCs w:val="21"/>
          <w:highlight w:val="none"/>
        </w:rPr>
        <w:t>……</w:t>
      </w:r>
    </w:p>
    <w:p>
      <w:pPr>
        <w:pStyle w:val="11"/>
        <w:rPr>
          <w:color w:val="auto"/>
          <w:highlight w:val="none"/>
          <w:lang w:val="en-US"/>
        </w:rPr>
        <w:sectPr>
          <w:pgSz w:w="11906" w:h="16838"/>
          <w:pgMar w:top="1440" w:right="1800" w:bottom="1440" w:left="1800" w:header="708" w:footer="708" w:gutter="0"/>
          <w:cols w:space="720" w:num="1"/>
          <w:titlePg/>
          <w:docGrid w:type="lines" w:linePitch="360" w:charSpace="0"/>
        </w:sectPr>
      </w:pPr>
      <w:r>
        <w:rPr>
          <w:rFonts w:hint="eastAsia"/>
          <w:color w:val="auto"/>
          <w:sz w:val="21"/>
          <w:szCs w:val="21"/>
          <w:highlight w:val="none"/>
        </w:rPr>
        <w:t xml:space="preserve">        年     月     日</w:t>
      </w:r>
    </w:p>
    <w:p>
      <w:pPr>
        <w:pStyle w:val="11"/>
        <w:rPr>
          <w:color w:val="auto"/>
          <w:highlight w:val="none"/>
        </w:rPr>
      </w:pPr>
    </w:p>
    <w:p>
      <w:pPr>
        <w:pStyle w:val="2"/>
        <w:spacing w:before="0" w:after="0" w:line="360" w:lineRule="auto"/>
        <w:jc w:val="center"/>
        <w:rPr>
          <w:color w:val="auto"/>
          <w:sz w:val="72"/>
          <w:szCs w:val="72"/>
          <w:highlight w:val="none"/>
        </w:rPr>
      </w:pPr>
      <w:bookmarkStart w:id="257" w:name="_Toc1366"/>
      <w:bookmarkStart w:id="258" w:name="_Toc8304"/>
      <w:r>
        <w:rPr>
          <w:rFonts w:hint="eastAsia"/>
          <w:color w:val="auto"/>
          <w:sz w:val="72"/>
          <w:szCs w:val="72"/>
          <w:highlight w:val="none"/>
        </w:rPr>
        <w:t>技术文件</w:t>
      </w:r>
      <w:bookmarkEnd w:id="257"/>
      <w:bookmarkEnd w:id="258"/>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11"/>
        <w:rPr>
          <w:color w:val="auto"/>
          <w:highlight w:val="none"/>
        </w:rPr>
      </w:pPr>
    </w:p>
    <w:p>
      <w:pPr>
        <w:pStyle w:val="10"/>
        <w:ind w:firstLine="240"/>
        <w:rPr>
          <w:color w:val="auto"/>
          <w:highlight w:val="none"/>
        </w:rPr>
      </w:pPr>
    </w:p>
    <w:p>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8"/>
        </w:rPr>
        <w:t>项目名</w:t>
      </w:r>
      <w:r>
        <w:rPr>
          <w:rFonts w:hint="eastAsia" w:ascii="宋体" w:hAnsi="宋体" w:cs="宋体"/>
          <w:b/>
          <w:bCs/>
          <w:color w:val="auto"/>
          <w:spacing w:val="1"/>
          <w:kern w:val="0"/>
          <w:sz w:val="32"/>
          <w:szCs w:val="32"/>
          <w:highlight w:val="none"/>
          <w:fitText w:val="1600" w:id="8"/>
        </w:rPr>
        <w:t>称</w:t>
      </w:r>
      <w:r>
        <w:rPr>
          <w:rFonts w:hint="eastAsia" w:ascii="宋体" w:hAnsi="宋体" w:cs="宋体"/>
          <w:b/>
          <w:bCs/>
          <w:color w:val="auto"/>
          <w:spacing w:val="-6"/>
          <w:sz w:val="32"/>
          <w:szCs w:val="32"/>
          <w:highlight w:val="none"/>
        </w:rPr>
        <w:t>：</w:t>
      </w:r>
    </w:p>
    <w:p>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9"/>
        </w:rPr>
        <w:t>项目编</w:t>
      </w:r>
      <w:r>
        <w:rPr>
          <w:rFonts w:hint="eastAsia" w:ascii="宋体" w:hAnsi="宋体" w:cs="宋体"/>
          <w:b/>
          <w:bCs/>
          <w:color w:val="auto"/>
          <w:spacing w:val="1"/>
          <w:kern w:val="0"/>
          <w:sz w:val="32"/>
          <w:szCs w:val="32"/>
          <w:highlight w:val="none"/>
          <w:fitText w:val="1600" w:id="9"/>
        </w:rPr>
        <w:t>号</w:t>
      </w:r>
      <w:r>
        <w:rPr>
          <w:rFonts w:hint="eastAsia" w:ascii="宋体" w:hAnsi="宋体" w:cs="宋体"/>
          <w:b/>
          <w:bCs/>
          <w:color w:val="auto"/>
          <w:sz w:val="32"/>
          <w:szCs w:val="32"/>
          <w:highlight w:val="none"/>
        </w:rPr>
        <w:t>：</w:t>
      </w:r>
    </w:p>
    <w:p>
      <w:pPr>
        <w:pStyle w:val="11"/>
        <w:ind w:left="0"/>
        <w:rPr>
          <w:b/>
          <w:color w:val="auto"/>
          <w:spacing w:val="1280"/>
          <w:sz w:val="32"/>
          <w:szCs w:val="32"/>
          <w:highlight w:val="none"/>
        </w:rPr>
      </w:pPr>
      <w:r>
        <w:rPr>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10"/>
        </w:rPr>
        <w:t>供应商名称</w:t>
      </w:r>
      <w:r>
        <w:rPr>
          <w:rFonts w:hint="eastAsia" w:ascii="宋体" w:hAnsi="宋体" w:cs="宋体"/>
          <w:b/>
          <w:color w:val="auto"/>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11"/>
        </w:rPr>
        <w:t>日</w:t>
      </w:r>
      <w:r>
        <w:rPr>
          <w:rFonts w:ascii="宋体" w:hAnsi="宋体" w:cs="宋体"/>
          <w:b/>
          <w:color w:val="auto"/>
          <w:spacing w:val="32"/>
          <w:kern w:val="0"/>
          <w:sz w:val="32"/>
          <w:szCs w:val="32"/>
          <w:highlight w:val="none"/>
          <w:fitText w:val="1600" w:id="11"/>
        </w:rPr>
        <w:t xml:space="preserve">    </w:t>
      </w:r>
      <w:r>
        <w:rPr>
          <w:rFonts w:hint="eastAsia" w:ascii="宋体" w:hAnsi="宋体" w:cs="宋体"/>
          <w:b/>
          <w:color w:val="auto"/>
          <w:spacing w:val="0"/>
          <w:kern w:val="0"/>
          <w:sz w:val="32"/>
          <w:szCs w:val="32"/>
          <w:highlight w:val="none"/>
          <w:fitText w:val="1600" w:id="11"/>
        </w:rPr>
        <w:t>期</w:t>
      </w:r>
      <w:r>
        <w:rPr>
          <w:rFonts w:hint="eastAsia" w:ascii="宋体" w:hAnsi="宋体" w:cs="宋体"/>
          <w:b/>
          <w:color w:val="auto"/>
          <w:sz w:val="32"/>
          <w:szCs w:val="32"/>
          <w:highlight w:val="none"/>
        </w:rPr>
        <w:t>：</w:t>
      </w: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59" w:name="_Toc1251"/>
      <w:bookmarkStart w:id="260" w:name="_Toc17385"/>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 技术规格偏离表格式</w:t>
      </w:r>
      <w:bookmarkEnd w:id="259"/>
      <w:bookmarkEnd w:id="260"/>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83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磋商实际响应</w:t>
            </w:r>
          </w:p>
        </w:tc>
        <w:tc>
          <w:tcPr>
            <w:tcW w:w="1239"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ind w:firstLine="178" w:firstLineChars="85"/>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供应商应对照磋商文件技术需求书中技术规格，说明所提供服务已对磋商文件的技术规格做出了实质性的响应，并申明与技术规格条文的偏差和例外。特别对有具体参数要求的指标，供应商必须提供所投设备的具体参数值。</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，供应商都被认为已清楚了解磋商文件“技术需求书”的内容并对采购人所需的服务要求作全面响应，供应商必须承担完成“技术需求书”所描述内容的义务</w:t>
      </w:r>
      <w:r>
        <w:rPr>
          <w:rFonts w:hint="eastAsia" w:ascii="宋体" w:hAnsi="宋体"/>
          <w:color w:val="auto"/>
          <w:szCs w:val="21"/>
          <w:highlight w:val="none"/>
        </w:rPr>
        <w:t>，因此对供应商响应产生负面影响的，供应商自行承担后果。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如供应商差异内容较多可另附页说明。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如供应商对用户需求书商务要求的条款全部响应的，也可以在表格下面用文字总括性的说明。</w:t>
      </w:r>
    </w:p>
    <w:p>
      <w:pPr>
        <w:rPr>
          <w:rFonts w:ascii="宋体" w:hAnsi="宋体"/>
          <w:color w:val="auto"/>
          <w:szCs w:val="21"/>
          <w:highlight w:val="none"/>
        </w:rPr>
      </w:pPr>
      <w:bookmarkStart w:id="261" w:name="_Toc17691"/>
      <w:r>
        <w:rPr>
          <w:rFonts w:hint="eastAsia" w:ascii="宋体" w:hAnsi="宋体"/>
          <w:color w:val="auto"/>
          <w:szCs w:val="21"/>
          <w:highlight w:val="none"/>
        </w:rPr>
        <w:br w:type="page"/>
      </w:r>
    </w:p>
    <w:bookmarkEnd w:id="261"/>
    <w:p>
      <w:pPr>
        <w:pStyle w:val="5"/>
        <w:widowControl w:val="0"/>
        <w:overflowPunct w:val="0"/>
        <w:spacing w:line="240" w:lineRule="auto"/>
        <w:rPr>
          <w:rFonts w:ascii="宋体" w:hAnsi="宋体"/>
          <w:color w:val="auto"/>
          <w:sz w:val="21"/>
          <w:szCs w:val="21"/>
          <w:highlight w:val="none"/>
        </w:rPr>
      </w:pPr>
      <w:bookmarkStart w:id="262" w:name="_Toc25227"/>
      <w:bookmarkStart w:id="263" w:name="_Toc7589"/>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.项目实施方案格式</w:t>
      </w:r>
      <w:bookmarkEnd w:id="262"/>
      <w:bookmarkEnd w:id="263"/>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可</w:t>
      </w:r>
      <w:r>
        <w:rPr>
          <w:rFonts w:ascii="宋体" w:hAnsi="宋体"/>
          <w:color w:val="auto"/>
          <w:szCs w:val="21"/>
          <w:highlight w:val="none"/>
        </w:rPr>
        <w:t>包括但不限于如下内容：</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1、为完成本项目供应商临时投入的设备</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2、为完成本项目供应商投入的人员以及具体工作安排</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3、供应商为本项目制定的具体项目实施方案与项目实施流程</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请</w:t>
      </w:r>
      <w:r>
        <w:rPr>
          <w:rFonts w:ascii="宋体" w:hAnsi="宋体"/>
          <w:color w:val="auto"/>
          <w:szCs w:val="21"/>
          <w:highlight w:val="none"/>
        </w:rPr>
        <w:t>供应商根据磋商文件要求</w:t>
      </w:r>
      <w:r>
        <w:rPr>
          <w:rFonts w:hint="eastAsia" w:ascii="宋体" w:hAnsi="宋体"/>
          <w:color w:val="auto"/>
          <w:szCs w:val="21"/>
          <w:highlight w:val="none"/>
        </w:rPr>
        <w:t>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64" w:name="_Toc27583"/>
      <w:bookmarkStart w:id="265" w:name="_Toc13766"/>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.实施本项目的有关人员资料表格式</w:t>
      </w:r>
      <w:bookmarkEnd w:id="264"/>
      <w:bookmarkEnd w:id="265"/>
    </w:p>
    <w:p>
      <w:pPr>
        <w:jc w:val="center"/>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02"/>
        <w:gridCol w:w="1861"/>
        <w:gridCol w:w="702"/>
        <w:gridCol w:w="702"/>
        <w:gridCol w:w="1164"/>
        <w:gridCol w:w="818"/>
        <w:gridCol w:w="1165"/>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861"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性别</w:t>
            </w:r>
          </w:p>
        </w:tc>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年龄</w:t>
            </w:r>
          </w:p>
        </w:tc>
        <w:tc>
          <w:tcPr>
            <w:tcW w:w="1164"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81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专 业</w:t>
            </w:r>
          </w:p>
        </w:tc>
        <w:tc>
          <w:tcPr>
            <w:tcW w:w="1165"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资质证书</w:t>
            </w:r>
          </w:p>
        </w:tc>
        <w:tc>
          <w:tcPr>
            <w:tcW w:w="703" w:type="dxa"/>
            <w:tcBorders>
              <w:right w:val="single" w:color="auto" w:sz="6"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bl>
    <w:p>
      <w:pPr>
        <w:ind w:firstLine="178" w:firstLineChars="85"/>
        <w:rPr>
          <w:rFonts w:ascii="宋体" w:hAnsi="宋体"/>
          <w:color w:val="auto"/>
          <w:szCs w:val="21"/>
          <w:highlight w:val="none"/>
        </w:rPr>
      </w:pPr>
    </w:p>
    <w:p>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ind w:firstLine="178" w:firstLineChars="85"/>
        <w:rPr>
          <w:rFonts w:ascii="宋体" w:hAnsi="宋体"/>
          <w:color w:val="auto"/>
          <w:szCs w:val="21"/>
          <w:highlight w:val="none"/>
        </w:rPr>
      </w:pPr>
      <w:r>
        <w:rPr>
          <w:rFonts w:hint="eastAsia" w:ascii="宋体" w:hAnsi="宋体"/>
          <w:color w:val="auto"/>
          <w:szCs w:val="21"/>
          <w:highlight w:val="none"/>
        </w:rPr>
        <w:t>供应商代表签字：</w:t>
      </w:r>
    </w:p>
    <w:p>
      <w:pPr>
        <w:ind w:firstLine="178" w:firstLineChars="85"/>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r>
        <w:rPr>
          <w:rFonts w:hint="eastAsia" w:ascii="宋体" w:hAnsi="宋体"/>
          <w:color w:val="auto"/>
          <w:szCs w:val="21"/>
          <w:highlight w:val="none"/>
        </w:rPr>
        <w:t>注：</w:t>
      </w:r>
    </w:p>
    <w:p>
      <w:pPr>
        <w:pStyle w:val="56"/>
        <w:numPr>
          <w:ilvl w:val="0"/>
          <w:numId w:val="10"/>
        </w:numPr>
        <w:ind w:firstLineChars="0"/>
        <w:rPr>
          <w:rFonts w:ascii="宋体" w:hAnsi="宋体"/>
          <w:color w:val="auto"/>
          <w:szCs w:val="21"/>
          <w:highlight w:val="none"/>
        </w:rPr>
      </w:pPr>
      <w:r>
        <w:rPr>
          <w:rFonts w:hint="eastAsia" w:ascii="宋体" w:hAnsi="宋体"/>
          <w:color w:val="auto"/>
          <w:szCs w:val="21"/>
          <w:highlight w:val="none"/>
        </w:rPr>
        <w:t>供应商可按项目的实际需要提供本表格。</w:t>
      </w:r>
    </w:p>
    <w:p>
      <w:pPr>
        <w:pStyle w:val="56"/>
        <w:numPr>
          <w:ilvl w:val="0"/>
          <w:numId w:val="10"/>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该表格为参考格式，供应商可按实际情况自行制订。</w:t>
      </w:r>
    </w:p>
    <w:p>
      <w:pPr>
        <w:rPr>
          <w:rFonts w:ascii="宋体" w:hAnsi="宋体" w:cs="Times New Roman"/>
          <w:color w:val="auto"/>
          <w:szCs w:val="21"/>
          <w:highlight w:val="none"/>
        </w:rPr>
      </w:pPr>
      <w:r>
        <w:rPr>
          <w:rFonts w:hint="eastAsia" w:ascii="宋体" w:hAnsi="宋体"/>
          <w:color w:val="auto"/>
          <w:szCs w:val="21"/>
          <w:highlight w:val="none"/>
        </w:rPr>
        <w:t>3、供应商若未提供或未填写完整则视为完全响应磋商文件的人员要求，因此对供应商响应产生负面影响的，供应商自行承担后果。</w:t>
      </w:r>
    </w:p>
    <w:p>
      <w:pPr>
        <w:pStyle w:val="56"/>
        <w:numPr>
          <w:ilvl w:val="0"/>
          <w:numId w:val="0"/>
        </w:numPr>
        <w:ind w:leftChars="0"/>
        <w:rPr>
          <w:rFonts w:ascii="宋体" w:hAnsi="宋体" w:cs="Times New Roman"/>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color w:val="auto"/>
          <w:highlight w:val="none"/>
        </w:rPr>
      </w:pPr>
      <w:bookmarkStart w:id="266" w:name="_Toc14403"/>
      <w:bookmarkStart w:id="267" w:name="_Toc13343"/>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.磋商保证金汇入情况说明格式</w:t>
      </w:r>
      <w:bookmarkEnd w:id="266"/>
      <w:bookmarkEnd w:id="26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磋商保证金汇入情况说明</w:t>
      </w:r>
    </w:p>
    <w:p>
      <w:pPr>
        <w:spacing w:line="48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广西同泽工程项目管理股份有限公司</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项目（采购项目编号：）的磋商文件要求，于年月日前以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本单位磋商保证金的汇款情况：（详见附件－磋商保证金进帐单）</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（必须是响应时使用的帐户名）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（必须是响应时使用的帐号）        </w:t>
      </w:r>
    </w:p>
    <w:p>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磋商保证金退回时，请按上述资料退回。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480" w:lineRule="auto"/>
        <w:rPr>
          <w:rFonts w:ascii="宋体" w:hAnsi="宋体"/>
          <w:color w:val="auto"/>
          <w:szCs w:val="21"/>
          <w:highlight w:val="none"/>
        </w:rPr>
      </w:pPr>
      <w:r>
        <w:rPr>
          <w:rFonts w:hint="eastAsia" w:ascii="宋体" w:hAnsi="宋体"/>
          <w:color w:val="auto"/>
          <w:szCs w:val="21"/>
          <w:highlight w:val="none"/>
        </w:rPr>
        <w:t>单位名称：</w:t>
      </w:r>
    </w:p>
    <w:p>
      <w:pPr>
        <w:spacing w:line="480" w:lineRule="auto"/>
        <w:rPr>
          <w:rFonts w:ascii="宋体" w:hAnsi="宋体"/>
          <w:color w:val="auto"/>
          <w:szCs w:val="21"/>
          <w:highlight w:val="none"/>
        </w:rPr>
      </w:pPr>
      <w:r>
        <w:rPr>
          <w:rFonts w:hint="eastAsia" w:ascii="宋体" w:hAnsi="宋体"/>
          <w:color w:val="auto"/>
          <w:szCs w:val="21"/>
          <w:highlight w:val="none"/>
        </w:rPr>
        <w:t>单位地址：</w:t>
      </w:r>
    </w:p>
    <w:p>
      <w:pPr>
        <w:spacing w:line="480" w:lineRule="auto"/>
        <w:rPr>
          <w:rFonts w:ascii="宋体" w:hAnsi="宋体"/>
          <w:color w:val="auto"/>
          <w:szCs w:val="21"/>
          <w:highlight w:val="none"/>
        </w:rPr>
      </w:pPr>
      <w:r>
        <w:rPr>
          <w:rFonts w:hint="eastAsia" w:ascii="宋体" w:hAnsi="宋体"/>
          <w:color w:val="auto"/>
          <w:szCs w:val="21"/>
          <w:highlight w:val="none"/>
        </w:rPr>
        <w:t>联系人：</w:t>
      </w:r>
    </w:p>
    <w:p>
      <w:pPr>
        <w:spacing w:line="480" w:lineRule="auto"/>
        <w:rPr>
          <w:rFonts w:ascii="宋体" w:hAnsi="宋体"/>
          <w:color w:val="auto"/>
          <w:szCs w:val="21"/>
          <w:highlight w:val="none"/>
        </w:rPr>
      </w:pPr>
      <w:r>
        <w:rPr>
          <w:rFonts w:hint="eastAsia" w:ascii="宋体" w:hAnsi="宋体"/>
          <w:color w:val="auto"/>
          <w:szCs w:val="21"/>
          <w:highlight w:val="none"/>
        </w:rPr>
        <w:t>单位电话： 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附：我方磋商保证金汇款凭证</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9" w:hRule="atLeast"/>
        </w:trPr>
        <w:tc>
          <w:tcPr>
            <w:tcW w:w="8522" w:type="dxa"/>
            <w:noWrap w:val="0"/>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复印件，并在骑缝上加盖供应商公章，或是直接把转账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注：此表既要装订在响应文件中，又要按供应商须知的规定与开标一览表、磋商保证金汇款底单复印件及授权委托书一同密封装入唱标信封，唱标信封单独提交。</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pStyle w:val="5"/>
        <w:numPr>
          <w:ilvl w:val="0"/>
          <w:numId w:val="0"/>
        </w:numPr>
        <w:tabs>
          <w:tab w:val="left" w:pos="720"/>
          <w:tab w:val="left" w:pos="3840"/>
        </w:tabs>
        <w:ind w:left="283"/>
        <w:jc w:val="both"/>
        <w:rPr>
          <w:rFonts w:ascii="宋体" w:hAnsi="宋体"/>
          <w:color w:val="auto"/>
          <w:sz w:val="21"/>
          <w:szCs w:val="21"/>
          <w:highlight w:val="none"/>
        </w:rPr>
      </w:pPr>
      <w:bookmarkStart w:id="268" w:name="_Toc25861"/>
      <w:bookmarkStart w:id="269" w:name="_Toc1562"/>
      <w:bookmarkStart w:id="270" w:name="_Toc29855"/>
      <w:bookmarkStart w:id="271" w:name="_Toc14605"/>
      <w:bookmarkStart w:id="272" w:name="_Toc18296"/>
      <w:bookmarkStart w:id="273" w:name="_Toc4866"/>
      <w:bookmarkStart w:id="274" w:name="_Toc170"/>
      <w:bookmarkStart w:id="275" w:name="_Toc17028"/>
      <w:bookmarkStart w:id="276" w:name="_Toc28272"/>
      <w:bookmarkStart w:id="277" w:name="_Toc19947"/>
      <w:bookmarkStart w:id="278" w:name="_Toc28623"/>
      <w:bookmarkStart w:id="279" w:name="_Toc2144"/>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.不可撤销履约保函</w:t>
      </w:r>
      <w:bookmarkEnd w:id="268"/>
      <w:bookmarkEnd w:id="269"/>
      <w:bookmarkEnd w:id="270"/>
      <w:bookmarkEnd w:id="271"/>
      <w:bookmarkEnd w:id="272"/>
      <w:bookmarkEnd w:id="273"/>
      <w:bookmarkEnd w:id="274"/>
      <w:bookmarkEnd w:id="275"/>
      <w:bookmarkEnd w:id="276"/>
      <w:bookmarkEnd w:id="277"/>
      <w:bookmarkEnd w:id="278"/>
      <w:bookmarkEnd w:id="279"/>
    </w:p>
    <w:p>
      <w:pPr>
        <w:jc w:val="center"/>
        <w:rPr>
          <w:rFonts w:ascii="宋体" w:hAnsi="宋体"/>
          <w:color w:val="auto"/>
          <w:highlight w:val="none"/>
        </w:rPr>
      </w:pPr>
      <w:r>
        <w:rPr>
          <w:rFonts w:hint="eastAsia" w:ascii="宋体" w:hAnsi="宋体"/>
          <w:color w:val="auto"/>
          <w:highlight w:val="none"/>
        </w:rPr>
        <w:t>银行编号：</w:t>
      </w:r>
    </w:p>
    <w:p>
      <w:pPr>
        <w:rPr>
          <w:rFonts w:ascii="宋体" w:hAnsi="宋体"/>
          <w:color w:val="auto"/>
          <w:highlight w:val="none"/>
          <w:u w:val="singl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甲方</w:t>
      </w:r>
      <w:r>
        <w:rPr>
          <w:rFonts w:hint="eastAsia" w:ascii="宋体" w:hAnsi="宋体"/>
          <w:color w:val="auto"/>
          <w:highlight w:val="none"/>
        </w:rPr>
        <w:t>）</w:t>
      </w:r>
    </w:p>
    <w:p>
      <w:pPr>
        <w:ind w:firstLine="420" w:firstLineChars="200"/>
        <w:rPr>
          <w:rFonts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“乙方” ）</w:t>
      </w:r>
      <w:r>
        <w:rPr>
          <w:rFonts w:hint="eastAsia" w:ascii="宋体" w:hAnsi="宋体"/>
          <w:color w:val="auto"/>
          <w:highlight w:val="none"/>
        </w:rPr>
        <w:t>已保证按</w:t>
      </w:r>
      <w:r>
        <w:rPr>
          <w:rFonts w:hint="eastAsia" w:ascii="宋体" w:hAnsi="宋体"/>
          <w:color w:val="auto"/>
          <w:highlight w:val="none"/>
          <w:u w:val="single"/>
        </w:rPr>
        <w:t xml:space="preserve">        承包合同书（合同编号：    ）</w:t>
      </w:r>
      <w:r>
        <w:rPr>
          <w:rFonts w:hint="eastAsia" w:ascii="宋体" w:hAnsi="宋体"/>
          <w:color w:val="auto"/>
          <w:highlight w:val="none"/>
        </w:rPr>
        <w:t>中规定的义务履行合同。</w:t>
      </w:r>
    </w:p>
    <w:p>
      <w:pPr>
        <w:ind w:firstLine="420" w:firstLineChars="200"/>
        <w:rPr>
          <w:rFonts w:ascii="宋体" w:hAnsi="宋体"/>
          <w:color w:val="auto"/>
          <w:highlight w:val="none"/>
        </w:rPr>
      </w:pPr>
      <w:r>
        <w:rPr>
          <w:rFonts w:hint="eastAsia" w:ascii="宋体" w:hAnsi="宋体"/>
          <w:color w:val="auto"/>
          <w:highlight w:val="none"/>
        </w:rPr>
        <w:t>根据上述合同约定，乙方应向</w:t>
      </w:r>
      <w:r>
        <w:rPr>
          <w:rFonts w:hint="eastAsia"/>
          <w:color w:val="auto"/>
          <w:highlight w:val="none"/>
        </w:rPr>
        <w:t>甲方</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银行履约保函，作为乙方履行上述合同的担保。</w:t>
      </w:r>
    </w:p>
    <w:p>
      <w:pPr>
        <w:ind w:firstLine="420" w:firstLineChars="200"/>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，受乙方的委托，不仅作为连带责任保证人而且作为主要的责任人，无条件和不可撤销地同意在</w:t>
      </w:r>
      <w:r>
        <w:rPr>
          <w:rFonts w:hint="eastAsia"/>
          <w:color w:val="auto"/>
          <w:highlight w:val="none"/>
        </w:rPr>
        <w:t>甲方</w:t>
      </w:r>
      <w:r>
        <w:rPr>
          <w:rFonts w:hint="eastAsia" w:ascii="宋体" w:hAnsi="宋体"/>
          <w:color w:val="auto"/>
          <w:highlight w:val="none"/>
        </w:rPr>
        <w:t>提出因乙方没有履行上述合同规定，而要求扣划保证金的书面要求后，7个工作日内为</w:t>
      </w:r>
      <w:r>
        <w:rPr>
          <w:rFonts w:hint="eastAsia"/>
          <w:color w:val="auto"/>
          <w:highlight w:val="none"/>
        </w:rPr>
        <w:t>甲方</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pPr>
        <w:ind w:firstLine="420" w:firstLineChars="200"/>
        <w:rPr>
          <w:color w:val="auto"/>
          <w:highlight w:val="none"/>
        </w:rPr>
      </w:pPr>
      <w:r>
        <w:rPr>
          <w:rFonts w:hint="eastAsia" w:ascii="宋体" w:hAnsi="宋体"/>
          <w:color w:val="auto"/>
          <w:highlight w:val="none"/>
        </w:rPr>
        <w:t>我</w:t>
      </w:r>
      <w:r>
        <w:rPr>
          <w:rFonts w:hint="eastAsia"/>
          <w:color w:val="auto"/>
          <w:highlight w:val="none"/>
        </w:rPr>
        <w:t>方还同意，任何甲方与乙方之间可能对合同条款的修改、规范或其他合同文件的变动补充，都不能免除我方按本保函所承担的责任。因此，有关上述变动、补充和修改无须通知我方。</w:t>
      </w:r>
    </w:p>
    <w:p>
      <w:pPr>
        <w:ind w:firstLine="420" w:firstLineChars="200"/>
        <w:rPr>
          <w:color w:val="auto"/>
          <w:highlight w:val="none"/>
        </w:rPr>
      </w:pPr>
      <w:r>
        <w:rPr>
          <w:rFonts w:hint="eastAsia"/>
          <w:color w:val="auto"/>
          <w:highlight w:val="none"/>
        </w:rPr>
        <w:t>本保函从上述合同签订之日起至项目服务期结束验收合格并完成结算后，各方签字之日起</w:t>
      </w:r>
      <w:r>
        <w:rPr>
          <w:rFonts w:hint="eastAsia"/>
          <w:color w:val="auto"/>
          <w:highlight w:val="none"/>
          <w:lang w:val="en-US" w:eastAsia="zh-CN"/>
        </w:rPr>
        <w:t>30</w:t>
      </w:r>
      <w:r>
        <w:rPr>
          <w:rFonts w:hint="eastAsia"/>
          <w:color w:val="auto"/>
          <w:highlight w:val="none"/>
        </w:rPr>
        <w:t>天内保持有效。</w:t>
      </w:r>
    </w:p>
    <w:p>
      <w:pPr>
        <w:ind w:firstLine="2824" w:firstLineChars="1345"/>
        <w:rPr>
          <w:rFonts w:ascii="宋体" w:hAnsi="宋体"/>
          <w:color w:val="auto"/>
          <w:highlight w:val="none"/>
        </w:rPr>
      </w:pPr>
    </w:p>
    <w:p>
      <w:pPr>
        <w:ind w:firstLine="5040" w:firstLineChars="2400"/>
        <w:rPr>
          <w:rFonts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pPr>
        <w:ind w:firstLine="5040" w:firstLineChars="24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pPr>
        <w:pStyle w:val="13"/>
        <w:rPr>
          <w:color w:val="auto"/>
          <w:szCs w:val="24"/>
          <w:highlight w:val="none"/>
        </w:rPr>
      </w:pPr>
      <w:r>
        <w:rPr>
          <w:rFonts w:hint="eastAsia"/>
          <w:color w:val="auto"/>
          <w:szCs w:val="24"/>
          <w:highlight w:val="none"/>
        </w:rPr>
        <w:t>说明：供应商在磋商时不需提交正式保函，在响应文件中盖供应商公章确认保函格式即可，乙方</w:t>
      </w:r>
      <w:r>
        <w:rPr>
          <w:rFonts w:hint="eastAsia"/>
          <w:color w:val="auto"/>
          <w:highlight w:val="none"/>
        </w:rPr>
        <w:t>在签订合同时</w:t>
      </w:r>
      <w:r>
        <w:rPr>
          <w:rFonts w:hint="eastAsia"/>
          <w:color w:val="auto"/>
          <w:szCs w:val="24"/>
          <w:highlight w:val="none"/>
        </w:rPr>
        <w:t>提交正式保函。</w:t>
      </w:r>
    </w:p>
    <w:p>
      <w:pPr>
        <w:rPr>
          <w:rFonts w:ascii="宋体" w:hAnsi="宋体"/>
          <w:color w:val="auto"/>
          <w:szCs w:val="21"/>
          <w:highlight w:val="none"/>
        </w:rPr>
      </w:pPr>
    </w:p>
    <w:p>
      <w:pPr>
        <w:rPr>
          <w:rFonts w:ascii="宋体" w:hAnsi="宋体"/>
          <w:color w:val="auto"/>
          <w:szCs w:val="21"/>
          <w:highlight w:val="none"/>
        </w:rPr>
        <w:sectPr>
          <w:pgSz w:w="11906" w:h="16838"/>
          <w:pgMar w:top="1440" w:right="1800" w:bottom="1440" w:left="1800" w:header="708" w:footer="708" w:gutter="0"/>
          <w:cols w:space="720" w:num="1"/>
          <w:titlePg/>
          <w:docGrid w:type="lines" w:linePitch="360" w:charSpace="0"/>
        </w:sectPr>
      </w:pPr>
    </w:p>
    <w:p>
      <w:pPr>
        <w:pStyle w:val="5"/>
        <w:numPr>
          <w:ilvl w:val="0"/>
          <w:numId w:val="0"/>
        </w:numPr>
        <w:tabs>
          <w:tab w:val="left" w:pos="720"/>
          <w:tab w:val="left" w:pos="3840"/>
        </w:tabs>
        <w:ind w:left="283"/>
        <w:jc w:val="both"/>
        <w:rPr>
          <w:rFonts w:ascii="宋体" w:hAnsi="宋体"/>
          <w:color w:val="auto"/>
          <w:sz w:val="21"/>
          <w:szCs w:val="21"/>
          <w:highlight w:val="none"/>
        </w:rPr>
      </w:pPr>
      <w:bookmarkStart w:id="280" w:name="_Toc30765"/>
      <w:bookmarkStart w:id="281" w:name="_Toc3000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19</w:t>
      </w:r>
      <w:r>
        <w:rPr>
          <w:rFonts w:hint="eastAsia" w:ascii="宋体" w:hAnsi="宋体"/>
          <w:color w:val="auto"/>
          <w:sz w:val="21"/>
          <w:szCs w:val="21"/>
          <w:highlight w:val="none"/>
        </w:rPr>
        <w:t>.预付款保函（</w:t>
      </w:r>
      <w:r>
        <w:rPr>
          <w:rFonts w:hint="eastAsia" w:ascii="宋体" w:hAnsi="宋体"/>
          <w:color w:val="auto"/>
          <w:sz w:val="21"/>
          <w:szCs w:val="21"/>
          <w:highlight w:val="none"/>
          <w:lang w:eastAsia="zh-CN"/>
        </w:rPr>
        <w:t>本项目不</w:t>
      </w:r>
      <w:r>
        <w:rPr>
          <w:rFonts w:hint="eastAsia" w:ascii="宋体" w:hAnsi="宋体"/>
          <w:color w:val="auto"/>
          <w:sz w:val="21"/>
          <w:szCs w:val="21"/>
          <w:highlight w:val="none"/>
        </w:rPr>
        <w:t>适用）</w:t>
      </w:r>
      <w:bookmarkEnd w:id="280"/>
      <w:bookmarkEnd w:id="281"/>
    </w:p>
    <w:p>
      <w:pPr>
        <w:pStyle w:val="13"/>
        <w:rPr>
          <w:color w:val="auto"/>
          <w:szCs w:val="24"/>
          <w:highlight w:val="none"/>
        </w:rPr>
      </w:pPr>
    </w:p>
    <w:p>
      <w:pPr>
        <w:jc w:val="center"/>
        <w:rPr>
          <w:rFonts w:ascii="黑体" w:eastAsia="黑体"/>
          <w:color w:val="auto"/>
          <w:sz w:val="28"/>
          <w:szCs w:val="28"/>
          <w:highlight w:val="none"/>
        </w:rPr>
      </w:pPr>
      <w:bookmarkStart w:id="282" w:name="_Toc6877"/>
      <w:bookmarkStart w:id="283" w:name="_Toc5034"/>
      <w:bookmarkStart w:id="284" w:name="_Toc29054"/>
      <w:bookmarkStart w:id="285" w:name="_Toc25494"/>
      <w:bookmarkStart w:id="286" w:name="_Toc27545"/>
      <w:bookmarkStart w:id="287" w:name="_Toc1039"/>
      <w:bookmarkStart w:id="288" w:name="_Toc20669"/>
      <w:bookmarkStart w:id="289" w:name="_Toc10315"/>
      <w:bookmarkStart w:id="290" w:name="_Toc29728"/>
      <w:bookmarkStart w:id="291" w:name="_Toc31418"/>
      <w:bookmarkStart w:id="292" w:name="_Toc7374"/>
      <w:bookmarkStart w:id="293" w:name="_Toc3295"/>
      <w:r>
        <w:rPr>
          <w:rFonts w:hint="eastAsia" w:ascii="黑体" w:eastAsia="黑体"/>
          <w:color w:val="auto"/>
          <w:sz w:val="28"/>
          <w:szCs w:val="28"/>
          <w:highlight w:val="none"/>
        </w:rPr>
        <w:t>不可撤销预付款保函</w:t>
      </w:r>
      <w:bookmarkEnd w:id="282"/>
      <w:bookmarkEnd w:id="283"/>
      <w:bookmarkEnd w:id="284"/>
      <w:bookmarkEnd w:id="285"/>
      <w:bookmarkEnd w:id="286"/>
      <w:bookmarkEnd w:id="287"/>
      <w:bookmarkEnd w:id="288"/>
      <w:bookmarkEnd w:id="289"/>
      <w:bookmarkEnd w:id="290"/>
      <w:bookmarkEnd w:id="291"/>
      <w:bookmarkEnd w:id="292"/>
      <w:bookmarkEnd w:id="293"/>
    </w:p>
    <w:p>
      <w:pP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pPr>
        <w:ind w:firstLine="6300"/>
        <w:rPr>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pP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pPr>
        <w:ind w:firstLine="437"/>
        <w:rPr>
          <w:rFonts w:ascii="宋体" w:hAnsi="宋体"/>
          <w:color w:val="auto"/>
          <w:szCs w:val="21"/>
          <w:highlight w:val="none"/>
        </w:rPr>
      </w:pPr>
      <w:r>
        <w:rPr>
          <w:rFonts w:hint="eastAsia" w:ascii="宋体" w:hAnsi="宋体"/>
          <w:color w:val="auto"/>
          <w:szCs w:val="24"/>
          <w:highlight w:val="none"/>
        </w:rPr>
        <w:t>根据上述合同（招标文件）规定，中标人应向采购人提供一份金额为合同总价的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pP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pP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pP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pPr>
        <w:rPr>
          <w:rFonts w:ascii="宋体" w:hAnsi="宋体"/>
          <w:color w:val="auto"/>
          <w:szCs w:val="21"/>
          <w:highlight w:val="none"/>
        </w:rPr>
      </w:pPr>
    </w:p>
    <w:p>
      <w:pPr>
        <w:ind w:firstLine="437"/>
        <w:rPr>
          <w:rFonts w:ascii="宋体" w:hAnsi="宋体"/>
          <w:color w:val="auto"/>
          <w:szCs w:val="21"/>
          <w:highlight w:val="none"/>
        </w:rPr>
      </w:pPr>
    </w:p>
    <w:p>
      <w:pP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pP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pPr>
        <w:pStyle w:val="13"/>
        <w:rPr>
          <w:color w:val="auto"/>
          <w:szCs w:val="21"/>
          <w:highlight w:val="none"/>
        </w:rPr>
      </w:pPr>
    </w:p>
    <w:p>
      <w:pPr>
        <w:pStyle w:val="13"/>
        <w:rPr>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说明：供应商在响应文件中盖供应商公章确认保函内容即可，如中标再由银行出具保函。</w:t>
      </w:r>
    </w:p>
    <w:p>
      <w:pPr>
        <w:rPr>
          <w:rFonts w:ascii="宋体" w:hAnsi="宋体"/>
          <w:color w:val="auto"/>
          <w:szCs w:val="21"/>
          <w:highlight w:val="none"/>
        </w:rPr>
        <w:sectPr>
          <w:pgSz w:w="11906" w:h="16838"/>
          <w:pgMar w:top="1440" w:right="1800" w:bottom="1440" w:left="1800" w:header="708" w:footer="708" w:gutter="0"/>
          <w:cols w:space="720" w:num="1"/>
          <w:titlePg/>
          <w:docGrid w:type="lines" w:linePitch="360" w:charSpace="0"/>
        </w:sectPr>
      </w:pPr>
    </w:p>
    <w:p>
      <w:pPr>
        <w:pStyle w:val="11"/>
        <w:rPr>
          <w:color w:val="auto"/>
          <w:highlight w:val="none"/>
        </w:rPr>
      </w:pPr>
      <w:bookmarkStart w:id="294" w:name="_Toc1968"/>
    </w:p>
    <w:p>
      <w:pPr>
        <w:jc w:val="center"/>
        <w:outlineLvl w:val="1"/>
        <w:rPr>
          <w:rFonts w:eastAsia="黑体"/>
          <w:color w:val="auto"/>
          <w:sz w:val="72"/>
          <w:szCs w:val="72"/>
          <w:highlight w:val="none"/>
        </w:rPr>
      </w:pPr>
      <w:bookmarkStart w:id="295" w:name="_Toc13897"/>
      <w:bookmarkStart w:id="296" w:name="_Toc6103"/>
      <w:r>
        <w:rPr>
          <w:rFonts w:hint="eastAsia" w:eastAsia="黑体"/>
          <w:color w:val="auto"/>
          <w:sz w:val="72"/>
          <w:szCs w:val="72"/>
          <w:highlight w:val="none"/>
        </w:rPr>
        <w:t>唱标信封</w:t>
      </w:r>
      <w:bookmarkEnd w:id="295"/>
      <w:bookmarkEnd w:id="296"/>
    </w:p>
    <w:p>
      <w:pP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pPr>
        <w:rPr>
          <w:color w:val="auto"/>
          <w:highlight w:val="none"/>
        </w:rPr>
      </w:pPr>
    </w:p>
    <w:p>
      <w:pPr>
        <w:pStyle w:val="11"/>
        <w:rPr>
          <w:color w:val="auto"/>
          <w:highlight w:val="none"/>
        </w:rPr>
      </w:pPr>
    </w:p>
    <w:p>
      <w:pPr>
        <w:pStyle w:val="10"/>
        <w:ind w:firstLine="240"/>
        <w:rPr>
          <w:color w:val="auto"/>
          <w:highlight w:val="none"/>
        </w:rPr>
      </w:pPr>
    </w:p>
    <w:p>
      <w:pPr>
        <w:pStyle w:val="10"/>
        <w:ind w:firstLine="240"/>
        <w:rPr>
          <w:color w:val="auto"/>
          <w:highlight w:val="none"/>
        </w:rPr>
      </w:pPr>
    </w:p>
    <w:p>
      <w:pP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pPr>
        <w:pStyle w:val="11"/>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z w:val="32"/>
          <w:szCs w:val="32"/>
          <w:highlight w:val="none"/>
        </w:rPr>
        <w:t>供应商名称：</w:t>
      </w:r>
    </w:p>
    <w:p>
      <w:pP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pPr>
        <w:rPr>
          <w:color w:val="auto"/>
          <w:sz w:val="72"/>
          <w:szCs w:val="72"/>
          <w:highlight w:val="none"/>
        </w:rPr>
        <w:sectPr>
          <w:pgSz w:w="11906" w:h="16838"/>
          <w:pgMar w:top="1440" w:right="1800" w:bottom="1440" w:left="1800" w:header="708" w:footer="708" w:gutter="0"/>
          <w:cols w:space="720" w:num="1"/>
          <w:titlePg/>
          <w:docGrid w:type="lines" w:linePitch="360" w:charSpace="0"/>
        </w:sectPr>
      </w:pPr>
    </w:p>
    <w:bookmarkEnd w:id="294"/>
    <w:p>
      <w:pPr>
        <w:pStyle w:val="5"/>
        <w:numPr>
          <w:ilvl w:val="0"/>
          <w:numId w:val="0"/>
        </w:numPr>
        <w:tabs>
          <w:tab w:val="left" w:pos="720"/>
          <w:tab w:val="left" w:pos="3840"/>
        </w:tabs>
        <w:ind w:left="283"/>
        <w:jc w:val="both"/>
        <w:rPr>
          <w:rFonts w:ascii="宋体" w:hAnsi="宋体"/>
          <w:color w:val="auto"/>
          <w:sz w:val="21"/>
          <w:szCs w:val="21"/>
          <w:highlight w:val="none"/>
        </w:rPr>
      </w:pPr>
      <w:bookmarkStart w:id="297" w:name="_Toc1484"/>
      <w:bookmarkStart w:id="298" w:name="_Toc32036"/>
      <w:r>
        <w:rPr>
          <w:rFonts w:hint="eastAsia" w:ascii="宋体" w:hAnsi="宋体"/>
          <w:color w:val="auto"/>
          <w:sz w:val="21"/>
          <w:szCs w:val="21"/>
          <w:highlight w:val="none"/>
        </w:rPr>
        <w:t>附件2</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.唱标信封内装（内容务必与响应文件正本一致）</w:t>
      </w:r>
      <w:bookmarkEnd w:id="297"/>
      <w:bookmarkEnd w:id="298"/>
    </w:p>
    <w:p>
      <w:pPr>
        <w:numPr>
          <w:ilvl w:val="0"/>
          <w:numId w:val="11"/>
        </w:numPr>
        <w:ind w:firstLineChars="200"/>
        <w:rPr>
          <w:rFonts w:hAnsi="宋体"/>
          <w:color w:val="auto"/>
          <w:szCs w:val="21"/>
          <w:highlight w:val="none"/>
        </w:rPr>
      </w:pPr>
      <w:r>
        <w:rPr>
          <w:rFonts w:hint="eastAsia" w:hAnsi="宋体"/>
          <w:color w:val="auto"/>
          <w:szCs w:val="21"/>
          <w:highlight w:val="none"/>
        </w:rPr>
        <w:t>开标一览表加盖公章；</w:t>
      </w:r>
    </w:p>
    <w:p>
      <w:pPr>
        <w:numPr>
          <w:ilvl w:val="0"/>
          <w:numId w:val="11"/>
        </w:numPr>
        <w:ind w:firstLineChars="200"/>
        <w:rPr>
          <w:rFonts w:hAnsi="宋体"/>
          <w:color w:val="auto"/>
          <w:szCs w:val="21"/>
          <w:highlight w:val="none"/>
        </w:rPr>
      </w:pPr>
      <w:r>
        <w:rPr>
          <w:rFonts w:hint="eastAsia" w:hAnsi="宋体"/>
          <w:color w:val="auto"/>
          <w:szCs w:val="21"/>
          <w:highlight w:val="none"/>
        </w:rPr>
        <w:t>法定代表人证明书加盖公章；</w:t>
      </w:r>
    </w:p>
    <w:p>
      <w:pPr>
        <w:numPr>
          <w:ilvl w:val="0"/>
          <w:numId w:val="11"/>
        </w:numPr>
        <w:ind w:firstLineChars="200"/>
        <w:rPr>
          <w:rFonts w:hAnsi="宋体"/>
          <w:color w:val="auto"/>
          <w:szCs w:val="21"/>
          <w:highlight w:val="none"/>
        </w:rPr>
      </w:pPr>
      <w:r>
        <w:rPr>
          <w:rFonts w:hint="eastAsia" w:hAnsi="宋体"/>
          <w:color w:val="auto"/>
          <w:szCs w:val="21"/>
          <w:highlight w:val="none"/>
        </w:rPr>
        <w:t>法定代表人授权委托书加盖公章（法定代表人投标的除外）；</w:t>
      </w:r>
    </w:p>
    <w:p>
      <w:pPr>
        <w:numPr>
          <w:ilvl w:val="0"/>
          <w:numId w:val="11"/>
        </w:numPr>
        <w:ind w:firstLineChars="200"/>
        <w:rPr>
          <w:rFonts w:hAnsi="宋体"/>
          <w:color w:val="auto"/>
          <w:szCs w:val="21"/>
          <w:highlight w:val="none"/>
        </w:rPr>
      </w:pPr>
      <w:r>
        <w:rPr>
          <w:rFonts w:hint="eastAsia" w:hAnsi="宋体"/>
          <w:color w:val="auto"/>
          <w:szCs w:val="21"/>
          <w:highlight w:val="none"/>
        </w:rPr>
        <w:t>磋商保证金汇入情况说明（含银行汇款凭证）或投标保函加盖公章；</w:t>
      </w:r>
    </w:p>
    <w:p>
      <w:pPr>
        <w:numPr>
          <w:ilvl w:val="0"/>
          <w:numId w:val="11"/>
        </w:numPr>
        <w:ind w:firstLineChars="200"/>
        <w:rPr>
          <w:rFonts w:hAnsi="宋体"/>
          <w:color w:val="auto"/>
          <w:szCs w:val="21"/>
          <w:highlight w:val="none"/>
        </w:rPr>
      </w:pPr>
      <w:r>
        <w:rPr>
          <w:rFonts w:hint="eastAsia" w:hAnsi="宋体"/>
          <w:color w:val="auto"/>
          <w:szCs w:val="21"/>
          <w:highlight w:val="none"/>
        </w:rPr>
        <w:t>响应文件电子文件（U盘，须含盖章版PDF响应文件和WORD版响应文件各一版，文字采用WORD文档，计算表格采用 EXCEL文档。）</w:t>
      </w:r>
    </w:p>
    <w:p>
      <w:pPr>
        <w:rPr>
          <w:rFonts w:ascii="宋体" w:hAnsi="宋体" w:cs="宋体"/>
          <w:color w:val="auto"/>
          <w:szCs w:val="21"/>
          <w:highlight w:val="none"/>
        </w:rPr>
      </w:pPr>
    </w:p>
    <w:p>
      <w:pPr>
        <w:pStyle w:val="11"/>
        <w:rPr>
          <w:color w:val="auto"/>
          <w:highlight w:val="none"/>
        </w:rPr>
      </w:pPr>
    </w:p>
    <w:sectPr>
      <w:pgSz w:w="11906" w:h="16838"/>
      <w:pgMar w:top="1440" w:right="1800" w:bottom="1440" w:left="1800" w:header="708" w:footer="708" w:gutter="0"/>
      <w:cols w:space="720"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2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tvVKfFgIAABUEAAAOAAAAAAAA&#10;AAEAIAAAAB8BAABkcnMvZTJvRG9jLnhtbFBLBQYAAAAABgAGAFkBAACnBQAAAAA=&#10;">
              <v:fill on="f" focussize="0,0"/>
              <v:stroke on="f" weight="0.5pt"/>
              <v:imagedata o:title=""/>
              <o:lock v:ext="edit" aspectratio="f"/>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013YU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zTXdhQCAAAVBAAADgAAAAAAAAAB&#10;ACAAAAAfAQAAZHJzL2Uyb0RvYy54bWxQSwUGAAAAAAYABgBZAQAApQUAAAAA&#10;">
              <v:fill on="f" focussize="0,0"/>
              <v:stroke on="f" weight="0.5pt"/>
              <v:imagedata o:title=""/>
              <o:lock v:ext="edit" aspectratio="f"/>
              <v:textbox inset="0mm,0mm,0mm,0mm" style="mso-fit-shape-to-text:t;">
                <w:txbxContent>
                  <w:p>
                    <w:pPr>
                      <w:pStyle w:val="1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posOffset>2092960</wp:posOffset>
              </wp:positionH>
              <wp:positionV relativeFrom="paragraph">
                <wp:posOffset>180340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a:effectLst/>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vert="horz" wrap="square" lIns="0" tIns="0" rIns="0" bIns="0" anchor="t" anchorCtr="0" upright="1">
                      <a:spAutoFit/>
                    </wps:bodyPr>
                  </wps:wsp>
                </a:graphicData>
              </a:graphic>
            </wp:anchor>
          </w:drawing>
        </mc:Choice>
        <mc:Fallback>
          <w:pict>
            <v:shape id="文本框 1026" o:spid="_x0000_s1026" o:spt="202" type="#_x0000_t202" style="position:absolute;left:0pt;margin-left:164.8pt;margin-top:14.2pt;height:144pt;width:85.7pt;mso-position-horizontal-relative:margin;z-index:251659264;mso-width-relative:page;mso-height-relative:page;" filled="f" stroked="f" coordsize="21600,21600" o:gfxdata="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1gNYAAAAKAQAADwAAAAAAAAABACAAAAAiAAAA&#10;ZHJzL2Rvd25yZXYueG1sUEsBAhQAFAAAAAgAh07iQGVHuF3QAQAAgwMAAA4AAAAAAAAAAQAgAAAA&#10;JQEAAGRycy9lMm9Eb2MueG1sUEsFBgAAAAAGAAYAWQEAAGcFAAAAAA==&#10;">
              <v:fill on="f" focussize="0,0"/>
              <v:stroke on="f"/>
              <v:imagedata o:title=""/>
              <o:lock v:ext="edit" aspectratio="f"/>
              <v:textbox inset="0mm,0mm,0mm,0mm" style="mso-fit-shape-to-text:t;">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a:effectLst/>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vert="horz" wrap="square" lIns="0" tIns="0" rIns="0" bIns="0" anchor="t" anchorCtr="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CBIs0gAAAAUBAAAPAAAAAAAAAAEAIAAAACIAAABkcnMv&#10;ZG93bnJldi54bWxQSwECFAAUAAAACACHTuJANUSmJdABAACDAwAADgAAAAAAAAABACAAAAAhAQAA&#10;ZHJzL2Uyb0RvYy54bWxQSwUGAAAAAAYABgBZAQAAYwUAAAAA&#10;">
              <v:fill on="f" focussize="0,0"/>
              <v:stroke on="f"/>
              <v:imagedata o:title=""/>
              <o:lock v:ext="edit" aspectratio="f"/>
              <v:textbox inset="0mm,0mm,0mm,0mm" style="mso-fit-shape-to-text:t;">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CFF174A5"/>
    <w:multiLevelType w:val="singleLevel"/>
    <w:tmpl w:val="CFF174A5"/>
    <w:lvl w:ilvl="0" w:tentative="0">
      <w:start w:val="1"/>
      <w:numFmt w:val="decimal"/>
      <w:suff w:val="nothing"/>
      <w:lvlText w:val="%1、"/>
      <w:lvlJc w:val="left"/>
    </w:lvl>
  </w:abstractNum>
  <w:abstractNum w:abstractNumId="2">
    <w:nsid w:val="D0047B7E"/>
    <w:multiLevelType w:val="singleLevel"/>
    <w:tmpl w:val="D0047B7E"/>
    <w:lvl w:ilvl="0" w:tentative="0">
      <w:start w:val="1"/>
      <w:numFmt w:val="decimal"/>
      <w:suff w:val="nothing"/>
      <w:lvlText w:val="%1、"/>
      <w:lvlJc w:val="left"/>
    </w:lvl>
  </w:abstractNum>
  <w:abstractNum w:abstractNumId="3">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5">
    <w:nsid w:val="20D2348B"/>
    <w:multiLevelType w:val="singleLevel"/>
    <w:tmpl w:val="20D2348B"/>
    <w:lvl w:ilvl="0" w:tentative="0">
      <w:start w:val="1"/>
      <w:numFmt w:val="chineseCounting"/>
      <w:suff w:val="nothing"/>
      <w:lvlText w:val="（%1）"/>
      <w:lvlJc w:val="left"/>
      <w:rPr>
        <w:rFonts w:hint="eastAsia"/>
      </w:rPr>
    </w:lvl>
  </w:abstractNum>
  <w:abstractNum w:abstractNumId="6">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3F88662E"/>
    <w:multiLevelType w:val="singleLevel"/>
    <w:tmpl w:val="3F88662E"/>
    <w:lvl w:ilvl="0" w:tentative="0">
      <w:start w:val="1"/>
      <w:numFmt w:val="decimal"/>
      <w:pStyle w:val="86"/>
      <w:suff w:val="space"/>
      <w:lvlText w:val="%1)"/>
      <w:lvlJc w:val="left"/>
    </w:lvl>
  </w:abstractNum>
  <w:abstractNum w:abstractNumId="8">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0">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8"/>
  </w:num>
  <w:num w:numId="3">
    <w:abstractNumId w:val="6"/>
  </w:num>
  <w:num w:numId="4">
    <w:abstractNumId w:val="0"/>
  </w:num>
  <w:num w:numId="5">
    <w:abstractNumId w:val="4"/>
  </w:num>
  <w:num w:numId="6">
    <w:abstractNumId w:val="1"/>
  </w:num>
  <w:num w:numId="7">
    <w:abstractNumId w:val="3"/>
  </w:num>
  <w:num w:numId="8">
    <w:abstractNumId w:val="5"/>
  </w:num>
  <w:num w:numId="9">
    <w:abstractNumId w:val="2"/>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hyphenationZone w:val="360"/>
  <w:drawingGridHorizontalSpacing w:val="110"/>
  <w:displayHorizontalDrawingGridEvery w:val="1"/>
  <w:displayVerticalDrawingGridEvery w:val="1"/>
  <w:noPunctuationKerning w:val="1"/>
  <w:characterSpacingControl w:val="doNotCompress"/>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ZmZiMjU0ODQ1NDY2MGQ1Y2QzZGIzZDY5NWVlNjcifQ=="/>
    <w:docVar w:name="KSO_WPS_MARK_KEY" w:val="2973aef7-98c6-45cd-8278-87609a4cadf0"/>
  </w:docVars>
  <w:rsids>
    <w:rsidRoot w:val="00172A27"/>
    <w:rsid w:val="00001330"/>
    <w:rsid w:val="00005A66"/>
    <w:rsid w:val="00006462"/>
    <w:rsid w:val="00011C71"/>
    <w:rsid w:val="000300E4"/>
    <w:rsid w:val="0003307E"/>
    <w:rsid w:val="000336BA"/>
    <w:rsid w:val="000359A1"/>
    <w:rsid w:val="00040F8B"/>
    <w:rsid w:val="000414F5"/>
    <w:rsid w:val="00041666"/>
    <w:rsid w:val="0005185D"/>
    <w:rsid w:val="0007500F"/>
    <w:rsid w:val="0008282E"/>
    <w:rsid w:val="00084F6D"/>
    <w:rsid w:val="00093A13"/>
    <w:rsid w:val="000A363F"/>
    <w:rsid w:val="000A42A8"/>
    <w:rsid w:val="000A5063"/>
    <w:rsid w:val="000A5DBD"/>
    <w:rsid w:val="000C4524"/>
    <w:rsid w:val="000D44A6"/>
    <w:rsid w:val="000E2CB7"/>
    <w:rsid w:val="000F0E98"/>
    <w:rsid w:val="000F1444"/>
    <w:rsid w:val="001049A5"/>
    <w:rsid w:val="001120E0"/>
    <w:rsid w:val="00121ADA"/>
    <w:rsid w:val="001242F3"/>
    <w:rsid w:val="001332BB"/>
    <w:rsid w:val="00134CAD"/>
    <w:rsid w:val="0013517C"/>
    <w:rsid w:val="001368B7"/>
    <w:rsid w:val="0013730B"/>
    <w:rsid w:val="00137853"/>
    <w:rsid w:val="00137E1C"/>
    <w:rsid w:val="00147012"/>
    <w:rsid w:val="001672DF"/>
    <w:rsid w:val="00172A27"/>
    <w:rsid w:val="00173126"/>
    <w:rsid w:val="00173905"/>
    <w:rsid w:val="00173938"/>
    <w:rsid w:val="00173E04"/>
    <w:rsid w:val="00175D29"/>
    <w:rsid w:val="001833A1"/>
    <w:rsid w:val="001844F4"/>
    <w:rsid w:val="00185039"/>
    <w:rsid w:val="001852D7"/>
    <w:rsid w:val="001A06D8"/>
    <w:rsid w:val="001A2D42"/>
    <w:rsid w:val="001A2EF7"/>
    <w:rsid w:val="001B1F14"/>
    <w:rsid w:val="001B41CF"/>
    <w:rsid w:val="001B5860"/>
    <w:rsid w:val="001C1135"/>
    <w:rsid w:val="001C15AE"/>
    <w:rsid w:val="001C4661"/>
    <w:rsid w:val="001C5689"/>
    <w:rsid w:val="001C6E4B"/>
    <w:rsid w:val="001F0070"/>
    <w:rsid w:val="001F2168"/>
    <w:rsid w:val="001F4B02"/>
    <w:rsid w:val="001F6BC7"/>
    <w:rsid w:val="002065A7"/>
    <w:rsid w:val="0021149E"/>
    <w:rsid w:val="00213021"/>
    <w:rsid w:val="00216BE9"/>
    <w:rsid w:val="00221E7A"/>
    <w:rsid w:val="0022503E"/>
    <w:rsid w:val="00225BB4"/>
    <w:rsid w:val="00226313"/>
    <w:rsid w:val="00231A8A"/>
    <w:rsid w:val="002373BB"/>
    <w:rsid w:val="00240F5F"/>
    <w:rsid w:val="00247224"/>
    <w:rsid w:val="00247AE0"/>
    <w:rsid w:val="00260AC1"/>
    <w:rsid w:val="0026312D"/>
    <w:rsid w:val="0027078E"/>
    <w:rsid w:val="0028395F"/>
    <w:rsid w:val="00284156"/>
    <w:rsid w:val="00285643"/>
    <w:rsid w:val="002867A1"/>
    <w:rsid w:val="002901F8"/>
    <w:rsid w:val="00290560"/>
    <w:rsid w:val="002920A4"/>
    <w:rsid w:val="002B4087"/>
    <w:rsid w:val="002B5F6C"/>
    <w:rsid w:val="002C6C78"/>
    <w:rsid w:val="002D1594"/>
    <w:rsid w:val="002D3F9C"/>
    <w:rsid w:val="002D503C"/>
    <w:rsid w:val="002D7E27"/>
    <w:rsid w:val="002E17E5"/>
    <w:rsid w:val="002E3F72"/>
    <w:rsid w:val="002E6B7E"/>
    <w:rsid w:val="002F0FC9"/>
    <w:rsid w:val="0030026E"/>
    <w:rsid w:val="0030669E"/>
    <w:rsid w:val="003101A3"/>
    <w:rsid w:val="00320CEA"/>
    <w:rsid w:val="00323B43"/>
    <w:rsid w:val="00326831"/>
    <w:rsid w:val="003274CE"/>
    <w:rsid w:val="003361E9"/>
    <w:rsid w:val="003430F6"/>
    <w:rsid w:val="0034618F"/>
    <w:rsid w:val="00353842"/>
    <w:rsid w:val="0035595E"/>
    <w:rsid w:val="003607C7"/>
    <w:rsid w:val="003665C5"/>
    <w:rsid w:val="00381C26"/>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5440B"/>
    <w:rsid w:val="00460B31"/>
    <w:rsid w:val="00462105"/>
    <w:rsid w:val="00475A80"/>
    <w:rsid w:val="00475BB4"/>
    <w:rsid w:val="00490B9E"/>
    <w:rsid w:val="00497577"/>
    <w:rsid w:val="004A05D7"/>
    <w:rsid w:val="004A2B28"/>
    <w:rsid w:val="004A69F1"/>
    <w:rsid w:val="004B3550"/>
    <w:rsid w:val="004B3F06"/>
    <w:rsid w:val="004C4B76"/>
    <w:rsid w:val="004C547F"/>
    <w:rsid w:val="004C7FD6"/>
    <w:rsid w:val="004D08C0"/>
    <w:rsid w:val="004D1669"/>
    <w:rsid w:val="004D1736"/>
    <w:rsid w:val="004D4CC7"/>
    <w:rsid w:val="004D51A2"/>
    <w:rsid w:val="004D5AFB"/>
    <w:rsid w:val="004E04FD"/>
    <w:rsid w:val="004F1BB7"/>
    <w:rsid w:val="0050759C"/>
    <w:rsid w:val="00510827"/>
    <w:rsid w:val="005267F1"/>
    <w:rsid w:val="005269A9"/>
    <w:rsid w:val="00532034"/>
    <w:rsid w:val="00534255"/>
    <w:rsid w:val="00541C87"/>
    <w:rsid w:val="00545D9A"/>
    <w:rsid w:val="00546A42"/>
    <w:rsid w:val="0055408D"/>
    <w:rsid w:val="0057492D"/>
    <w:rsid w:val="0058523E"/>
    <w:rsid w:val="00590819"/>
    <w:rsid w:val="00593D68"/>
    <w:rsid w:val="00594253"/>
    <w:rsid w:val="005A208B"/>
    <w:rsid w:val="005A555E"/>
    <w:rsid w:val="005A7612"/>
    <w:rsid w:val="005B58A6"/>
    <w:rsid w:val="005C3548"/>
    <w:rsid w:val="005C57E1"/>
    <w:rsid w:val="005C702E"/>
    <w:rsid w:val="005D01B8"/>
    <w:rsid w:val="005D066B"/>
    <w:rsid w:val="005D2D85"/>
    <w:rsid w:val="005D52E7"/>
    <w:rsid w:val="005E16DE"/>
    <w:rsid w:val="005F021D"/>
    <w:rsid w:val="005F20A4"/>
    <w:rsid w:val="005F4EAE"/>
    <w:rsid w:val="005F573A"/>
    <w:rsid w:val="005F660B"/>
    <w:rsid w:val="005F7EB1"/>
    <w:rsid w:val="00604B81"/>
    <w:rsid w:val="0061246F"/>
    <w:rsid w:val="00613417"/>
    <w:rsid w:val="00613B25"/>
    <w:rsid w:val="0061545F"/>
    <w:rsid w:val="006175DE"/>
    <w:rsid w:val="006215AC"/>
    <w:rsid w:val="00621821"/>
    <w:rsid w:val="00622362"/>
    <w:rsid w:val="00622497"/>
    <w:rsid w:val="006276AD"/>
    <w:rsid w:val="006347A6"/>
    <w:rsid w:val="006378D4"/>
    <w:rsid w:val="00641E8C"/>
    <w:rsid w:val="0064416A"/>
    <w:rsid w:val="006441FB"/>
    <w:rsid w:val="006476E3"/>
    <w:rsid w:val="00650DDC"/>
    <w:rsid w:val="0065189D"/>
    <w:rsid w:val="00652983"/>
    <w:rsid w:val="0065365D"/>
    <w:rsid w:val="006546D0"/>
    <w:rsid w:val="006576FD"/>
    <w:rsid w:val="00664F6B"/>
    <w:rsid w:val="006731D2"/>
    <w:rsid w:val="00680EB0"/>
    <w:rsid w:val="00682986"/>
    <w:rsid w:val="00684D92"/>
    <w:rsid w:val="00691701"/>
    <w:rsid w:val="00691AE0"/>
    <w:rsid w:val="006929C9"/>
    <w:rsid w:val="0069491E"/>
    <w:rsid w:val="006B004E"/>
    <w:rsid w:val="006B3E6C"/>
    <w:rsid w:val="006B4832"/>
    <w:rsid w:val="006B7878"/>
    <w:rsid w:val="006C14BD"/>
    <w:rsid w:val="006C28E5"/>
    <w:rsid w:val="006C5623"/>
    <w:rsid w:val="006C67A9"/>
    <w:rsid w:val="006D393E"/>
    <w:rsid w:val="006D43C5"/>
    <w:rsid w:val="006D4AD8"/>
    <w:rsid w:val="006E0B58"/>
    <w:rsid w:val="006E0C4B"/>
    <w:rsid w:val="006E664B"/>
    <w:rsid w:val="00701A6F"/>
    <w:rsid w:val="00704F7B"/>
    <w:rsid w:val="007110BA"/>
    <w:rsid w:val="00711465"/>
    <w:rsid w:val="00716E96"/>
    <w:rsid w:val="00723B11"/>
    <w:rsid w:val="00723DDA"/>
    <w:rsid w:val="007343A7"/>
    <w:rsid w:val="00734BB2"/>
    <w:rsid w:val="0073706B"/>
    <w:rsid w:val="00737823"/>
    <w:rsid w:val="00745216"/>
    <w:rsid w:val="0075028E"/>
    <w:rsid w:val="007528A6"/>
    <w:rsid w:val="007608B9"/>
    <w:rsid w:val="007724B4"/>
    <w:rsid w:val="0077462B"/>
    <w:rsid w:val="007863F1"/>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59D"/>
    <w:rsid w:val="007F2CD8"/>
    <w:rsid w:val="007F4DC5"/>
    <w:rsid w:val="00806380"/>
    <w:rsid w:val="0081104F"/>
    <w:rsid w:val="0081319A"/>
    <w:rsid w:val="00821698"/>
    <w:rsid w:val="00822299"/>
    <w:rsid w:val="00827E0A"/>
    <w:rsid w:val="0083486A"/>
    <w:rsid w:val="00837E35"/>
    <w:rsid w:val="00841378"/>
    <w:rsid w:val="00842B87"/>
    <w:rsid w:val="00845BEB"/>
    <w:rsid w:val="008472E6"/>
    <w:rsid w:val="00851296"/>
    <w:rsid w:val="008518B4"/>
    <w:rsid w:val="00853463"/>
    <w:rsid w:val="008548BD"/>
    <w:rsid w:val="008569D8"/>
    <w:rsid w:val="0086026F"/>
    <w:rsid w:val="008640F5"/>
    <w:rsid w:val="0087704E"/>
    <w:rsid w:val="008907DA"/>
    <w:rsid w:val="0089310C"/>
    <w:rsid w:val="008A0587"/>
    <w:rsid w:val="008A0843"/>
    <w:rsid w:val="008A7273"/>
    <w:rsid w:val="008B55B9"/>
    <w:rsid w:val="008B6F23"/>
    <w:rsid w:val="008B7726"/>
    <w:rsid w:val="008C05BA"/>
    <w:rsid w:val="008C49B1"/>
    <w:rsid w:val="008C5492"/>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2970"/>
    <w:rsid w:val="009A3070"/>
    <w:rsid w:val="009A6B4A"/>
    <w:rsid w:val="009A7058"/>
    <w:rsid w:val="009C19DE"/>
    <w:rsid w:val="009C23A6"/>
    <w:rsid w:val="009C5206"/>
    <w:rsid w:val="009C6AD9"/>
    <w:rsid w:val="009E398C"/>
    <w:rsid w:val="009E6F05"/>
    <w:rsid w:val="009F644E"/>
    <w:rsid w:val="009F6A05"/>
    <w:rsid w:val="00A013C0"/>
    <w:rsid w:val="00A01BE2"/>
    <w:rsid w:val="00A10906"/>
    <w:rsid w:val="00A12E66"/>
    <w:rsid w:val="00A13E78"/>
    <w:rsid w:val="00A14EEF"/>
    <w:rsid w:val="00A23304"/>
    <w:rsid w:val="00A275C2"/>
    <w:rsid w:val="00A3295D"/>
    <w:rsid w:val="00A373DB"/>
    <w:rsid w:val="00A4012F"/>
    <w:rsid w:val="00A4190E"/>
    <w:rsid w:val="00A42E91"/>
    <w:rsid w:val="00A50383"/>
    <w:rsid w:val="00A61230"/>
    <w:rsid w:val="00A668C8"/>
    <w:rsid w:val="00A74ED3"/>
    <w:rsid w:val="00A813C5"/>
    <w:rsid w:val="00A824E6"/>
    <w:rsid w:val="00A832CD"/>
    <w:rsid w:val="00A858DC"/>
    <w:rsid w:val="00A94D14"/>
    <w:rsid w:val="00AA0EAD"/>
    <w:rsid w:val="00AB19CE"/>
    <w:rsid w:val="00AB2133"/>
    <w:rsid w:val="00AB3969"/>
    <w:rsid w:val="00AC0E7A"/>
    <w:rsid w:val="00AC187B"/>
    <w:rsid w:val="00AC56AC"/>
    <w:rsid w:val="00AD17DE"/>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3E74"/>
    <w:rsid w:val="00BC5D66"/>
    <w:rsid w:val="00BD4ED4"/>
    <w:rsid w:val="00BD630F"/>
    <w:rsid w:val="00BD7C1B"/>
    <w:rsid w:val="00BE0825"/>
    <w:rsid w:val="00BE2EE6"/>
    <w:rsid w:val="00BF17FD"/>
    <w:rsid w:val="00BF2820"/>
    <w:rsid w:val="00BF41D4"/>
    <w:rsid w:val="00BF5AFB"/>
    <w:rsid w:val="00C1552F"/>
    <w:rsid w:val="00C16734"/>
    <w:rsid w:val="00C17B47"/>
    <w:rsid w:val="00C25C77"/>
    <w:rsid w:val="00C303E7"/>
    <w:rsid w:val="00C319C2"/>
    <w:rsid w:val="00C33753"/>
    <w:rsid w:val="00C45F8B"/>
    <w:rsid w:val="00C46082"/>
    <w:rsid w:val="00C53CE5"/>
    <w:rsid w:val="00C612F8"/>
    <w:rsid w:val="00C62E44"/>
    <w:rsid w:val="00C63BD8"/>
    <w:rsid w:val="00C65954"/>
    <w:rsid w:val="00C7126B"/>
    <w:rsid w:val="00C72C24"/>
    <w:rsid w:val="00C73468"/>
    <w:rsid w:val="00C74986"/>
    <w:rsid w:val="00C80EC4"/>
    <w:rsid w:val="00C8568E"/>
    <w:rsid w:val="00CA32B5"/>
    <w:rsid w:val="00CB57AD"/>
    <w:rsid w:val="00CC009D"/>
    <w:rsid w:val="00CC584A"/>
    <w:rsid w:val="00CC5E4E"/>
    <w:rsid w:val="00CD0EAB"/>
    <w:rsid w:val="00CE2AF3"/>
    <w:rsid w:val="00CE621D"/>
    <w:rsid w:val="00CE66E8"/>
    <w:rsid w:val="00CE75D8"/>
    <w:rsid w:val="00D05388"/>
    <w:rsid w:val="00D114CD"/>
    <w:rsid w:val="00D14476"/>
    <w:rsid w:val="00D232FF"/>
    <w:rsid w:val="00D279AA"/>
    <w:rsid w:val="00D31215"/>
    <w:rsid w:val="00D34544"/>
    <w:rsid w:val="00D34841"/>
    <w:rsid w:val="00D42049"/>
    <w:rsid w:val="00D4444E"/>
    <w:rsid w:val="00D44A97"/>
    <w:rsid w:val="00D45C0C"/>
    <w:rsid w:val="00D508A5"/>
    <w:rsid w:val="00D5104B"/>
    <w:rsid w:val="00D555D8"/>
    <w:rsid w:val="00D60778"/>
    <w:rsid w:val="00D63EB2"/>
    <w:rsid w:val="00D64D28"/>
    <w:rsid w:val="00D6604D"/>
    <w:rsid w:val="00D661EB"/>
    <w:rsid w:val="00D677F1"/>
    <w:rsid w:val="00D74601"/>
    <w:rsid w:val="00D83E46"/>
    <w:rsid w:val="00D847B6"/>
    <w:rsid w:val="00D93958"/>
    <w:rsid w:val="00D951D3"/>
    <w:rsid w:val="00DA1DB9"/>
    <w:rsid w:val="00DA6169"/>
    <w:rsid w:val="00DA7B28"/>
    <w:rsid w:val="00DB5480"/>
    <w:rsid w:val="00DB6317"/>
    <w:rsid w:val="00DC22A0"/>
    <w:rsid w:val="00DC2FC5"/>
    <w:rsid w:val="00DC4D6D"/>
    <w:rsid w:val="00DC5AD9"/>
    <w:rsid w:val="00DC691F"/>
    <w:rsid w:val="00DD02DE"/>
    <w:rsid w:val="00DD07B7"/>
    <w:rsid w:val="00DD113C"/>
    <w:rsid w:val="00DD324C"/>
    <w:rsid w:val="00DE0BEB"/>
    <w:rsid w:val="00DE40A9"/>
    <w:rsid w:val="00DE4856"/>
    <w:rsid w:val="00DF485B"/>
    <w:rsid w:val="00E02627"/>
    <w:rsid w:val="00E0295D"/>
    <w:rsid w:val="00E042BC"/>
    <w:rsid w:val="00E132FE"/>
    <w:rsid w:val="00E21B77"/>
    <w:rsid w:val="00E23352"/>
    <w:rsid w:val="00E35BCC"/>
    <w:rsid w:val="00E40CAD"/>
    <w:rsid w:val="00E40DC7"/>
    <w:rsid w:val="00E4215F"/>
    <w:rsid w:val="00E57E9F"/>
    <w:rsid w:val="00E61D2E"/>
    <w:rsid w:val="00E62B7F"/>
    <w:rsid w:val="00E65447"/>
    <w:rsid w:val="00E7066D"/>
    <w:rsid w:val="00E726BC"/>
    <w:rsid w:val="00E72821"/>
    <w:rsid w:val="00E75C82"/>
    <w:rsid w:val="00E81DDC"/>
    <w:rsid w:val="00E81F67"/>
    <w:rsid w:val="00E83650"/>
    <w:rsid w:val="00E83A31"/>
    <w:rsid w:val="00E93BF5"/>
    <w:rsid w:val="00E97CC0"/>
    <w:rsid w:val="00EA22B8"/>
    <w:rsid w:val="00EA2524"/>
    <w:rsid w:val="00EA33E7"/>
    <w:rsid w:val="00EC092D"/>
    <w:rsid w:val="00EC0DF8"/>
    <w:rsid w:val="00EC1329"/>
    <w:rsid w:val="00EC7F91"/>
    <w:rsid w:val="00ED378B"/>
    <w:rsid w:val="00EE08F9"/>
    <w:rsid w:val="00EE70B3"/>
    <w:rsid w:val="00EF24AA"/>
    <w:rsid w:val="00EF728A"/>
    <w:rsid w:val="00EF7D0D"/>
    <w:rsid w:val="00F00FF7"/>
    <w:rsid w:val="00F02093"/>
    <w:rsid w:val="00F068E3"/>
    <w:rsid w:val="00F10B5F"/>
    <w:rsid w:val="00F218C1"/>
    <w:rsid w:val="00F3053C"/>
    <w:rsid w:val="00F321EB"/>
    <w:rsid w:val="00F32B00"/>
    <w:rsid w:val="00F346CF"/>
    <w:rsid w:val="00F3610C"/>
    <w:rsid w:val="00F36839"/>
    <w:rsid w:val="00F413C0"/>
    <w:rsid w:val="00F52A5F"/>
    <w:rsid w:val="00F55954"/>
    <w:rsid w:val="00F57308"/>
    <w:rsid w:val="00F61962"/>
    <w:rsid w:val="00F62865"/>
    <w:rsid w:val="00F64022"/>
    <w:rsid w:val="00F64660"/>
    <w:rsid w:val="00F74FF3"/>
    <w:rsid w:val="00F97062"/>
    <w:rsid w:val="00F9745D"/>
    <w:rsid w:val="00FA07A9"/>
    <w:rsid w:val="00FA54B2"/>
    <w:rsid w:val="00FC0FCB"/>
    <w:rsid w:val="00FC529F"/>
    <w:rsid w:val="00FC66E1"/>
    <w:rsid w:val="00FC7B53"/>
    <w:rsid w:val="00FD48CC"/>
    <w:rsid w:val="00FE62D1"/>
    <w:rsid w:val="00FE7B94"/>
    <w:rsid w:val="00FF0736"/>
    <w:rsid w:val="00FF2515"/>
    <w:rsid w:val="00FF26BF"/>
    <w:rsid w:val="01377D39"/>
    <w:rsid w:val="013C51B0"/>
    <w:rsid w:val="01651C23"/>
    <w:rsid w:val="018023CE"/>
    <w:rsid w:val="01881AD6"/>
    <w:rsid w:val="019127B6"/>
    <w:rsid w:val="01B71A01"/>
    <w:rsid w:val="01DC03CE"/>
    <w:rsid w:val="01E36F4E"/>
    <w:rsid w:val="0208150E"/>
    <w:rsid w:val="02287D63"/>
    <w:rsid w:val="024179E7"/>
    <w:rsid w:val="0246437B"/>
    <w:rsid w:val="02985CD5"/>
    <w:rsid w:val="02A741FD"/>
    <w:rsid w:val="02C16E5D"/>
    <w:rsid w:val="02D964CF"/>
    <w:rsid w:val="02DE5ECF"/>
    <w:rsid w:val="03025B84"/>
    <w:rsid w:val="032E6AB8"/>
    <w:rsid w:val="03587E8E"/>
    <w:rsid w:val="03707410"/>
    <w:rsid w:val="039170C0"/>
    <w:rsid w:val="039240A3"/>
    <w:rsid w:val="03A0770F"/>
    <w:rsid w:val="03A27726"/>
    <w:rsid w:val="03A448B8"/>
    <w:rsid w:val="03B34A78"/>
    <w:rsid w:val="03C01631"/>
    <w:rsid w:val="03C656A9"/>
    <w:rsid w:val="03F33148"/>
    <w:rsid w:val="042F3419"/>
    <w:rsid w:val="0435283A"/>
    <w:rsid w:val="04491596"/>
    <w:rsid w:val="047B4012"/>
    <w:rsid w:val="04822497"/>
    <w:rsid w:val="04974587"/>
    <w:rsid w:val="049A0C65"/>
    <w:rsid w:val="04A07C4B"/>
    <w:rsid w:val="04DF1036"/>
    <w:rsid w:val="04E24985"/>
    <w:rsid w:val="04EB434C"/>
    <w:rsid w:val="050C01DF"/>
    <w:rsid w:val="05316537"/>
    <w:rsid w:val="053A5A77"/>
    <w:rsid w:val="0599183C"/>
    <w:rsid w:val="05993DE2"/>
    <w:rsid w:val="05A97DEC"/>
    <w:rsid w:val="05B23978"/>
    <w:rsid w:val="05C81981"/>
    <w:rsid w:val="05FC20B9"/>
    <w:rsid w:val="060043AE"/>
    <w:rsid w:val="060C3203"/>
    <w:rsid w:val="06281344"/>
    <w:rsid w:val="062D4EC8"/>
    <w:rsid w:val="0687725F"/>
    <w:rsid w:val="069B4E4A"/>
    <w:rsid w:val="06A26008"/>
    <w:rsid w:val="06BC41F2"/>
    <w:rsid w:val="06F125FA"/>
    <w:rsid w:val="06F415CC"/>
    <w:rsid w:val="070E26CD"/>
    <w:rsid w:val="07197D08"/>
    <w:rsid w:val="071E5C55"/>
    <w:rsid w:val="075C1FE5"/>
    <w:rsid w:val="077005AB"/>
    <w:rsid w:val="078F4581"/>
    <w:rsid w:val="07A715F3"/>
    <w:rsid w:val="07BF027F"/>
    <w:rsid w:val="07F06C60"/>
    <w:rsid w:val="08031A31"/>
    <w:rsid w:val="080E2872"/>
    <w:rsid w:val="08420CAE"/>
    <w:rsid w:val="089A5AE8"/>
    <w:rsid w:val="08CB57A5"/>
    <w:rsid w:val="08DC25A5"/>
    <w:rsid w:val="09061A75"/>
    <w:rsid w:val="090C09C5"/>
    <w:rsid w:val="09182241"/>
    <w:rsid w:val="09325D4D"/>
    <w:rsid w:val="095F1030"/>
    <w:rsid w:val="09855177"/>
    <w:rsid w:val="09877EDB"/>
    <w:rsid w:val="09A17D47"/>
    <w:rsid w:val="09C84998"/>
    <w:rsid w:val="09EE5125"/>
    <w:rsid w:val="0A3D7585"/>
    <w:rsid w:val="0A462748"/>
    <w:rsid w:val="0A4D0C81"/>
    <w:rsid w:val="0A723E95"/>
    <w:rsid w:val="0A733243"/>
    <w:rsid w:val="0AA534D5"/>
    <w:rsid w:val="0AA650EB"/>
    <w:rsid w:val="0AA7129C"/>
    <w:rsid w:val="0AB15B2D"/>
    <w:rsid w:val="0AF47339"/>
    <w:rsid w:val="0B121934"/>
    <w:rsid w:val="0B1F4D52"/>
    <w:rsid w:val="0B22594B"/>
    <w:rsid w:val="0B27506F"/>
    <w:rsid w:val="0B3061AD"/>
    <w:rsid w:val="0B666362"/>
    <w:rsid w:val="0B9610F4"/>
    <w:rsid w:val="0BBF77A4"/>
    <w:rsid w:val="0BD16C8D"/>
    <w:rsid w:val="0BDF26F7"/>
    <w:rsid w:val="0C027DB2"/>
    <w:rsid w:val="0C2B4952"/>
    <w:rsid w:val="0C516C55"/>
    <w:rsid w:val="0C5D161C"/>
    <w:rsid w:val="0C6437E4"/>
    <w:rsid w:val="0C7B2220"/>
    <w:rsid w:val="0CB67D83"/>
    <w:rsid w:val="0CCF79BE"/>
    <w:rsid w:val="0CD20599"/>
    <w:rsid w:val="0CE34A98"/>
    <w:rsid w:val="0CE53018"/>
    <w:rsid w:val="0D0B5B12"/>
    <w:rsid w:val="0D133046"/>
    <w:rsid w:val="0D153F28"/>
    <w:rsid w:val="0D305390"/>
    <w:rsid w:val="0D3A0F98"/>
    <w:rsid w:val="0D5D37FD"/>
    <w:rsid w:val="0D6A4502"/>
    <w:rsid w:val="0D7415CA"/>
    <w:rsid w:val="0D890E47"/>
    <w:rsid w:val="0DC64A00"/>
    <w:rsid w:val="0DCF786E"/>
    <w:rsid w:val="0DEB5FFA"/>
    <w:rsid w:val="0DF75C46"/>
    <w:rsid w:val="0DFC60BA"/>
    <w:rsid w:val="0E045D30"/>
    <w:rsid w:val="0E1C06B2"/>
    <w:rsid w:val="0E35000C"/>
    <w:rsid w:val="0E69691B"/>
    <w:rsid w:val="0E7900C2"/>
    <w:rsid w:val="0EBB5484"/>
    <w:rsid w:val="0EBD5AA3"/>
    <w:rsid w:val="0F085784"/>
    <w:rsid w:val="0F5723EF"/>
    <w:rsid w:val="0F7C5FF6"/>
    <w:rsid w:val="0FC63FBD"/>
    <w:rsid w:val="0FDD003F"/>
    <w:rsid w:val="0FF63282"/>
    <w:rsid w:val="0FF87EA4"/>
    <w:rsid w:val="0FFF7484"/>
    <w:rsid w:val="10007DD4"/>
    <w:rsid w:val="100B77ED"/>
    <w:rsid w:val="10305890"/>
    <w:rsid w:val="103D5A1A"/>
    <w:rsid w:val="105D28A8"/>
    <w:rsid w:val="106C564D"/>
    <w:rsid w:val="10767478"/>
    <w:rsid w:val="107B7B8F"/>
    <w:rsid w:val="107C67CE"/>
    <w:rsid w:val="10912D03"/>
    <w:rsid w:val="109D68CB"/>
    <w:rsid w:val="10A01FEC"/>
    <w:rsid w:val="10A949B8"/>
    <w:rsid w:val="10CB4D26"/>
    <w:rsid w:val="10F83127"/>
    <w:rsid w:val="1111205F"/>
    <w:rsid w:val="11144AFE"/>
    <w:rsid w:val="11200D07"/>
    <w:rsid w:val="116705E6"/>
    <w:rsid w:val="116A3F32"/>
    <w:rsid w:val="11786AB5"/>
    <w:rsid w:val="118049D4"/>
    <w:rsid w:val="118561F8"/>
    <w:rsid w:val="11914FAF"/>
    <w:rsid w:val="11A8021A"/>
    <w:rsid w:val="11B21219"/>
    <w:rsid w:val="11B4024C"/>
    <w:rsid w:val="11DA73AF"/>
    <w:rsid w:val="11FC1ECD"/>
    <w:rsid w:val="12457C5E"/>
    <w:rsid w:val="124D097B"/>
    <w:rsid w:val="12511265"/>
    <w:rsid w:val="126561B4"/>
    <w:rsid w:val="127344C3"/>
    <w:rsid w:val="127A3FFC"/>
    <w:rsid w:val="127D0E25"/>
    <w:rsid w:val="127E0B34"/>
    <w:rsid w:val="1283614B"/>
    <w:rsid w:val="12856FF3"/>
    <w:rsid w:val="129671FB"/>
    <w:rsid w:val="12A576FF"/>
    <w:rsid w:val="12C60D80"/>
    <w:rsid w:val="12E579C3"/>
    <w:rsid w:val="130523B3"/>
    <w:rsid w:val="13097496"/>
    <w:rsid w:val="13154AD2"/>
    <w:rsid w:val="131F7A3A"/>
    <w:rsid w:val="132645D0"/>
    <w:rsid w:val="134312FF"/>
    <w:rsid w:val="13455ABC"/>
    <w:rsid w:val="1370322B"/>
    <w:rsid w:val="13BA0460"/>
    <w:rsid w:val="13BB41AE"/>
    <w:rsid w:val="13C031D9"/>
    <w:rsid w:val="13C24F9B"/>
    <w:rsid w:val="13C45A18"/>
    <w:rsid w:val="13C9247B"/>
    <w:rsid w:val="13C92A4D"/>
    <w:rsid w:val="13DE55D1"/>
    <w:rsid w:val="13E0285C"/>
    <w:rsid w:val="143B2E0B"/>
    <w:rsid w:val="147C1943"/>
    <w:rsid w:val="148054E9"/>
    <w:rsid w:val="14892735"/>
    <w:rsid w:val="14906D6C"/>
    <w:rsid w:val="14CC769D"/>
    <w:rsid w:val="14D764D5"/>
    <w:rsid w:val="14F43330"/>
    <w:rsid w:val="152509D7"/>
    <w:rsid w:val="15436F05"/>
    <w:rsid w:val="155541C5"/>
    <w:rsid w:val="15691FE3"/>
    <w:rsid w:val="158B5DDD"/>
    <w:rsid w:val="15A41986"/>
    <w:rsid w:val="15B11221"/>
    <w:rsid w:val="15C16EB3"/>
    <w:rsid w:val="15CB76C9"/>
    <w:rsid w:val="15D359D7"/>
    <w:rsid w:val="160E7A2C"/>
    <w:rsid w:val="16111028"/>
    <w:rsid w:val="161F7731"/>
    <w:rsid w:val="163C77BE"/>
    <w:rsid w:val="16573587"/>
    <w:rsid w:val="16647F88"/>
    <w:rsid w:val="1679588C"/>
    <w:rsid w:val="168C2855"/>
    <w:rsid w:val="16903443"/>
    <w:rsid w:val="169614F2"/>
    <w:rsid w:val="16994962"/>
    <w:rsid w:val="16A233CF"/>
    <w:rsid w:val="16A71041"/>
    <w:rsid w:val="16AA24BF"/>
    <w:rsid w:val="16DA7B9D"/>
    <w:rsid w:val="171510CA"/>
    <w:rsid w:val="171D3FE1"/>
    <w:rsid w:val="1742794A"/>
    <w:rsid w:val="17680CAB"/>
    <w:rsid w:val="176E4128"/>
    <w:rsid w:val="1783371F"/>
    <w:rsid w:val="17846F75"/>
    <w:rsid w:val="178D7563"/>
    <w:rsid w:val="17B61794"/>
    <w:rsid w:val="17C52CBF"/>
    <w:rsid w:val="17C93012"/>
    <w:rsid w:val="17D24A27"/>
    <w:rsid w:val="17E62B67"/>
    <w:rsid w:val="180F4499"/>
    <w:rsid w:val="182201B4"/>
    <w:rsid w:val="18221ECE"/>
    <w:rsid w:val="18303840"/>
    <w:rsid w:val="183C3D90"/>
    <w:rsid w:val="18504A07"/>
    <w:rsid w:val="1859036F"/>
    <w:rsid w:val="18681814"/>
    <w:rsid w:val="1877254A"/>
    <w:rsid w:val="18AE7C99"/>
    <w:rsid w:val="18B0649B"/>
    <w:rsid w:val="18B46A55"/>
    <w:rsid w:val="18C8297B"/>
    <w:rsid w:val="18D418FC"/>
    <w:rsid w:val="18FC7745"/>
    <w:rsid w:val="19027053"/>
    <w:rsid w:val="19085D7D"/>
    <w:rsid w:val="191677A6"/>
    <w:rsid w:val="191D75F9"/>
    <w:rsid w:val="19353F17"/>
    <w:rsid w:val="19DD405E"/>
    <w:rsid w:val="1A460CF5"/>
    <w:rsid w:val="1A7A6BB4"/>
    <w:rsid w:val="1A7F297D"/>
    <w:rsid w:val="1A9B268C"/>
    <w:rsid w:val="1A9D6244"/>
    <w:rsid w:val="1AAF6004"/>
    <w:rsid w:val="1AB16AC1"/>
    <w:rsid w:val="1ABF1CEA"/>
    <w:rsid w:val="1B014DDE"/>
    <w:rsid w:val="1B0320FB"/>
    <w:rsid w:val="1B034A52"/>
    <w:rsid w:val="1B45344E"/>
    <w:rsid w:val="1B5636D9"/>
    <w:rsid w:val="1B591D2B"/>
    <w:rsid w:val="1B5D76FB"/>
    <w:rsid w:val="1B683578"/>
    <w:rsid w:val="1B8C0040"/>
    <w:rsid w:val="1BB86A03"/>
    <w:rsid w:val="1BBA4E52"/>
    <w:rsid w:val="1BD9519A"/>
    <w:rsid w:val="1BDE2F66"/>
    <w:rsid w:val="1C2A22B3"/>
    <w:rsid w:val="1C4E2600"/>
    <w:rsid w:val="1C750ECE"/>
    <w:rsid w:val="1C78116E"/>
    <w:rsid w:val="1CA56AF4"/>
    <w:rsid w:val="1CE1575A"/>
    <w:rsid w:val="1D196139"/>
    <w:rsid w:val="1D2E2708"/>
    <w:rsid w:val="1D547061"/>
    <w:rsid w:val="1D5E02D1"/>
    <w:rsid w:val="1D733B70"/>
    <w:rsid w:val="1D7B74A7"/>
    <w:rsid w:val="1D7F0ED0"/>
    <w:rsid w:val="1DA31EB7"/>
    <w:rsid w:val="1DA55D97"/>
    <w:rsid w:val="1DBB6100"/>
    <w:rsid w:val="1DBE6816"/>
    <w:rsid w:val="1DC67725"/>
    <w:rsid w:val="1DCB4FF1"/>
    <w:rsid w:val="1DDC11E4"/>
    <w:rsid w:val="1DF5452A"/>
    <w:rsid w:val="1E010AF7"/>
    <w:rsid w:val="1E1C405A"/>
    <w:rsid w:val="1E2E29E0"/>
    <w:rsid w:val="1E301173"/>
    <w:rsid w:val="1E884D18"/>
    <w:rsid w:val="1ED8781E"/>
    <w:rsid w:val="1EDD3235"/>
    <w:rsid w:val="1EE7283A"/>
    <w:rsid w:val="1F1102B0"/>
    <w:rsid w:val="1F2F1047"/>
    <w:rsid w:val="1F43381C"/>
    <w:rsid w:val="1F7D6A3D"/>
    <w:rsid w:val="1FA4148D"/>
    <w:rsid w:val="1FC10FAB"/>
    <w:rsid w:val="1FC65577"/>
    <w:rsid w:val="1FD82385"/>
    <w:rsid w:val="20121621"/>
    <w:rsid w:val="201636E2"/>
    <w:rsid w:val="202E3F6D"/>
    <w:rsid w:val="2032134B"/>
    <w:rsid w:val="20325F7E"/>
    <w:rsid w:val="204778E7"/>
    <w:rsid w:val="204E554F"/>
    <w:rsid w:val="20546774"/>
    <w:rsid w:val="20590035"/>
    <w:rsid w:val="20851B47"/>
    <w:rsid w:val="209A2C3D"/>
    <w:rsid w:val="20E5011E"/>
    <w:rsid w:val="20FC799E"/>
    <w:rsid w:val="21286DA7"/>
    <w:rsid w:val="2134683B"/>
    <w:rsid w:val="215C18AC"/>
    <w:rsid w:val="21C82E72"/>
    <w:rsid w:val="21DE0801"/>
    <w:rsid w:val="21DE339D"/>
    <w:rsid w:val="22154DDD"/>
    <w:rsid w:val="221D4DB5"/>
    <w:rsid w:val="22336873"/>
    <w:rsid w:val="22396826"/>
    <w:rsid w:val="225471A3"/>
    <w:rsid w:val="225E34DC"/>
    <w:rsid w:val="227D1295"/>
    <w:rsid w:val="227E7C03"/>
    <w:rsid w:val="229B678A"/>
    <w:rsid w:val="22AB3B7D"/>
    <w:rsid w:val="22AF3A08"/>
    <w:rsid w:val="22F91328"/>
    <w:rsid w:val="22F92F75"/>
    <w:rsid w:val="239634D6"/>
    <w:rsid w:val="23BB4E7D"/>
    <w:rsid w:val="23C172D6"/>
    <w:rsid w:val="23CB1286"/>
    <w:rsid w:val="23D77537"/>
    <w:rsid w:val="23E6195D"/>
    <w:rsid w:val="23F04F64"/>
    <w:rsid w:val="242654AA"/>
    <w:rsid w:val="247F5F5B"/>
    <w:rsid w:val="24814CBE"/>
    <w:rsid w:val="248A1EEC"/>
    <w:rsid w:val="24AC168B"/>
    <w:rsid w:val="24BB6664"/>
    <w:rsid w:val="24C468D6"/>
    <w:rsid w:val="24EC64CB"/>
    <w:rsid w:val="250E1318"/>
    <w:rsid w:val="25103738"/>
    <w:rsid w:val="253F46D8"/>
    <w:rsid w:val="254D0389"/>
    <w:rsid w:val="25884C5D"/>
    <w:rsid w:val="258C3BEC"/>
    <w:rsid w:val="25A03144"/>
    <w:rsid w:val="25B2479F"/>
    <w:rsid w:val="25C15C5D"/>
    <w:rsid w:val="25D329B9"/>
    <w:rsid w:val="25E5427A"/>
    <w:rsid w:val="26276A31"/>
    <w:rsid w:val="26366F9D"/>
    <w:rsid w:val="263B1230"/>
    <w:rsid w:val="2642752B"/>
    <w:rsid w:val="26485508"/>
    <w:rsid w:val="26554808"/>
    <w:rsid w:val="265E685B"/>
    <w:rsid w:val="26607D95"/>
    <w:rsid w:val="26700955"/>
    <w:rsid w:val="26A16AE9"/>
    <w:rsid w:val="26A605D9"/>
    <w:rsid w:val="26AD0500"/>
    <w:rsid w:val="26B121A3"/>
    <w:rsid w:val="26BE2324"/>
    <w:rsid w:val="26E464C3"/>
    <w:rsid w:val="272E3097"/>
    <w:rsid w:val="272E6F74"/>
    <w:rsid w:val="273B7A3B"/>
    <w:rsid w:val="275378F8"/>
    <w:rsid w:val="277E6655"/>
    <w:rsid w:val="2780046C"/>
    <w:rsid w:val="27933DEA"/>
    <w:rsid w:val="27B36A67"/>
    <w:rsid w:val="27D9633F"/>
    <w:rsid w:val="280B2E27"/>
    <w:rsid w:val="281E404F"/>
    <w:rsid w:val="28302479"/>
    <w:rsid w:val="2846581F"/>
    <w:rsid w:val="284A5CA4"/>
    <w:rsid w:val="286550ED"/>
    <w:rsid w:val="286602C8"/>
    <w:rsid w:val="28665C95"/>
    <w:rsid w:val="28736F5F"/>
    <w:rsid w:val="28B01D1E"/>
    <w:rsid w:val="28C2628C"/>
    <w:rsid w:val="28CC3373"/>
    <w:rsid w:val="28F47F99"/>
    <w:rsid w:val="28F579BA"/>
    <w:rsid w:val="290B3EB9"/>
    <w:rsid w:val="292728C1"/>
    <w:rsid w:val="292F0BBA"/>
    <w:rsid w:val="2943352C"/>
    <w:rsid w:val="294E392A"/>
    <w:rsid w:val="2950768C"/>
    <w:rsid w:val="297A5FC4"/>
    <w:rsid w:val="29B51252"/>
    <w:rsid w:val="29E14657"/>
    <w:rsid w:val="29E474B8"/>
    <w:rsid w:val="29ED574B"/>
    <w:rsid w:val="29FA2D3E"/>
    <w:rsid w:val="29FE5CE6"/>
    <w:rsid w:val="2A743AE8"/>
    <w:rsid w:val="2A8D4F8F"/>
    <w:rsid w:val="2A917B34"/>
    <w:rsid w:val="2A9308A8"/>
    <w:rsid w:val="2A9F5AB8"/>
    <w:rsid w:val="2AB10C99"/>
    <w:rsid w:val="2AD74E8C"/>
    <w:rsid w:val="2AE3766F"/>
    <w:rsid w:val="2AEC612E"/>
    <w:rsid w:val="2B0268A7"/>
    <w:rsid w:val="2B060F9E"/>
    <w:rsid w:val="2B0E56AB"/>
    <w:rsid w:val="2B51141C"/>
    <w:rsid w:val="2B541787"/>
    <w:rsid w:val="2B590601"/>
    <w:rsid w:val="2B710DB7"/>
    <w:rsid w:val="2B7408CF"/>
    <w:rsid w:val="2B7E4054"/>
    <w:rsid w:val="2BBA6A76"/>
    <w:rsid w:val="2BC52ED8"/>
    <w:rsid w:val="2BCC03D1"/>
    <w:rsid w:val="2BDF1FBA"/>
    <w:rsid w:val="2C0C6D59"/>
    <w:rsid w:val="2C5B0D4B"/>
    <w:rsid w:val="2C8903AA"/>
    <w:rsid w:val="2C987C56"/>
    <w:rsid w:val="2CA156F3"/>
    <w:rsid w:val="2CC11460"/>
    <w:rsid w:val="2CC15BAA"/>
    <w:rsid w:val="2CC72A61"/>
    <w:rsid w:val="2CDC3153"/>
    <w:rsid w:val="2CDF621C"/>
    <w:rsid w:val="2CE136D7"/>
    <w:rsid w:val="2CFE7A11"/>
    <w:rsid w:val="2CFF149A"/>
    <w:rsid w:val="2D126EAE"/>
    <w:rsid w:val="2D201865"/>
    <w:rsid w:val="2D2B6EDE"/>
    <w:rsid w:val="2D322E1C"/>
    <w:rsid w:val="2D4B5CEA"/>
    <w:rsid w:val="2D4C5B4C"/>
    <w:rsid w:val="2D542188"/>
    <w:rsid w:val="2D652658"/>
    <w:rsid w:val="2D964A56"/>
    <w:rsid w:val="2DC16E0A"/>
    <w:rsid w:val="2DC80C49"/>
    <w:rsid w:val="2DCA6355"/>
    <w:rsid w:val="2E030E17"/>
    <w:rsid w:val="2E166748"/>
    <w:rsid w:val="2E2054A0"/>
    <w:rsid w:val="2E2C70F5"/>
    <w:rsid w:val="2E482374"/>
    <w:rsid w:val="2E491580"/>
    <w:rsid w:val="2E4E2C3E"/>
    <w:rsid w:val="2E556F01"/>
    <w:rsid w:val="2E5B21F8"/>
    <w:rsid w:val="2E8345A7"/>
    <w:rsid w:val="2E8E20B4"/>
    <w:rsid w:val="2EAA7BAE"/>
    <w:rsid w:val="2EC1207D"/>
    <w:rsid w:val="2ED06066"/>
    <w:rsid w:val="2ED1223D"/>
    <w:rsid w:val="2F000139"/>
    <w:rsid w:val="2F1B303D"/>
    <w:rsid w:val="2F3F11F4"/>
    <w:rsid w:val="2F5E0754"/>
    <w:rsid w:val="2F9F42DC"/>
    <w:rsid w:val="2FBB4121"/>
    <w:rsid w:val="2FBC2844"/>
    <w:rsid w:val="2FBE3786"/>
    <w:rsid w:val="2FC32F68"/>
    <w:rsid w:val="2FC9559A"/>
    <w:rsid w:val="2FD6418B"/>
    <w:rsid w:val="2FD95B9C"/>
    <w:rsid w:val="2FF37AB3"/>
    <w:rsid w:val="30210B8A"/>
    <w:rsid w:val="30224DC7"/>
    <w:rsid w:val="303B4C3F"/>
    <w:rsid w:val="3073310C"/>
    <w:rsid w:val="309D6BE6"/>
    <w:rsid w:val="30AA1790"/>
    <w:rsid w:val="30EE385E"/>
    <w:rsid w:val="30F85AFE"/>
    <w:rsid w:val="31031402"/>
    <w:rsid w:val="310811F3"/>
    <w:rsid w:val="31170995"/>
    <w:rsid w:val="31264A30"/>
    <w:rsid w:val="312651F8"/>
    <w:rsid w:val="316B2774"/>
    <w:rsid w:val="31862EE3"/>
    <w:rsid w:val="31884E67"/>
    <w:rsid w:val="31A0275E"/>
    <w:rsid w:val="31A67308"/>
    <w:rsid w:val="31B91526"/>
    <w:rsid w:val="31BA7402"/>
    <w:rsid w:val="31EF0041"/>
    <w:rsid w:val="31F61FC1"/>
    <w:rsid w:val="320107F5"/>
    <w:rsid w:val="324175CB"/>
    <w:rsid w:val="326A0524"/>
    <w:rsid w:val="327A2E67"/>
    <w:rsid w:val="327B7EDF"/>
    <w:rsid w:val="32AB70C5"/>
    <w:rsid w:val="32EF2122"/>
    <w:rsid w:val="32F17F41"/>
    <w:rsid w:val="332038B4"/>
    <w:rsid w:val="33247607"/>
    <w:rsid w:val="333014B0"/>
    <w:rsid w:val="335D0AF5"/>
    <w:rsid w:val="336917EF"/>
    <w:rsid w:val="336B2EA4"/>
    <w:rsid w:val="336B3E67"/>
    <w:rsid w:val="3370088C"/>
    <w:rsid w:val="33872039"/>
    <w:rsid w:val="339A687B"/>
    <w:rsid w:val="33DC2F78"/>
    <w:rsid w:val="3428227C"/>
    <w:rsid w:val="343230D5"/>
    <w:rsid w:val="3439428E"/>
    <w:rsid w:val="34571EF7"/>
    <w:rsid w:val="347918A5"/>
    <w:rsid w:val="34802E4C"/>
    <w:rsid w:val="349D37D5"/>
    <w:rsid w:val="34A61BDE"/>
    <w:rsid w:val="34BB7B5F"/>
    <w:rsid w:val="3522586C"/>
    <w:rsid w:val="35572473"/>
    <w:rsid w:val="35602226"/>
    <w:rsid w:val="356B72E7"/>
    <w:rsid w:val="356D2AC8"/>
    <w:rsid w:val="3572424F"/>
    <w:rsid w:val="35734CF3"/>
    <w:rsid w:val="35866014"/>
    <w:rsid w:val="359E5CE0"/>
    <w:rsid w:val="35D275C3"/>
    <w:rsid w:val="35E50FBB"/>
    <w:rsid w:val="362B215D"/>
    <w:rsid w:val="36407D2B"/>
    <w:rsid w:val="366666CA"/>
    <w:rsid w:val="3667523C"/>
    <w:rsid w:val="367070F4"/>
    <w:rsid w:val="367801A9"/>
    <w:rsid w:val="36807FCC"/>
    <w:rsid w:val="369B334E"/>
    <w:rsid w:val="36AD519D"/>
    <w:rsid w:val="36B57705"/>
    <w:rsid w:val="36B93E53"/>
    <w:rsid w:val="36DC1DD3"/>
    <w:rsid w:val="36F3711D"/>
    <w:rsid w:val="36F541F6"/>
    <w:rsid w:val="36FC25DD"/>
    <w:rsid w:val="37090CD6"/>
    <w:rsid w:val="37122320"/>
    <w:rsid w:val="3754697A"/>
    <w:rsid w:val="37636A21"/>
    <w:rsid w:val="377662ED"/>
    <w:rsid w:val="377C03A4"/>
    <w:rsid w:val="37A103ED"/>
    <w:rsid w:val="37A367C3"/>
    <w:rsid w:val="37BD33EE"/>
    <w:rsid w:val="37CE0B2F"/>
    <w:rsid w:val="37E02B23"/>
    <w:rsid w:val="37E345A6"/>
    <w:rsid w:val="37EA5E6E"/>
    <w:rsid w:val="37EC6A58"/>
    <w:rsid w:val="37FB2268"/>
    <w:rsid w:val="37FF016F"/>
    <w:rsid w:val="382A6E2D"/>
    <w:rsid w:val="386E4145"/>
    <w:rsid w:val="387C5ABE"/>
    <w:rsid w:val="38B66D0C"/>
    <w:rsid w:val="38D41643"/>
    <w:rsid w:val="38EB6119"/>
    <w:rsid w:val="39044996"/>
    <w:rsid w:val="392C6D9B"/>
    <w:rsid w:val="393B020C"/>
    <w:rsid w:val="39506E15"/>
    <w:rsid w:val="396678D9"/>
    <w:rsid w:val="39790BE6"/>
    <w:rsid w:val="397A0ADB"/>
    <w:rsid w:val="39844799"/>
    <w:rsid w:val="39902D77"/>
    <w:rsid w:val="39954B2B"/>
    <w:rsid w:val="39A11A20"/>
    <w:rsid w:val="39DA2245"/>
    <w:rsid w:val="39E66E3B"/>
    <w:rsid w:val="39FD4CC2"/>
    <w:rsid w:val="3A51228C"/>
    <w:rsid w:val="3A545E48"/>
    <w:rsid w:val="3A552E60"/>
    <w:rsid w:val="3A5D642F"/>
    <w:rsid w:val="3A744447"/>
    <w:rsid w:val="3A7607F4"/>
    <w:rsid w:val="3A78219D"/>
    <w:rsid w:val="3A995C5C"/>
    <w:rsid w:val="3AB210FC"/>
    <w:rsid w:val="3ADB7381"/>
    <w:rsid w:val="3AE612FB"/>
    <w:rsid w:val="3AF04A37"/>
    <w:rsid w:val="3B043A1D"/>
    <w:rsid w:val="3B1E01C3"/>
    <w:rsid w:val="3B3E5B8A"/>
    <w:rsid w:val="3B793A48"/>
    <w:rsid w:val="3B7E3699"/>
    <w:rsid w:val="3B85393E"/>
    <w:rsid w:val="3BCA4B8A"/>
    <w:rsid w:val="3BCD72F7"/>
    <w:rsid w:val="3BF423D7"/>
    <w:rsid w:val="3BFC2F5F"/>
    <w:rsid w:val="3C37146A"/>
    <w:rsid w:val="3C3D3625"/>
    <w:rsid w:val="3C414142"/>
    <w:rsid w:val="3C5B725E"/>
    <w:rsid w:val="3C84047F"/>
    <w:rsid w:val="3C88055A"/>
    <w:rsid w:val="3C9E57AB"/>
    <w:rsid w:val="3CAF79B9"/>
    <w:rsid w:val="3CB35097"/>
    <w:rsid w:val="3CF737A2"/>
    <w:rsid w:val="3D10295A"/>
    <w:rsid w:val="3D184041"/>
    <w:rsid w:val="3D370C2A"/>
    <w:rsid w:val="3D414FC0"/>
    <w:rsid w:val="3D4F12A7"/>
    <w:rsid w:val="3D7B5F78"/>
    <w:rsid w:val="3D7D049C"/>
    <w:rsid w:val="3DB80161"/>
    <w:rsid w:val="3DE20EAE"/>
    <w:rsid w:val="3DEF3701"/>
    <w:rsid w:val="3E0572FD"/>
    <w:rsid w:val="3E0720FE"/>
    <w:rsid w:val="3E1D6BA4"/>
    <w:rsid w:val="3E2819F6"/>
    <w:rsid w:val="3E287A22"/>
    <w:rsid w:val="3E2E2DF0"/>
    <w:rsid w:val="3E5A7FE7"/>
    <w:rsid w:val="3E7D40EF"/>
    <w:rsid w:val="3E955A6A"/>
    <w:rsid w:val="3E964D81"/>
    <w:rsid w:val="3EE079CF"/>
    <w:rsid w:val="3EF66B2E"/>
    <w:rsid w:val="3EF76C87"/>
    <w:rsid w:val="3F217914"/>
    <w:rsid w:val="3F636838"/>
    <w:rsid w:val="3FD10810"/>
    <w:rsid w:val="3FD70BB0"/>
    <w:rsid w:val="3FFB55AC"/>
    <w:rsid w:val="40017152"/>
    <w:rsid w:val="401C5F9D"/>
    <w:rsid w:val="401C690C"/>
    <w:rsid w:val="401D7195"/>
    <w:rsid w:val="405C1C05"/>
    <w:rsid w:val="407A652F"/>
    <w:rsid w:val="40825D97"/>
    <w:rsid w:val="40836C36"/>
    <w:rsid w:val="40870EA3"/>
    <w:rsid w:val="408A343A"/>
    <w:rsid w:val="409928E7"/>
    <w:rsid w:val="40997CFE"/>
    <w:rsid w:val="40C34607"/>
    <w:rsid w:val="40CE3DC0"/>
    <w:rsid w:val="40D7455A"/>
    <w:rsid w:val="40E743E5"/>
    <w:rsid w:val="40EB4012"/>
    <w:rsid w:val="41075C9E"/>
    <w:rsid w:val="410A1661"/>
    <w:rsid w:val="412D5EA0"/>
    <w:rsid w:val="415A62F5"/>
    <w:rsid w:val="416D78C7"/>
    <w:rsid w:val="41734CBA"/>
    <w:rsid w:val="417F4E1A"/>
    <w:rsid w:val="418B0C8A"/>
    <w:rsid w:val="41A82190"/>
    <w:rsid w:val="41DE5999"/>
    <w:rsid w:val="41E1181A"/>
    <w:rsid w:val="41E32A20"/>
    <w:rsid w:val="41FA3241"/>
    <w:rsid w:val="420F7A65"/>
    <w:rsid w:val="4216611A"/>
    <w:rsid w:val="42310E70"/>
    <w:rsid w:val="42321B6A"/>
    <w:rsid w:val="423E300F"/>
    <w:rsid w:val="425656C8"/>
    <w:rsid w:val="4257273C"/>
    <w:rsid w:val="42687ACE"/>
    <w:rsid w:val="4270145E"/>
    <w:rsid w:val="429E6041"/>
    <w:rsid w:val="42BF4B02"/>
    <w:rsid w:val="42FC76D0"/>
    <w:rsid w:val="42FD694D"/>
    <w:rsid w:val="43034DFA"/>
    <w:rsid w:val="437D6687"/>
    <w:rsid w:val="438351F5"/>
    <w:rsid w:val="438D35EA"/>
    <w:rsid w:val="43BC1E57"/>
    <w:rsid w:val="43D23F8D"/>
    <w:rsid w:val="43D43F1D"/>
    <w:rsid w:val="43FA5777"/>
    <w:rsid w:val="44023422"/>
    <w:rsid w:val="44184A2D"/>
    <w:rsid w:val="441C1611"/>
    <w:rsid w:val="443C440B"/>
    <w:rsid w:val="44514F52"/>
    <w:rsid w:val="44543554"/>
    <w:rsid w:val="44761C8F"/>
    <w:rsid w:val="449722E3"/>
    <w:rsid w:val="449D7B09"/>
    <w:rsid w:val="44AE3FD4"/>
    <w:rsid w:val="44D0586F"/>
    <w:rsid w:val="44FA2D53"/>
    <w:rsid w:val="453C4912"/>
    <w:rsid w:val="455A546C"/>
    <w:rsid w:val="45687813"/>
    <w:rsid w:val="4571374F"/>
    <w:rsid w:val="458B1BB0"/>
    <w:rsid w:val="45A41560"/>
    <w:rsid w:val="45AD31D6"/>
    <w:rsid w:val="45B93426"/>
    <w:rsid w:val="45CF1361"/>
    <w:rsid w:val="464C6420"/>
    <w:rsid w:val="46552F9B"/>
    <w:rsid w:val="467A0297"/>
    <w:rsid w:val="468B7125"/>
    <w:rsid w:val="46B506EF"/>
    <w:rsid w:val="46C4691F"/>
    <w:rsid w:val="46CB53EF"/>
    <w:rsid w:val="46EE513F"/>
    <w:rsid w:val="470F5A71"/>
    <w:rsid w:val="47193906"/>
    <w:rsid w:val="473154FF"/>
    <w:rsid w:val="47685427"/>
    <w:rsid w:val="476C4065"/>
    <w:rsid w:val="4779499C"/>
    <w:rsid w:val="477B6530"/>
    <w:rsid w:val="47801172"/>
    <w:rsid w:val="479D1D34"/>
    <w:rsid w:val="47B609C0"/>
    <w:rsid w:val="47EC3B04"/>
    <w:rsid w:val="47EC6277"/>
    <w:rsid w:val="47F5337C"/>
    <w:rsid w:val="48021483"/>
    <w:rsid w:val="481A219B"/>
    <w:rsid w:val="482D31EA"/>
    <w:rsid w:val="48447D02"/>
    <w:rsid w:val="485970A0"/>
    <w:rsid w:val="486A6E89"/>
    <w:rsid w:val="48823516"/>
    <w:rsid w:val="48877686"/>
    <w:rsid w:val="488B498B"/>
    <w:rsid w:val="48B176C2"/>
    <w:rsid w:val="48B65C71"/>
    <w:rsid w:val="48D550F0"/>
    <w:rsid w:val="48FB1909"/>
    <w:rsid w:val="491F266E"/>
    <w:rsid w:val="492E6A57"/>
    <w:rsid w:val="495839AA"/>
    <w:rsid w:val="49700A6F"/>
    <w:rsid w:val="49771AFE"/>
    <w:rsid w:val="49802948"/>
    <w:rsid w:val="4986089F"/>
    <w:rsid w:val="498B5309"/>
    <w:rsid w:val="499F0AAB"/>
    <w:rsid w:val="49C154CE"/>
    <w:rsid w:val="49C33FF5"/>
    <w:rsid w:val="49DB11EC"/>
    <w:rsid w:val="49E31DD1"/>
    <w:rsid w:val="49F25A7F"/>
    <w:rsid w:val="4A0030EE"/>
    <w:rsid w:val="4A0568D6"/>
    <w:rsid w:val="4A0C4F3C"/>
    <w:rsid w:val="4A162478"/>
    <w:rsid w:val="4A171EC9"/>
    <w:rsid w:val="4A1A1689"/>
    <w:rsid w:val="4A484D41"/>
    <w:rsid w:val="4A6D15F8"/>
    <w:rsid w:val="4A7617B6"/>
    <w:rsid w:val="4A8C4FB8"/>
    <w:rsid w:val="4A9A25BD"/>
    <w:rsid w:val="4A9E0551"/>
    <w:rsid w:val="4AB542AE"/>
    <w:rsid w:val="4AF72FEA"/>
    <w:rsid w:val="4AFF2C73"/>
    <w:rsid w:val="4B1477B3"/>
    <w:rsid w:val="4B1F062C"/>
    <w:rsid w:val="4B243D9D"/>
    <w:rsid w:val="4B281425"/>
    <w:rsid w:val="4B491FAA"/>
    <w:rsid w:val="4B6F66A1"/>
    <w:rsid w:val="4B85213F"/>
    <w:rsid w:val="4B8C2DEB"/>
    <w:rsid w:val="4BFA3C9F"/>
    <w:rsid w:val="4BFA7F6C"/>
    <w:rsid w:val="4C107F48"/>
    <w:rsid w:val="4C3117D0"/>
    <w:rsid w:val="4C3277BC"/>
    <w:rsid w:val="4C5C442D"/>
    <w:rsid w:val="4C6D42A9"/>
    <w:rsid w:val="4C716A38"/>
    <w:rsid w:val="4CB6767F"/>
    <w:rsid w:val="4CC0351C"/>
    <w:rsid w:val="4CC353EB"/>
    <w:rsid w:val="4CE64E14"/>
    <w:rsid w:val="4CE95EE5"/>
    <w:rsid w:val="4CF36F3C"/>
    <w:rsid w:val="4D006B89"/>
    <w:rsid w:val="4D007BC8"/>
    <w:rsid w:val="4D0602E5"/>
    <w:rsid w:val="4D0651AA"/>
    <w:rsid w:val="4D116C13"/>
    <w:rsid w:val="4D1470BD"/>
    <w:rsid w:val="4D154882"/>
    <w:rsid w:val="4D1C3C50"/>
    <w:rsid w:val="4D603399"/>
    <w:rsid w:val="4D6A7284"/>
    <w:rsid w:val="4D6E30E1"/>
    <w:rsid w:val="4D867EE1"/>
    <w:rsid w:val="4DBC4C65"/>
    <w:rsid w:val="4DC9105D"/>
    <w:rsid w:val="4DE2009B"/>
    <w:rsid w:val="4DF86974"/>
    <w:rsid w:val="4E0F235E"/>
    <w:rsid w:val="4E157689"/>
    <w:rsid w:val="4E471216"/>
    <w:rsid w:val="4E533FA5"/>
    <w:rsid w:val="4E550010"/>
    <w:rsid w:val="4E5F14CB"/>
    <w:rsid w:val="4E6808B0"/>
    <w:rsid w:val="4E780BC4"/>
    <w:rsid w:val="4EBA42F2"/>
    <w:rsid w:val="4EC00DDD"/>
    <w:rsid w:val="4ED908C5"/>
    <w:rsid w:val="4EF265BE"/>
    <w:rsid w:val="4EFB1C45"/>
    <w:rsid w:val="4F0C2A48"/>
    <w:rsid w:val="4F26273B"/>
    <w:rsid w:val="4F2D3A8A"/>
    <w:rsid w:val="4F32478A"/>
    <w:rsid w:val="4F3705F8"/>
    <w:rsid w:val="4F687F31"/>
    <w:rsid w:val="4F913A9A"/>
    <w:rsid w:val="4F9714A0"/>
    <w:rsid w:val="4FAA3F91"/>
    <w:rsid w:val="4FAC3540"/>
    <w:rsid w:val="4FCF1583"/>
    <w:rsid w:val="4FD23E66"/>
    <w:rsid w:val="4FD44D1B"/>
    <w:rsid w:val="4FDC066D"/>
    <w:rsid w:val="4FFA7625"/>
    <w:rsid w:val="50453E7E"/>
    <w:rsid w:val="50594CF7"/>
    <w:rsid w:val="507D2599"/>
    <w:rsid w:val="5096229D"/>
    <w:rsid w:val="509E157D"/>
    <w:rsid w:val="50A6165E"/>
    <w:rsid w:val="50DC4184"/>
    <w:rsid w:val="50FB6146"/>
    <w:rsid w:val="512F4CA0"/>
    <w:rsid w:val="51361FFF"/>
    <w:rsid w:val="513D4C38"/>
    <w:rsid w:val="514C3EA7"/>
    <w:rsid w:val="51AC4D00"/>
    <w:rsid w:val="51FF3C99"/>
    <w:rsid w:val="520325EA"/>
    <w:rsid w:val="522A20E4"/>
    <w:rsid w:val="5233653E"/>
    <w:rsid w:val="52363D4D"/>
    <w:rsid w:val="524A2AC9"/>
    <w:rsid w:val="52521A20"/>
    <w:rsid w:val="528604EC"/>
    <w:rsid w:val="529E2C3A"/>
    <w:rsid w:val="52AC4ABC"/>
    <w:rsid w:val="52C201B9"/>
    <w:rsid w:val="52E1183E"/>
    <w:rsid w:val="52E57A12"/>
    <w:rsid w:val="52F20B62"/>
    <w:rsid w:val="530D1577"/>
    <w:rsid w:val="531C4FCC"/>
    <w:rsid w:val="5369454F"/>
    <w:rsid w:val="53827E49"/>
    <w:rsid w:val="538A6BB9"/>
    <w:rsid w:val="539964FD"/>
    <w:rsid w:val="539C1B81"/>
    <w:rsid w:val="539D7755"/>
    <w:rsid w:val="53A447B1"/>
    <w:rsid w:val="53AE750F"/>
    <w:rsid w:val="53BE40A3"/>
    <w:rsid w:val="53D224B3"/>
    <w:rsid w:val="53E27C66"/>
    <w:rsid w:val="53EB3560"/>
    <w:rsid w:val="53F81D96"/>
    <w:rsid w:val="541D5DE8"/>
    <w:rsid w:val="541F57C4"/>
    <w:rsid w:val="544B5214"/>
    <w:rsid w:val="546F523C"/>
    <w:rsid w:val="54782FBD"/>
    <w:rsid w:val="5483138F"/>
    <w:rsid w:val="5488523A"/>
    <w:rsid w:val="549A6BFA"/>
    <w:rsid w:val="54C341E7"/>
    <w:rsid w:val="54D933CD"/>
    <w:rsid w:val="54FE2E33"/>
    <w:rsid w:val="551751CF"/>
    <w:rsid w:val="5522558F"/>
    <w:rsid w:val="55244D7F"/>
    <w:rsid w:val="55305397"/>
    <w:rsid w:val="55362287"/>
    <w:rsid w:val="55432F3C"/>
    <w:rsid w:val="554B299D"/>
    <w:rsid w:val="55A37FFD"/>
    <w:rsid w:val="55AE22F1"/>
    <w:rsid w:val="55C3227E"/>
    <w:rsid w:val="55CE1AA9"/>
    <w:rsid w:val="55F6381F"/>
    <w:rsid w:val="55FA2961"/>
    <w:rsid w:val="5602250F"/>
    <w:rsid w:val="563D53C1"/>
    <w:rsid w:val="564220BA"/>
    <w:rsid w:val="565E7F4F"/>
    <w:rsid w:val="565F3DA6"/>
    <w:rsid w:val="56903F9A"/>
    <w:rsid w:val="56914056"/>
    <w:rsid w:val="56B61E36"/>
    <w:rsid w:val="56C36589"/>
    <w:rsid w:val="570D55B0"/>
    <w:rsid w:val="570E4AB5"/>
    <w:rsid w:val="57293C95"/>
    <w:rsid w:val="572A6381"/>
    <w:rsid w:val="572B41B4"/>
    <w:rsid w:val="57365868"/>
    <w:rsid w:val="573C1959"/>
    <w:rsid w:val="57554571"/>
    <w:rsid w:val="57F65317"/>
    <w:rsid w:val="57FC2169"/>
    <w:rsid w:val="58024015"/>
    <w:rsid w:val="58096275"/>
    <w:rsid w:val="5819544F"/>
    <w:rsid w:val="582D6D32"/>
    <w:rsid w:val="582E6EF7"/>
    <w:rsid w:val="583278A5"/>
    <w:rsid w:val="584E30E6"/>
    <w:rsid w:val="58546EFD"/>
    <w:rsid w:val="5881703E"/>
    <w:rsid w:val="58AB786E"/>
    <w:rsid w:val="58D0673C"/>
    <w:rsid w:val="58E26731"/>
    <w:rsid w:val="58EB1371"/>
    <w:rsid w:val="59091D98"/>
    <w:rsid w:val="590E4A97"/>
    <w:rsid w:val="591250FF"/>
    <w:rsid w:val="5920012C"/>
    <w:rsid w:val="593700E7"/>
    <w:rsid w:val="595578DE"/>
    <w:rsid w:val="597B384D"/>
    <w:rsid w:val="597D1A46"/>
    <w:rsid w:val="59996DA8"/>
    <w:rsid w:val="59C30F1B"/>
    <w:rsid w:val="59CE4759"/>
    <w:rsid w:val="59D06015"/>
    <w:rsid w:val="59D90B78"/>
    <w:rsid w:val="5A814766"/>
    <w:rsid w:val="5A8C20D0"/>
    <w:rsid w:val="5A931CE6"/>
    <w:rsid w:val="5ABC29E4"/>
    <w:rsid w:val="5AC7121C"/>
    <w:rsid w:val="5AD90B8D"/>
    <w:rsid w:val="5AE12927"/>
    <w:rsid w:val="5AE35472"/>
    <w:rsid w:val="5AF41CF3"/>
    <w:rsid w:val="5AF87CC9"/>
    <w:rsid w:val="5B07329F"/>
    <w:rsid w:val="5B12314B"/>
    <w:rsid w:val="5B4E1A44"/>
    <w:rsid w:val="5B873201"/>
    <w:rsid w:val="5B967767"/>
    <w:rsid w:val="5B9D1624"/>
    <w:rsid w:val="5BBF19C8"/>
    <w:rsid w:val="5BBF73E2"/>
    <w:rsid w:val="5BEE5378"/>
    <w:rsid w:val="5C0C2FF6"/>
    <w:rsid w:val="5C1241CC"/>
    <w:rsid w:val="5C286807"/>
    <w:rsid w:val="5C34339E"/>
    <w:rsid w:val="5C355656"/>
    <w:rsid w:val="5C370E72"/>
    <w:rsid w:val="5C446BC8"/>
    <w:rsid w:val="5C4B56E1"/>
    <w:rsid w:val="5C7146B1"/>
    <w:rsid w:val="5C7C2768"/>
    <w:rsid w:val="5CAD3BC1"/>
    <w:rsid w:val="5CAE62DC"/>
    <w:rsid w:val="5CB23AE6"/>
    <w:rsid w:val="5CED5863"/>
    <w:rsid w:val="5D0D6DF5"/>
    <w:rsid w:val="5D4A5E05"/>
    <w:rsid w:val="5D580A8A"/>
    <w:rsid w:val="5D7E6D71"/>
    <w:rsid w:val="5D893B14"/>
    <w:rsid w:val="5DB42C29"/>
    <w:rsid w:val="5E1219F7"/>
    <w:rsid w:val="5E18541D"/>
    <w:rsid w:val="5E291636"/>
    <w:rsid w:val="5E48511F"/>
    <w:rsid w:val="5E655B72"/>
    <w:rsid w:val="5E8B0770"/>
    <w:rsid w:val="5EA06921"/>
    <w:rsid w:val="5EBA259F"/>
    <w:rsid w:val="5EE1082B"/>
    <w:rsid w:val="5EE97BB4"/>
    <w:rsid w:val="5EF55BC9"/>
    <w:rsid w:val="5F085DDA"/>
    <w:rsid w:val="5F2E2D52"/>
    <w:rsid w:val="5F54198B"/>
    <w:rsid w:val="5F6C74C2"/>
    <w:rsid w:val="5F9D1350"/>
    <w:rsid w:val="5FA44AD1"/>
    <w:rsid w:val="5FA50CDB"/>
    <w:rsid w:val="5FBE370A"/>
    <w:rsid w:val="5FC61F2E"/>
    <w:rsid w:val="5FC83407"/>
    <w:rsid w:val="5FD56E87"/>
    <w:rsid w:val="5FF0558C"/>
    <w:rsid w:val="60015A45"/>
    <w:rsid w:val="601A27F4"/>
    <w:rsid w:val="60292845"/>
    <w:rsid w:val="606D1789"/>
    <w:rsid w:val="606F2632"/>
    <w:rsid w:val="6071543B"/>
    <w:rsid w:val="607921FE"/>
    <w:rsid w:val="607E12CC"/>
    <w:rsid w:val="608F62AE"/>
    <w:rsid w:val="60B9251B"/>
    <w:rsid w:val="60E236C1"/>
    <w:rsid w:val="60E37983"/>
    <w:rsid w:val="60E54E33"/>
    <w:rsid w:val="61260B6B"/>
    <w:rsid w:val="612B3ABB"/>
    <w:rsid w:val="612E1A5D"/>
    <w:rsid w:val="614E5D7E"/>
    <w:rsid w:val="61816046"/>
    <w:rsid w:val="61BD04E4"/>
    <w:rsid w:val="61C81AB1"/>
    <w:rsid w:val="620B0059"/>
    <w:rsid w:val="62391564"/>
    <w:rsid w:val="624A22BE"/>
    <w:rsid w:val="6263230B"/>
    <w:rsid w:val="626E235A"/>
    <w:rsid w:val="626F60D5"/>
    <w:rsid w:val="62816669"/>
    <w:rsid w:val="6282086D"/>
    <w:rsid w:val="629007F7"/>
    <w:rsid w:val="62AB4D99"/>
    <w:rsid w:val="62B36CD7"/>
    <w:rsid w:val="62BA0953"/>
    <w:rsid w:val="62D03A7C"/>
    <w:rsid w:val="62F42FAE"/>
    <w:rsid w:val="62F648FE"/>
    <w:rsid w:val="63167A4F"/>
    <w:rsid w:val="631D2BD6"/>
    <w:rsid w:val="631F43A9"/>
    <w:rsid w:val="635356F3"/>
    <w:rsid w:val="637D5B70"/>
    <w:rsid w:val="63825E77"/>
    <w:rsid w:val="63A10995"/>
    <w:rsid w:val="63C23EFA"/>
    <w:rsid w:val="63D255DA"/>
    <w:rsid w:val="63EB2168"/>
    <w:rsid w:val="63F854C1"/>
    <w:rsid w:val="63FB5857"/>
    <w:rsid w:val="64076B79"/>
    <w:rsid w:val="640B7654"/>
    <w:rsid w:val="64116D46"/>
    <w:rsid w:val="643A070A"/>
    <w:rsid w:val="64410A96"/>
    <w:rsid w:val="644C573D"/>
    <w:rsid w:val="64507EFB"/>
    <w:rsid w:val="64D17CF2"/>
    <w:rsid w:val="65032F85"/>
    <w:rsid w:val="651304A7"/>
    <w:rsid w:val="65136B50"/>
    <w:rsid w:val="652E163D"/>
    <w:rsid w:val="6531690D"/>
    <w:rsid w:val="65320485"/>
    <w:rsid w:val="655A12F3"/>
    <w:rsid w:val="657E2A35"/>
    <w:rsid w:val="65A94E9D"/>
    <w:rsid w:val="65B96B3F"/>
    <w:rsid w:val="65BE1071"/>
    <w:rsid w:val="65C60A92"/>
    <w:rsid w:val="65D86946"/>
    <w:rsid w:val="65DB19DF"/>
    <w:rsid w:val="660451CE"/>
    <w:rsid w:val="664B3BEB"/>
    <w:rsid w:val="665346B7"/>
    <w:rsid w:val="667C7CCE"/>
    <w:rsid w:val="66A12460"/>
    <w:rsid w:val="66BE2423"/>
    <w:rsid w:val="66DD6702"/>
    <w:rsid w:val="66E612CF"/>
    <w:rsid w:val="66E856F1"/>
    <w:rsid w:val="66FB0BAD"/>
    <w:rsid w:val="671B1623"/>
    <w:rsid w:val="671E6EBA"/>
    <w:rsid w:val="6731269C"/>
    <w:rsid w:val="673528BF"/>
    <w:rsid w:val="675352AA"/>
    <w:rsid w:val="6759400B"/>
    <w:rsid w:val="675E528D"/>
    <w:rsid w:val="676C598C"/>
    <w:rsid w:val="67966EFB"/>
    <w:rsid w:val="679E7FA1"/>
    <w:rsid w:val="67A32389"/>
    <w:rsid w:val="67B768D0"/>
    <w:rsid w:val="67C779FD"/>
    <w:rsid w:val="67C85DAF"/>
    <w:rsid w:val="68281CFE"/>
    <w:rsid w:val="682A2352"/>
    <w:rsid w:val="682A2630"/>
    <w:rsid w:val="682E4A5B"/>
    <w:rsid w:val="682E7AFD"/>
    <w:rsid w:val="68707071"/>
    <w:rsid w:val="687A4379"/>
    <w:rsid w:val="687B015C"/>
    <w:rsid w:val="687E3889"/>
    <w:rsid w:val="6884222C"/>
    <w:rsid w:val="68A957C8"/>
    <w:rsid w:val="68AD17BB"/>
    <w:rsid w:val="68D6620B"/>
    <w:rsid w:val="68D94D22"/>
    <w:rsid w:val="68F06F2B"/>
    <w:rsid w:val="69011241"/>
    <w:rsid w:val="692B2E4A"/>
    <w:rsid w:val="696A0B34"/>
    <w:rsid w:val="69821807"/>
    <w:rsid w:val="698D6A17"/>
    <w:rsid w:val="699026E3"/>
    <w:rsid w:val="699E0BED"/>
    <w:rsid w:val="699F0522"/>
    <w:rsid w:val="69D37590"/>
    <w:rsid w:val="69EB543D"/>
    <w:rsid w:val="69F954C1"/>
    <w:rsid w:val="6A1E1E73"/>
    <w:rsid w:val="6A2031B6"/>
    <w:rsid w:val="6A2F57D7"/>
    <w:rsid w:val="6A3924BB"/>
    <w:rsid w:val="6A3C1D40"/>
    <w:rsid w:val="6A6432E1"/>
    <w:rsid w:val="6AA23DFF"/>
    <w:rsid w:val="6AAA6F38"/>
    <w:rsid w:val="6AC61F6F"/>
    <w:rsid w:val="6AD34E53"/>
    <w:rsid w:val="6AD83EA1"/>
    <w:rsid w:val="6ADE74F0"/>
    <w:rsid w:val="6B1D62E8"/>
    <w:rsid w:val="6B723594"/>
    <w:rsid w:val="6B805156"/>
    <w:rsid w:val="6B945E48"/>
    <w:rsid w:val="6B974A7B"/>
    <w:rsid w:val="6BD50977"/>
    <w:rsid w:val="6BE450D3"/>
    <w:rsid w:val="6BE60C84"/>
    <w:rsid w:val="6C2A7D61"/>
    <w:rsid w:val="6C4F0900"/>
    <w:rsid w:val="6C6C32E1"/>
    <w:rsid w:val="6C6E3E15"/>
    <w:rsid w:val="6C8B1F5D"/>
    <w:rsid w:val="6CA85D3A"/>
    <w:rsid w:val="6CAA3931"/>
    <w:rsid w:val="6CC81D46"/>
    <w:rsid w:val="6CD75953"/>
    <w:rsid w:val="6CE2512E"/>
    <w:rsid w:val="6CEA06D7"/>
    <w:rsid w:val="6CED265F"/>
    <w:rsid w:val="6CF70607"/>
    <w:rsid w:val="6D162FB8"/>
    <w:rsid w:val="6D325918"/>
    <w:rsid w:val="6D3933CA"/>
    <w:rsid w:val="6D401810"/>
    <w:rsid w:val="6D6261FE"/>
    <w:rsid w:val="6D7B222A"/>
    <w:rsid w:val="6D7B61EC"/>
    <w:rsid w:val="6D8E03AA"/>
    <w:rsid w:val="6DBB089F"/>
    <w:rsid w:val="6DC63038"/>
    <w:rsid w:val="6DDC5608"/>
    <w:rsid w:val="6DE30DE0"/>
    <w:rsid w:val="6DE6130A"/>
    <w:rsid w:val="6E09491E"/>
    <w:rsid w:val="6E0D3655"/>
    <w:rsid w:val="6E1A437E"/>
    <w:rsid w:val="6E3A144E"/>
    <w:rsid w:val="6E5606D3"/>
    <w:rsid w:val="6E5F4465"/>
    <w:rsid w:val="6E8B1663"/>
    <w:rsid w:val="6E8C54DA"/>
    <w:rsid w:val="6EB752BD"/>
    <w:rsid w:val="6EF11E03"/>
    <w:rsid w:val="6EF1241D"/>
    <w:rsid w:val="6EF36235"/>
    <w:rsid w:val="6EF82916"/>
    <w:rsid w:val="6F0B2DE7"/>
    <w:rsid w:val="6F111C62"/>
    <w:rsid w:val="6F2176E5"/>
    <w:rsid w:val="6F3A2A5F"/>
    <w:rsid w:val="6F4F7F03"/>
    <w:rsid w:val="6F5523A2"/>
    <w:rsid w:val="6F592303"/>
    <w:rsid w:val="6F5F5B74"/>
    <w:rsid w:val="6F682400"/>
    <w:rsid w:val="6F9600A4"/>
    <w:rsid w:val="6F98032D"/>
    <w:rsid w:val="6F9B1C65"/>
    <w:rsid w:val="6FA44937"/>
    <w:rsid w:val="6FAD3FB9"/>
    <w:rsid w:val="6FE82C9C"/>
    <w:rsid w:val="6FFB146E"/>
    <w:rsid w:val="70160742"/>
    <w:rsid w:val="7030610F"/>
    <w:rsid w:val="70612DB4"/>
    <w:rsid w:val="706516C3"/>
    <w:rsid w:val="70660714"/>
    <w:rsid w:val="70896E68"/>
    <w:rsid w:val="708A4844"/>
    <w:rsid w:val="70C94DCA"/>
    <w:rsid w:val="70E05E9D"/>
    <w:rsid w:val="71073061"/>
    <w:rsid w:val="711A201F"/>
    <w:rsid w:val="71215AE9"/>
    <w:rsid w:val="712864E5"/>
    <w:rsid w:val="71396ACC"/>
    <w:rsid w:val="715B60E9"/>
    <w:rsid w:val="716F0EE9"/>
    <w:rsid w:val="7196674D"/>
    <w:rsid w:val="719E245E"/>
    <w:rsid w:val="71BA3FE5"/>
    <w:rsid w:val="71DD2757"/>
    <w:rsid w:val="71EA1FED"/>
    <w:rsid w:val="72165C6B"/>
    <w:rsid w:val="722021E3"/>
    <w:rsid w:val="72290340"/>
    <w:rsid w:val="722C6DDA"/>
    <w:rsid w:val="72515945"/>
    <w:rsid w:val="729243CB"/>
    <w:rsid w:val="72E661B1"/>
    <w:rsid w:val="730313F6"/>
    <w:rsid w:val="730E4732"/>
    <w:rsid w:val="73370D24"/>
    <w:rsid w:val="73397FB3"/>
    <w:rsid w:val="73472C84"/>
    <w:rsid w:val="7359268C"/>
    <w:rsid w:val="735F327A"/>
    <w:rsid w:val="7366631C"/>
    <w:rsid w:val="736C263C"/>
    <w:rsid w:val="73723640"/>
    <w:rsid w:val="737311F5"/>
    <w:rsid w:val="739503EB"/>
    <w:rsid w:val="73A05B28"/>
    <w:rsid w:val="73C07D69"/>
    <w:rsid w:val="73C979D4"/>
    <w:rsid w:val="73DC335B"/>
    <w:rsid w:val="740B60EC"/>
    <w:rsid w:val="745E7D35"/>
    <w:rsid w:val="7465362D"/>
    <w:rsid w:val="7475188D"/>
    <w:rsid w:val="749E16A8"/>
    <w:rsid w:val="74B42AE4"/>
    <w:rsid w:val="74C54993"/>
    <w:rsid w:val="74EB68F6"/>
    <w:rsid w:val="750A429D"/>
    <w:rsid w:val="752739E7"/>
    <w:rsid w:val="753531E5"/>
    <w:rsid w:val="75474B47"/>
    <w:rsid w:val="75533AB0"/>
    <w:rsid w:val="75614792"/>
    <w:rsid w:val="75761866"/>
    <w:rsid w:val="75784473"/>
    <w:rsid w:val="75A242E2"/>
    <w:rsid w:val="75B10995"/>
    <w:rsid w:val="75B161B3"/>
    <w:rsid w:val="75DC6C44"/>
    <w:rsid w:val="75F05CC0"/>
    <w:rsid w:val="76104733"/>
    <w:rsid w:val="762C1A00"/>
    <w:rsid w:val="762F6A19"/>
    <w:rsid w:val="76341B33"/>
    <w:rsid w:val="76736B32"/>
    <w:rsid w:val="76807C04"/>
    <w:rsid w:val="76AF35EE"/>
    <w:rsid w:val="76C27A74"/>
    <w:rsid w:val="76C726A5"/>
    <w:rsid w:val="76E3765E"/>
    <w:rsid w:val="76FC2AFA"/>
    <w:rsid w:val="77527424"/>
    <w:rsid w:val="77653671"/>
    <w:rsid w:val="77707007"/>
    <w:rsid w:val="778546CC"/>
    <w:rsid w:val="778B6B46"/>
    <w:rsid w:val="77A337B9"/>
    <w:rsid w:val="77B551B3"/>
    <w:rsid w:val="77B56730"/>
    <w:rsid w:val="77B92EBE"/>
    <w:rsid w:val="77C04A8B"/>
    <w:rsid w:val="77D85DB3"/>
    <w:rsid w:val="77EB1B74"/>
    <w:rsid w:val="78012B52"/>
    <w:rsid w:val="782A3EA3"/>
    <w:rsid w:val="78490703"/>
    <w:rsid w:val="78A50513"/>
    <w:rsid w:val="78C43087"/>
    <w:rsid w:val="78D37FAF"/>
    <w:rsid w:val="78EF7AB5"/>
    <w:rsid w:val="790D6849"/>
    <w:rsid w:val="795767E3"/>
    <w:rsid w:val="79586707"/>
    <w:rsid w:val="796518DD"/>
    <w:rsid w:val="79724BEF"/>
    <w:rsid w:val="797264AC"/>
    <w:rsid w:val="79AA0532"/>
    <w:rsid w:val="79FA22BC"/>
    <w:rsid w:val="79FE1DDD"/>
    <w:rsid w:val="7A075767"/>
    <w:rsid w:val="7A0C15B3"/>
    <w:rsid w:val="7A212062"/>
    <w:rsid w:val="7A21595E"/>
    <w:rsid w:val="7A2522C9"/>
    <w:rsid w:val="7A282A11"/>
    <w:rsid w:val="7A3A59B8"/>
    <w:rsid w:val="7A5D0F75"/>
    <w:rsid w:val="7A715CD2"/>
    <w:rsid w:val="7A921E9A"/>
    <w:rsid w:val="7A9E53BF"/>
    <w:rsid w:val="7AA914B9"/>
    <w:rsid w:val="7ABF2475"/>
    <w:rsid w:val="7AC21562"/>
    <w:rsid w:val="7AD474A4"/>
    <w:rsid w:val="7AFC38DE"/>
    <w:rsid w:val="7B303E8C"/>
    <w:rsid w:val="7B7D6B6D"/>
    <w:rsid w:val="7B865D50"/>
    <w:rsid w:val="7B8D34C3"/>
    <w:rsid w:val="7B971D84"/>
    <w:rsid w:val="7BAB0CB7"/>
    <w:rsid w:val="7BB4028F"/>
    <w:rsid w:val="7BC1107E"/>
    <w:rsid w:val="7BF32F03"/>
    <w:rsid w:val="7BF50D2C"/>
    <w:rsid w:val="7C066F4E"/>
    <w:rsid w:val="7C1724A5"/>
    <w:rsid w:val="7C714CCE"/>
    <w:rsid w:val="7C8561DF"/>
    <w:rsid w:val="7CA54112"/>
    <w:rsid w:val="7CA553D9"/>
    <w:rsid w:val="7CAB27F5"/>
    <w:rsid w:val="7CAF438A"/>
    <w:rsid w:val="7CCC4E03"/>
    <w:rsid w:val="7CCE726D"/>
    <w:rsid w:val="7CD71EA3"/>
    <w:rsid w:val="7CE50CE4"/>
    <w:rsid w:val="7CE94EE1"/>
    <w:rsid w:val="7CF877E9"/>
    <w:rsid w:val="7D134762"/>
    <w:rsid w:val="7D244CB3"/>
    <w:rsid w:val="7D2E5ABF"/>
    <w:rsid w:val="7D4A45B8"/>
    <w:rsid w:val="7D535AC7"/>
    <w:rsid w:val="7D964A74"/>
    <w:rsid w:val="7DFB43EA"/>
    <w:rsid w:val="7E007625"/>
    <w:rsid w:val="7E0737C8"/>
    <w:rsid w:val="7E131C51"/>
    <w:rsid w:val="7E176B90"/>
    <w:rsid w:val="7E203B02"/>
    <w:rsid w:val="7E2142A2"/>
    <w:rsid w:val="7E240411"/>
    <w:rsid w:val="7E48335A"/>
    <w:rsid w:val="7E797DE5"/>
    <w:rsid w:val="7E7B0BF2"/>
    <w:rsid w:val="7E8D75B6"/>
    <w:rsid w:val="7E8E672B"/>
    <w:rsid w:val="7EA27DDF"/>
    <w:rsid w:val="7EB867D7"/>
    <w:rsid w:val="7EC67BB0"/>
    <w:rsid w:val="7ED809AD"/>
    <w:rsid w:val="7EF760EE"/>
    <w:rsid w:val="7F1C1F84"/>
    <w:rsid w:val="7F2536B5"/>
    <w:rsid w:val="7F2B0EE4"/>
    <w:rsid w:val="7F2C3CE7"/>
    <w:rsid w:val="7F5A01CA"/>
    <w:rsid w:val="7F652296"/>
    <w:rsid w:val="7F75661B"/>
    <w:rsid w:val="7FB17429"/>
    <w:rsid w:val="7FC237CA"/>
    <w:rsid w:val="7FF127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imes New Roman"/>
      <w:sz w:val="21"/>
      <w:szCs w:val="22"/>
      <w:lang w:val="en-US" w:eastAsia="zh-CN" w:bidi="ar-SA"/>
    </w:rPr>
  </w:style>
  <w:style w:type="paragraph" w:styleId="3">
    <w:name w:val="heading 1"/>
    <w:basedOn w:val="1"/>
    <w:next w:val="1"/>
    <w:link w:val="48"/>
    <w:qFormat/>
    <w:uiPriority w:val="9"/>
    <w:pPr>
      <w:keepNext/>
      <w:keepLines/>
      <w:spacing w:before="340" w:after="330" w:line="576" w:lineRule="auto"/>
      <w:outlineLvl w:val="0"/>
    </w:pPr>
    <w:rPr>
      <w:b/>
      <w:kern w:val="44"/>
      <w:sz w:val="44"/>
    </w:rPr>
  </w:style>
  <w:style w:type="paragraph" w:styleId="2">
    <w:name w:val="heading 2"/>
    <w:basedOn w:val="1"/>
    <w:next w:val="1"/>
    <w:link w:val="49"/>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4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7"/>
    <w:unhideWhenUsed/>
    <w:qFormat/>
    <w:uiPriority w:val="9"/>
    <w:pPr>
      <w:keepNext/>
      <w:keepLines/>
      <w:outlineLvl w:val="3"/>
    </w:pPr>
    <w:rPr>
      <w:rFonts w:ascii="Cambria" w:hAnsi="Cambria" w:cs="Times New Roman"/>
      <w:b/>
      <w:bCs/>
      <w:sz w:val="24"/>
      <w:szCs w:val="28"/>
    </w:rPr>
  </w:style>
  <w:style w:type="paragraph" w:styleId="6">
    <w:name w:val="heading 5"/>
    <w:basedOn w:val="1"/>
    <w:next w:val="1"/>
    <w:link w:val="50"/>
    <w:unhideWhenUsed/>
    <w:qFormat/>
    <w:uiPriority w:val="9"/>
    <w:pPr>
      <w:keepNext/>
      <w:keepLines/>
      <w:spacing w:before="280" w:after="290" w:line="372" w:lineRule="auto"/>
      <w:outlineLvl w:val="4"/>
    </w:pPr>
    <w:rPr>
      <w:b/>
      <w:sz w:val="28"/>
    </w:rPr>
  </w:style>
  <w:style w:type="character" w:default="1" w:styleId="28">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38"/>
    <w:unhideWhenUsed/>
    <w:qFormat/>
    <w:uiPriority w:val="99"/>
    <w:rPr>
      <w:b/>
      <w:bCs/>
    </w:rPr>
  </w:style>
  <w:style w:type="paragraph" w:styleId="8">
    <w:name w:val="annotation text"/>
    <w:basedOn w:val="1"/>
    <w:link w:val="39"/>
    <w:unhideWhenUsed/>
    <w:qFormat/>
    <w:uiPriority w:val="0"/>
  </w:style>
  <w:style w:type="paragraph" w:styleId="9">
    <w:name w:val="toc 7"/>
    <w:basedOn w:val="1"/>
    <w:next w:val="1"/>
    <w:unhideWhenUsed/>
    <w:qFormat/>
    <w:uiPriority w:val="39"/>
    <w:pPr>
      <w:widowControl w:val="0"/>
      <w:adjustRightInd/>
      <w:snapToGrid/>
      <w:spacing w:line="240" w:lineRule="auto"/>
      <w:ind w:left="2520" w:leftChars="1200"/>
      <w:jc w:val="both"/>
    </w:pPr>
    <w:rPr>
      <w:rFonts w:ascii="Calibri" w:hAnsi="Calibri" w:eastAsia="宋体"/>
      <w:kern w:val="2"/>
    </w:rPr>
  </w:style>
  <w:style w:type="paragraph" w:styleId="10">
    <w:name w:val="Body Text First Indent"/>
    <w:basedOn w:val="11"/>
    <w:next w:val="12"/>
    <w:qFormat/>
    <w:uiPriority w:val="0"/>
    <w:pPr>
      <w:spacing w:after="120"/>
      <w:ind w:firstLine="420" w:firstLineChars="100"/>
    </w:pPr>
    <w:rPr>
      <w:bCs/>
      <w:szCs w:val="21"/>
    </w:rPr>
  </w:style>
  <w:style w:type="paragraph" w:styleId="11">
    <w:name w:val="Body Text"/>
    <w:basedOn w:val="1"/>
    <w:next w:val="10"/>
    <w:link w:val="46"/>
    <w:qFormat/>
    <w:uiPriority w:val="1"/>
    <w:pPr>
      <w:spacing w:before="161"/>
      <w:ind w:left="120"/>
    </w:pPr>
    <w:rPr>
      <w:rFonts w:ascii="宋体" w:hAnsi="宋体" w:cs="宋体"/>
      <w:sz w:val="24"/>
      <w:lang w:val="zh-CN" w:bidi="zh-CN"/>
    </w:rPr>
  </w:style>
  <w:style w:type="paragraph" w:customStyle="1" w:styleId="12">
    <w:name w:val="样式 正文首行缩进 + 首行缩进:  1 字符"/>
    <w:basedOn w:val="1"/>
    <w:next w:val="1"/>
    <w:qFormat/>
    <w:uiPriority w:val="0"/>
    <w:pPr>
      <w:ind w:firstLine="200" w:firstLineChars="200"/>
    </w:pPr>
    <w:rPr>
      <w:rFonts w:cs="宋体"/>
      <w:szCs w:val="20"/>
    </w:rPr>
  </w:style>
  <w:style w:type="paragraph" w:styleId="13">
    <w:name w:val="Body Text Indent"/>
    <w:basedOn w:val="1"/>
    <w:qFormat/>
    <w:uiPriority w:val="0"/>
    <w:pPr>
      <w:ind w:left="359" w:leftChars="171" w:firstLine="179" w:firstLineChars="85"/>
    </w:pPr>
    <w:rPr>
      <w:rFonts w:ascii="宋体" w:hAnsi="宋体"/>
      <w:b/>
      <w:bCs/>
      <w:szCs w:val="26"/>
    </w:rPr>
  </w:style>
  <w:style w:type="paragraph" w:styleId="14">
    <w:name w:val="toc 5"/>
    <w:basedOn w:val="1"/>
    <w:next w:val="1"/>
    <w:link w:val="45"/>
    <w:unhideWhenUsed/>
    <w:qFormat/>
    <w:uiPriority w:val="39"/>
    <w:pPr>
      <w:widowControl w:val="0"/>
      <w:adjustRightInd/>
      <w:snapToGrid/>
      <w:spacing w:line="240" w:lineRule="auto"/>
      <w:ind w:left="1680" w:leftChars="800"/>
      <w:jc w:val="both"/>
    </w:pPr>
    <w:rPr>
      <w:rFonts w:ascii="Calibri" w:hAnsi="Calibri" w:eastAsia="宋体"/>
      <w:kern w:val="2"/>
    </w:rPr>
  </w:style>
  <w:style w:type="paragraph" w:styleId="15">
    <w:name w:val="toc 3"/>
    <w:basedOn w:val="1"/>
    <w:next w:val="1"/>
    <w:unhideWhenUsed/>
    <w:qFormat/>
    <w:uiPriority w:val="39"/>
    <w:pPr>
      <w:tabs>
        <w:tab w:val="right" w:leader="dot" w:pos="8296"/>
      </w:tabs>
      <w:ind w:left="838" w:leftChars="381"/>
    </w:pPr>
    <w:rPr>
      <w:szCs w:val="21"/>
    </w:rPr>
  </w:style>
  <w:style w:type="paragraph" w:styleId="16">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7">
    <w:name w:val="toc 8"/>
    <w:basedOn w:val="1"/>
    <w:next w:val="1"/>
    <w:unhideWhenUsed/>
    <w:qFormat/>
    <w:uiPriority w:val="39"/>
    <w:pPr>
      <w:widowControl w:val="0"/>
      <w:adjustRightInd/>
      <w:snapToGrid/>
      <w:spacing w:line="240" w:lineRule="auto"/>
      <w:ind w:left="2940" w:leftChars="1400"/>
      <w:jc w:val="both"/>
    </w:pPr>
    <w:rPr>
      <w:rFonts w:ascii="Calibri" w:hAnsi="Calibri" w:eastAsia="宋体"/>
      <w:kern w:val="2"/>
    </w:rPr>
  </w:style>
  <w:style w:type="paragraph" w:styleId="18">
    <w:name w:val="Balloon Text"/>
    <w:basedOn w:val="1"/>
    <w:link w:val="43"/>
    <w:unhideWhenUsed/>
    <w:qFormat/>
    <w:uiPriority w:val="99"/>
    <w:rPr>
      <w:sz w:val="18"/>
      <w:szCs w:val="18"/>
    </w:rPr>
  </w:style>
  <w:style w:type="paragraph" w:styleId="19">
    <w:name w:val="footer"/>
    <w:basedOn w:val="1"/>
    <w:link w:val="53"/>
    <w:unhideWhenUsed/>
    <w:qFormat/>
    <w:uiPriority w:val="99"/>
    <w:pPr>
      <w:tabs>
        <w:tab w:val="center" w:pos="4153"/>
        <w:tab w:val="right" w:pos="8306"/>
      </w:tabs>
    </w:pPr>
    <w:rPr>
      <w:sz w:val="18"/>
      <w:szCs w:val="18"/>
    </w:rPr>
  </w:style>
  <w:style w:type="paragraph" w:styleId="20">
    <w:name w:val="header"/>
    <w:basedOn w:val="1"/>
    <w:link w:val="54"/>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tabs>
        <w:tab w:val="right" w:leader="dot" w:pos="8296"/>
      </w:tabs>
      <w:spacing w:after="120"/>
      <w:ind w:left="1320" w:leftChars="600"/>
    </w:pPr>
  </w:style>
  <w:style w:type="paragraph" w:styleId="23">
    <w:name w:val="footnote text"/>
    <w:basedOn w:val="1"/>
    <w:unhideWhenUsed/>
    <w:qFormat/>
    <w:uiPriority w:val="99"/>
    <w:rPr>
      <w:sz w:val="18"/>
    </w:rPr>
  </w:style>
  <w:style w:type="paragraph" w:styleId="24">
    <w:name w:val="toc 6"/>
    <w:basedOn w:val="1"/>
    <w:next w:val="1"/>
    <w:qFormat/>
    <w:uiPriority w:val="39"/>
    <w:pPr>
      <w:ind w:left="1200"/>
    </w:pPr>
    <w:rPr>
      <w:rFonts w:ascii="Calibri" w:cs="Calibri"/>
      <w:sz w:val="18"/>
      <w:szCs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toc 9"/>
    <w:basedOn w:val="1"/>
    <w:next w:val="1"/>
    <w:unhideWhenUsed/>
    <w:qFormat/>
    <w:uiPriority w:val="39"/>
    <w:pPr>
      <w:widowControl w:val="0"/>
      <w:adjustRightInd/>
      <w:snapToGrid/>
      <w:spacing w:line="240" w:lineRule="auto"/>
      <w:ind w:left="3360" w:leftChars="1600"/>
      <w:jc w:val="both"/>
    </w:pPr>
    <w:rPr>
      <w:rFonts w:ascii="Calibri" w:hAnsi="Calibri" w:eastAsia="宋体"/>
      <w:kern w:val="2"/>
    </w:rPr>
  </w:style>
  <w:style w:type="paragraph" w:styleId="27">
    <w:name w:val="Normal (Web)"/>
    <w:basedOn w:val="1"/>
    <w:link w:val="36"/>
    <w:qFormat/>
    <w:uiPriority w:val="0"/>
    <w:pPr>
      <w:widowControl w:val="0"/>
      <w:adjustRightInd/>
      <w:snapToGrid/>
      <w:jc w:val="both"/>
    </w:pPr>
    <w:rPr>
      <w:rFonts w:ascii="Calibri" w:hAnsi="Calibri"/>
      <w:kern w:val="2"/>
      <w:sz w:val="24"/>
      <w:szCs w:val="24"/>
    </w:rPr>
  </w:style>
  <w:style w:type="character" w:styleId="29">
    <w:name w:val="page number"/>
    <w:basedOn w:val="28"/>
    <w:qFormat/>
    <w:uiPriority w:val="0"/>
  </w:style>
  <w:style w:type="character" w:styleId="30">
    <w:name w:val="Emphasis"/>
    <w:basedOn w:val="28"/>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8"/>
    <w:unhideWhenUsed/>
    <w:qFormat/>
    <w:uiPriority w:val="99"/>
    <w:rPr>
      <w:sz w:val="21"/>
      <w:szCs w:val="21"/>
    </w:rPr>
  </w:style>
  <w:style w:type="character" w:styleId="33">
    <w:name w:val="footnote reference"/>
    <w:basedOn w:val="28"/>
    <w:unhideWhenUsed/>
    <w:qFormat/>
    <w:uiPriority w:val="99"/>
    <w:rPr>
      <w:vertAlign w:val="superscript"/>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6">
    <w:name w:val="普通(网站) 字符"/>
    <w:link w:val="27"/>
    <w:qFormat/>
    <w:uiPriority w:val="0"/>
    <w:rPr>
      <w:rFonts w:eastAsia="宋体"/>
      <w:kern w:val="2"/>
      <w:sz w:val="24"/>
      <w:szCs w:val="24"/>
    </w:rPr>
  </w:style>
  <w:style w:type="character" w:customStyle="1" w:styleId="37">
    <w:name w:val="样式 楷体_GB2312 小四"/>
    <w:qFormat/>
    <w:uiPriority w:val="0"/>
    <w:rPr>
      <w:rFonts w:ascii="楷体_GB2312" w:hAnsi="楷体_GB2312" w:eastAsia="仿宋_GB2312"/>
      <w:sz w:val="24"/>
    </w:rPr>
  </w:style>
  <w:style w:type="character" w:customStyle="1" w:styleId="38">
    <w:name w:val="批注主题 字符"/>
    <w:basedOn w:val="39"/>
    <w:link w:val="7"/>
    <w:semiHidden/>
    <w:qFormat/>
    <w:uiPriority w:val="99"/>
    <w:rPr>
      <w:rFonts w:ascii="Tahoma" w:hAnsi="Tahoma" w:eastAsia="微软雅黑" w:cs="Times New Roman"/>
      <w:b/>
      <w:bCs/>
      <w:sz w:val="22"/>
      <w:szCs w:val="22"/>
    </w:rPr>
  </w:style>
  <w:style w:type="character" w:customStyle="1" w:styleId="39">
    <w:name w:val="批注文字 字符"/>
    <w:basedOn w:val="28"/>
    <w:link w:val="8"/>
    <w:qFormat/>
    <w:uiPriority w:val="0"/>
    <w:rPr>
      <w:rFonts w:ascii="Tahoma" w:hAnsi="Tahoma" w:eastAsia="微软雅黑" w:cs="Times New Roman"/>
      <w:sz w:val="22"/>
      <w:szCs w:val="22"/>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1">
    <w:name w:val="正文缩进2格 Char"/>
    <w:link w:val="42"/>
    <w:qFormat/>
    <w:uiPriority w:val="0"/>
    <w:rPr>
      <w:rFonts w:ascii="仿宋_GB2312" w:hAnsi="宋体" w:eastAsia="仿宋_GB2312"/>
      <w:kern w:val="2"/>
      <w:sz w:val="31"/>
    </w:rPr>
  </w:style>
  <w:style w:type="paragraph" w:customStyle="1" w:styleId="42">
    <w:name w:val="正文缩进2格"/>
    <w:basedOn w:val="1"/>
    <w:link w:val="41"/>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character" w:customStyle="1" w:styleId="43">
    <w:name w:val="批注框文本 字符"/>
    <w:basedOn w:val="28"/>
    <w:link w:val="18"/>
    <w:semiHidden/>
    <w:qFormat/>
    <w:uiPriority w:val="99"/>
    <w:rPr>
      <w:rFonts w:ascii="Tahoma" w:hAnsi="Tahoma"/>
      <w:sz w:val="18"/>
      <w:szCs w:val="18"/>
    </w:rPr>
  </w:style>
  <w:style w:type="character" w:customStyle="1" w:styleId="44">
    <w:name w:val="标题 3 字符"/>
    <w:basedOn w:val="28"/>
    <w:link w:val="4"/>
    <w:qFormat/>
    <w:uiPriority w:val="9"/>
    <w:rPr>
      <w:rFonts w:ascii="Tahoma" w:hAnsi="Tahoma"/>
      <w:b/>
      <w:bCs/>
      <w:sz w:val="32"/>
      <w:szCs w:val="32"/>
    </w:rPr>
  </w:style>
  <w:style w:type="character" w:customStyle="1" w:styleId="45">
    <w:name w:val="目录 5 字符"/>
    <w:link w:val="14"/>
    <w:qFormat/>
    <w:uiPriority w:val="39"/>
    <w:rPr>
      <w:rFonts w:ascii="Calibri" w:hAnsi="Calibri" w:eastAsia="宋体" w:cs="Times New Roman"/>
      <w:kern w:val="2"/>
      <w:sz w:val="21"/>
      <w:szCs w:val="22"/>
    </w:rPr>
  </w:style>
  <w:style w:type="character" w:customStyle="1" w:styleId="46">
    <w:name w:val="正文文本 字符"/>
    <w:basedOn w:val="28"/>
    <w:link w:val="11"/>
    <w:qFormat/>
    <w:uiPriority w:val="1"/>
    <w:rPr>
      <w:rFonts w:ascii="宋体" w:hAnsi="宋体" w:cs="宋体"/>
      <w:sz w:val="24"/>
      <w:szCs w:val="22"/>
      <w:lang w:val="zh-CN" w:bidi="zh-CN"/>
    </w:rPr>
  </w:style>
  <w:style w:type="character" w:customStyle="1" w:styleId="47">
    <w:name w:val="标题 4 字符"/>
    <w:basedOn w:val="28"/>
    <w:link w:val="5"/>
    <w:qFormat/>
    <w:uiPriority w:val="9"/>
    <w:rPr>
      <w:rFonts w:ascii="Cambria" w:hAnsi="Cambria" w:eastAsia="宋体" w:cs="Times New Roman"/>
      <w:b/>
      <w:bCs/>
      <w:sz w:val="24"/>
      <w:szCs w:val="28"/>
    </w:rPr>
  </w:style>
  <w:style w:type="character" w:customStyle="1" w:styleId="48">
    <w:name w:val="标题 1 字符"/>
    <w:link w:val="3"/>
    <w:qFormat/>
    <w:uiPriority w:val="0"/>
    <w:rPr>
      <w:b/>
      <w:kern w:val="44"/>
      <w:sz w:val="44"/>
    </w:rPr>
  </w:style>
  <w:style w:type="character" w:customStyle="1" w:styleId="49">
    <w:name w:val="标题 2 字符"/>
    <w:basedOn w:val="28"/>
    <w:link w:val="2"/>
    <w:qFormat/>
    <w:uiPriority w:val="0"/>
    <w:rPr>
      <w:rFonts w:ascii="Cambria" w:hAnsi="Cambria" w:eastAsia="宋体" w:cs="Times New Roman"/>
      <w:b/>
      <w:bCs/>
      <w:sz w:val="32"/>
      <w:szCs w:val="32"/>
    </w:rPr>
  </w:style>
  <w:style w:type="character" w:customStyle="1" w:styleId="50">
    <w:name w:val="标题 5 字符"/>
    <w:link w:val="6"/>
    <w:qFormat/>
    <w:uiPriority w:val="0"/>
    <w:rPr>
      <w:b/>
      <w:sz w:val="28"/>
    </w:rPr>
  </w:style>
  <w:style w:type="character" w:customStyle="1" w:styleId="51">
    <w:name w:val="纯文本 字符"/>
    <w:basedOn w:val="28"/>
    <w:link w:val="16"/>
    <w:qFormat/>
    <w:uiPriority w:val="0"/>
    <w:rPr>
      <w:rFonts w:ascii="宋体" w:hAnsi="Courier New" w:eastAsia="宋体" w:cs="Courier New"/>
      <w:sz w:val="21"/>
      <w:szCs w:val="21"/>
    </w:rPr>
  </w:style>
  <w:style w:type="character" w:customStyle="1" w:styleId="52">
    <w:name w:val="纯文本 Char"/>
    <w:qFormat/>
    <w:uiPriority w:val="0"/>
    <w:rPr>
      <w:rFonts w:ascii="宋体" w:hAnsi="Courier New" w:eastAsia="宋体" w:cs="Times New Roman"/>
      <w:b/>
      <w:kern w:val="2"/>
      <w:sz w:val="21"/>
      <w:szCs w:val="20"/>
    </w:rPr>
  </w:style>
  <w:style w:type="character" w:customStyle="1" w:styleId="53">
    <w:name w:val="页脚 字符"/>
    <w:basedOn w:val="28"/>
    <w:link w:val="19"/>
    <w:qFormat/>
    <w:uiPriority w:val="99"/>
    <w:rPr>
      <w:rFonts w:ascii="Tahoma" w:hAnsi="Tahoma"/>
      <w:sz w:val="18"/>
      <w:szCs w:val="18"/>
    </w:rPr>
  </w:style>
  <w:style w:type="character" w:customStyle="1" w:styleId="54">
    <w:name w:val="页眉 字符"/>
    <w:basedOn w:val="28"/>
    <w:link w:val="20"/>
    <w:qFormat/>
    <w:uiPriority w:val="99"/>
    <w:rPr>
      <w:rFonts w:ascii="Tahoma" w:hAnsi="Tahoma"/>
      <w:sz w:val="18"/>
      <w:szCs w:val="18"/>
    </w:rPr>
  </w:style>
  <w:style w:type="character" w:customStyle="1" w:styleId="55">
    <w:name w:val="列出段落 字符"/>
    <w:link w:val="56"/>
    <w:qFormat/>
    <w:uiPriority w:val="0"/>
    <w:rPr>
      <w:rFonts w:ascii="Tahoma" w:hAnsi="Tahoma" w:eastAsia="微软雅黑" w:cs="Times New Roman"/>
      <w:sz w:val="22"/>
      <w:szCs w:val="22"/>
    </w:rPr>
  </w:style>
  <w:style w:type="paragraph" w:styleId="56">
    <w:name w:val="List Paragraph"/>
    <w:basedOn w:val="1"/>
    <w:link w:val="55"/>
    <w:qFormat/>
    <w:uiPriority w:val="0"/>
    <w:pPr>
      <w:ind w:firstLine="420" w:firstLineChars="200"/>
    </w:pPr>
  </w:style>
  <w:style w:type="character" w:customStyle="1" w:styleId="57">
    <w:name w:val="标题1"/>
    <w:qFormat/>
    <w:uiPriority w:val="0"/>
    <w:rPr>
      <w:rFonts w:ascii="Times New Roman" w:hAnsi="Times New Roman" w:eastAsia="宋体" w:cs="Times New Roman"/>
      <w:b/>
      <w:kern w:val="0"/>
      <w:sz w:val="24"/>
      <w:szCs w:val="20"/>
      <w:lang w:eastAsia="en-US"/>
    </w:rPr>
  </w:style>
  <w:style w:type="character" w:customStyle="1" w:styleId="58">
    <w:name w:val="标题 3.1 Char"/>
    <w:link w:val="59"/>
    <w:qFormat/>
    <w:uiPriority w:val="0"/>
    <w:rPr>
      <w:rFonts w:ascii="宋体" w:hAnsi="宋体" w:eastAsia="宋体"/>
      <w:b/>
      <w:color w:val="FF0000"/>
      <w:kern w:val="2"/>
      <w:sz w:val="32"/>
    </w:rPr>
  </w:style>
  <w:style w:type="paragraph" w:customStyle="1" w:styleId="59">
    <w:name w:val="标题 3.1"/>
    <w:basedOn w:val="4"/>
    <w:link w:val="58"/>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60">
    <w:name w:val="p141"/>
    <w:qFormat/>
    <w:uiPriority w:val="0"/>
    <w:rPr>
      <w:sz w:val="21"/>
      <w:szCs w:val="21"/>
    </w:rPr>
  </w:style>
  <w:style w:type="character" w:customStyle="1" w:styleId="61">
    <w:name w:val="font141"/>
    <w:qFormat/>
    <w:uiPriority w:val="0"/>
    <w:rPr>
      <w:rFonts w:hint="default" w:ascii="Times New Roman" w:hAnsi="Times New Roman" w:cs="Times New Roman"/>
      <w:color w:val="000000"/>
      <w:sz w:val="18"/>
      <w:szCs w:val="18"/>
      <w:u w:val="none"/>
    </w:rPr>
  </w:style>
  <w:style w:type="character" w:customStyle="1" w:styleId="62">
    <w:name w:val="font71"/>
    <w:qFormat/>
    <w:uiPriority w:val="0"/>
    <w:rPr>
      <w:rFonts w:hint="eastAsia" w:ascii="宋体" w:hAnsi="宋体" w:eastAsia="宋体" w:cs="宋体"/>
      <w:color w:val="000000"/>
      <w:sz w:val="18"/>
      <w:szCs w:val="18"/>
      <w:u w:val="none"/>
    </w:rPr>
  </w:style>
  <w:style w:type="character" w:customStyle="1" w:styleId="63">
    <w:name w:val="批注文字 字符1"/>
    <w:qFormat/>
    <w:uiPriority w:val="0"/>
    <w:rPr>
      <w:rFonts w:ascii="Times New Roman" w:hAnsi="Times New Roman" w:eastAsia="宋体" w:cs="Times New Roman"/>
      <w:kern w:val="2"/>
      <w:sz w:val="21"/>
      <w:szCs w:val="24"/>
      <w:lang w:val="en-US" w:eastAsia="zh-CN" w:bidi="ar-SA"/>
    </w:rPr>
  </w:style>
  <w:style w:type="character" w:customStyle="1" w:styleId="64">
    <w:name w:val="NormalCharacter"/>
    <w:semiHidden/>
    <w:qFormat/>
    <w:uiPriority w:val="0"/>
  </w:style>
  <w:style w:type="paragraph" w:customStyle="1" w:styleId="6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表格文字"/>
    <w:basedOn w:val="1"/>
    <w:qFormat/>
    <w:uiPriority w:val="0"/>
    <w:pPr>
      <w:adjustRightInd/>
      <w:spacing w:before="25" w:after="25"/>
    </w:pPr>
    <w:rPr>
      <w:rFonts w:ascii="Times New Roman"/>
      <w:bCs/>
      <w:spacing w:val="10"/>
      <w:szCs w:val="20"/>
    </w:rPr>
  </w:style>
  <w:style w:type="paragraph" w:customStyle="1" w:styleId="67">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paragraph" w:customStyle="1" w:styleId="6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69">
    <w:name w:val="正文缩进4格"/>
    <w:basedOn w:val="42"/>
    <w:qFormat/>
    <w:uiPriority w:val="0"/>
    <w:pPr>
      <w:ind w:left="2" w:firstLine="538" w:firstLineChars="192"/>
    </w:pPr>
    <w:rPr>
      <w:color w:val="0000FF"/>
      <w:sz w:val="28"/>
    </w:rPr>
  </w:style>
  <w:style w:type="paragraph" w:customStyle="1" w:styleId="70">
    <w:name w:val="Char Char2 Char"/>
    <w:basedOn w:val="1"/>
    <w:qFormat/>
    <w:uiPriority w:val="0"/>
    <w:pPr>
      <w:widowControl w:val="0"/>
      <w:adjustRightInd/>
      <w:snapToGrid/>
      <w:jc w:val="both"/>
    </w:pPr>
    <w:rPr>
      <w:rFonts w:ascii="宋体" w:hAnsi="宋体" w:cs="Times New Roman"/>
      <w:b/>
      <w:kern w:val="2"/>
      <w:sz w:val="28"/>
      <w:szCs w:val="28"/>
    </w:rPr>
  </w:style>
  <w:style w:type="paragraph" w:customStyle="1" w:styleId="7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paragraph" w:customStyle="1" w:styleId="72">
    <w:name w:val="纯文本1"/>
    <w:basedOn w:val="73"/>
    <w:qFormat/>
    <w:uiPriority w:val="0"/>
    <w:rPr>
      <w:rFonts w:ascii="宋体" w:hAnsi="Courier New"/>
      <w:szCs w:val="20"/>
    </w:rPr>
  </w:style>
  <w:style w:type="paragraph" w:customStyle="1" w:styleId="73">
    <w:name w:val="正文 New"/>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74">
    <w:name w:val="_Style 1"/>
    <w:basedOn w:val="1"/>
    <w:qFormat/>
    <w:uiPriority w:val="0"/>
    <w:pPr>
      <w:ind w:firstLine="420" w:firstLineChars="200"/>
    </w:pPr>
  </w:style>
  <w:style w:type="paragraph" w:customStyle="1" w:styleId="75">
    <w:name w:val="正文文本缩进1"/>
    <w:basedOn w:val="73"/>
    <w:qFormat/>
    <w:uiPriority w:val="0"/>
    <w:pPr>
      <w:spacing w:after="120"/>
      <w:ind w:left="420" w:leftChars="200"/>
    </w:pPr>
  </w:style>
  <w:style w:type="paragraph" w:customStyle="1" w:styleId="7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77">
    <w:name w:val="p0"/>
    <w:basedOn w:val="1"/>
    <w:qFormat/>
    <w:uiPriority w:val="0"/>
    <w:rPr>
      <w:szCs w:val="21"/>
    </w:rPr>
  </w:style>
  <w:style w:type="paragraph" w:customStyle="1" w:styleId="78">
    <w:name w:val="列出段落2"/>
    <w:basedOn w:val="1"/>
    <w:qFormat/>
    <w:uiPriority w:val="0"/>
    <w:pPr>
      <w:ind w:firstLine="420" w:firstLineChars="200"/>
    </w:pPr>
  </w:style>
  <w:style w:type="paragraph" w:customStyle="1" w:styleId="79">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0">
    <w:name w:val="Table Paragraph"/>
    <w:basedOn w:val="1"/>
    <w:qFormat/>
    <w:uiPriority w:val="0"/>
  </w:style>
  <w:style w:type="paragraph" w:customStyle="1" w:styleId="81">
    <w:name w:val="正文文本缩进 21"/>
    <w:basedOn w:val="1"/>
    <w:qFormat/>
    <w:uiPriority w:val="0"/>
    <w:pPr>
      <w:spacing w:line="480" w:lineRule="auto"/>
      <w:ind w:firstLine="540"/>
    </w:pPr>
    <w:rPr>
      <w:rFonts w:ascii="Calibri" w:hAnsi="Calibri"/>
      <w:sz w:val="20"/>
      <w:szCs w:val="20"/>
    </w:rPr>
  </w:style>
  <w:style w:type="paragraph" w:customStyle="1" w:styleId="82">
    <w:name w:val="纯文本2"/>
    <w:basedOn w:val="73"/>
    <w:qFormat/>
    <w:uiPriority w:val="0"/>
    <w:rPr>
      <w:rFonts w:ascii="宋体" w:hAnsi="Courier New"/>
      <w:szCs w:val="20"/>
    </w:rPr>
  </w:style>
  <w:style w:type="paragraph" w:customStyle="1" w:styleId="83">
    <w:name w:val="msolistparagraph"/>
    <w:basedOn w:val="1"/>
    <w:qFormat/>
    <w:uiPriority w:val="0"/>
    <w:pPr>
      <w:ind w:firstLine="420" w:firstLineChars="200"/>
    </w:pPr>
    <w:rPr>
      <w:rFonts w:hint="eastAsia" w:hAnsi="宋体"/>
    </w:rPr>
  </w:style>
  <w:style w:type="paragraph" w:customStyle="1" w:styleId="84">
    <w:name w:val="_Style 2"/>
    <w:basedOn w:val="1"/>
    <w:qFormat/>
    <w:uiPriority w:val="0"/>
    <w:pPr>
      <w:ind w:firstLine="420" w:firstLineChars="200"/>
    </w:pPr>
  </w:style>
  <w:style w:type="paragraph" w:customStyle="1" w:styleId="85">
    <w:name w:val="修订1"/>
    <w:semiHidden/>
    <w:qFormat/>
    <w:uiPriority w:val="99"/>
    <w:rPr>
      <w:rFonts w:ascii="Tahoma" w:hAnsi="Tahoma" w:eastAsia="宋体" w:cs="Times New Roman"/>
      <w:sz w:val="21"/>
      <w:szCs w:val="22"/>
      <w:lang w:val="en-US" w:eastAsia="zh-CN" w:bidi="ar-SA"/>
    </w:rPr>
  </w:style>
  <w:style w:type="paragraph" w:customStyle="1" w:styleId="86">
    <w:name w:val="样式 小四 加粗 行距: 多倍行距 1.25 字行"/>
    <w:basedOn w:val="1"/>
    <w:qFormat/>
    <w:uiPriority w:val="0"/>
    <w:pPr>
      <w:widowControl w:val="0"/>
      <w:numPr>
        <w:ilvl w:val="0"/>
        <w:numId w:val="1"/>
      </w:numPr>
      <w:tabs>
        <w:tab w:val="left" w:pos="425"/>
        <w:tab w:val="left" w:pos="1527"/>
      </w:tabs>
      <w:adjustRightInd/>
      <w:snapToGrid/>
      <w:spacing w:before="50" w:beforeLines="50" w:after="50" w:afterLines="50" w:line="300" w:lineRule="auto"/>
      <w:ind w:left="1527"/>
      <w:jc w:val="both"/>
    </w:pPr>
    <w:rPr>
      <w:rFonts w:ascii="Times New Roman" w:hAnsi="Times New Roman" w:cs="宋体"/>
      <w:b/>
      <w:bCs/>
      <w:kern w:val="2"/>
      <w:sz w:val="24"/>
      <w:szCs w:val="20"/>
    </w:rPr>
  </w:style>
  <w:style w:type="table" w:customStyle="1" w:styleId="87">
    <w:name w:val="Table Normal"/>
    <w:unhideWhenUsed/>
    <w:qFormat/>
    <w:uiPriority w:val="2"/>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36420</Words>
  <Characters>38122</Characters>
  <Lines>334</Lines>
  <Paragraphs>94</Paragraphs>
  <TotalTime>29</TotalTime>
  <ScaleCrop>false</ScaleCrop>
  <LinksUpToDate>false</LinksUpToDate>
  <CharactersWithSpaces>39685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2023-06-12T07:56:00Z</dcterms:created>
  <dc:creator>MyPC</dc:creator>
  <cp:lastModifiedBy>彬</cp:lastModifiedBy>
  <cp:lastPrinted>2024-10-09T07:20:00Z</cp:lastPrinted>
  <dcterms:modified xsi:type="dcterms:W3CDTF">2024-10-12T06:41:43Z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E2B19B881113462A83815F192C9E479B</vt:lpwstr>
  </property>
</Properties>
</file>